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8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ind w:left="2620"/>
        <w:spacing w:after="0"/>
        <w:tabs>
          <w:tab w:leader="none" w:pos="4240" w:val="left"/>
        </w:tabs>
        <w:rPr>
          <w:sz w:val="20"/>
          <w:szCs w:val="20"/>
          <w:color w:val="auto"/>
        </w:rPr>
      </w:pPr>
      <w:r>
        <w:rPr>
          <w:rFonts w:ascii="Courier New" w:cs="Courier New" w:eastAsia="Courier New" w:hAnsi="Courier New"/>
          <w:sz w:val="15"/>
          <w:szCs w:val="15"/>
          <w:color w:val="auto"/>
        </w:rPr>
        <w:t>WASHINGTON, D.C.</w:t>
        <w:tab/>
        <w:t>20549</w:t>
      </w:r>
    </w:p>
    <w:p>
      <w:pPr>
        <w:spacing w:after="0" w:line="180" w:lineRule="exact"/>
        <w:rPr>
          <w:sz w:val="24"/>
          <w:szCs w:val="24"/>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3260"/>
        <w:spacing w:after="0"/>
        <w:rPr>
          <w:sz w:val="20"/>
          <w:szCs w:val="20"/>
          <w:color w:val="auto"/>
        </w:rPr>
      </w:pPr>
      <w:r>
        <w:rPr>
          <w:rFonts w:ascii="Courier New" w:cs="Courier New" w:eastAsia="Courier New" w:hAnsi="Courier New"/>
          <w:sz w:val="15"/>
          <w:szCs w:val="15"/>
          <w:color w:val="auto"/>
        </w:rPr>
        <w:t>FORM 8-K</w:t>
      </w:r>
    </w:p>
    <w:p>
      <w:pPr>
        <w:spacing w:after="0" w:line="354" w:lineRule="exact"/>
        <w:rPr>
          <w:sz w:val="24"/>
          <w:szCs w:val="24"/>
          <w:color w:val="auto"/>
        </w:rPr>
      </w:pPr>
    </w:p>
    <w:p>
      <w:pPr>
        <w:ind w:left="3000"/>
        <w:spacing w:after="0"/>
        <w:rPr>
          <w:sz w:val="20"/>
          <w:szCs w:val="20"/>
          <w:color w:val="auto"/>
        </w:rPr>
      </w:pPr>
      <w:r>
        <w:rPr>
          <w:rFonts w:ascii="Courier New" w:cs="Courier New" w:eastAsia="Courier New" w:hAnsi="Courier New"/>
          <w:sz w:val="15"/>
          <w:szCs w:val="15"/>
          <w:color w:val="auto"/>
        </w:rPr>
        <w:t>CURRENT REPORT</w:t>
      </w:r>
    </w:p>
    <w:p>
      <w:pPr>
        <w:spacing w:after="0" w:line="200" w:lineRule="exact"/>
        <w:rPr>
          <w:sz w:val="24"/>
          <w:szCs w:val="24"/>
          <w:color w:val="auto"/>
        </w:rPr>
      </w:pPr>
    </w:p>
    <w:p>
      <w:pPr>
        <w:spacing w:after="0" w:line="329" w:lineRule="exact"/>
        <w:rPr>
          <w:sz w:val="24"/>
          <w:szCs w:val="24"/>
          <w:color w:val="auto"/>
        </w:rPr>
      </w:pPr>
    </w:p>
    <w:p>
      <w:pPr>
        <w:ind w:left="1900"/>
        <w:spacing w:after="0"/>
        <w:rPr>
          <w:sz w:val="20"/>
          <w:szCs w:val="20"/>
          <w:color w:val="auto"/>
        </w:rPr>
      </w:pPr>
      <w:r>
        <w:rPr>
          <w:rFonts w:ascii="Courier New" w:cs="Courier New" w:eastAsia="Courier New" w:hAnsi="Courier New"/>
          <w:sz w:val="15"/>
          <w:szCs w:val="15"/>
          <w:color w:val="auto"/>
        </w:rPr>
        <w:t>PURSUANT TO SECTION 13 OR 15(d) of the</w:t>
      </w:r>
    </w:p>
    <w:p>
      <w:pPr>
        <w:spacing w:after="0" w:line="5" w:lineRule="exact"/>
        <w:rPr>
          <w:sz w:val="24"/>
          <w:szCs w:val="24"/>
          <w:color w:val="auto"/>
        </w:rPr>
      </w:pPr>
    </w:p>
    <w:p>
      <w:pPr>
        <w:ind w:left="2260"/>
        <w:spacing w:after="0"/>
        <w:rPr>
          <w:sz w:val="20"/>
          <w:szCs w:val="20"/>
          <w:color w:val="auto"/>
        </w:rPr>
      </w:pPr>
      <w:r>
        <w:rPr>
          <w:rFonts w:ascii="Courier New" w:cs="Courier New" w:eastAsia="Courier New" w:hAnsi="Courier New"/>
          <w:sz w:val="15"/>
          <w:szCs w:val="15"/>
          <w:color w:val="auto"/>
        </w:rPr>
        <w:t>SECURITIES EXCHANGE ACT OF 1934</w:t>
      </w:r>
    </w:p>
    <w:p>
      <w:pPr>
        <w:spacing w:after="0" w:line="200" w:lineRule="exact"/>
        <w:rPr>
          <w:sz w:val="24"/>
          <w:szCs w:val="24"/>
          <w:color w:val="auto"/>
        </w:rPr>
      </w:pPr>
    </w:p>
    <w:p>
      <w:pPr>
        <w:spacing w:after="0" w:line="329" w:lineRule="exact"/>
        <w:rPr>
          <w:sz w:val="24"/>
          <w:szCs w:val="24"/>
          <w:color w:val="auto"/>
        </w:rPr>
      </w:pPr>
    </w:p>
    <w:p>
      <w:pPr>
        <w:ind w:left="620"/>
        <w:spacing w:after="0"/>
        <w:tabs>
          <w:tab w:leader="none" w:pos="5240" w:val="left"/>
        </w:tabs>
        <w:rPr>
          <w:sz w:val="20"/>
          <w:szCs w:val="20"/>
          <w:color w:val="auto"/>
        </w:rPr>
      </w:pPr>
      <w:r>
        <w:rPr>
          <w:rFonts w:ascii="Courier New" w:cs="Courier New" w:eastAsia="Courier New" w:hAnsi="Courier New"/>
          <w:sz w:val="15"/>
          <w:szCs w:val="15"/>
          <w:color w:val="auto"/>
        </w:rPr>
        <w:t>Date of Report (Date of earliest event reported):</w:t>
        <w:tab/>
        <w:t>October 28, 1995</w:t>
      </w:r>
    </w:p>
    <w:p>
      <w:pPr>
        <w:spacing w:after="0" w:line="200" w:lineRule="exact"/>
        <w:rPr>
          <w:sz w:val="24"/>
          <w:szCs w:val="24"/>
          <w:color w:val="auto"/>
        </w:rPr>
      </w:pPr>
    </w:p>
    <w:p>
      <w:pPr>
        <w:spacing w:after="0" w:line="329"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4"/>
          <w:szCs w:val="24"/>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118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584" w:right="1440" w:bottom="1440" w:gutter="0" w:footer="0" w:header="0"/>
        </w:sectPr>
      </w:pPr>
    </w:p>
    <w:p>
      <w:pPr>
        <w:spacing w:after="0" w:line="354"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Pennsylvania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or other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jurisdiction of</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incorporation)</w:t>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ind w:left="460"/>
        <w:spacing w:after="0"/>
        <w:rPr>
          <w:sz w:val="20"/>
          <w:szCs w:val="20"/>
          <w:color w:val="auto"/>
        </w:rPr>
      </w:pPr>
      <w:r>
        <w:rPr>
          <w:rFonts w:ascii="Courier New" w:cs="Courier New" w:eastAsia="Courier New" w:hAnsi="Courier New"/>
          <w:sz w:val="15"/>
          <w:szCs w:val="15"/>
          <w:color w:val="auto"/>
        </w:rPr>
        <w:t>0-6983</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w:t>
      </w:r>
    </w:p>
    <w:p>
      <w:pPr>
        <w:spacing w:after="0" w:line="5" w:lineRule="exact"/>
        <w:rPr>
          <w:sz w:val="24"/>
          <w:szCs w:val="24"/>
          <w:color w:val="auto"/>
        </w:rPr>
      </w:pPr>
    </w:p>
    <w:p>
      <w:pPr>
        <w:ind w:left="460"/>
        <w:spacing w:after="0"/>
        <w:rPr>
          <w:sz w:val="20"/>
          <w:szCs w:val="20"/>
          <w:color w:val="auto"/>
        </w:rPr>
      </w:pPr>
      <w:r>
        <w:rPr>
          <w:rFonts w:ascii="Courier New" w:cs="Courier New" w:eastAsia="Courier New" w:hAnsi="Courier New"/>
          <w:sz w:val="15"/>
          <w:szCs w:val="15"/>
          <w:color w:val="auto"/>
        </w:rPr>
        <w:t>number)</w:t>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23-1709202</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w:t>
      </w:r>
    </w:p>
    <w:p>
      <w:pPr>
        <w:spacing w:after="0" w:line="5"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no.)</w:t>
      </w:r>
    </w:p>
    <w:p>
      <w:pPr>
        <w:spacing w:after="0" w:line="200" w:lineRule="exact"/>
        <w:rPr>
          <w:sz w:val="24"/>
          <w:szCs w:val="24"/>
          <w:color w:val="auto"/>
        </w:rPr>
      </w:pPr>
    </w:p>
    <w:p>
      <w:pPr>
        <w:sectPr>
          <w:pgSz w:w="11900" w:h="16838" w:orient="portrait"/>
          <w:cols w:equalWidth="0" w:num="3">
            <w:col w:w="2180" w:space="720"/>
            <w:col w:w="2380" w:space="720"/>
            <w:col w:w="4219"/>
          </w:cols>
          <w:pgMar w:left="240" w:top="584" w:right="1440" w:bottom="1440" w:gutter="0" w:footer="0" w:header="0"/>
          <w:type w:val="continuous"/>
        </w:sectPr>
      </w:pPr>
    </w:p>
    <w:p>
      <w:pPr>
        <w:spacing w:after="0" w:line="329" w:lineRule="exact"/>
        <w:rPr>
          <w:sz w:val="24"/>
          <w:szCs w:val="24"/>
          <w:color w:val="auto"/>
        </w:rPr>
      </w:pPr>
    </w:p>
    <w:p>
      <w:pPr>
        <w:ind w:left="1180"/>
        <w:spacing w:after="0"/>
        <w:tabs>
          <w:tab w:leader="none" w:pos="5240" w:val="left"/>
        </w:tabs>
        <w:rPr>
          <w:sz w:val="20"/>
          <w:szCs w:val="20"/>
          <w:color w:val="auto"/>
        </w:rPr>
      </w:pPr>
      <w:r>
        <w:rPr>
          <w:rFonts w:ascii="Courier New" w:cs="Courier New" w:eastAsia="Courier New" w:hAnsi="Courier New"/>
          <w:sz w:val="15"/>
          <w:szCs w:val="15"/>
          <w:color w:val="auto"/>
        </w:rPr>
        <w:t>1500 Market Street, Philadelphia, PA</w:t>
      </w:r>
      <w:r>
        <w:rPr>
          <w:sz w:val="20"/>
          <w:szCs w:val="20"/>
          <w:color w:val="auto"/>
        </w:rPr>
        <w:tab/>
      </w:r>
      <w:r>
        <w:rPr>
          <w:rFonts w:ascii="Courier New" w:cs="Courier New" w:eastAsia="Courier New" w:hAnsi="Courier New"/>
          <w:sz w:val="15"/>
          <w:szCs w:val="15"/>
          <w:color w:val="auto"/>
        </w:rPr>
        <w:t>19102-2148</w:t>
      </w:r>
    </w:p>
    <w:p>
      <w:pPr>
        <w:spacing w:after="0" w:line="5" w:lineRule="exact"/>
        <w:rPr>
          <w:sz w:val="24"/>
          <w:szCs w:val="24"/>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1080"/>
        <w:spacing w:after="0"/>
        <w:tabs>
          <w:tab w:leader="none" w:pos="524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5"/>
          <w:szCs w:val="15"/>
          <w:color w:val="auto"/>
        </w:rPr>
        <w:t>(Zip Code)</w:t>
      </w:r>
    </w:p>
    <w:p>
      <w:pPr>
        <w:sectPr>
          <w:pgSz w:w="11900" w:h="16838" w:orient="portrait"/>
          <w:cols w:equalWidth="0" w:num="1">
            <w:col w:w="10219"/>
          </w:cols>
          <w:pgMar w:left="240" w:top="58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ind w:left="720"/>
        <w:spacing w:after="0"/>
        <w:rPr>
          <w:sz w:val="20"/>
          <w:szCs w:val="20"/>
          <w:color w:val="auto"/>
        </w:rPr>
      </w:pPr>
      <w:r>
        <w:rPr>
          <w:rFonts w:ascii="Courier New" w:cs="Courier New" w:eastAsia="Courier New" w:hAnsi="Courier New"/>
          <w:sz w:val="15"/>
          <w:szCs w:val="15"/>
          <w:color w:val="auto"/>
        </w:rPr>
        <w:t>Registrant's telephone number, including area code (215) 665-1700</w:t>
      </w:r>
    </w:p>
    <w:p>
      <w:pPr>
        <w:spacing w:after="0" w:line="5" w:lineRule="exact"/>
        <w:rPr>
          <w:sz w:val="24"/>
          <w:szCs w:val="24"/>
          <w:color w:val="auto"/>
        </w:rPr>
      </w:pPr>
    </w:p>
    <w:p>
      <w:pPr>
        <w:ind w:left="53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584" w:right="1440" w:bottom="1440" w:gutter="0" w:footer="0" w:header="0"/>
          <w:type w:val="continuous"/>
        </w:sectPr>
      </w:pPr>
    </w:p>
    <w:bookmarkStart w:id="1" w:name="page2"/>
    <w:bookmarkEnd w:id="1"/>
    <w:p>
      <w:pPr>
        <w:spacing w:after="0"/>
        <w:tabs>
          <w:tab w:leader="none" w:pos="8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5"/>
          <w:szCs w:val="15"/>
          <w:color w:val="auto"/>
        </w:rPr>
        <w:t>Other Events.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October 1995, Comcast Corporation (the "Company") announced its agreement to acquire the cable television operations ("Scripps Cable") of The E.W. Scripps Company ("E.W. Scripps") in exchange for shares of the Company's Class A Special Common Stock, par value $1.00 per share (the "Class A Special Common Stock"), worth $1.575 billion (the "Base Consideration"), subject to certain closing adjustments (the "Scripps Transaction"). Scripps Cable passes more than 1.2 million homes and serves more than 800,000 subscribers, with over 60% of the subscribers located in Sacramento, California and Chattanooga and Knoxville, Tennessee. The acquisition is expected to close in the fourth quarter of 1996, subject to shareholder and regulatory approval and certain other conditions.</w:t>
      </w:r>
    </w:p>
    <w:p>
      <w:pPr>
        <w:spacing w:after="0" w:line="181"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Pursuant to the Agreement and Plan of Merger dated as of October 28, 1995 (the "Merger Agreement"), incorporated by reference herein, by and among the Company, E.W. Scripps, and Scripps Howard, Inc., a wholly owned subsidiary of E.W. Scripps, E.W. Scripps will distribute to its shareholders all assets other than Scripps Cable. Following such distribution, E.W. Scripps will be merged with and into the Company (the "Merger") and each share of E.W. Scripps common stock issued and outstanding immediately prior to the Merger will be converted into a portion of the shares of the Class A Special Common Stock to be paid as consideration in the Merger. Assuming that (i) closing adjustments made to the Base Consideration result in a $17.1 million increase in the purchase price (estimated solely for purposes of the unaudited pro forma condensed consolidated financial statements included herein), and (ii) the Class A Special Common Stock is valued, as described below, at $17.06 per share, the Company would issue to E.W. Scripps shareholders an aggregate of approximately 93.3 million shares of Class A Special Common Stock in the Merger, representing approximately 32.9% of such class of stock outstanding as of June 30, 1996, on a pro forma basis.</w:t>
      </w:r>
    </w:p>
    <w:p>
      <w:pPr>
        <w:spacing w:after="0" w:line="185"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For purposes of determining the number of shares of Class A Special Common Stock to be delivered in the Merger, such stock will be valued on the basis of the average closing price of the Class A Special Common Stock on The Nasdaq Stock Market for 15 trading days randomly selected from the 40 trading day period ending shortly before the closing date (the "Comcast Share Price"); provided that the Comcast Share Price will be no greater than $23.09 and, except as provided below, no less than $17.06. If the Comcast Share Price is below $17.06, E.W. Scripps has the right to terminate the Merger Agreement, subject to the right of the Company to increase the number of shares of Class A Special Common Stock to be delivered in the Merger to that number of shares that would have been delivered if the Comcast Share Price were not subject to the minimum price of $17.06 or to such lower number of shares as may be agreed to by E.W. Scripps.</w:t>
      </w:r>
    </w:p>
    <w:p>
      <w:pPr>
        <w:spacing w:after="0" w:line="357"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42" w:right="1440" w:bottom="1440" w:gutter="0" w:footer="0" w:header="0"/>
        </w:sectPr>
      </w:pPr>
    </w:p>
    <w:bookmarkStart w:id="2" w:name="page3"/>
    <w:bookmarkEnd w:id="2"/>
    <w:p>
      <w:pPr>
        <w:ind w:right="3779" w:firstLine="909"/>
        <w:spacing w:after="0" w:line="247" w:lineRule="auto"/>
        <w:rPr>
          <w:sz w:val="20"/>
          <w:szCs w:val="20"/>
          <w:color w:val="auto"/>
        </w:rPr>
      </w:pPr>
      <w:r>
        <w:rPr>
          <w:rFonts w:ascii="Courier New" w:cs="Courier New" w:eastAsia="Courier New" w:hAnsi="Courier New"/>
          <w:sz w:val="15"/>
          <w:szCs w:val="15"/>
          <w:color w:val="auto"/>
        </w:rPr>
        <w:t>Although the Company believes the consummation of the Scripps Transaction is probable, no assurances can be given that the Scripps Transaction will occur at all or occur in the foregoing manner.</w:t>
      </w:r>
    </w:p>
    <w:p>
      <w:pPr>
        <w:spacing w:after="0" w:line="174"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5"/>
          <w:szCs w:val="15"/>
          <w:color w:val="auto"/>
        </w:rPr>
        <w:t>FINANCIAL STATEMENTS AND EXHIBITS</w:t>
      </w:r>
    </w:p>
    <w:p>
      <w:pPr>
        <w:spacing w:after="0" w:line="180" w:lineRule="exact"/>
        <w:rPr>
          <w:sz w:val="20"/>
          <w:szCs w:val="20"/>
          <w:color w:val="auto"/>
        </w:rPr>
      </w:pPr>
    </w:p>
    <w:p>
      <w:pPr>
        <w:ind w:left="900" w:hanging="452"/>
        <w:spacing w:after="0"/>
        <w:tabs>
          <w:tab w:leader="none" w:pos="9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w:t>
      </w:r>
    </w:p>
    <w:p>
      <w:pPr>
        <w:spacing w:after="0" w:line="179" w:lineRule="exact"/>
        <w:rPr>
          <w:rFonts w:ascii="Courier New" w:cs="Courier New" w:eastAsia="Courier New" w:hAnsi="Courier New"/>
          <w:sz w:val="15"/>
          <w:szCs w:val="15"/>
          <w:color w:val="auto"/>
        </w:rPr>
      </w:pPr>
    </w:p>
    <w:p>
      <w:pPr>
        <w:jc w:val="both"/>
        <w:ind w:left="900" w:right="33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Unaudited Pro Forma Condensed Consolidated Financial Statements are included in this Report and are listed in the Index to Unaudited Pro Forma Financial Information.</w:t>
      </w:r>
    </w:p>
    <w:p>
      <w:pPr>
        <w:spacing w:after="0" w:line="174" w:lineRule="exact"/>
        <w:rPr>
          <w:rFonts w:ascii="Courier New" w:cs="Courier New" w:eastAsia="Courier New" w:hAnsi="Courier New"/>
          <w:sz w:val="15"/>
          <w:szCs w:val="15"/>
          <w:color w:val="auto"/>
        </w:rPr>
      </w:pPr>
    </w:p>
    <w:p>
      <w:pPr>
        <w:ind w:left="900" w:right="3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audited combined financial statements of Scripps Cable for the year ended December 31, 1995 are incorporated by reference from the Company's Current Report on Form 8-K/A filed on July 22, 1996, which filing incorporated such statements by reference from the Form 8-K/A(5) of The E.W. Scripps Company (commission file no.</w:t>
      </w:r>
    </w:p>
    <w:p>
      <w:pPr>
        <w:spacing w:after="0" w:line="3"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1-16914) dated July 18, 1996.</w:t>
      </w:r>
    </w:p>
    <w:p>
      <w:pPr>
        <w:spacing w:after="0" w:line="179" w:lineRule="exact"/>
        <w:rPr>
          <w:rFonts w:ascii="Courier New" w:cs="Courier New" w:eastAsia="Courier New" w:hAnsi="Courier New"/>
          <w:sz w:val="15"/>
          <w:szCs w:val="15"/>
          <w:color w:val="auto"/>
        </w:rPr>
      </w:pPr>
    </w:p>
    <w:p>
      <w:pPr>
        <w:ind w:left="900"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combined financial statements of Scripps Cable for the six months ended June 30, 1996 are incorporated by reference from the Form 8-K/A(6) of The E.W. Scripps Company (commission file no.</w:t>
      </w:r>
    </w:p>
    <w:p>
      <w:pPr>
        <w:spacing w:after="0" w:line="1"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1-16914) dated August 14, 1996.</w:t>
      </w:r>
    </w:p>
    <w:p>
      <w:pPr>
        <w:spacing w:after="0" w:line="179" w:lineRule="exact"/>
        <w:rPr>
          <w:rFonts w:ascii="Courier New" w:cs="Courier New" w:eastAsia="Courier New" w:hAnsi="Courier New"/>
          <w:sz w:val="15"/>
          <w:szCs w:val="15"/>
          <w:color w:val="auto"/>
        </w:rPr>
      </w:pPr>
    </w:p>
    <w:p>
      <w:pPr>
        <w:ind w:left="900" w:right="8319" w:hanging="452"/>
        <w:spacing w:after="0" w:line="493" w:lineRule="auto"/>
        <w:tabs>
          <w:tab w:leader="none" w:pos="9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EXHIBIT NO.</w:t>
      </w:r>
    </w:p>
    <w:p>
      <w:pPr>
        <w:spacing w:after="0" w:line="1" w:lineRule="exact"/>
        <w:rPr>
          <w:rFonts w:ascii="Courier New" w:cs="Courier New" w:eastAsia="Courier New" w:hAnsi="Courier New"/>
          <w:sz w:val="15"/>
          <w:szCs w:val="15"/>
          <w:color w:val="auto"/>
        </w:rPr>
      </w:pPr>
    </w:p>
    <w:p>
      <w:pPr>
        <w:ind w:left="1820" w:right="3319" w:hanging="90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10.1Agreement and Plan of Merger, including certain exhibits thereto, dated as of October 28, 1995, by and among The E.W. Scripps Company, Scripps Howard, Inc. and Comcast Corporation (incorporated by reference from Exhibit 10.1 to the Company's Current Report on Form 8-K dated December 19, 1995).</w:t>
      </w:r>
    </w:p>
    <w:p>
      <w:pPr>
        <w:spacing w:after="0" w:line="3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43" w:right="1440" w:bottom="1440" w:gutter="0" w:footer="0" w:header="0"/>
        </w:sectPr>
      </w:pPr>
    </w:p>
    <w:bookmarkStart w:id="3" w:name="page4"/>
    <w:bookmarkEnd w:id="3"/>
    <w:p>
      <w:pPr>
        <w:ind w:left="3180"/>
        <w:spacing w:after="0"/>
        <w:rPr>
          <w:sz w:val="20"/>
          <w:szCs w:val="20"/>
          <w:color w:val="auto"/>
        </w:rPr>
      </w:pPr>
      <w:r>
        <w:rPr>
          <w:rFonts w:ascii="Courier New" w:cs="Courier New" w:eastAsia="Courier New" w:hAnsi="Courier New"/>
          <w:sz w:val="15"/>
          <w:szCs w:val="15"/>
          <w:color w:val="auto"/>
        </w:rPr>
        <w:t>SIGNATURE</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643"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21, 1996</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Lawrence S. Smith</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Lawrence S. Smith</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Executive Vice President</w:t>
      </w:r>
    </w:p>
    <w:p>
      <w:pPr>
        <w:spacing w:after="0" w:line="200" w:lineRule="exact"/>
        <w:rPr>
          <w:sz w:val="20"/>
          <w:szCs w:val="20"/>
          <w:color w:val="auto"/>
        </w:rPr>
      </w:pPr>
    </w:p>
    <w:p>
      <w:pPr>
        <w:sectPr>
          <w:pgSz w:w="11900" w:h="16838" w:orient="portrait"/>
          <w:cols w:equalWidth="0" w:num="3">
            <w:col w:w="540" w:space="180"/>
            <w:col w:w="3360" w:space="720"/>
            <w:col w:w="5419"/>
          </w:cols>
          <w:pgMar w:left="240" w:top="643" w:right="1440" w:bottom="1440" w:gutter="0" w:footer="0" w:header="0"/>
          <w:type w:val="continuous"/>
        </w:sectPr>
      </w:pPr>
    </w:p>
    <w:p>
      <w:pPr>
        <w:spacing w:after="0" w:line="154"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19"/>
          </w:cols>
          <w:pgMar w:left="240" w:top="643" w:right="1440" w:bottom="1440" w:gutter="0" w:footer="0" w:header="0"/>
          <w:type w:val="continuous"/>
        </w:sectPr>
      </w:pPr>
    </w:p>
    <w:bookmarkStart w:id="4" w:name="page5"/>
    <w:bookmarkEnd w:id="4"/>
    <w:p>
      <w:pPr>
        <w:ind w:left="2380"/>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80" w:type="dxa"/>
            <w:vAlign w:val="bottom"/>
          </w:tcPr>
          <w:p>
            <w:pPr>
              <w:ind w:left="920"/>
              <w:spacing w:after="0"/>
              <w:rPr>
                <w:sz w:val="20"/>
                <w:szCs w:val="20"/>
                <w:color w:val="auto"/>
              </w:rPr>
            </w:pPr>
            <w:r>
              <w:rPr>
                <w:rFonts w:ascii="Courier New" w:cs="Courier New" w:eastAsia="Courier New" w:hAnsi="Courier New"/>
                <w:sz w:val="15"/>
                <w:szCs w:val="15"/>
                <w:color w:val="auto"/>
              </w:rPr>
              <w:t>INDEX TO UNAUDITED PRO FORMA FINANCIAL INFORMATION</w:t>
            </w:r>
          </w:p>
        </w:tc>
        <w:tc>
          <w:tcPr>
            <w:tcW w:w="680" w:type="dxa"/>
            <w:vAlign w:val="bottom"/>
          </w:tcPr>
          <w:p>
            <w:pPr>
              <w:spacing w:after="0"/>
              <w:rPr>
                <w:sz w:val="14"/>
                <w:szCs w:val="14"/>
                <w:color w:val="auto"/>
              </w:rPr>
            </w:pPr>
          </w:p>
        </w:tc>
      </w:tr>
      <w:tr>
        <w:trPr>
          <w:trHeight w:val="524"/>
        </w:trPr>
        <w:tc>
          <w:tcPr>
            <w:tcW w:w="5680" w:type="dxa"/>
            <w:vAlign w:val="bottom"/>
          </w:tcPr>
          <w:p>
            <w:pPr>
              <w:spacing w:after="0"/>
              <w:rPr>
                <w:sz w:val="20"/>
                <w:szCs w:val="20"/>
                <w:color w:val="auto"/>
              </w:rPr>
            </w:pPr>
            <w:r>
              <w:rPr>
                <w:rFonts w:ascii="Courier New" w:cs="Courier New" w:eastAsia="Courier New" w:hAnsi="Courier New"/>
                <w:sz w:val="15"/>
                <w:szCs w:val="15"/>
                <w:color w:val="auto"/>
              </w:rPr>
              <w:t>Unaudited Pro Forma Financial Information</w:t>
            </w:r>
          </w:p>
        </w:tc>
        <w:tc>
          <w:tcPr>
            <w:tcW w:w="680" w:type="dxa"/>
            <w:vAlign w:val="bottom"/>
          </w:tcPr>
          <w:p>
            <w:pPr>
              <w:ind w:left="240"/>
              <w:spacing w:after="0"/>
              <w:rPr>
                <w:sz w:val="20"/>
                <w:szCs w:val="20"/>
                <w:color w:val="auto"/>
              </w:rPr>
            </w:pPr>
            <w:r>
              <w:rPr>
                <w:rFonts w:ascii="Courier New" w:cs="Courier New" w:eastAsia="Courier New" w:hAnsi="Courier New"/>
                <w:sz w:val="15"/>
                <w:szCs w:val="15"/>
                <w:color w:val="auto"/>
                <w:w w:val="93"/>
              </w:rPr>
              <w:t>F - 1</w:t>
            </w:r>
          </w:p>
        </w:tc>
      </w:tr>
      <w:tr>
        <w:trPr>
          <w:trHeight w:val="350"/>
        </w:trPr>
        <w:tc>
          <w:tcPr>
            <w:tcW w:w="5680" w:type="dxa"/>
            <w:vAlign w:val="bottom"/>
          </w:tcPr>
          <w:p>
            <w:pPr>
              <w:spacing w:after="0"/>
              <w:rPr>
                <w:sz w:val="20"/>
                <w:szCs w:val="20"/>
                <w:color w:val="auto"/>
              </w:rPr>
            </w:pPr>
            <w:r>
              <w:rPr>
                <w:rFonts w:ascii="Courier New" w:cs="Courier New" w:eastAsia="Courier New" w:hAnsi="Courier New"/>
                <w:sz w:val="15"/>
                <w:szCs w:val="15"/>
                <w:color w:val="auto"/>
              </w:rPr>
              <w:t>Unaudited Pro Forma Condensed Consolidated</w:t>
            </w:r>
          </w:p>
        </w:tc>
        <w:tc>
          <w:tcPr>
            <w:tcW w:w="680" w:type="dxa"/>
            <w:vAlign w:val="bottom"/>
          </w:tcPr>
          <w:p>
            <w:pPr>
              <w:spacing w:after="0"/>
              <w:rPr>
                <w:sz w:val="24"/>
                <w:szCs w:val="24"/>
                <w:color w:val="auto"/>
              </w:rPr>
            </w:pP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Balance Sheet as of June 30, 1996</w:t>
            </w:r>
          </w:p>
        </w:tc>
        <w:tc>
          <w:tcPr>
            <w:tcW w:w="680" w:type="dxa"/>
            <w:vAlign w:val="bottom"/>
          </w:tcPr>
          <w:p>
            <w:pPr>
              <w:ind w:left="240"/>
              <w:spacing w:after="0"/>
              <w:rPr>
                <w:sz w:val="20"/>
                <w:szCs w:val="20"/>
                <w:color w:val="auto"/>
              </w:rPr>
            </w:pPr>
            <w:r>
              <w:rPr>
                <w:rFonts w:ascii="Courier New" w:cs="Courier New" w:eastAsia="Courier New" w:hAnsi="Courier New"/>
                <w:sz w:val="15"/>
                <w:szCs w:val="15"/>
                <w:color w:val="auto"/>
                <w:w w:val="93"/>
              </w:rPr>
              <w:t>F - 2</w:t>
            </w:r>
          </w:p>
        </w:tc>
      </w:tr>
      <w:tr>
        <w:trPr>
          <w:trHeight w:val="350"/>
        </w:trPr>
        <w:tc>
          <w:tcPr>
            <w:tcW w:w="5680" w:type="dxa"/>
            <w:vAlign w:val="bottom"/>
          </w:tcPr>
          <w:p>
            <w:pPr>
              <w:spacing w:after="0"/>
              <w:rPr>
                <w:sz w:val="20"/>
                <w:szCs w:val="20"/>
                <w:color w:val="auto"/>
              </w:rPr>
            </w:pPr>
            <w:r>
              <w:rPr>
                <w:rFonts w:ascii="Courier New" w:cs="Courier New" w:eastAsia="Courier New" w:hAnsi="Courier New"/>
                <w:sz w:val="15"/>
                <w:szCs w:val="15"/>
                <w:color w:val="auto"/>
              </w:rPr>
              <w:t>Unaudited Pro Forma Condensed Consolidated Statement</w:t>
            </w:r>
          </w:p>
        </w:tc>
        <w:tc>
          <w:tcPr>
            <w:tcW w:w="680" w:type="dxa"/>
            <w:vAlign w:val="bottom"/>
          </w:tcPr>
          <w:p>
            <w:pPr>
              <w:spacing w:after="0"/>
              <w:rPr>
                <w:sz w:val="24"/>
                <w:szCs w:val="24"/>
                <w:color w:val="auto"/>
              </w:rPr>
            </w:pP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of Operations for the Six Months Ended June 30, 1996</w:t>
            </w:r>
          </w:p>
        </w:tc>
        <w:tc>
          <w:tcPr>
            <w:tcW w:w="680" w:type="dxa"/>
            <w:vAlign w:val="bottom"/>
          </w:tcPr>
          <w:p>
            <w:pPr>
              <w:ind w:left="240"/>
              <w:spacing w:after="0"/>
              <w:rPr>
                <w:sz w:val="20"/>
                <w:szCs w:val="20"/>
                <w:color w:val="auto"/>
              </w:rPr>
            </w:pPr>
            <w:r>
              <w:rPr>
                <w:rFonts w:ascii="Courier New" w:cs="Courier New" w:eastAsia="Courier New" w:hAnsi="Courier New"/>
                <w:sz w:val="15"/>
                <w:szCs w:val="15"/>
                <w:color w:val="auto"/>
                <w:w w:val="93"/>
              </w:rPr>
              <w:t>F - 3</w:t>
            </w:r>
          </w:p>
        </w:tc>
      </w:tr>
      <w:tr>
        <w:trPr>
          <w:trHeight w:val="350"/>
        </w:trPr>
        <w:tc>
          <w:tcPr>
            <w:tcW w:w="5680" w:type="dxa"/>
            <w:vAlign w:val="bottom"/>
          </w:tcPr>
          <w:p>
            <w:pPr>
              <w:spacing w:after="0"/>
              <w:rPr>
                <w:sz w:val="20"/>
                <w:szCs w:val="20"/>
                <w:color w:val="auto"/>
              </w:rPr>
            </w:pPr>
            <w:r>
              <w:rPr>
                <w:rFonts w:ascii="Courier New" w:cs="Courier New" w:eastAsia="Courier New" w:hAnsi="Courier New"/>
                <w:sz w:val="15"/>
                <w:szCs w:val="15"/>
                <w:color w:val="auto"/>
              </w:rPr>
              <w:t>Unaudited Pro Forma Condensed Consolidated Statement</w:t>
            </w:r>
          </w:p>
        </w:tc>
        <w:tc>
          <w:tcPr>
            <w:tcW w:w="680" w:type="dxa"/>
            <w:vAlign w:val="bottom"/>
          </w:tcPr>
          <w:p>
            <w:pPr>
              <w:spacing w:after="0"/>
              <w:rPr>
                <w:sz w:val="24"/>
                <w:szCs w:val="24"/>
                <w:color w:val="auto"/>
              </w:rPr>
            </w:pP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of Operations for the Year Ended December 31, 1995</w:t>
            </w:r>
          </w:p>
        </w:tc>
        <w:tc>
          <w:tcPr>
            <w:tcW w:w="680" w:type="dxa"/>
            <w:vAlign w:val="bottom"/>
          </w:tcPr>
          <w:p>
            <w:pPr>
              <w:ind w:left="240"/>
              <w:spacing w:after="0"/>
              <w:rPr>
                <w:sz w:val="20"/>
                <w:szCs w:val="20"/>
                <w:color w:val="auto"/>
              </w:rPr>
            </w:pPr>
            <w:r>
              <w:rPr>
                <w:rFonts w:ascii="Courier New" w:cs="Courier New" w:eastAsia="Courier New" w:hAnsi="Courier New"/>
                <w:sz w:val="15"/>
                <w:szCs w:val="15"/>
                <w:color w:val="auto"/>
                <w:w w:val="93"/>
              </w:rPr>
              <w:t>F - 4</w:t>
            </w:r>
          </w:p>
        </w:tc>
      </w:tr>
      <w:tr>
        <w:trPr>
          <w:trHeight w:val="350"/>
        </w:trPr>
        <w:tc>
          <w:tcPr>
            <w:tcW w:w="5680" w:type="dxa"/>
            <w:vAlign w:val="bottom"/>
          </w:tcPr>
          <w:p>
            <w:pPr>
              <w:spacing w:after="0"/>
              <w:rPr>
                <w:sz w:val="20"/>
                <w:szCs w:val="20"/>
                <w:color w:val="auto"/>
              </w:rPr>
            </w:pPr>
            <w:r>
              <w:rPr>
                <w:rFonts w:ascii="Courier New" w:cs="Courier New" w:eastAsia="Courier New" w:hAnsi="Courier New"/>
                <w:sz w:val="15"/>
                <w:szCs w:val="15"/>
                <w:color w:val="auto"/>
              </w:rPr>
              <w:t>Notes to Unaudited Pro Forma Condensed Consolidated</w:t>
            </w:r>
          </w:p>
        </w:tc>
        <w:tc>
          <w:tcPr>
            <w:tcW w:w="680" w:type="dxa"/>
            <w:vAlign w:val="bottom"/>
          </w:tcPr>
          <w:p>
            <w:pPr>
              <w:spacing w:after="0"/>
              <w:rPr>
                <w:sz w:val="24"/>
                <w:szCs w:val="24"/>
                <w:color w:val="auto"/>
              </w:rPr>
            </w:pP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Financial Statements</w:t>
            </w:r>
          </w:p>
        </w:tc>
        <w:tc>
          <w:tcPr>
            <w:tcW w:w="680" w:type="dxa"/>
            <w:vAlign w:val="bottom"/>
          </w:tcPr>
          <w:p>
            <w:pPr>
              <w:ind w:left="240"/>
              <w:spacing w:after="0"/>
              <w:rPr>
                <w:sz w:val="20"/>
                <w:szCs w:val="20"/>
                <w:color w:val="auto"/>
              </w:rPr>
            </w:pPr>
            <w:r>
              <w:rPr>
                <w:rFonts w:ascii="Courier New" w:cs="Courier New" w:eastAsia="Courier New" w:hAnsi="Courier New"/>
                <w:sz w:val="15"/>
                <w:szCs w:val="15"/>
                <w:color w:val="auto"/>
                <w:w w:val="93"/>
              </w:rPr>
              <w:t>F - 5</w:t>
            </w:r>
          </w:p>
        </w:tc>
      </w:tr>
    </w:tbl>
    <w:p>
      <w:pPr>
        <w:sectPr>
          <w:pgSz w:w="11900" w:h="16838" w:orient="portrait"/>
          <w:cols w:equalWidth="0" w:num="1">
            <w:col w:w="9779"/>
          </w:cols>
          <w:pgMar w:left="680" w:top="643" w:right="1440" w:bottom="1440" w:gutter="0" w:footer="0" w:header="0"/>
        </w:sectPr>
      </w:pPr>
    </w:p>
    <w:bookmarkStart w:id="5" w:name="page6"/>
    <w:bookmarkEnd w:id="5"/>
    <w:p>
      <w:pPr>
        <w:jc w:val="center"/>
        <w:ind w:right="2879"/>
        <w:spacing w:after="0"/>
        <w:rPr>
          <w:sz w:val="20"/>
          <w:szCs w:val="20"/>
          <w:color w:val="auto"/>
        </w:rPr>
      </w:pPr>
      <w:r>
        <w:rPr>
          <w:rFonts w:ascii="Courier New" w:cs="Courier New" w:eastAsia="Courier New" w:hAnsi="Courier New"/>
          <w:sz w:val="15"/>
          <w:szCs w:val="15"/>
          <w:color w:val="auto"/>
        </w:rPr>
        <w:t>UNAUDITED PRO FORMA</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FINANCIAL INFORMATION</w:t>
      </w:r>
    </w:p>
    <w:p>
      <w:pPr>
        <w:spacing w:after="0" w:line="354"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In February 1995, the Company and Tele-Communications, Inc. ("TCI") acquired all of the outstanding stock of QVC, Inc. ("QVC") not previously owned by them (the "QVC Acquisition") for approximately $1.4 billion in cash. In October 1995, the Company announced its agreement to acquire the cable television operations ("Scripps Cable") of The E.W. Scripps Company ("E.W. Scripps") in exchange for shares of the Company's Class A Special Common Stock worth $1.575 billion, subject to certain closing adjustments (the "Scripps Transaction"). For a further description of the QVC Acquisition, the Scripps Transaction and certain related transactions, see the notes to unaudited pro forma condensed consolidated financial statements.</w:t>
      </w:r>
    </w:p>
    <w:p>
      <w:pPr>
        <w:spacing w:after="0" w:line="181"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following unaudited pro forma condensed consolidated financial statements reflect the consolidated financial position of the Company and Scripps Cable as of June 30, 1996, their consolidated operations for the six months ended June 30, 1996 and their, along with QVC's, consolidated operations for the year ended December 31, 1995. See the notes to unaudited pro forma condensed consolidated financial statements for a description of the assumptions used in preparing these unaudited pro forma condensed consolidated financial statements.</w:t>
      </w:r>
    </w:p>
    <w:p>
      <w:pPr>
        <w:spacing w:after="0" w:line="179"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Although the Company believes consummation of the Scripps Transaction is probable, no assurances can be given that it will occur at all or occur in the manner assumed in the accompanying unaudited pro forma condensed consolidated financial statements.</w:t>
      </w:r>
    </w:p>
    <w:p>
      <w:pPr>
        <w:spacing w:after="0" w:line="177" w:lineRule="exact"/>
        <w:rPr>
          <w:sz w:val="20"/>
          <w:szCs w:val="20"/>
          <w:color w:val="auto"/>
        </w:rPr>
      </w:pPr>
    </w:p>
    <w:p>
      <w:pPr>
        <w:ind w:right="3679"/>
        <w:spacing w:after="0" w:line="246" w:lineRule="auto"/>
        <w:rPr>
          <w:sz w:val="20"/>
          <w:szCs w:val="20"/>
          <w:color w:val="auto"/>
        </w:rPr>
      </w:pPr>
      <w:r>
        <w:rPr>
          <w:rFonts w:ascii="Courier New" w:cs="Courier New" w:eastAsia="Courier New" w:hAnsi="Courier New"/>
          <w:sz w:val="15"/>
          <w:szCs w:val="15"/>
          <w:color w:val="auto"/>
        </w:rPr>
        <w:t>The unaudited pro forma condensed consolidated balance sheet assumes the Scripps Transaction occurred on June 30, 1996. The unaudited pro forma condensed consolidated statements of operations for the six months ended June 30, 1996 and for the year ended December 31, 1995 assume the QVC Acquisition and the Scripps Transaction occurred on January 1, 1995.</w:t>
      </w:r>
    </w:p>
    <w:p>
      <w:pPr>
        <w:spacing w:after="0" w:line="200" w:lineRule="exact"/>
        <w:rPr>
          <w:sz w:val="20"/>
          <w:szCs w:val="20"/>
          <w:color w:val="auto"/>
        </w:rPr>
      </w:pPr>
    </w:p>
    <w:p>
      <w:pPr>
        <w:spacing w:after="0" w:line="327"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unaudited pro forma condensed consolidated financial statements should be read in conjunction with: 1) the historical consolidated financial statements of the Company included in the Company's Annual Report on Form 10-K for the year ended December 31, 1995; 2) the historical condensed consolidated financial statements included in the Company's Quarterly Report on Form 10-Q for the quarter ended June 30, 1996; 3) the historical combined financial statements of Scripps Cable for the year ended December 31, 1995 incorporated by reference herein; and 4) the historical combined financial statements of Scripps Cable for the six months ended June 30, 1996 incorporated by reference herein.</w:t>
      </w:r>
    </w:p>
    <w:p>
      <w:pPr>
        <w:spacing w:after="0" w:line="181"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results presented in the unaudited pro forma condensed consolidated statements of operations are not necessarily indicative of the results which actually would have occurred had the QVC Acquisition and the Scripps Transaction occurred on the dates indicated or which may result in the future.</w:t>
      </w:r>
    </w:p>
    <w:p>
      <w:pPr>
        <w:spacing w:after="0" w:line="3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19"/>
          </w:cols>
          <w:pgMar w:left="240" w:top="642" w:right="1440" w:bottom="1440" w:gutter="0" w:footer="0" w:header="0"/>
        </w:sectPr>
      </w:pPr>
    </w:p>
    <w:bookmarkStart w:id="6" w:name="page7"/>
    <w:bookmarkEnd w:id="6"/>
    <w:p>
      <w:pPr>
        <w:jc w:val="center"/>
        <w:ind w:right="4080"/>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0"/>
          <w:szCs w:val="20"/>
          <w:color w:val="auto"/>
        </w:rPr>
      </w:pPr>
    </w:p>
    <w:p>
      <w:pPr>
        <w:jc w:val="center"/>
        <w:ind w:right="4180"/>
        <w:spacing w:after="0"/>
        <w:rPr>
          <w:sz w:val="20"/>
          <w:szCs w:val="20"/>
          <w:color w:val="auto"/>
        </w:rPr>
      </w:pPr>
      <w:r>
        <w:rPr>
          <w:rFonts w:ascii="Courier New" w:cs="Courier New" w:eastAsia="Courier New" w:hAnsi="Courier New"/>
          <w:sz w:val="15"/>
          <w:szCs w:val="15"/>
          <w:color w:val="auto"/>
        </w:rPr>
        <w:t>UNAUDITED PRO FORMA CONDENSED CONSOLIDATED BALANCE SHEET</w:t>
      </w:r>
    </w:p>
    <w:p>
      <w:pPr>
        <w:spacing w:after="0" w:line="5" w:lineRule="exact"/>
        <w:rPr>
          <w:sz w:val="20"/>
          <w:szCs w:val="20"/>
          <w:color w:val="auto"/>
        </w:rPr>
      </w:pPr>
    </w:p>
    <w:p>
      <w:pPr>
        <w:jc w:val="center"/>
        <w:ind w:right="4080"/>
        <w:spacing w:after="0"/>
        <w:rPr>
          <w:sz w:val="20"/>
          <w:szCs w:val="20"/>
          <w:color w:val="auto"/>
        </w:rPr>
      </w:pPr>
      <w:r>
        <w:rPr>
          <w:rFonts w:ascii="Courier New" w:cs="Courier New" w:eastAsia="Courier New" w:hAnsi="Courier New"/>
          <w:sz w:val="15"/>
          <w:szCs w:val="15"/>
          <w:color w:val="auto"/>
        </w:rPr>
        <w:t>JUNE 30, 1996</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0" w:type="dxa"/>
            <w:vAlign w:val="bottom"/>
          </w:tcPr>
          <w:p>
            <w:pPr>
              <w:ind w:left="2620"/>
              <w:spacing w:after="0"/>
              <w:rPr>
                <w:sz w:val="20"/>
                <w:szCs w:val="20"/>
                <w:color w:val="auto"/>
              </w:rPr>
            </w:pPr>
            <w:r>
              <w:rPr>
                <w:rFonts w:ascii="Courier New" w:cs="Courier New" w:eastAsia="Courier New" w:hAnsi="Courier New"/>
                <w:sz w:val="15"/>
                <w:szCs w:val="15"/>
                <w:color w:val="auto"/>
              </w:rPr>
              <w:t>(DOLLARS IN THOUSANDS)</w:t>
            </w:r>
          </w:p>
        </w:tc>
        <w:tc>
          <w:tcPr>
            <w:tcW w:w="1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699"/>
        </w:trPr>
        <w:tc>
          <w:tcPr>
            <w:tcW w:w="4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(D)</w:t>
            </w: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5"/>
        </w:trPr>
        <w:tc>
          <w:tcPr>
            <w:tcW w:w="4800" w:type="dxa"/>
            <w:vAlign w:val="bottom"/>
          </w:tcPr>
          <w:p>
            <w:pPr>
              <w:spacing w:after="0"/>
              <w:rPr>
                <w:sz w:val="15"/>
                <w:szCs w:val="15"/>
                <w:color w:val="auto"/>
              </w:rPr>
            </w:pPr>
          </w:p>
        </w:tc>
        <w:tc>
          <w:tcPr>
            <w:tcW w:w="1380" w:type="dxa"/>
            <w:vAlign w:val="bottom"/>
          </w:tcPr>
          <w:p>
            <w:pPr>
              <w:ind w:left="200"/>
              <w:spacing w:after="0"/>
              <w:rPr>
                <w:sz w:val="20"/>
                <w:szCs w:val="20"/>
                <w:color w:val="auto"/>
              </w:rPr>
            </w:pPr>
            <w:r>
              <w:rPr>
                <w:rFonts w:ascii="Courier New" w:cs="Courier New" w:eastAsia="Courier New" w:hAnsi="Courier New"/>
                <w:sz w:val="15"/>
                <w:szCs w:val="15"/>
                <w:color w:val="auto"/>
              </w:rPr>
              <w:t>The Company</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Scripps Cable</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Pro Forma</w:t>
            </w:r>
          </w:p>
        </w:tc>
        <w:tc>
          <w:tcPr>
            <w:tcW w:w="1240" w:type="dxa"/>
            <w:vAlign w:val="bottom"/>
          </w:tcPr>
          <w:p>
            <w:pPr>
              <w:spacing w:after="0"/>
              <w:rPr>
                <w:sz w:val="15"/>
                <w:szCs w:val="15"/>
                <w:color w:val="auto"/>
              </w:rPr>
            </w:pPr>
          </w:p>
        </w:tc>
        <w:tc>
          <w:tcPr>
            <w:tcW w:w="1440" w:type="dxa"/>
            <w:vAlign w:val="bottom"/>
          </w:tcPr>
          <w:p>
            <w:pPr>
              <w:jc w:val="center"/>
              <w:ind w:left="364"/>
              <w:spacing w:after="0"/>
              <w:rPr>
                <w:sz w:val="20"/>
                <w:szCs w:val="20"/>
                <w:color w:val="auto"/>
              </w:rPr>
            </w:pPr>
            <w:r>
              <w:rPr>
                <w:rFonts w:ascii="Courier New" w:cs="Courier New" w:eastAsia="Courier New" w:hAnsi="Courier New"/>
                <w:sz w:val="15"/>
                <w:szCs w:val="15"/>
                <w:color w:val="auto"/>
              </w:rPr>
              <w:t>The Company</w:t>
            </w:r>
          </w:p>
        </w:tc>
      </w:tr>
      <w:tr>
        <w:trPr>
          <w:trHeight w:val="175"/>
        </w:trPr>
        <w:tc>
          <w:tcPr>
            <w:tcW w:w="4800" w:type="dxa"/>
            <w:vAlign w:val="bottom"/>
          </w:tcPr>
          <w:p>
            <w:pPr>
              <w:spacing w:after="0"/>
              <w:rPr>
                <w:sz w:val="15"/>
                <w:szCs w:val="15"/>
                <w:color w:val="auto"/>
              </w:rPr>
            </w:pPr>
          </w:p>
        </w:tc>
        <w:tc>
          <w:tcPr>
            <w:tcW w:w="1380" w:type="dxa"/>
            <w:vAlign w:val="bottom"/>
          </w:tcPr>
          <w:p>
            <w:pPr>
              <w:ind w:left="200"/>
              <w:spacing w:after="0"/>
              <w:rPr>
                <w:sz w:val="20"/>
                <w:szCs w:val="20"/>
                <w:color w:val="auto"/>
              </w:rPr>
            </w:pPr>
            <w:r>
              <w:rPr>
                <w:rFonts w:ascii="Courier New" w:cs="Courier New" w:eastAsia="Courier New" w:hAnsi="Courier New"/>
                <w:sz w:val="15"/>
                <w:szCs w:val="15"/>
                <w:color w:val="auto"/>
              </w:rPr>
              <w:t>Historical</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Historical</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Adjustments</w:t>
            </w:r>
          </w:p>
        </w:tc>
        <w:tc>
          <w:tcPr>
            <w:tcW w:w="1240" w:type="dxa"/>
            <w:vAlign w:val="bottom"/>
          </w:tcPr>
          <w:p>
            <w:pPr>
              <w:spacing w:after="0"/>
              <w:rPr>
                <w:sz w:val="15"/>
                <w:szCs w:val="15"/>
                <w:color w:val="auto"/>
              </w:rPr>
            </w:pPr>
          </w:p>
        </w:tc>
        <w:tc>
          <w:tcPr>
            <w:tcW w:w="1440" w:type="dxa"/>
            <w:vAlign w:val="bottom"/>
          </w:tcPr>
          <w:p>
            <w:pPr>
              <w:jc w:val="center"/>
              <w:ind w:left="384"/>
              <w:spacing w:after="0"/>
              <w:rPr>
                <w:sz w:val="20"/>
                <w:szCs w:val="20"/>
                <w:color w:val="auto"/>
              </w:rPr>
            </w:pPr>
            <w:r>
              <w:rPr>
                <w:rFonts w:ascii="Courier New" w:cs="Courier New" w:eastAsia="Courier New" w:hAnsi="Courier New"/>
                <w:sz w:val="15"/>
                <w:szCs w:val="15"/>
                <w:color w:val="auto"/>
              </w:rPr>
              <w:t>Pro Forma</w:t>
            </w:r>
          </w:p>
        </w:tc>
      </w:tr>
      <w:tr>
        <w:trPr>
          <w:trHeight w:val="175"/>
        </w:trPr>
        <w:tc>
          <w:tcPr>
            <w:tcW w:w="4800" w:type="dxa"/>
            <w:vAlign w:val="bottom"/>
          </w:tcPr>
          <w:p>
            <w:pPr>
              <w:spacing w:after="0"/>
              <w:rPr>
                <w:sz w:val="15"/>
                <w:szCs w:val="15"/>
                <w:color w:val="auto"/>
              </w:rPr>
            </w:pPr>
          </w:p>
        </w:tc>
        <w:tc>
          <w:tcPr>
            <w:tcW w:w="138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1440" w:type="dxa"/>
            <w:vAlign w:val="bottom"/>
          </w:tcPr>
          <w:p>
            <w:pPr>
              <w:jc w:val="center"/>
              <w:ind w:left="364"/>
              <w:spacing w:after="0"/>
              <w:rPr>
                <w:sz w:val="20"/>
                <w:szCs w:val="20"/>
                <w:color w:val="auto"/>
              </w:rPr>
            </w:pPr>
            <w:r>
              <w:rPr>
                <w:rFonts w:ascii="Courier New" w:cs="Courier New" w:eastAsia="Courier New" w:hAnsi="Courier New"/>
                <w:sz w:val="15"/>
                <w:szCs w:val="15"/>
                <w:color w:val="auto"/>
              </w:rPr>
              <w:t>-----------</w:t>
            </w:r>
          </w:p>
        </w:tc>
      </w:tr>
      <w:tr>
        <w:trPr>
          <w:trHeight w:val="350"/>
        </w:trPr>
        <w:tc>
          <w:tcPr>
            <w:tcW w:w="48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50"/>
        </w:trPr>
        <w:tc>
          <w:tcPr>
            <w:tcW w:w="48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5"/>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Cash, cash equivalents and</w:t>
            </w:r>
          </w:p>
        </w:tc>
        <w:tc>
          <w:tcPr>
            <w:tcW w:w="1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4800" w:type="dxa"/>
            <w:vAlign w:val="bottom"/>
          </w:tcPr>
          <w:p>
            <w:pPr>
              <w:ind w:left="360"/>
              <w:spacing w:after="0"/>
              <w:rPr>
                <w:sz w:val="20"/>
                <w:szCs w:val="20"/>
                <w:color w:val="auto"/>
              </w:rPr>
            </w:pPr>
            <w:r>
              <w:rPr>
                <w:rFonts w:ascii="Courier New" w:cs="Courier New" w:eastAsia="Courier New" w:hAnsi="Courier New"/>
                <w:sz w:val="15"/>
                <w:szCs w:val="15"/>
                <w:color w:val="auto"/>
              </w:rPr>
              <w:t>short-term investments</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$541,590</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$1,782</w:t>
            </w:r>
          </w:p>
        </w:tc>
        <w:tc>
          <w:tcPr>
            <w:tcW w:w="11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$543,372</w:t>
            </w:r>
          </w:p>
        </w:tc>
      </w:tr>
      <w:tr>
        <w:trPr>
          <w:trHeight w:val="175"/>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net</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340,006</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10,598</w:t>
            </w: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350,604</w:t>
            </w:r>
          </w:p>
        </w:tc>
      </w:tr>
      <w:tr>
        <w:trPr>
          <w:trHeight w:val="175"/>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Inventories, net</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243,120</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10,898</w:t>
            </w: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254,018</w:t>
            </w:r>
          </w:p>
        </w:tc>
      </w:tr>
      <w:tr>
        <w:trPr>
          <w:trHeight w:val="175"/>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Prepaid charges and other</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54,441</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6,066</w:t>
            </w: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60,507</w:t>
            </w:r>
          </w:p>
        </w:tc>
      </w:tr>
      <w:tr>
        <w:trPr>
          <w:trHeight w:val="175"/>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Deferred income taxes</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63,912</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5,421</w:t>
            </w: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69,333</w:t>
            </w:r>
          </w:p>
        </w:tc>
      </w:tr>
      <w:tr>
        <w:trPr>
          <w:trHeight w:val="175"/>
        </w:trPr>
        <w:tc>
          <w:tcPr>
            <w:tcW w:w="480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00" w:type="dxa"/>
            <w:vAlign w:val="bottom"/>
          </w:tcPr>
          <w:p>
            <w:pPr>
              <w:ind w:left="360"/>
              <w:spacing w:after="0"/>
              <w:rPr>
                <w:sz w:val="20"/>
                <w:szCs w:val="20"/>
                <w:color w:val="auto"/>
              </w:rPr>
            </w:pPr>
            <w:r>
              <w:rPr>
                <w:rFonts w:ascii="Courier New" w:cs="Courier New" w:eastAsia="Courier New" w:hAnsi="Courier New"/>
                <w:sz w:val="15"/>
                <w:szCs w:val="15"/>
                <w:color w:val="auto"/>
              </w:rPr>
              <w:t>Total current assets</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1,243,069</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34,765</w:t>
            </w: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1,277,834</w:t>
            </w:r>
          </w:p>
        </w:tc>
      </w:tr>
      <w:tr>
        <w:trPr>
          <w:trHeight w:val="350"/>
        </w:trPr>
        <w:tc>
          <w:tcPr>
            <w:tcW w:w="4800" w:type="dxa"/>
            <w:vAlign w:val="bottom"/>
          </w:tcPr>
          <w:p>
            <w:pPr>
              <w:spacing w:after="0"/>
              <w:rPr>
                <w:sz w:val="20"/>
                <w:szCs w:val="20"/>
                <w:color w:val="auto"/>
              </w:rPr>
            </w:pPr>
            <w:r>
              <w:rPr>
                <w:rFonts w:ascii="Courier New" w:cs="Courier New" w:eastAsia="Courier New" w:hAnsi="Courier New"/>
                <w:sz w:val="15"/>
                <w:szCs w:val="15"/>
                <w:color w:val="auto"/>
              </w:rPr>
              <w:t>Investments, principally in affiliates</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1,135,104</w:t>
            </w: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1,135,104</w:t>
            </w:r>
          </w:p>
        </w:tc>
      </w:tr>
      <w:tr>
        <w:trPr>
          <w:trHeight w:val="350"/>
        </w:trPr>
        <w:tc>
          <w:tcPr>
            <w:tcW w:w="480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1,957,586</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314,363</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317,852</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(E.1.)</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2,589,801</w:t>
            </w:r>
          </w:p>
        </w:tc>
      </w:tr>
      <w:tr>
        <w:trPr>
          <w:trHeight w:val="350"/>
        </w:trPr>
        <w:tc>
          <w:tcPr>
            <w:tcW w:w="4800" w:type="dxa"/>
            <w:vAlign w:val="bottom"/>
          </w:tcPr>
          <w:p>
            <w:pPr>
              <w:spacing w:after="0"/>
              <w:rPr>
                <w:sz w:val="20"/>
                <w:szCs w:val="20"/>
                <w:color w:val="auto"/>
              </w:rPr>
            </w:pPr>
            <w:r>
              <w:rPr>
                <w:rFonts w:ascii="Courier New" w:cs="Courier New" w:eastAsia="Courier New" w:hAnsi="Courier New"/>
                <w:sz w:val="15"/>
                <w:szCs w:val="15"/>
                <w:color w:val="auto"/>
              </w:rPr>
              <w:t>Deferred Charges, net</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5,287,814</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139,575</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1,430,966</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(E.2.,6.)</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6,858,355</w:t>
            </w:r>
          </w:p>
        </w:tc>
      </w:tr>
      <w:tr>
        <w:trPr>
          <w:trHeight w:val="175"/>
        </w:trPr>
        <w:tc>
          <w:tcPr>
            <w:tcW w:w="480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0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$9,623,573</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$488,703</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$1,748,818</w:t>
            </w: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$11,861,094</w:t>
            </w:r>
          </w:p>
        </w:tc>
      </w:tr>
      <w:tr>
        <w:trPr>
          <w:trHeight w:val="175"/>
        </w:trPr>
        <w:tc>
          <w:tcPr>
            <w:tcW w:w="480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0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8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w:t>
            </w:r>
          </w:p>
        </w:tc>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5"/>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(DEFICIENCY) EQUITY</w:t>
            </w:r>
          </w:p>
        </w:tc>
        <w:tc>
          <w:tcPr>
            <w:tcW w:w="1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50"/>
        </w:trPr>
        <w:tc>
          <w:tcPr>
            <w:tcW w:w="48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5"/>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 and accrued expenses</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$895,682</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$33,695</w:t>
            </w:r>
          </w:p>
        </w:tc>
        <w:tc>
          <w:tcPr>
            <w:tcW w:w="2380" w:type="dxa"/>
            <w:vAlign w:val="bottom"/>
            <w:gridSpan w:val="2"/>
          </w:tcPr>
          <w:p>
            <w:pPr>
              <w:jc w:val="right"/>
              <w:ind w:right="664"/>
              <w:spacing w:after="0"/>
              <w:rPr>
                <w:sz w:val="20"/>
                <w:szCs w:val="20"/>
                <w:color w:val="auto"/>
              </w:rPr>
            </w:pPr>
            <w:r>
              <w:rPr>
                <w:rFonts w:ascii="Courier New" w:cs="Courier New" w:eastAsia="Courier New" w:hAnsi="Courier New"/>
                <w:sz w:val="15"/>
                <w:szCs w:val="15"/>
                <w:color w:val="auto"/>
              </w:rPr>
              <w:t>($3,865) (E.3.)</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$925,512</w:t>
            </w:r>
          </w:p>
        </w:tc>
      </w:tr>
      <w:tr>
        <w:trPr>
          <w:trHeight w:val="175"/>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Current portion of long-term debt</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143,379</w:t>
            </w: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143,379</w:t>
            </w:r>
          </w:p>
        </w:tc>
      </w:tr>
      <w:tr>
        <w:trPr>
          <w:trHeight w:val="175"/>
        </w:trPr>
        <w:tc>
          <w:tcPr>
            <w:tcW w:w="480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00" w:type="dxa"/>
            <w:vAlign w:val="bottom"/>
          </w:tcPr>
          <w:p>
            <w:pPr>
              <w:ind w:left="360"/>
              <w:spacing w:after="0"/>
              <w:rPr>
                <w:sz w:val="20"/>
                <w:szCs w:val="20"/>
                <w:color w:val="auto"/>
              </w:rPr>
            </w:pPr>
            <w:r>
              <w:rPr>
                <w:rFonts w:ascii="Courier New" w:cs="Courier New" w:eastAsia="Courier New" w:hAnsi="Courier New"/>
                <w:sz w:val="15"/>
                <w:szCs w:val="15"/>
                <w:color w:val="auto"/>
              </w:rPr>
              <w:t>Total current liabilities</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1,039,061</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33,695</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(3,865)</w:t>
            </w: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1,068,891</w:t>
            </w:r>
          </w:p>
        </w:tc>
      </w:tr>
      <w:tr>
        <w:trPr>
          <w:trHeight w:val="350"/>
        </w:trPr>
        <w:tc>
          <w:tcPr>
            <w:tcW w:w="4800" w:type="dxa"/>
            <w:vAlign w:val="bottom"/>
          </w:tcPr>
          <w:p>
            <w:pPr>
              <w:spacing w:after="0"/>
              <w:rPr>
                <w:sz w:val="20"/>
                <w:szCs w:val="20"/>
                <w:color w:val="auto"/>
              </w:rPr>
            </w:pPr>
            <w:r>
              <w:rPr>
                <w:rFonts w:ascii="Courier New" w:cs="Courier New" w:eastAsia="Courier New" w:hAnsi="Courier New"/>
                <w:sz w:val="15"/>
                <w:szCs w:val="15"/>
                <w:color w:val="auto"/>
              </w:rPr>
              <w:t>Long-term Debt, less current portion</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7,120,289</w:t>
            </w: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7,120,289</w:t>
            </w:r>
          </w:p>
        </w:tc>
      </w:tr>
      <w:tr>
        <w:trPr>
          <w:trHeight w:val="350"/>
        </w:trPr>
        <w:tc>
          <w:tcPr>
            <w:tcW w:w="4800" w:type="dxa"/>
            <w:vAlign w:val="bottom"/>
          </w:tcPr>
          <w:p>
            <w:pPr>
              <w:spacing w:after="0"/>
              <w:rPr>
                <w:sz w:val="20"/>
                <w:szCs w:val="20"/>
                <w:color w:val="auto"/>
              </w:rPr>
            </w:pPr>
            <w:r>
              <w:rPr>
                <w:rFonts w:ascii="Courier New" w:cs="Courier New" w:eastAsia="Courier New" w:hAnsi="Courier New"/>
                <w:sz w:val="15"/>
                <w:szCs w:val="15"/>
                <w:color w:val="auto"/>
              </w:rPr>
              <w:t>Due to Affiliates</w:t>
            </w:r>
          </w:p>
        </w:tc>
        <w:tc>
          <w:tcPr>
            <w:tcW w:w="1380" w:type="dxa"/>
            <w:vAlign w:val="bottom"/>
          </w:tcPr>
          <w:p>
            <w:pPr>
              <w:spacing w:after="0"/>
              <w:rPr>
                <w:sz w:val="24"/>
                <w:szCs w:val="24"/>
                <w:color w:val="auto"/>
              </w:rPr>
            </w:pP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347,509</w:t>
            </w:r>
          </w:p>
        </w:tc>
        <w:tc>
          <w:tcPr>
            <w:tcW w:w="23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(347,509) (E.3.)</w:t>
            </w:r>
          </w:p>
        </w:tc>
        <w:tc>
          <w:tcPr>
            <w:tcW w:w="1440" w:type="dxa"/>
            <w:vAlign w:val="bottom"/>
          </w:tcPr>
          <w:p>
            <w:pPr>
              <w:spacing w:after="0"/>
              <w:rPr>
                <w:sz w:val="24"/>
                <w:szCs w:val="24"/>
                <w:color w:val="auto"/>
              </w:rPr>
            </w:pPr>
          </w:p>
        </w:tc>
      </w:tr>
      <w:tr>
        <w:trPr>
          <w:trHeight w:val="350"/>
        </w:trPr>
        <w:tc>
          <w:tcPr>
            <w:tcW w:w="480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1,515,538</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101,911</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513,712</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(E.6.)</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2,131,161</w:t>
            </w:r>
          </w:p>
        </w:tc>
      </w:tr>
      <w:tr>
        <w:trPr>
          <w:trHeight w:val="350"/>
        </w:trPr>
        <w:tc>
          <w:tcPr>
            <w:tcW w:w="4800" w:type="dxa"/>
            <w:vAlign w:val="bottom"/>
          </w:tcPr>
          <w:p>
            <w:pPr>
              <w:spacing w:after="0"/>
              <w:rPr>
                <w:sz w:val="20"/>
                <w:szCs w:val="20"/>
                <w:color w:val="auto"/>
              </w:rPr>
            </w:pPr>
            <w:r>
              <w:rPr>
                <w:rFonts w:ascii="Courier New" w:cs="Courier New" w:eastAsia="Courier New" w:hAnsi="Courier New"/>
                <w:sz w:val="15"/>
                <w:szCs w:val="15"/>
                <w:color w:val="auto"/>
              </w:rPr>
              <w:t>Minority Interest and Other</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903,962</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8,750</w:t>
            </w:r>
          </w:p>
        </w:tc>
        <w:tc>
          <w:tcPr>
            <w:tcW w:w="23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(8,750) (E.3.)</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903,962</w:t>
            </w:r>
          </w:p>
        </w:tc>
      </w:tr>
      <w:tr>
        <w:trPr>
          <w:trHeight w:val="524"/>
        </w:trPr>
        <w:tc>
          <w:tcPr>
            <w:tcW w:w="4800" w:type="dxa"/>
            <w:vAlign w:val="bottom"/>
          </w:tcPr>
          <w:p>
            <w:pPr>
              <w:spacing w:after="0"/>
              <w:rPr>
                <w:sz w:val="20"/>
                <w:szCs w:val="20"/>
                <w:color w:val="auto"/>
              </w:rPr>
            </w:pPr>
            <w:r>
              <w:rPr>
                <w:rFonts w:ascii="Courier New" w:cs="Courier New" w:eastAsia="Courier New" w:hAnsi="Courier New"/>
                <w:sz w:val="15"/>
                <w:szCs w:val="15"/>
                <w:color w:val="auto"/>
              </w:rPr>
              <w:t>Stockholders' (Deficiency) Equity</w:t>
            </w:r>
          </w:p>
        </w:tc>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5"/>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Common stock</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233,375</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1,801</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91,500</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(E.4.,5.)</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326,676</w:t>
            </w:r>
          </w:p>
        </w:tc>
      </w:tr>
      <w:tr>
        <w:trPr>
          <w:trHeight w:val="175"/>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Additional capital</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818,046</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35,144</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1,463,623</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(E.4.,5.)</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2,316,813</w:t>
            </w:r>
          </w:p>
        </w:tc>
      </w:tr>
      <w:tr>
        <w:trPr>
          <w:trHeight w:val="175"/>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Accumulated deficit</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(2,030,633)</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(40,107)</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40,107</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(E.5.)</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(2,030,633)</w:t>
            </w:r>
          </w:p>
        </w:tc>
      </w:tr>
      <w:tr>
        <w:trPr>
          <w:trHeight w:val="175"/>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Unrealized gains on marketable securities</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42,080</w:t>
            </w: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42,080</w:t>
            </w:r>
          </w:p>
        </w:tc>
      </w:tr>
      <w:tr>
        <w:trPr>
          <w:trHeight w:val="175"/>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Cumulative translation adjustments</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(18,145)</w:t>
            </w: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(18,145)</w:t>
            </w:r>
          </w:p>
        </w:tc>
      </w:tr>
      <w:tr>
        <w:trPr>
          <w:trHeight w:val="175"/>
        </w:trPr>
        <w:tc>
          <w:tcPr>
            <w:tcW w:w="480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800" w:type="dxa"/>
            <w:vAlign w:val="bottom"/>
          </w:tcPr>
          <w:p>
            <w:pPr>
              <w:ind w:left="360"/>
              <w:spacing w:after="0"/>
              <w:rPr>
                <w:sz w:val="20"/>
                <w:szCs w:val="20"/>
                <w:color w:val="auto"/>
              </w:rPr>
            </w:pPr>
            <w:r>
              <w:rPr>
                <w:rFonts w:ascii="Courier New" w:cs="Courier New" w:eastAsia="Courier New" w:hAnsi="Courier New"/>
                <w:sz w:val="15"/>
                <w:szCs w:val="15"/>
                <w:color w:val="auto"/>
              </w:rPr>
              <w:t>Total stockholders' (deficiency) equity</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(955,277)</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(3,162)</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1,595,230</w:t>
            </w:r>
          </w:p>
        </w:tc>
        <w:tc>
          <w:tcPr>
            <w:tcW w:w="1240" w:type="dxa"/>
            <w:vAlign w:val="bottom"/>
          </w:tcPr>
          <w:p>
            <w:pPr>
              <w:spacing w:after="0"/>
              <w:rPr>
                <w:sz w:val="24"/>
                <w:szCs w:val="24"/>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636,791</w:t>
            </w:r>
          </w:p>
        </w:tc>
      </w:tr>
      <w:tr>
        <w:trPr>
          <w:trHeight w:val="175"/>
        </w:trPr>
        <w:tc>
          <w:tcPr>
            <w:tcW w:w="480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0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$9,623,573</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$488,703</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$1,748,818</w:t>
            </w: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$11,861,094</w:t>
            </w:r>
          </w:p>
        </w:tc>
      </w:tr>
      <w:tr>
        <w:trPr>
          <w:trHeight w:val="175"/>
        </w:trPr>
        <w:tc>
          <w:tcPr>
            <w:tcW w:w="480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0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consolidated financial statements.</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1440"/>
          </w:cols>
          <w:pgMar w:left="240" w:top="642" w:right="219" w:bottom="1440" w:gutter="0" w:footer="0" w:header="0"/>
        </w:sectPr>
      </w:pPr>
    </w:p>
    <w:bookmarkStart w:id="7" w:name="page8"/>
    <w:bookmarkEnd w:id="7"/>
    <w:p>
      <w:pPr>
        <w:jc w:val="center"/>
        <w:ind w:right="4160"/>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0"/>
          <w:szCs w:val="20"/>
          <w:color w:val="auto"/>
        </w:rPr>
      </w:pPr>
    </w:p>
    <w:p>
      <w:pPr>
        <w:jc w:val="center"/>
        <w:ind w:right="4260"/>
        <w:spacing w:after="0"/>
        <w:rPr>
          <w:sz w:val="20"/>
          <w:szCs w:val="20"/>
          <w:color w:val="auto"/>
        </w:rPr>
      </w:pPr>
      <w:r>
        <w:rPr>
          <w:rFonts w:ascii="Courier New" w:cs="Courier New" w:eastAsia="Courier New" w:hAnsi="Courier New"/>
          <w:sz w:val="15"/>
          <w:szCs w:val="15"/>
          <w:color w:val="auto"/>
        </w:rPr>
        <w:t>UNAUDITED PRO FORMA CONDENSED CONSOLIDATED STATEMENT OF OPERATIONS</w:t>
      </w:r>
    </w:p>
    <w:p>
      <w:pPr>
        <w:spacing w:after="0" w:line="5" w:lineRule="exact"/>
        <w:rPr>
          <w:sz w:val="20"/>
          <w:szCs w:val="20"/>
          <w:color w:val="auto"/>
        </w:rPr>
      </w:pPr>
    </w:p>
    <w:p>
      <w:pPr>
        <w:jc w:val="center"/>
        <w:ind w:right="4260"/>
        <w:spacing w:after="0"/>
        <w:rPr>
          <w:sz w:val="20"/>
          <w:szCs w:val="20"/>
          <w:color w:val="auto"/>
        </w:rPr>
      </w:pPr>
      <w:r>
        <w:rPr>
          <w:rFonts w:ascii="Courier New" w:cs="Courier New" w:eastAsia="Courier New" w:hAnsi="Courier New"/>
          <w:sz w:val="15"/>
          <w:szCs w:val="15"/>
          <w:color w:val="auto"/>
        </w:rPr>
        <w:t>SIX MONTHS ENDED JUNE 30, 1996</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(AMOUNTS IN THOUSANDS, EXCEPT PER SHARE DATA)</w:t>
            </w: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699"/>
        </w:trPr>
        <w:tc>
          <w:tcPr>
            <w:tcW w:w="4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(D)</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50"/>
        </w:trPr>
        <w:tc>
          <w:tcPr>
            <w:tcW w:w="4620" w:type="dxa"/>
            <w:vAlign w:val="bottom"/>
          </w:tcPr>
          <w:p>
            <w:pPr>
              <w:spacing w:after="0"/>
              <w:rPr>
                <w:sz w:val="24"/>
                <w:szCs w:val="24"/>
                <w:color w:val="auto"/>
              </w:rPr>
            </w:pPr>
          </w:p>
        </w:tc>
        <w:tc>
          <w:tcPr>
            <w:tcW w:w="1560" w:type="dxa"/>
            <w:vAlign w:val="bottom"/>
          </w:tcPr>
          <w:p>
            <w:pPr>
              <w:ind w:left="380"/>
              <w:spacing w:after="0"/>
              <w:rPr>
                <w:sz w:val="20"/>
                <w:szCs w:val="20"/>
                <w:color w:val="auto"/>
              </w:rPr>
            </w:pPr>
            <w:r>
              <w:rPr>
                <w:rFonts w:ascii="Courier New" w:cs="Courier New" w:eastAsia="Courier New" w:hAnsi="Courier New"/>
                <w:sz w:val="15"/>
                <w:szCs w:val="15"/>
                <w:color w:val="auto"/>
              </w:rPr>
              <w:t>The Company</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Scripps Cable</w:t>
            </w:r>
          </w:p>
        </w:tc>
        <w:tc>
          <w:tcPr>
            <w:tcW w:w="1180" w:type="dxa"/>
            <w:vAlign w:val="bottom"/>
          </w:tcPr>
          <w:p>
            <w:pPr>
              <w:jc w:val="center"/>
              <w:ind w:left="124"/>
              <w:spacing w:after="0"/>
              <w:rPr>
                <w:sz w:val="20"/>
                <w:szCs w:val="20"/>
                <w:color w:val="auto"/>
              </w:rPr>
            </w:pPr>
            <w:r>
              <w:rPr>
                <w:rFonts w:ascii="Courier New" w:cs="Courier New" w:eastAsia="Courier New" w:hAnsi="Courier New"/>
                <w:sz w:val="15"/>
                <w:szCs w:val="15"/>
                <w:color w:val="auto"/>
              </w:rPr>
              <w:t>Pro Forma</w:t>
            </w:r>
          </w:p>
        </w:tc>
        <w:tc>
          <w:tcPr>
            <w:tcW w:w="1100" w:type="dxa"/>
            <w:vAlign w:val="bottom"/>
          </w:tcPr>
          <w:p>
            <w:pPr>
              <w:spacing w:after="0"/>
              <w:rPr>
                <w:sz w:val="24"/>
                <w:szCs w:val="24"/>
                <w:color w:val="auto"/>
              </w:rPr>
            </w:pPr>
          </w:p>
        </w:tc>
        <w:tc>
          <w:tcPr>
            <w:tcW w:w="1620" w:type="dxa"/>
            <w:vAlign w:val="bottom"/>
          </w:tcPr>
          <w:p>
            <w:pPr>
              <w:jc w:val="center"/>
              <w:ind w:left="384"/>
              <w:spacing w:after="0"/>
              <w:rPr>
                <w:sz w:val="20"/>
                <w:szCs w:val="20"/>
                <w:color w:val="auto"/>
              </w:rPr>
            </w:pPr>
            <w:r>
              <w:rPr>
                <w:rFonts w:ascii="Courier New" w:cs="Courier New" w:eastAsia="Courier New" w:hAnsi="Courier New"/>
                <w:sz w:val="15"/>
                <w:szCs w:val="15"/>
                <w:color w:val="auto"/>
              </w:rPr>
              <w:t>The Company</w:t>
            </w:r>
          </w:p>
        </w:tc>
      </w:tr>
      <w:tr>
        <w:trPr>
          <w:trHeight w:val="175"/>
        </w:trPr>
        <w:tc>
          <w:tcPr>
            <w:tcW w:w="4620" w:type="dxa"/>
            <w:vAlign w:val="bottom"/>
          </w:tcPr>
          <w:p>
            <w:pPr>
              <w:spacing w:after="0"/>
              <w:rPr>
                <w:sz w:val="15"/>
                <w:szCs w:val="15"/>
                <w:color w:val="auto"/>
              </w:rPr>
            </w:pPr>
          </w:p>
        </w:tc>
        <w:tc>
          <w:tcPr>
            <w:tcW w:w="1560" w:type="dxa"/>
            <w:vAlign w:val="bottom"/>
          </w:tcPr>
          <w:p>
            <w:pPr>
              <w:ind w:left="380"/>
              <w:spacing w:after="0"/>
              <w:rPr>
                <w:sz w:val="20"/>
                <w:szCs w:val="20"/>
                <w:color w:val="auto"/>
              </w:rPr>
            </w:pPr>
            <w:r>
              <w:rPr>
                <w:rFonts w:ascii="Courier New" w:cs="Courier New" w:eastAsia="Courier New" w:hAnsi="Courier New"/>
                <w:sz w:val="15"/>
                <w:szCs w:val="15"/>
                <w:color w:val="auto"/>
              </w:rPr>
              <w:t>Historical</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Historical</w:t>
            </w:r>
          </w:p>
        </w:tc>
        <w:tc>
          <w:tcPr>
            <w:tcW w:w="118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Adjustments</w:t>
            </w:r>
          </w:p>
        </w:tc>
        <w:tc>
          <w:tcPr>
            <w:tcW w:w="1100" w:type="dxa"/>
            <w:vAlign w:val="bottom"/>
          </w:tcPr>
          <w:p>
            <w:pPr>
              <w:spacing w:after="0"/>
              <w:rPr>
                <w:sz w:val="15"/>
                <w:szCs w:val="15"/>
                <w:color w:val="auto"/>
              </w:rPr>
            </w:pPr>
          </w:p>
        </w:tc>
        <w:tc>
          <w:tcPr>
            <w:tcW w:w="1620" w:type="dxa"/>
            <w:vAlign w:val="bottom"/>
          </w:tcPr>
          <w:p>
            <w:pPr>
              <w:jc w:val="center"/>
              <w:ind w:left="404"/>
              <w:spacing w:after="0"/>
              <w:rPr>
                <w:sz w:val="20"/>
                <w:szCs w:val="20"/>
                <w:color w:val="auto"/>
              </w:rPr>
            </w:pPr>
            <w:r>
              <w:rPr>
                <w:rFonts w:ascii="Courier New" w:cs="Courier New" w:eastAsia="Courier New" w:hAnsi="Courier New"/>
                <w:sz w:val="15"/>
                <w:szCs w:val="15"/>
                <w:color w:val="auto"/>
              </w:rPr>
              <w:t>Pro Forma</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center"/>
              <w:ind w:right="82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center"/>
              <w:ind w:left="384"/>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Revenues, net</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$1,896,306</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$153,432</w:t>
            </w:r>
          </w:p>
        </w:tc>
        <w:tc>
          <w:tcPr>
            <w:tcW w:w="22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($463) (E.7.)</w:t>
            </w: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$2,049,275</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w:t>
            </w: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Administrative Expenses and Cost of Goods Sold</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1,330,109</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88,333</w:t>
            </w:r>
          </w:p>
        </w:tc>
        <w:tc>
          <w:tcPr>
            <w:tcW w:w="22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(463) (E.7.)</w:t>
            </w: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1,417,979</w:t>
            </w: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324,272</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27,923</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68,007</w:t>
            </w: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(E.8.)</w:t>
            </w: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420,202</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1,654,381</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116,256</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67,544</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1,838,181</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241,925</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37,176</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(68,007)</w:t>
            </w:r>
          </w:p>
        </w:tc>
        <w:tc>
          <w:tcPr>
            <w:tcW w:w="1100" w:type="dxa"/>
            <w:vAlign w:val="bottom"/>
          </w:tcPr>
          <w:p>
            <w:pPr>
              <w:spacing w:after="0"/>
              <w:rPr>
                <w:sz w:val="24"/>
                <w:szCs w:val="24"/>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211,094</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Investment (Income) Expense</w:t>
            </w: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Interest expense</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267,993</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17,406</w:t>
            </w:r>
          </w:p>
        </w:tc>
        <w:tc>
          <w:tcPr>
            <w:tcW w:w="22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(17,379) (E.9.)</w:t>
            </w: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268,020</w:t>
            </w: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Investment income</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(47,491)</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(47,491)</w:t>
            </w: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Equity in net losses of affiliates</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60,321</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60,321</w:t>
            </w: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Gain from equity offering of affiliate</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(40,638)</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(40,638)</w:t>
            </w: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Other</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22,966</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51</w:t>
            </w: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23,017</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263,151</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17,457</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(17,379)</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263,229</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(Loss) Income Before Income Tax Expense</w:t>
            </w: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and Minority Interest</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(21,226)</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19,719</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(50,628)</w:t>
            </w:r>
          </w:p>
        </w:tc>
        <w:tc>
          <w:tcPr>
            <w:tcW w:w="1100" w:type="dxa"/>
            <w:vAlign w:val="bottom"/>
          </w:tcPr>
          <w:p>
            <w:pPr>
              <w:spacing w:after="0"/>
              <w:rPr>
                <w:sz w:val="15"/>
                <w:szCs w:val="15"/>
                <w:color w:val="auto"/>
              </w:rPr>
            </w:pPr>
          </w:p>
        </w:tc>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(52,135)</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24,612</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7,925</w:t>
            </w:r>
          </w:p>
        </w:tc>
        <w:tc>
          <w:tcPr>
            <w:tcW w:w="22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(15,681) (E.10.)</w:t>
            </w: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16,856</w:t>
            </w: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(29,094)</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(29,094)</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(Loss) Income from Continuing Operations</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($16,744)</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$11,794</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($34,947)</w:t>
            </w:r>
          </w:p>
        </w:tc>
        <w:tc>
          <w:tcPr>
            <w:tcW w:w="1100" w:type="dxa"/>
            <w:vAlign w:val="bottom"/>
          </w:tcPr>
          <w:p>
            <w:pPr>
              <w:spacing w:after="0"/>
              <w:rPr>
                <w:sz w:val="24"/>
                <w:szCs w:val="24"/>
                <w:color w:val="auto"/>
              </w:rPr>
            </w:pPr>
          </w:p>
        </w:tc>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($39,897)</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Loss from Continuing Operations Per Share</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($0.07)</w:t>
            </w: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($0.12)</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Weighted Average Number of the Company's</w:t>
            </w:r>
          </w:p>
        </w:tc>
        <w:tc>
          <w:tcPr>
            <w:tcW w:w="15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Common Shares Outstanding During the Period</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237,624</w:t>
            </w:r>
          </w:p>
        </w:tc>
        <w:tc>
          <w:tcPr>
            <w:tcW w:w="144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93,301</w:t>
            </w: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(E.11.)</w:t>
            </w: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330,925</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consolidated financial statements.</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1520"/>
          </w:cols>
          <w:pgMar w:left="240" w:top="642" w:right="139" w:bottom="1440" w:gutter="0" w:footer="0" w:header="0"/>
        </w:sectPr>
      </w:pPr>
    </w:p>
    <w:bookmarkStart w:id="8" w:name="page9"/>
    <w:bookmarkEnd w:id="8"/>
    <w:p>
      <w:pPr>
        <w:jc w:val="center"/>
        <w:ind w:right="4180"/>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0"/>
          <w:szCs w:val="20"/>
          <w:color w:val="auto"/>
        </w:rPr>
      </w:pPr>
    </w:p>
    <w:p>
      <w:pPr>
        <w:jc w:val="center"/>
        <w:ind w:right="4260"/>
        <w:spacing w:after="0"/>
        <w:rPr>
          <w:sz w:val="20"/>
          <w:szCs w:val="20"/>
          <w:color w:val="auto"/>
        </w:rPr>
      </w:pPr>
      <w:r>
        <w:rPr>
          <w:rFonts w:ascii="Courier New" w:cs="Courier New" w:eastAsia="Courier New" w:hAnsi="Courier New"/>
          <w:sz w:val="15"/>
          <w:szCs w:val="15"/>
          <w:color w:val="auto"/>
        </w:rPr>
        <w:t>UNAUDITED PRO FORMA CONDENSED CONSOLIDATED STATEMENT OF OPERATIONS</w:t>
      </w:r>
    </w:p>
    <w:p>
      <w:pPr>
        <w:spacing w:after="0" w:line="5" w:lineRule="exact"/>
        <w:rPr>
          <w:sz w:val="20"/>
          <w:szCs w:val="20"/>
          <w:color w:val="auto"/>
        </w:rPr>
      </w:pPr>
    </w:p>
    <w:p>
      <w:pPr>
        <w:jc w:val="center"/>
        <w:ind w:right="4260"/>
        <w:spacing w:after="0"/>
        <w:rPr>
          <w:sz w:val="20"/>
          <w:szCs w:val="20"/>
          <w:color w:val="auto"/>
        </w:rPr>
      </w:pPr>
      <w:r>
        <w:rPr>
          <w:rFonts w:ascii="Courier New" w:cs="Courier New" w:eastAsia="Courier New" w:hAnsi="Courier New"/>
          <w:sz w:val="15"/>
          <w:szCs w:val="15"/>
          <w:color w:val="auto"/>
        </w:rPr>
        <w:t>YEAR ENDED DECEMBER 31, 1995</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(AMOUNTS IN THOUSANDS, EXCEPT PER SHARE DATA)</w:t>
            </w: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699"/>
        </w:trPr>
        <w:tc>
          <w:tcPr>
            <w:tcW w:w="4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40" w:type="dxa"/>
            <w:vAlign w:val="bottom"/>
          </w:tcPr>
          <w:p>
            <w:pPr>
              <w:jc w:val="center"/>
              <w:ind w:left="4"/>
              <w:spacing w:after="0"/>
              <w:rPr>
                <w:sz w:val="20"/>
                <w:szCs w:val="20"/>
                <w:color w:val="auto"/>
              </w:rPr>
            </w:pPr>
            <w:r>
              <w:rPr>
                <w:rFonts w:ascii="Courier New" w:cs="Courier New" w:eastAsia="Courier New" w:hAnsi="Courier New"/>
                <w:sz w:val="15"/>
                <w:szCs w:val="15"/>
                <w:color w:val="auto"/>
              </w:rPr>
              <w:t>(A)</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QVC</w:t>
            </w: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center"/>
              <w:ind w:left="124"/>
              <w:spacing w:after="0"/>
              <w:rPr>
                <w:sz w:val="20"/>
                <w:szCs w:val="20"/>
                <w:color w:val="auto"/>
              </w:rPr>
            </w:pPr>
            <w:r>
              <w:rPr>
                <w:rFonts w:ascii="Courier New" w:cs="Courier New" w:eastAsia="Courier New" w:hAnsi="Courier New"/>
                <w:sz w:val="15"/>
                <w:szCs w:val="15"/>
                <w:color w:val="auto"/>
              </w:rPr>
              <w:t>The Company</w:t>
            </w:r>
          </w:p>
        </w:tc>
        <w:tc>
          <w:tcPr>
            <w:tcW w:w="1440" w:type="dxa"/>
            <w:vAlign w:val="bottom"/>
          </w:tcPr>
          <w:p>
            <w:pPr>
              <w:jc w:val="center"/>
              <w:ind w:left="4"/>
              <w:spacing w:after="0"/>
              <w:rPr>
                <w:sz w:val="20"/>
                <w:szCs w:val="20"/>
                <w:color w:val="auto"/>
              </w:rPr>
            </w:pPr>
            <w:r>
              <w:rPr>
                <w:rFonts w:ascii="Courier New" w:cs="Courier New" w:eastAsia="Courier New" w:hAnsi="Courier New"/>
                <w:sz w:val="15"/>
                <w:szCs w:val="15"/>
                <w:color w:val="auto"/>
              </w:rPr>
              <w:t>QVC</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Pro Forma</w:t>
            </w: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Historical</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Historical</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Adjustments</w:t>
            </w: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center"/>
              <w:ind w:left="12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524"/>
        </w:trPr>
        <w:tc>
          <w:tcPr>
            <w:tcW w:w="4620" w:type="dxa"/>
            <w:vAlign w:val="bottom"/>
          </w:tcPr>
          <w:p>
            <w:pPr>
              <w:spacing w:after="0"/>
              <w:rPr>
                <w:sz w:val="20"/>
                <w:szCs w:val="20"/>
                <w:color w:val="auto"/>
              </w:rPr>
            </w:pPr>
            <w:r>
              <w:rPr>
                <w:rFonts w:ascii="Courier New" w:cs="Courier New" w:eastAsia="Courier New" w:hAnsi="Courier New"/>
                <w:sz w:val="15"/>
                <w:szCs w:val="15"/>
                <w:color w:val="auto"/>
              </w:rPr>
              <w:t>Revenues, net</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$3,362,946</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$131,469</w:t>
            </w:r>
          </w:p>
        </w:tc>
        <w:tc>
          <w:tcPr>
            <w:tcW w:w="23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($1,095) (B.1.)</w:t>
            </w:r>
          </w:p>
        </w:tc>
        <w:tc>
          <w:tcPr>
            <w:tcW w:w="1520" w:type="dxa"/>
            <w:vAlign w:val="bottom"/>
          </w:tcPr>
          <w:p>
            <w:pPr>
              <w:spacing w:after="0"/>
              <w:rPr>
                <w:sz w:val="24"/>
                <w:szCs w:val="24"/>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w:t>
            </w: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Administrative Expenses and Cost of Goods Sold</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2,344,103</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108,044</w:t>
            </w:r>
          </w:p>
        </w:tc>
        <w:tc>
          <w:tcPr>
            <w:tcW w:w="23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(469) (B.1.)</w:t>
            </w:r>
          </w:p>
        </w:tc>
        <w:tc>
          <w:tcPr>
            <w:tcW w:w="1520" w:type="dxa"/>
            <w:vAlign w:val="bottom"/>
          </w:tcPr>
          <w:p>
            <w:pPr>
              <w:spacing w:after="0"/>
              <w:rPr>
                <w:sz w:val="15"/>
                <w:szCs w:val="15"/>
                <w:color w:val="auto"/>
              </w:rPr>
            </w:pP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689,052</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5,001</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4,781</w:t>
            </w: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(B.1.,2.)</w:t>
            </w:r>
          </w:p>
        </w:tc>
        <w:tc>
          <w:tcPr>
            <w:tcW w:w="15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3,033,155</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113,045</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4,312</w:t>
            </w: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329,791</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18,424</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(5,407)</w:t>
            </w: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Investment (Income) Expense</w:t>
            </w: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Interest expense</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524,727</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125</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12,256</w:t>
            </w: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(B.3.)</w:t>
            </w:r>
          </w:p>
        </w:tc>
        <w:tc>
          <w:tcPr>
            <w:tcW w:w="1520" w:type="dxa"/>
            <w:vAlign w:val="bottom"/>
          </w:tcPr>
          <w:p>
            <w:pPr>
              <w:spacing w:after="0"/>
              <w:rPr>
                <w:sz w:val="15"/>
                <w:szCs w:val="15"/>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Investment income</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(229,848)</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(1,634)</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348</w:t>
            </w: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(B.4.)</w:t>
            </w:r>
          </w:p>
        </w:tc>
        <w:tc>
          <w:tcPr>
            <w:tcW w:w="1520" w:type="dxa"/>
            <w:vAlign w:val="bottom"/>
          </w:tcPr>
          <w:p>
            <w:pPr>
              <w:spacing w:after="0"/>
              <w:rPr>
                <w:sz w:val="15"/>
                <w:szCs w:val="15"/>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Equity in net losses of affiliates</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86,618</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2,285</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5,480</w:t>
            </w: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(B.5.)</w:t>
            </w:r>
          </w:p>
        </w:tc>
        <w:tc>
          <w:tcPr>
            <w:tcW w:w="1520" w:type="dxa"/>
            <w:vAlign w:val="bottom"/>
          </w:tcPr>
          <w:p>
            <w:pPr>
              <w:spacing w:after="0"/>
              <w:rPr>
                <w:sz w:val="15"/>
                <w:szCs w:val="15"/>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Other</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(6,296)</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375,201</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776</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18,084</w:t>
            </w: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(Loss) Income Before Income Tax Expense</w:t>
            </w: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and Minority Interest</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(45,410)</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17,648</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(23,491)</w:t>
            </w: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42,171</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8,055</w:t>
            </w:r>
          </w:p>
        </w:tc>
        <w:tc>
          <w:tcPr>
            <w:tcW w:w="23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(8,134) (B.6.)</w:t>
            </w:r>
          </w:p>
        </w:tc>
        <w:tc>
          <w:tcPr>
            <w:tcW w:w="1520" w:type="dxa"/>
            <w:vAlign w:val="bottom"/>
          </w:tcPr>
          <w:p>
            <w:pPr>
              <w:spacing w:after="0"/>
              <w:rPr>
                <w:sz w:val="24"/>
                <w:szCs w:val="24"/>
                <w:color w:val="auto"/>
              </w:rPr>
            </w:pP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(49,732)</w:t>
            </w:r>
          </w:p>
        </w:tc>
        <w:tc>
          <w:tcPr>
            <w:tcW w:w="1440" w:type="dxa"/>
            <w:vAlign w:val="bottom"/>
          </w:tcPr>
          <w:p>
            <w:pPr>
              <w:spacing w:after="0"/>
              <w:rPr>
                <w:sz w:val="15"/>
                <w:szCs w:val="15"/>
                <w:color w:val="auto"/>
              </w:rPr>
            </w:pPr>
          </w:p>
        </w:tc>
        <w:tc>
          <w:tcPr>
            <w:tcW w:w="23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(802) (B.7.)</w:t>
            </w:r>
          </w:p>
        </w:tc>
        <w:tc>
          <w:tcPr>
            <w:tcW w:w="15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(Loss) Income from Continuing Operations</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($37,849)</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$9,593</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($14,555)</w:t>
            </w: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Loss from Continuing Operations Per Share</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($0.16)</w:t>
            </w: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Weighted Average Number of the Company's</w:t>
            </w: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Common Shares Outstanding During the Period</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239,679</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699"/>
        </w:trPr>
        <w:tc>
          <w:tcPr>
            <w:tcW w:w="4620" w:type="dxa"/>
            <w:vAlign w:val="bottom"/>
          </w:tcPr>
          <w:p>
            <w:pPr>
              <w:spacing w:after="0"/>
              <w:rPr>
                <w:sz w:val="24"/>
                <w:szCs w:val="24"/>
                <w:color w:val="auto"/>
              </w:rPr>
            </w:pPr>
          </w:p>
        </w:tc>
        <w:tc>
          <w:tcPr>
            <w:tcW w:w="1560" w:type="dxa"/>
            <w:vAlign w:val="bottom"/>
          </w:tcPr>
          <w:p>
            <w:pPr>
              <w:jc w:val="center"/>
              <w:ind w:left="124"/>
              <w:spacing w:after="0"/>
              <w:rPr>
                <w:sz w:val="20"/>
                <w:szCs w:val="20"/>
                <w:color w:val="auto"/>
              </w:rPr>
            </w:pPr>
            <w:r>
              <w:rPr>
                <w:rFonts w:ascii="Courier New" w:cs="Courier New" w:eastAsia="Courier New" w:hAnsi="Courier New"/>
                <w:sz w:val="15"/>
                <w:szCs w:val="15"/>
                <w:color w:val="auto"/>
              </w:rPr>
              <w:t>The Company</w:t>
            </w:r>
          </w:p>
        </w:tc>
        <w:tc>
          <w:tcPr>
            <w:tcW w:w="1440" w:type="dxa"/>
            <w:vAlign w:val="bottom"/>
          </w:tcPr>
          <w:p>
            <w:pPr>
              <w:jc w:val="center"/>
              <w:ind w:left="4"/>
              <w:spacing w:after="0"/>
              <w:rPr>
                <w:sz w:val="20"/>
                <w:szCs w:val="20"/>
                <w:color w:val="auto"/>
              </w:rPr>
            </w:pPr>
            <w:r>
              <w:rPr>
                <w:rFonts w:ascii="Courier New" w:cs="Courier New" w:eastAsia="Courier New" w:hAnsi="Courier New"/>
                <w:sz w:val="15"/>
                <w:szCs w:val="15"/>
                <w:color w:val="auto"/>
              </w:rPr>
              <w:t>(D)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jc w:val="center"/>
              <w:ind w:left="284"/>
              <w:spacing w:after="0"/>
              <w:rPr>
                <w:sz w:val="20"/>
                <w:szCs w:val="20"/>
                <w:color w:val="auto"/>
              </w:rPr>
            </w:pPr>
            <w:r>
              <w:rPr>
                <w:rFonts w:ascii="Courier New" w:cs="Courier New" w:eastAsia="Courier New" w:hAnsi="Courier New"/>
                <w:sz w:val="15"/>
                <w:szCs w:val="15"/>
                <w:color w:val="auto"/>
              </w:rPr>
              <w:t>The Company</w:t>
            </w:r>
          </w:p>
        </w:tc>
      </w:tr>
      <w:tr>
        <w:trPr>
          <w:trHeight w:val="175"/>
        </w:trPr>
        <w:tc>
          <w:tcPr>
            <w:tcW w:w="4620" w:type="dxa"/>
            <w:vAlign w:val="bottom"/>
          </w:tcPr>
          <w:p>
            <w:pPr>
              <w:spacing w:after="0"/>
              <w:rPr>
                <w:sz w:val="15"/>
                <w:szCs w:val="15"/>
                <w:color w:val="auto"/>
              </w:rPr>
            </w:pPr>
          </w:p>
        </w:tc>
        <w:tc>
          <w:tcPr>
            <w:tcW w:w="156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Pro Forma</w:t>
            </w:r>
          </w:p>
        </w:tc>
        <w:tc>
          <w:tcPr>
            <w:tcW w:w="1440" w:type="dxa"/>
            <w:vAlign w:val="bottom"/>
          </w:tcPr>
          <w:p>
            <w:pPr>
              <w:spacing w:after="0"/>
              <w:rPr>
                <w:sz w:val="15"/>
                <w:szCs w:val="15"/>
                <w:color w:val="auto"/>
              </w:rPr>
            </w:pPr>
          </w:p>
        </w:tc>
        <w:tc>
          <w:tcPr>
            <w:tcW w:w="2380" w:type="dxa"/>
            <w:vAlign w:val="bottom"/>
            <w:gridSpan w:val="2"/>
          </w:tcPr>
          <w:p>
            <w:pPr>
              <w:jc w:val="right"/>
              <w:ind w:right="1024"/>
              <w:spacing w:after="0"/>
              <w:rPr>
                <w:sz w:val="20"/>
                <w:szCs w:val="20"/>
                <w:color w:val="auto"/>
              </w:rPr>
            </w:pPr>
            <w:r>
              <w:rPr>
                <w:rFonts w:ascii="Courier New" w:cs="Courier New" w:eastAsia="Courier New" w:hAnsi="Courier New"/>
                <w:sz w:val="15"/>
                <w:szCs w:val="15"/>
                <w:color w:val="auto"/>
              </w:rPr>
              <w:t>Scripps Cable</w:t>
            </w:r>
          </w:p>
        </w:tc>
        <w:tc>
          <w:tcPr>
            <w:tcW w:w="1520" w:type="dxa"/>
            <w:vAlign w:val="bottom"/>
          </w:tcPr>
          <w:p>
            <w:pPr>
              <w:jc w:val="center"/>
              <w:ind w:left="304"/>
              <w:spacing w:after="0"/>
              <w:rPr>
                <w:sz w:val="20"/>
                <w:szCs w:val="20"/>
                <w:color w:val="auto"/>
              </w:rPr>
            </w:pPr>
            <w:r>
              <w:rPr>
                <w:rFonts w:ascii="Courier New" w:cs="Courier New" w:eastAsia="Courier New" w:hAnsi="Courier New"/>
                <w:sz w:val="15"/>
                <w:szCs w:val="15"/>
                <w:color w:val="auto"/>
              </w:rPr>
              <w:t>Pro Forma</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with</w:t>
            </w:r>
          </w:p>
        </w:tc>
        <w:tc>
          <w:tcPr>
            <w:tcW w:w="1440" w:type="dxa"/>
            <w:vAlign w:val="bottom"/>
          </w:tcPr>
          <w:p>
            <w:pPr>
              <w:jc w:val="center"/>
              <w:ind w:left="24"/>
              <w:spacing w:after="0"/>
              <w:rPr>
                <w:sz w:val="20"/>
                <w:szCs w:val="20"/>
                <w:color w:val="auto"/>
              </w:rPr>
            </w:pPr>
            <w:r>
              <w:rPr>
                <w:rFonts w:ascii="Courier New" w:cs="Courier New" w:eastAsia="Courier New" w:hAnsi="Courier New"/>
                <w:sz w:val="15"/>
                <w:szCs w:val="15"/>
                <w:color w:val="auto"/>
              </w:rPr>
              <w:t>Scripps Cable</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 Forma</w:t>
            </w:r>
          </w:p>
        </w:tc>
        <w:tc>
          <w:tcPr>
            <w:tcW w:w="1200" w:type="dxa"/>
            <w:vAlign w:val="bottom"/>
          </w:tcPr>
          <w:p>
            <w:pPr>
              <w:spacing w:after="0"/>
              <w:rPr>
                <w:sz w:val="15"/>
                <w:szCs w:val="15"/>
                <w:color w:val="auto"/>
              </w:rPr>
            </w:pPr>
          </w:p>
        </w:tc>
        <w:tc>
          <w:tcPr>
            <w:tcW w:w="15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with QVC and</w:t>
            </w:r>
          </w:p>
        </w:tc>
      </w:tr>
      <w:tr>
        <w:trPr>
          <w:trHeight w:val="175"/>
        </w:trPr>
        <w:tc>
          <w:tcPr>
            <w:tcW w:w="4620" w:type="dxa"/>
            <w:vAlign w:val="bottom"/>
          </w:tcPr>
          <w:p>
            <w:pPr>
              <w:spacing w:after="0"/>
              <w:rPr>
                <w:sz w:val="15"/>
                <w:szCs w:val="15"/>
                <w:color w:val="auto"/>
              </w:rPr>
            </w:pPr>
          </w:p>
        </w:tc>
        <w:tc>
          <w:tcPr>
            <w:tcW w:w="1560" w:type="dxa"/>
            <w:vAlign w:val="bottom"/>
          </w:tcPr>
          <w:p>
            <w:pPr>
              <w:jc w:val="center"/>
              <w:ind w:left="104"/>
              <w:spacing w:after="0"/>
              <w:rPr>
                <w:sz w:val="20"/>
                <w:szCs w:val="20"/>
                <w:color w:val="auto"/>
              </w:rPr>
            </w:pPr>
            <w:r>
              <w:rPr>
                <w:rFonts w:ascii="Courier New" w:cs="Courier New" w:eastAsia="Courier New" w:hAnsi="Courier New"/>
                <w:sz w:val="15"/>
                <w:szCs w:val="15"/>
                <w:color w:val="auto"/>
                <w:w w:val="96"/>
              </w:rPr>
              <w:t>QVC</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Historical</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w w:val="98"/>
              </w:rPr>
              <w:t>Adjustments</w:t>
            </w:r>
          </w:p>
        </w:tc>
        <w:tc>
          <w:tcPr>
            <w:tcW w:w="1200" w:type="dxa"/>
            <w:vAlign w:val="bottom"/>
          </w:tcPr>
          <w:p>
            <w:pPr>
              <w:spacing w:after="0"/>
              <w:rPr>
                <w:sz w:val="15"/>
                <w:szCs w:val="15"/>
                <w:color w:val="auto"/>
              </w:rPr>
            </w:pPr>
          </w:p>
        </w:tc>
        <w:tc>
          <w:tcPr>
            <w:tcW w:w="1520" w:type="dxa"/>
            <w:vAlign w:val="bottom"/>
          </w:tcPr>
          <w:p>
            <w:pPr>
              <w:jc w:val="center"/>
              <w:ind w:left="284"/>
              <w:spacing w:after="0"/>
              <w:rPr>
                <w:sz w:val="20"/>
                <w:szCs w:val="20"/>
                <w:color w:val="auto"/>
              </w:rPr>
            </w:pPr>
            <w:r>
              <w:rPr>
                <w:rFonts w:ascii="Courier New" w:cs="Courier New" w:eastAsia="Courier New" w:hAnsi="Courier New"/>
                <w:sz w:val="15"/>
                <w:szCs w:val="15"/>
                <w:color w:val="auto"/>
                <w:w w:val="99"/>
              </w:rPr>
              <w:t>Scripps Cable</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ind w:left="24"/>
              <w:spacing w:after="0"/>
              <w:rPr>
                <w:sz w:val="20"/>
                <w:szCs w:val="20"/>
                <w:color w:val="auto"/>
              </w:rPr>
            </w:pPr>
            <w:r>
              <w:rPr>
                <w:rFonts w:ascii="Courier New" w:cs="Courier New" w:eastAsia="Courier New" w:hAnsi="Courier New"/>
                <w:sz w:val="15"/>
                <w:szCs w:val="15"/>
                <w:color w:val="auto"/>
              </w:rPr>
              <w:t>-------------</w:t>
            </w:r>
          </w:p>
        </w:tc>
        <w:tc>
          <w:tcPr>
            <w:tcW w:w="23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ind w:left="284"/>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Revenues, net</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$3,493,320</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$279,482</w:t>
            </w:r>
          </w:p>
        </w:tc>
        <w:tc>
          <w:tcPr>
            <w:tcW w:w="23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($766) (E.7.)</w:t>
            </w:r>
          </w:p>
        </w:tc>
        <w:tc>
          <w:tcPr>
            <w:tcW w:w="15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$3,772,036</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5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w:t>
            </w: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Administrative Expenses and Cost of Goods Sold</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2,451,678</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162,810</w:t>
            </w:r>
          </w:p>
        </w:tc>
        <w:tc>
          <w:tcPr>
            <w:tcW w:w="23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(766) (E.7.)</w:t>
            </w:r>
          </w:p>
        </w:tc>
        <w:tc>
          <w:tcPr>
            <w:tcW w:w="15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2,613,722</w:t>
            </w: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698,834</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54,099</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136,104</w:t>
            </w: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(E.8.)</w:t>
            </w:r>
          </w:p>
        </w:tc>
        <w:tc>
          <w:tcPr>
            <w:tcW w:w="15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889,037</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5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3,150,512</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216,909</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135,338</w:t>
            </w:r>
          </w:p>
        </w:tc>
        <w:tc>
          <w:tcPr>
            <w:tcW w:w="1200" w:type="dxa"/>
            <w:vAlign w:val="bottom"/>
          </w:tcPr>
          <w:p>
            <w:pPr>
              <w:spacing w:after="0"/>
              <w:rPr>
                <w:sz w:val="15"/>
                <w:szCs w:val="15"/>
                <w:color w:val="auto"/>
              </w:rPr>
            </w:pPr>
          </w:p>
        </w:tc>
        <w:tc>
          <w:tcPr>
            <w:tcW w:w="15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3,502,759</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5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342,808</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62,573</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(136,104)</w:t>
            </w:r>
          </w:p>
        </w:tc>
        <w:tc>
          <w:tcPr>
            <w:tcW w:w="1200" w:type="dxa"/>
            <w:vAlign w:val="bottom"/>
          </w:tcPr>
          <w:p>
            <w:pPr>
              <w:spacing w:after="0"/>
              <w:rPr>
                <w:sz w:val="15"/>
                <w:szCs w:val="15"/>
                <w:color w:val="auto"/>
              </w:rPr>
            </w:pPr>
          </w:p>
        </w:tc>
        <w:tc>
          <w:tcPr>
            <w:tcW w:w="15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269,277</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Investment (Income) Expense</w:t>
            </w: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Interest expense</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537,108</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35,258</w:t>
            </w:r>
          </w:p>
        </w:tc>
        <w:tc>
          <w:tcPr>
            <w:tcW w:w="23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(34,915) (E.9.)</w:t>
            </w:r>
          </w:p>
        </w:tc>
        <w:tc>
          <w:tcPr>
            <w:tcW w:w="15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537,451</w:t>
            </w: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Investment income</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(231,134)</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(231,134)</w:t>
            </w: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Equity in net losses of affiliates</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94,383</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94,383</w:t>
            </w: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Other</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(6,296)</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(2,288)</w:t>
            </w: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(8,584)</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5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394,061</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32,970</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(34,915)</w:t>
            </w:r>
          </w:p>
        </w:tc>
        <w:tc>
          <w:tcPr>
            <w:tcW w:w="1200" w:type="dxa"/>
            <w:vAlign w:val="bottom"/>
          </w:tcPr>
          <w:p>
            <w:pPr>
              <w:spacing w:after="0"/>
              <w:rPr>
                <w:sz w:val="15"/>
                <w:szCs w:val="15"/>
                <w:color w:val="auto"/>
              </w:rPr>
            </w:pPr>
          </w:p>
        </w:tc>
        <w:tc>
          <w:tcPr>
            <w:tcW w:w="15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392,116</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5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(Loss) Income Before Income Tax Expense</w:t>
            </w: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and Minority Interest</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(51,253)</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29,603</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(101,189)</w:t>
            </w:r>
          </w:p>
        </w:tc>
        <w:tc>
          <w:tcPr>
            <w:tcW w:w="1200" w:type="dxa"/>
            <w:vAlign w:val="bottom"/>
          </w:tcPr>
          <w:p>
            <w:pPr>
              <w:spacing w:after="0"/>
              <w:rPr>
                <w:sz w:val="15"/>
                <w:szCs w:val="15"/>
                <w:color w:val="auto"/>
              </w:rPr>
            </w:pPr>
          </w:p>
        </w:tc>
        <w:tc>
          <w:tcPr>
            <w:tcW w:w="15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(122,839)</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42,092</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11,913</w:t>
            </w:r>
          </w:p>
        </w:tc>
        <w:tc>
          <w:tcPr>
            <w:tcW w:w="23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(31,297) (E.10.)</w:t>
            </w:r>
          </w:p>
        </w:tc>
        <w:tc>
          <w:tcPr>
            <w:tcW w:w="15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22,708</w:t>
            </w: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(50,534)</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(50,534)</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5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(Loss) Income from Continuing Operations</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($42,811)</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$17,690</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($69,892)</w:t>
            </w:r>
          </w:p>
        </w:tc>
        <w:tc>
          <w:tcPr>
            <w:tcW w:w="1200" w:type="dxa"/>
            <w:vAlign w:val="bottom"/>
          </w:tcPr>
          <w:p>
            <w:pPr>
              <w:spacing w:after="0"/>
              <w:rPr>
                <w:sz w:val="24"/>
                <w:szCs w:val="24"/>
                <w:color w:val="auto"/>
              </w:rPr>
            </w:pPr>
          </w:p>
        </w:tc>
        <w:tc>
          <w:tcPr>
            <w:tcW w:w="15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($95,013)</w:t>
            </w:r>
          </w:p>
        </w:tc>
      </w:tr>
    </w:tbl>
    <w:p>
      <w:pPr>
        <w:sectPr>
          <w:pgSz w:w="11900" w:h="16838" w:orient="portrait"/>
          <w:cols w:equalWidth="0" w:num="1">
            <w:col w:w="11520"/>
          </w:cols>
          <w:pgMar w:left="240" w:top="643" w:right="1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00" w:type="dxa"/>
            <w:vAlign w:val="bottom"/>
          </w:tcPr>
          <w:p>
            <w:pPr>
              <w:spacing w:after="0"/>
              <w:rPr>
                <w:sz w:val="14"/>
                <w:szCs w:val="14"/>
                <w:color w:val="auto"/>
              </w:rPr>
            </w:pPr>
          </w:p>
        </w:tc>
        <w:tc>
          <w:tcPr>
            <w:tcW w:w="3080" w:type="dxa"/>
            <w:vAlign w:val="bottom"/>
          </w:tcPr>
          <w:p>
            <w:pPr>
              <w:jc w:val="right"/>
              <w:ind w:right="257"/>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500" w:type="dxa"/>
            <w:vAlign w:val="bottom"/>
          </w:tcPr>
          <w:p>
            <w:pPr>
              <w:spacing w:after="0"/>
              <w:rPr>
                <w:sz w:val="15"/>
                <w:szCs w:val="15"/>
                <w:color w:val="auto"/>
              </w:rPr>
            </w:pPr>
          </w:p>
        </w:tc>
        <w:tc>
          <w:tcPr>
            <w:tcW w:w="3080" w:type="dxa"/>
            <w:vAlign w:val="bottom"/>
          </w:tcPr>
          <w:p>
            <w:pPr>
              <w:jc w:val="right"/>
              <w:ind w:right="257"/>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5"/>
                <w:szCs w:val="15"/>
                <w:color w:val="auto"/>
              </w:rPr>
            </w:pP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500" w:type="dxa"/>
            <w:vAlign w:val="bottom"/>
          </w:tcPr>
          <w:p>
            <w:pPr>
              <w:spacing w:after="0"/>
              <w:rPr>
                <w:sz w:val="20"/>
                <w:szCs w:val="20"/>
                <w:color w:val="auto"/>
              </w:rPr>
            </w:pPr>
            <w:r>
              <w:rPr>
                <w:rFonts w:ascii="Courier New" w:cs="Courier New" w:eastAsia="Courier New" w:hAnsi="Courier New"/>
                <w:sz w:val="15"/>
                <w:szCs w:val="15"/>
                <w:color w:val="auto"/>
              </w:rPr>
              <w:t>Loss from Continuing Operations Per Share</w:t>
            </w:r>
          </w:p>
        </w:tc>
        <w:tc>
          <w:tcPr>
            <w:tcW w:w="3080" w:type="dxa"/>
            <w:vAlign w:val="bottom"/>
          </w:tcPr>
          <w:p>
            <w:pPr>
              <w:jc w:val="right"/>
              <w:ind w:right="1517"/>
              <w:spacing w:after="0"/>
              <w:rPr>
                <w:sz w:val="20"/>
                <w:szCs w:val="20"/>
                <w:color w:val="auto"/>
              </w:rPr>
            </w:pPr>
            <w:r>
              <w:rPr>
                <w:rFonts w:ascii="Courier New" w:cs="Courier New" w:eastAsia="Courier New" w:hAnsi="Courier New"/>
                <w:sz w:val="15"/>
                <w:szCs w:val="15"/>
                <w:color w:val="auto"/>
              </w:rPr>
              <w:t>($0.18)</w:t>
            </w: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($0.29)</w:t>
            </w:r>
          </w:p>
        </w:tc>
      </w:tr>
      <w:tr>
        <w:trPr>
          <w:trHeight w:val="175"/>
        </w:trPr>
        <w:tc>
          <w:tcPr>
            <w:tcW w:w="4500" w:type="dxa"/>
            <w:vAlign w:val="bottom"/>
          </w:tcPr>
          <w:p>
            <w:pPr>
              <w:spacing w:after="0"/>
              <w:rPr>
                <w:sz w:val="15"/>
                <w:szCs w:val="15"/>
                <w:color w:val="auto"/>
              </w:rPr>
            </w:pPr>
          </w:p>
        </w:tc>
        <w:tc>
          <w:tcPr>
            <w:tcW w:w="3080" w:type="dxa"/>
            <w:vAlign w:val="bottom"/>
          </w:tcPr>
          <w:p>
            <w:pPr>
              <w:jc w:val="right"/>
              <w:ind w:right="161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500" w:type="dxa"/>
            <w:vAlign w:val="bottom"/>
          </w:tcPr>
          <w:p>
            <w:pPr>
              <w:spacing w:after="0"/>
              <w:rPr>
                <w:sz w:val="15"/>
                <w:szCs w:val="15"/>
                <w:color w:val="auto"/>
              </w:rPr>
            </w:pPr>
          </w:p>
        </w:tc>
        <w:tc>
          <w:tcPr>
            <w:tcW w:w="3080" w:type="dxa"/>
            <w:vAlign w:val="bottom"/>
          </w:tcPr>
          <w:p>
            <w:pPr>
              <w:jc w:val="right"/>
              <w:ind w:right="161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Weighted Average Number of the Company's</w:t>
            </w:r>
          </w:p>
        </w:tc>
        <w:tc>
          <w:tcPr>
            <w:tcW w:w="3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5"/>
        </w:trPr>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Common Shares Outstanding During the Period</w:t>
            </w:r>
          </w:p>
        </w:tc>
        <w:tc>
          <w:tcPr>
            <w:tcW w:w="3080" w:type="dxa"/>
            <w:vAlign w:val="bottom"/>
          </w:tcPr>
          <w:p>
            <w:pPr>
              <w:jc w:val="right"/>
              <w:ind w:right="1617"/>
              <w:spacing w:after="0"/>
              <w:rPr>
                <w:sz w:val="20"/>
                <w:szCs w:val="20"/>
                <w:color w:val="auto"/>
              </w:rPr>
            </w:pPr>
            <w:r>
              <w:rPr>
                <w:rFonts w:ascii="Courier New" w:cs="Courier New" w:eastAsia="Courier New" w:hAnsi="Courier New"/>
                <w:sz w:val="15"/>
                <w:szCs w:val="15"/>
                <w:color w:val="auto"/>
              </w:rPr>
              <w:t>239,679</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93,301</w:t>
            </w: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(E.11.)</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332,980</w:t>
            </w:r>
          </w:p>
        </w:tc>
      </w:tr>
      <w:tr>
        <w:trPr>
          <w:trHeight w:val="175"/>
        </w:trPr>
        <w:tc>
          <w:tcPr>
            <w:tcW w:w="4500" w:type="dxa"/>
            <w:vAlign w:val="bottom"/>
          </w:tcPr>
          <w:p>
            <w:pPr>
              <w:spacing w:after="0"/>
              <w:rPr>
                <w:sz w:val="15"/>
                <w:szCs w:val="15"/>
                <w:color w:val="auto"/>
              </w:rPr>
            </w:pPr>
          </w:p>
        </w:tc>
        <w:tc>
          <w:tcPr>
            <w:tcW w:w="3080" w:type="dxa"/>
            <w:vAlign w:val="bottom"/>
          </w:tcPr>
          <w:p>
            <w:pPr>
              <w:jc w:val="right"/>
              <w:ind w:right="161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5"/>
                <w:szCs w:val="15"/>
                <w:color w:val="auto"/>
              </w:rPr>
            </w:pP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500" w:type="dxa"/>
            <w:vAlign w:val="bottom"/>
          </w:tcPr>
          <w:p>
            <w:pPr>
              <w:spacing w:after="0"/>
              <w:rPr>
                <w:sz w:val="15"/>
                <w:szCs w:val="15"/>
                <w:color w:val="auto"/>
              </w:rPr>
            </w:pPr>
          </w:p>
        </w:tc>
        <w:tc>
          <w:tcPr>
            <w:tcW w:w="3080" w:type="dxa"/>
            <w:vAlign w:val="bottom"/>
          </w:tcPr>
          <w:p>
            <w:pPr>
              <w:jc w:val="right"/>
              <w:ind w:right="161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5"/>
                <w:szCs w:val="15"/>
                <w:color w:val="auto"/>
              </w:rPr>
            </w:pP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consolidated financial statements.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1440"/>
          </w:cols>
          <w:pgMar w:left="240" w:top="141" w:right="219" w:bottom="1440" w:gutter="0" w:footer="0" w:header="0"/>
        </w:sectPr>
      </w:pPr>
    </w:p>
    <w:bookmarkStart w:id="10" w:name="page11"/>
    <w:bookmarkEnd w:id="10"/>
    <w:p>
      <w:pPr>
        <w:ind w:left="2187"/>
        <w:spacing w:after="0"/>
        <w:rPr>
          <w:sz w:val="20"/>
          <w:szCs w:val="20"/>
          <w:color w:val="auto"/>
        </w:rPr>
      </w:pPr>
      <w:r>
        <w:rPr>
          <w:rFonts w:ascii="Courier New" w:cs="Courier New" w:eastAsia="Courier New" w:hAnsi="Courier New"/>
          <w:sz w:val="15"/>
          <w:szCs w:val="15"/>
          <w:color w:val="auto"/>
        </w:rPr>
        <w:t>NOTES TO UNAUDITED PRO FORMA</w:t>
      </w:r>
    </w:p>
    <w:p>
      <w:pPr>
        <w:spacing w:after="0" w:line="5"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CONDENSED CONSOLIDATED FINANCIAL STATEMENTS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QVC</w:t>
      </w:r>
    </w:p>
    <w:p>
      <w:pPr>
        <w:spacing w:after="0" w:line="180" w:lineRule="exact"/>
        <w:rPr>
          <w:sz w:val="20"/>
          <w:szCs w:val="20"/>
          <w:color w:val="auto"/>
        </w:rPr>
      </w:pPr>
    </w:p>
    <w:p>
      <w:pPr>
        <w:ind w:left="447" w:hanging="447"/>
        <w:spacing w:after="0"/>
        <w:tabs>
          <w:tab w:leader="none" w:pos="44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TRANSACTIONS</w:t>
      </w:r>
    </w:p>
    <w:p>
      <w:pPr>
        <w:spacing w:after="0" w:line="179" w:lineRule="exact"/>
        <w:rPr>
          <w:rFonts w:ascii="Courier New" w:cs="Courier New" w:eastAsia="Courier New" w:hAnsi="Courier New"/>
          <w:sz w:val="15"/>
          <w:szCs w:val="15"/>
          <w:color w:val="auto"/>
        </w:rPr>
      </w:pPr>
    </w:p>
    <w:p>
      <w:pPr>
        <w:ind w:left="447" w:right="32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February 1995, the Company and Tele-Communications, Inc. ("TCI") acquired all of the outstanding stock of QVC, Inc. and its subsidiaries ("QVC") not previously owned by them (approximately 65% of such shares on a fully diluted basis) for $46, in cash, per share (the "QVC Acquisition"), representing a total cost of approximately $1.4 billion. The QVC Acquisition, including the exercise of certain warrants held by the Company, was financed with cash contributions from the Company (see below) and TCI of $296.3 million and $6.6 million, respectively, borrowings of $1.1 billion under a $1.2 billion QVC credit facility and existing cash and cash equivalents held by QVC. Following the acquisition, the Company and TCI own, through their respective subsidiaries, 57.45% and 42.55%, respectively, of QVC. The Company, through a management agreement, is responsible for the</w:t>
      </w:r>
    </w:p>
    <w:p>
      <w:pPr>
        <w:spacing w:after="0" w:line="7" w:lineRule="exact"/>
        <w:rPr>
          <w:rFonts w:ascii="Courier New" w:cs="Courier New" w:eastAsia="Courier New" w:hAnsi="Courier New"/>
          <w:sz w:val="15"/>
          <w:szCs w:val="15"/>
          <w:color w:val="auto"/>
        </w:rPr>
      </w:pPr>
    </w:p>
    <w:p>
      <w:pPr>
        <w:ind w:left="447" w:right="32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day to day operations of QVC. The Company has accounted for the QVC Acquisition under the purchase method and QVC was consolidated with the Company effective February 1, 1995. QVC's historical results of operations included in the unaudited pro forma condensed consolidated statement of operations for the year ended December 31, 1995 represents QVC's historical results of operations for the month ended January 31, 1995.</w:t>
      </w:r>
    </w:p>
    <w:p>
      <w:pPr>
        <w:spacing w:after="0" w:line="179" w:lineRule="exact"/>
        <w:rPr>
          <w:rFonts w:ascii="Courier New" w:cs="Courier New" w:eastAsia="Courier New" w:hAnsi="Courier New"/>
          <w:sz w:val="15"/>
          <w:szCs w:val="15"/>
          <w:color w:val="auto"/>
        </w:rPr>
      </w:pPr>
    </w:p>
    <w:p>
      <w:pPr>
        <w:ind w:left="447"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1995, the Company exchanged its investments in Heritage Communications, Inc. ("Heritage") with TCI for approximately 13.3 million publicly-traded Class A common shares of TCI with a fair market value</w:t>
      </w:r>
    </w:p>
    <w:p>
      <w:pPr>
        <w:spacing w:after="0" w:line="1" w:lineRule="exact"/>
        <w:rPr>
          <w:rFonts w:ascii="Courier New" w:cs="Courier New" w:eastAsia="Courier New" w:hAnsi="Courier New"/>
          <w:sz w:val="15"/>
          <w:szCs w:val="15"/>
          <w:color w:val="auto"/>
        </w:rPr>
      </w:pPr>
    </w:p>
    <w:p>
      <w:pPr>
        <w:ind w:left="447" w:right="32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approximately $290.0 million. Shortly thereafter, the Company sold approximately 9.1 million unrestricted TCI shares for total proceeds of approximately $188.1 million (collectively, the "Heritage Transaction"). As a result of these transactions, the Company recognized a pre-tax gain of $141.0 million in 1995.</w:t>
      </w:r>
    </w:p>
    <w:p>
      <w:pPr>
        <w:spacing w:after="0" w:line="177" w:lineRule="exact"/>
        <w:rPr>
          <w:rFonts w:ascii="Courier New" w:cs="Courier New" w:eastAsia="Courier New" w:hAnsi="Courier New"/>
          <w:sz w:val="15"/>
          <w:szCs w:val="15"/>
          <w:color w:val="auto"/>
        </w:rPr>
      </w:pPr>
    </w:p>
    <w:p>
      <w:pPr>
        <w:jc w:val="both"/>
        <w:ind w:left="447"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cash contribution in connection with the QVC Acquisition was funded, in part, by the cash proceeds from the Heritage Transaction, along with a borrowing of $80.0 million under a subsidiary's credit facility.</w:t>
      </w:r>
    </w:p>
    <w:p>
      <w:pPr>
        <w:spacing w:after="0" w:line="34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26"/>
          </w:cols>
          <w:pgMar w:left="233" w:top="642" w:right="1440" w:bottom="1440" w:gutter="0" w:footer="0" w:header="0"/>
        </w:sectPr>
      </w:pPr>
    </w:p>
    <w:bookmarkStart w:id="11" w:name="page12"/>
    <w:bookmarkEnd w:id="11"/>
    <w:p>
      <w:pPr>
        <w:ind w:left="447" w:hanging="447"/>
        <w:spacing w:after="0"/>
        <w:tabs>
          <w:tab w:leader="none" w:pos="44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w:t>
      </w:r>
    </w:p>
    <w:p>
      <w:pPr>
        <w:spacing w:after="0" w:line="179" w:lineRule="exact"/>
        <w:rPr>
          <w:rFonts w:ascii="Courier New" w:cs="Courier New" w:eastAsia="Courier New" w:hAnsi="Courier New"/>
          <w:sz w:val="15"/>
          <w:szCs w:val="15"/>
          <w:color w:val="auto"/>
        </w:rPr>
      </w:pPr>
    </w:p>
    <w:p>
      <w:pPr>
        <w:ind w:left="447"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adjustments and elimination entries have been made to the unaudited pro forma condensed consolidated statement of operations for the year ended December 31, 1995 to reflect the QVC Acquisition:</w:t>
      </w:r>
    </w:p>
    <w:p>
      <w:pPr>
        <w:spacing w:after="0" w:line="174" w:lineRule="exact"/>
        <w:rPr>
          <w:rFonts w:ascii="Courier New" w:cs="Courier New" w:eastAsia="Courier New" w:hAnsi="Courier New"/>
          <w:sz w:val="15"/>
          <w:szCs w:val="15"/>
          <w:color w:val="auto"/>
        </w:rPr>
      </w:pPr>
    </w:p>
    <w:p>
      <w:pPr>
        <w:ind w:left="907" w:hanging="452"/>
        <w:spacing w:after="0"/>
        <w:tabs>
          <w:tab w:leader="none" w:pos="907"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commissions and other payments by QVC to the Company.</w:t>
      </w:r>
    </w:p>
    <w:p>
      <w:pPr>
        <w:spacing w:after="0" w:line="179" w:lineRule="exact"/>
        <w:rPr>
          <w:rFonts w:ascii="Courier New" w:cs="Courier New" w:eastAsia="Courier New" w:hAnsi="Courier New"/>
          <w:sz w:val="15"/>
          <w:szCs w:val="15"/>
          <w:color w:val="auto"/>
        </w:rPr>
      </w:pPr>
    </w:p>
    <w:p>
      <w:pPr>
        <w:ind w:left="907" w:right="3039" w:hanging="452"/>
        <w:spacing w:after="0" w:line="246" w:lineRule="auto"/>
        <w:tabs>
          <w:tab w:leader="none" w:pos="907"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additional depreciation and amortization expense resulting from the increased fair market value of the assets acquired in excess of their historical book values and amortization of goodwill arising from the acquisition. Depreciation expense is based on a weighted average property and equipment life of approximately 7 years. Amortization expense assumes a life of 30 years for goodwill and 10 years for cable television distribution rights. Debt issuance costs are amortized over the term of the related debt.</w:t>
      </w:r>
    </w:p>
    <w:p>
      <w:pPr>
        <w:spacing w:after="0" w:line="179" w:lineRule="exact"/>
        <w:rPr>
          <w:rFonts w:ascii="Courier New" w:cs="Courier New" w:eastAsia="Courier New" w:hAnsi="Courier New"/>
          <w:sz w:val="15"/>
          <w:szCs w:val="15"/>
          <w:color w:val="auto"/>
        </w:rPr>
      </w:pPr>
    </w:p>
    <w:p>
      <w:pPr>
        <w:ind w:left="907" w:right="2959" w:hanging="452"/>
        <w:spacing w:after="0" w:line="247" w:lineRule="auto"/>
        <w:tabs>
          <w:tab w:leader="none" w:pos="907"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increase in interest expense due to the incurrence of additional long-term indebtedness, at a weighted average interest rate of 8.3%.</w:t>
      </w:r>
    </w:p>
    <w:p>
      <w:pPr>
        <w:spacing w:after="0" w:line="174" w:lineRule="exact"/>
        <w:rPr>
          <w:rFonts w:ascii="Courier New" w:cs="Courier New" w:eastAsia="Courier New" w:hAnsi="Courier New"/>
          <w:sz w:val="15"/>
          <w:szCs w:val="15"/>
          <w:color w:val="auto"/>
        </w:rPr>
      </w:pPr>
    </w:p>
    <w:p>
      <w:pPr>
        <w:ind w:left="907" w:right="3039" w:hanging="452"/>
        <w:spacing w:after="0" w:line="247" w:lineRule="auto"/>
        <w:tabs>
          <w:tab w:leader="none" w:pos="907"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interest income on the Company's notes receivable from Heritage, which were exchanged for TCI Shares in connection with the Heritage Transaction.</w:t>
      </w:r>
    </w:p>
    <w:p>
      <w:pPr>
        <w:spacing w:after="0" w:line="174" w:lineRule="exact"/>
        <w:rPr>
          <w:rFonts w:ascii="Courier New" w:cs="Courier New" w:eastAsia="Courier New" w:hAnsi="Courier New"/>
          <w:sz w:val="15"/>
          <w:szCs w:val="15"/>
          <w:color w:val="auto"/>
        </w:rPr>
      </w:pPr>
    </w:p>
    <w:p>
      <w:pPr>
        <w:ind w:left="907" w:right="3219" w:hanging="452"/>
        <w:spacing w:after="0" w:line="247" w:lineRule="auto"/>
        <w:tabs>
          <w:tab w:leader="none" w:pos="907"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the Company's historical equity in the net income of QVC. The Company historically accounted for its investment in QVC under the equity method through the date of the QVC Acquisition.</w:t>
      </w:r>
    </w:p>
    <w:p>
      <w:pPr>
        <w:spacing w:after="0" w:line="174" w:lineRule="exact"/>
        <w:rPr>
          <w:rFonts w:ascii="Courier New" w:cs="Courier New" w:eastAsia="Courier New" w:hAnsi="Courier New"/>
          <w:sz w:val="15"/>
          <w:szCs w:val="15"/>
          <w:color w:val="auto"/>
        </w:rPr>
      </w:pPr>
    </w:p>
    <w:p>
      <w:pPr>
        <w:ind w:left="907" w:right="3319" w:hanging="452"/>
        <w:spacing w:after="0" w:line="247" w:lineRule="auto"/>
        <w:tabs>
          <w:tab w:leader="none" w:pos="907"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adjustments to the tax provision resulting from the pro forma adjustments.</w:t>
      </w:r>
    </w:p>
    <w:p>
      <w:pPr>
        <w:spacing w:after="0" w:line="174" w:lineRule="exact"/>
        <w:rPr>
          <w:rFonts w:ascii="Courier New" w:cs="Courier New" w:eastAsia="Courier New" w:hAnsi="Courier New"/>
          <w:sz w:val="15"/>
          <w:szCs w:val="15"/>
          <w:color w:val="auto"/>
        </w:rPr>
      </w:pPr>
    </w:p>
    <w:p>
      <w:pPr>
        <w:ind w:left="907" w:right="3039" w:hanging="452"/>
        <w:spacing w:after="0" w:line="247" w:lineRule="auto"/>
        <w:tabs>
          <w:tab w:leader="none" w:pos="907"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minority interest resulting from TCI's 42.55% interest in QVC.</w:t>
      </w:r>
    </w:p>
    <w:p>
      <w:pPr>
        <w:spacing w:after="0" w:line="34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26"/>
          </w:cols>
          <w:pgMar w:left="233" w:top="643" w:right="1440" w:bottom="1440" w:gutter="0" w:footer="0" w:header="0"/>
        </w:sectPr>
      </w:pPr>
    </w:p>
    <w:bookmarkStart w:id="12" w:name="page13"/>
    <w:bookmarkEnd w:id="12"/>
    <w:p>
      <w:pPr>
        <w:ind w:left="7"/>
        <w:spacing w:after="0"/>
        <w:rPr>
          <w:sz w:val="20"/>
          <w:szCs w:val="20"/>
          <w:color w:val="auto"/>
        </w:rPr>
      </w:pPr>
      <w:r>
        <w:rPr>
          <w:rFonts w:ascii="Courier New" w:cs="Courier New" w:eastAsia="Courier New" w:hAnsi="Courier New"/>
          <w:sz w:val="15"/>
          <w:szCs w:val="15"/>
          <w:color w:val="auto"/>
        </w:rPr>
        <w:t>SCRIPPS CABLE</w:t>
      </w:r>
    </w:p>
    <w:p>
      <w:pPr>
        <w:spacing w:after="0" w:line="180" w:lineRule="exact"/>
        <w:rPr>
          <w:sz w:val="20"/>
          <w:szCs w:val="20"/>
          <w:color w:val="auto"/>
        </w:rPr>
      </w:pPr>
    </w:p>
    <w:p>
      <w:pPr>
        <w:ind w:left="447" w:hanging="447"/>
        <w:spacing w:after="0"/>
        <w:tabs>
          <w:tab w:leader="none" w:pos="44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TRANSACTIONS</w:t>
      </w:r>
    </w:p>
    <w:p>
      <w:pPr>
        <w:spacing w:after="0" w:line="179" w:lineRule="exact"/>
        <w:rPr>
          <w:rFonts w:ascii="Courier New" w:cs="Courier New" w:eastAsia="Courier New" w:hAnsi="Courier New"/>
          <w:sz w:val="15"/>
          <w:szCs w:val="15"/>
          <w:color w:val="auto"/>
        </w:rPr>
      </w:pPr>
    </w:p>
    <w:p>
      <w:pPr>
        <w:ind w:left="447"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October 1995, the Company announced its agreement to acquire the cable television operations ("Scripps Cable") of The E.W. Scripps Company ("E.W. Scripps") in exchange for shares of the Company's Class A Special Common Stock, par value $1.00 per share (the "Class A Special Common Stock"), worth $1.575 billion (the "Base Consideration"), subject to certain closing adjustments (the "Scripps Transaction"). Scripps Cable passes more than 1.2 million homes and serves more than 800,000 subscribers, with over 60% of the subscribers located in Sacramento, California and Chattanooga and Knoxville, Tennessee. The acquisition is expected to close in the fourth quarter of 1996, subject to shareholder and regulatory approval and certain other conditions.</w:t>
      </w:r>
    </w:p>
    <w:p>
      <w:pPr>
        <w:spacing w:after="0" w:line="181" w:lineRule="exact"/>
        <w:rPr>
          <w:rFonts w:ascii="Courier New" w:cs="Courier New" w:eastAsia="Courier New" w:hAnsi="Courier New"/>
          <w:sz w:val="15"/>
          <w:szCs w:val="15"/>
          <w:color w:val="auto"/>
        </w:rPr>
      </w:pPr>
    </w:p>
    <w:p>
      <w:pPr>
        <w:ind w:left="44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Agreement and Plan of Merger dated as of October 28, 1995 (the "Merger Agreement"), incorporated by reference herein, by and among the Company, E.W. Scripps and Scripps Howard, Inc., a wholly owned subsidiary of E.W. Scripps, E.W. Scripps will distribute to its shareholders all assets other than Scripps Cable. Following such distribution, E.W. Scripps will be merged with and into the Company (the "Merger") and each share of E.W. Scripps common stock issued and outstanding immediately prior to the Merger will be converted into a portion of the shares of the Class A Special Common Stock to be paid as consideration in the Merger. Assuming that (i) closing adjustments made to the Base Consideration result in a $17.1 million increase in the purchase price (estimated solely for purposes of the unaudited pro forma condensed consolidated financial statements included herein), and (ii) the Class A Special Common Stock is valued, as described below, at $17.06 per share, the Company would issue to E.W. Scripps shareholders an aggregate of approximately 93.3 million shares of Class A Special Common Stock in the Merger, representing approximately 32.9% of such class of stock outstanding as of June 30, 1996, on a pro forma basis.</w:t>
      </w:r>
    </w:p>
    <w:p>
      <w:pPr>
        <w:spacing w:after="0" w:line="185" w:lineRule="exact"/>
        <w:rPr>
          <w:rFonts w:ascii="Courier New" w:cs="Courier New" w:eastAsia="Courier New" w:hAnsi="Courier New"/>
          <w:sz w:val="15"/>
          <w:szCs w:val="15"/>
          <w:color w:val="auto"/>
        </w:rPr>
      </w:pPr>
    </w:p>
    <w:p>
      <w:pPr>
        <w:ind w:left="4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the number of shares of Class A Special Common Stock to be delivered in the Merger, such stock will be valued on the basis of the average closing price of the Class A Special Common Stock on The Nasdaq Stock Market for 15 trading</w:t>
      </w:r>
    </w:p>
    <w:p>
      <w:pPr>
        <w:spacing w:after="0" w:line="35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26"/>
          </w:cols>
          <w:pgMar w:left="233" w:top="643" w:right="1440" w:bottom="1440" w:gutter="0" w:footer="0" w:header="0"/>
        </w:sectPr>
      </w:pPr>
    </w:p>
    <w:bookmarkStart w:id="13" w:name="page14"/>
    <w:bookmarkEnd w:id="13"/>
    <w:p>
      <w:pPr>
        <w:ind w:left="447" w:right="2959"/>
        <w:spacing w:after="0" w:line="246" w:lineRule="auto"/>
        <w:rPr>
          <w:sz w:val="20"/>
          <w:szCs w:val="20"/>
          <w:color w:val="auto"/>
        </w:rPr>
      </w:pPr>
      <w:r>
        <w:rPr>
          <w:rFonts w:ascii="Courier New" w:cs="Courier New" w:eastAsia="Courier New" w:hAnsi="Courier New"/>
          <w:sz w:val="15"/>
          <w:szCs w:val="15"/>
          <w:color w:val="auto"/>
        </w:rPr>
        <w:t>days randomly selected from the 40 trading day period ending shortly before the closing date (the "Comcast Share Price"); provided that the Comcast Share Price will be no greater than $23.09 and, except as provided below, no less than $17.06. If the Comcast Share Price is below $17.06, E.W. Scripps has the right to terminate the Merger Agreement, subject to the right of the Company to increase the number of shares of Class A Special Common Stock to be delivered in the Merger to that number of shares that would have been delivered if the Comcast Share Price were not subject to the minimum price of $17.06 or to such lower number of shares as may be agreed to by E.W. Scripps.</w:t>
      </w:r>
    </w:p>
    <w:p>
      <w:pPr>
        <w:spacing w:after="0" w:line="181" w:lineRule="exact"/>
        <w:rPr>
          <w:sz w:val="20"/>
          <w:szCs w:val="20"/>
          <w:color w:val="auto"/>
        </w:rPr>
      </w:pPr>
    </w:p>
    <w:p>
      <w:pPr>
        <w:jc w:val="both"/>
        <w:ind w:left="447" w:right="3139"/>
        <w:spacing w:after="0" w:line="246" w:lineRule="auto"/>
        <w:rPr>
          <w:sz w:val="20"/>
          <w:szCs w:val="20"/>
          <w:color w:val="auto"/>
        </w:rPr>
      </w:pPr>
      <w:r>
        <w:rPr>
          <w:rFonts w:ascii="Courier New" w:cs="Courier New" w:eastAsia="Courier New" w:hAnsi="Courier New"/>
          <w:sz w:val="15"/>
          <w:szCs w:val="15"/>
          <w:color w:val="auto"/>
        </w:rPr>
        <w:t>Although the Company believes the consummation of the Scripps Transaction is probable, no assurances can be given that the Scripps Transaction will occur at all or occur in the manner assumed in the accompanying unaudited pro forma condensed consolidated financial statements.</w:t>
      </w:r>
    </w:p>
    <w:p>
      <w:pPr>
        <w:spacing w:after="0" w:line="177" w:lineRule="exact"/>
        <w:rPr>
          <w:sz w:val="20"/>
          <w:szCs w:val="20"/>
          <w:color w:val="auto"/>
        </w:rPr>
      </w:pPr>
    </w:p>
    <w:p>
      <w:pPr>
        <w:ind w:left="447" w:hanging="447"/>
        <w:spacing w:after="0"/>
        <w:tabs>
          <w:tab w:leader="none" w:pos="44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9" w:lineRule="exact"/>
        <w:rPr>
          <w:rFonts w:ascii="Courier New" w:cs="Courier New" w:eastAsia="Courier New" w:hAnsi="Courier New"/>
          <w:sz w:val="15"/>
          <w:szCs w:val="15"/>
          <w:color w:val="auto"/>
        </w:rPr>
      </w:pPr>
    </w:p>
    <w:p>
      <w:pPr>
        <w:ind w:left="44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E.W. Scripps has historically been the holding company for its cable television businesses along with other operations. As noted above, in the Merger Agreement, E.W. Scripps intends to remove its non-cable television businesses through a distribution to its shareholders prior to the closing date. Accordingly, when the Company acquires E.W. Scripps, it will only be purchasing Scripps Cable.</w:t>
      </w:r>
    </w:p>
    <w:p>
      <w:pPr>
        <w:spacing w:after="0" w:line="178" w:lineRule="exact"/>
        <w:rPr>
          <w:rFonts w:ascii="Courier New" w:cs="Courier New" w:eastAsia="Courier New" w:hAnsi="Courier New"/>
          <w:sz w:val="15"/>
          <w:szCs w:val="15"/>
          <w:color w:val="auto"/>
        </w:rPr>
      </w:pPr>
    </w:p>
    <w:p>
      <w:pPr>
        <w:ind w:left="4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historical combined financial statements of Scripps Cable included in the unaudited pro forma condensed consolidated financial statements represent the net assets that the Company will be acquiring and exclude the assets, liabilities and results of operations of the non-cable television operations of E.W. Scripps.</w:t>
      </w:r>
    </w:p>
    <w:p>
      <w:pPr>
        <w:spacing w:after="0" w:line="177"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w:t>
      </w:r>
    </w:p>
    <w:p>
      <w:pPr>
        <w:spacing w:after="0" w:line="179" w:lineRule="exact"/>
        <w:rPr>
          <w:rFonts w:ascii="Courier New" w:cs="Courier New" w:eastAsia="Courier New" w:hAnsi="Courier New"/>
          <w:sz w:val="15"/>
          <w:szCs w:val="15"/>
          <w:color w:val="auto"/>
        </w:rPr>
      </w:pPr>
    </w:p>
    <w:p>
      <w:pPr>
        <w:jc w:val="both"/>
        <w:ind w:left="447" w:right="33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adjustments and elimination entries have been made to the unaudited pro forma condensed consolidated balance sheet to reflect the Scripps Transaction:</w:t>
      </w:r>
    </w:p>
    <w:p>
      <w:pPr>
        <w:spacing w:after="0" w:line="174" w:lineRule="exact"/>
        <w:rPr>
          <w:rFonts w:ascii="Courier New" w:cs="Courier New" w:eastAsia="Courier New" w:hAnsi="Courier New"/>
          <w:sz w:val="15"/>
          <w:szCs w:val="15"/>
          <w:color w:val="auto"/>
        </w:rPr>
      </w:pPr>
    </w:p>
    <w:p>
      <w:pPr>
        <w:ind w:left="907" w:right="3139" w:hanging="452"/>
        <w:spacing w:after="0" w:line="246" w:lineRule="auto"/>
        <w:tabs>
          <w:tab w:leader="none" w:pos="907"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estimated fair value of the property and equipment to be acquired in the Scripps Transaction in excess of the historical book value of such property and equipment ($317.9 million). The estimated fair value of the acquired property</w:t>
      </w:r>
    </w:p>
    <w:p>
      <w:pPr>
        <w:spacing w:after="0" w:line="35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26"/>
          </w:cols>
          <w:pgMar w:left="233" w:top="817" w:right="1440" w:bottom="1440" w:gutter="0" w:footer="0" w:header="0"/>
        </w:sectPr>
      </w:pPr>
    </w:p>
    <w:bookmarkStart w:id="14" w:name="page15"/>
    <w:bookmarkEnd w:id="14"/>
    <w:p>
      <w:pPr>
        <w:ind w:left="460" w:right="3039"/>
        <w:spacing w:after="0" w:line="247" w:lineRule="auto"/>
        <w:rPr>
          <w:sz w:val="20"/>
          <w:szCs w:val="20"/>
          <w:color w:val="auto"/>
        </w:rPr>
      </w:pPr>
      <w:r>
        <w:rPr>
          <w:rFonts w:ascii="Courier New" w:cs="Courier New" w:eastAsia="Courier New" w:hAnsi="Courier New"/>
          <w:sz w:val="15"/>
          <w:szCs w:val="15"/>
          <w:color w:val="auto"/>
        </w:rPr>
        <w:t>and equipment is subject to adjustment upon receipt by the Company of an independent appraisal of Scripps Cable.</w:t>
      </w:r>
    </w:p>
    <w:p>
      <w:pPr>
        <w:spacing w:after="0" w:line="175" w:lineRule="exact"/>
        <w:rPr>
          <w:sz w:val="20"/>
          <w:szCs w:val="20"/>
          <w:color w:val="auto"/>
        </w:rPr>
      </w:pPr>
    </w:p>
    <w:p>
      <w:pPr>
        <w:ind w:left="460" w:right="3039" w:hanging="452"/>
        <w:spacing w:after="0" w:line="246" w:lineRule="auto"/>
        <w:tabs>
          <w:tab w:leader="none" w:pos="4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allocation of the total consideration in the Scripps Transaction to deferred charges ($917.3 million), principally to franchise acquisition costs and subscriber lists. The purchase price allocation is subject to adjustment upon receipt by the Company of an independent appraisal of Scripps Cable.</w:t>
      </w:r>
    </w:p>
    <w:p>
      <w:pPr>
        <w:spacing w:after="0" w:line="177" w:lineRule="exact"/>
        <w:rPr>
          <w:rFonts w:ascii="Courier New" w:cs="Courier New" w:eastAsia="Courier New" w:hAnsi="Courier New"/>
          <w:sz w:val="15"/>
          <w:szCs w:val="15"/>
          <w:color w:val="auto"/>
        </w:rPr>
      </w:pPr>
    </w:p>
    <w:p>
      <w:pPr>
        <w:ind w:left="460" w:right="3139" w:hanging="452"/>
        <w:spacing w:after="0" w:line="246" w:lineRule="auto"/>
        <w:tabs>
          <w:tab w:leader="none" w:pos="4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certain liabilities which will not be assumed by the Company in the Scripps Transaction pursuant to the terms of the Merger Agreement (primarily income taxes payable, accruals for lawsuits and related settlements and amounts payable by Scripps Cable to E.W. Scripps) ($360.1 million in total).</w:t>
      </w:r>
    </w:p>
    <w:p>
      <w:pPr>
        <w:spacing w:after="0" w:line="177" w:lineRule="exact"/>
        <w:rPr>
          <w:rFonts w:ascii="Courier New" w:cs="Courier New" w:eastAsia="Courier New" w:hAnsi="Courier New"/>
          <w:sz w:val="15"/>
          <w:szCs w:val="15"/>
          <w:color w:val="auto"/>
        </w:rPr>
      </w:pPr>
    </w:p>
    <w:p>
      <w:pPr>
        <w:ind w:left="460" w:right="3039" w:hanging="452"/>
        <w:spacing w:after="0" w:line="246" w:lineRule="auto"/>
        <w:tabs>
          <w:tab w:leader="none" w:pos="4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par value of the Class A Special Common Stock to be issued by the Company for Scripps Cable ($93.3 million) and the related additional capital ($1.499 billion), assuming that the closing adjustments made to the Base Consideration result in a $17.1 million increase in the purchase price (estimated solely for purposes of the unaudited pro forma condensed consolidated financial statements), and assuming a Comcast Share Price of $17.06 per share.</w:t>
      </w:r>
    </w:p>
    <w:p>
      <w:pPr>
        <w:spacing w:after="0" w:line="179" w:lineRule="exact"/>
        <w:rPr>
          <w:rFonts w:ascii="Courier New" w:cs="Courier New" w:eastAsia="Courier New" w:hAnsi="Courier New"/>
          <w:sz w:val="15"/>
          <w:szCs w:val="15"/>
          <w:color w:val="auto"/>
        </w:rPr>
      </w:pPr>
    </w:p>
    <w:p>
      <w:pPr>
        <w:ind w:left="460" w:hanging="452"/>
        <w:spacing w:after="0"/>
        <w:tabs>
          <w:tab w:leader="none" w:pos="4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Scripps Cable's historical equity.</w:t>
      </w:r>
    </w:p>
    <w:p>
      <w:pPr>
        <w:spacing w:after="0" w:line="179" w:lineRule="exact"/>
        <w:rPr>
          <w:rFonts w:ascii="Courier New" w:cs="Courier New" w:eastAsia="Courier New" w:hAnsi="Courier New"/>
          <w:sz w:val="15"/>
          <w:szCs w:val="15"/>
          <w:color w:val="auto"/>
        </w:rPr>
      </w:pPr>
    </w:p>
    <w:p>
      <w:pPr>
        <w:ind w:left="460" w:right="3139" w:hanging="452"/>
        <w:spacing w:after="0" w:line="247" w:lineRule="auto"/>
        <w:tabs>
          <w:tab w:leader="none" w:pos="4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goodwill and deferred income taxes resulting from differences in the book and tax bases of the assets of Scripps Cable arising from the acquisition ($513.7 million).</w:t>
      </w:r>
    </w:p>
    <w:p>
      <w:pPr>
        <w:spacing w:after="0" w:line="174"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The following adjustments and elimination entries have been made to the unaudited pro forma condensed consolidated statements of operations to reflect the Scripps Transaction:</w:t>
      </w:r>
    </w:p>
    <w:p>
      <w:pPr>
        <w:spacing w:after="0" w:line="174" w:lineRule="exact"/>
        <w:rPr>
          <w:sz w:val="20"/>
          <w:szCs w:val="20"/>
          <w:color w:val="auto"/>
        </w:rPr>
      </w:pPr>
    </w:p>
    <w:p>
      <w:pPr>
        <w:ind w:left="460" w:right="3499" w:hanging="452"/>
        <w:spacing w:after="0" w:line="247" w:lineRule="auto"/>
        <w:tabs>
          <w:tab w:leader="none" w:pos="4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commissions paid by QVC to Scripps Cable.</w:t>
      </w:r>
    </w:p>
    <w:p>
      <w:pPr>
        <w:spacing w:after="0" w:line="174" w:lineRule="exact"/>
        <w:rPr>
          <w:rFonts w:ascii="Courier New" w:cs="Courier New" w:eastAsia="Courier New" w:hAnsi="Courier New"/>
          <w:sz w:val="15"/>
          <w:szCs w:val="15"/>
          <w:color w:val="auto"/>
        </w:rPr>
      </w:pPr>
    </w:p>
    <w:p>
      <w:pPr>
        <w:ind w:left="460" w:right="3039" w:hanging="452"/>
        <w:spacing w:after="0" w:line="246" w:lineRule="auto"/>
        <w:tabs>
          <w:tab w:leader="none" w:pos="4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additional depreciation and amortization expense resulting from the increased fair market value of the assets acquired in excess of their historical book values and amortization of goodwill arising from the acquisition, offset, in part, by the elimination of Scripps Cable's historical goodwill amortization. Depreciation expense is based on a weighted average property and equipment life of approximately 10 years. Property and equipment of Scripps Cable principally consists of operating facilities, which is typically depreciated over a period of 12 years by the Company. Amortization expense is based on an average life for deferred charges and goodwill of 12 and 20 years, respectively.</w:t>
      </w:r>
    </w:p>
    <w:p>
      <w:pPr>
        <w:spacing w:after="0" w:line="356"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9779"/>
          </w:cols>
          <w:pgMar w:left="680" w:top="643" w:right="1440" w:bottom="1440" w:gutter="0" w:footer="0" w:header="0"/>
        </w:sectPr>
      </w:pPr>
    </w:p>
    <w:bookmarkStart w:id="15" w:name="page16"/>
    <w:bookmarkEnd w:id="15"/>
    <w:p>
      <w:pPr>
        <w:ind w:left="452" w:right="3419" w:hanging="362"/>
        <w:spacing w:after="0" w:line="247" w:lineRule="auto"/>
        <w:tabs>
          <w:tab w:leader="none" w:pos="45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Scripps Cable's historical interest expense on balances due to affiliates.</w:t>
      </w:r>
    </w:p>
    <w:p>
      <w:pPr>
        <w:spacing w:after="0" w:line="174" w:lineRule="exact"/>
        <w:rPr>
          <w:rFonts w:ascii="Courier New" w:cs="Courier New" w:eastAsia="Courier New" w:hAnsi="Courier New"/>
          <w:sz w:val="15"/>
          <w:szCs w:val="15"/>
          <w:color w:val="auto"/>
        </w:rPr>
      </w:pPr>
    </w:p>
    <w:p>
      <w:pPr>
        <w:ind w:left="452" w:right="3319" w:hanging="452"/>
        <w:spacing w:after="0" w:line="247" w:lineRule="auto"/>
        <w:tabs>
          <w:tab w:leader="none" w:pos="45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adjustments to the tax provision resulting from the pro forma adjustments.</w:t>
      </w:r>
    </w:p>
    <w:p>
      <w:pPr>
        <w:spacing w:after="0" w:line="174" w:lineRule="exact"/>
        <w:rPr>
          <w:rFonts w:ascii="Courier New" w:cs="Courier New" w:eastAsia="Courier New" w:hAnsi="Courier New"/>
          <w:sz w:val="15"/>
          <w:szCs w:val="15"/>
          <w:color w:val="auto"/>
        </w:rPr>
      </w:pPr>
    </w:p>
    <w:p>
      <w:pPr>
        <w:ind w:left="452" w:right="2959" w:hanging="452"/>
        <w:spacing w:after="0" w:line="247" w:lineRule="auto"/>
        <w:tabs>
          <w:tab w:leader="none" w:pos="45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additional shares of Class A Special Common Stock to be issued in connection with the Scripps Transaction.</w:t>
      </w:r>
    </w:p>
    <w:p>
      <w:pPr>
        <w:spacing w:after="0" w:line="349" w:lineRule="exact"/>
        <w:rPr>
          <w:sz w:val="20"/>
          <w:szCs w:val="20"/>
          <w:color w:val="auto"/>
        </w:rPr>
      </w:pPr>
    </w:p>
    <w:p>
      <w:pPr>
        <w:ind w:left="2992"/>
        <w:spacing w:after="0"/>
        <w:rPr>
          <w:sz w:val="20"/>
          <w:szCs w:val="20"/>
          <w:color w:val="auto"/>
        </w:rPr>
      </w:pPr>
      <w:r>
        <w:rPr>
          <w:rFonts w:ascii="Courier New" w:cs="Courier New" w:eastAsia="Courier New" w:hAnsi="Courier New"/>
          <w:sz w:val="15"/>
          <w:szCs w:val="15"/>
          <w:color w:val="auto"/>
        </w:rPr>
        <w:t>F-10</w:t>
      </w:r>
    </w:p>
    <w:sectPr>
      <w:pgSz w:w="11900" w:h="16838" w:orient="portrait"/>
      <w:cols w:equalWidth="0" w:num="1">
        <w:col w:w="9772"/>
      </w:cols>
      <w:pgMar w:left="688" w:top="64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1."/>
      <w:numFmt w:val="upperLetter"/>
      <w:start w:val="1"/>
    </w:lvl>
  </w:abstractNum>
  <w:abstractNum w:abstractNumId="2">
    <w:nsid w:val="3D1B58BA"/>
    <w:multiLevelType w:val="hybridMultilevel"/>
    <w:lvl w:ilvl="0">
      <w:lvlJc w:val="left"/>
      <w:lvlText w:val="%1."/>
      <w:numFmt w:val="upperLetter"/>
      <w:start w:val="2"/>
    </w:lvl>
    <w:lvl w:ilvl="1">
      <w:lvlJc w:val="left"/>
      <w:lvlText w:val="%2."/>
      <w:numFmt w:val="decimal"/>
      <w:start w:val="1"/>
    </w:lvl>
  </w:abstractNum>
  <w:abstractNum w:abstractNumId="3">
    <w:nsid w:val="507ED7AB"/>
    <w:multiLevelType w:val="hybridMultilevel"/>
    <w:lvl w:ilvl="0">
      <w:lvlJc w:val="left"/>
      <w:lvlText w:val="%1."/>
      <w:numFmt w:val="upperLetter"/>
      <w:start w:val="3"/>
    </w:lvl>
  </w:abstractNum>
  <w:abstractNum w:abstractNumId="4">
    <w:nsid w:val="2EB141F2"/>
    <w:multiLevelType w:val="hybridMultilevel"/>
    <w:lvl w:ilvl="0">
      <w:lvlJc w:val="left"/>
      <w:lvlText w:val="%1."/>
      <w:numFmt w:val="upperLetter"/>
      <w:start w:val="4"/>
    </w:lvl>
    <w:lvl w:ilvl="1">
      <w:lvlJc w:val="left"/>
      <w:lvlText w:val="%2."/>
      <w:numFmt w:val="decimal"/>
      <w:start w:val="1"/>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1."/>
      <w:numFmt w:val="decimal"/>
      <w:start w:val="7"/>
    </w:lvl>
  </w:abstractNum>
  <w:abstractNum w:abstractNumId="7">
    <w:nsid w:val="7545E146"/>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2019-12-12T23:11:46Z</dcterms:created>
  <dcterms:modified xsi:type="dcterms:W3CDTF">2019-12-12T23:11:46Z</dcterms:modified>
</cp:coreProperties>
</file>