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001-32871</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COMCAST CORP</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40"/>
        <w:spacing w:after="0"/>
        <w:rPr>
          <w:sz w:val="20"/>
          <w:szCs w:val="20"/>
          <w:color w:val="auto"/>
        </w:rPr>
      </w:pPr>
      <w:r>
        <w:rPr>
          <w:rFonts w:ascii="Arial" w:cs="Arial" w:eastAsia="Arial" w:hAnsi="Arial"/>
          <w:sz w:val="22"/>
          <w:szCs w:val="22"/>
          <w:color w:val="auto"/>
        </w:rPr>
        <w:t>Address: 1500 Market Street</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22"/>
          <w:szCs w:val="22"/>
          <w:color w:val="auto"/>
        </w:rPr>
        <w:t>Philadelphia PENNSYLVANIA 19102-2148</w:t>
      </w:r>
    </w:p>
    <w:p>
      <w:pPr>
        <w:spacing w:after="0" w:line="44" w:lineRule="exact"/>
        <w:rPr>
          <w:sz w:val="24"/>
          <w:szCs w:val="24"/>
          <w:color w:val="auto"/>
        </w:rPr>
      </w:pPr>
    </w:p>
    <w:p>
      <w:pPr>
        <w:ind w:left="2140"/>
        <w:spacing w:after="0"/>
        <w:rPr>
          <w:sz w:val="20"/>
          <w:szCs w:val="20"/>
          <w:color w:val="auto"/>
        </w:rPr>
      </w:pPr>
      <w:r>
        <w:rPr>
          <w:rFonts w:ascii="Arial" w:cs="Arial" w:eastAsia="Arial" w:hAnsi="Arial"/>
          <w:sz w:val="22"/>
          <w:szCs w:val="22"/>
          <w:color w:val="auto"/>
        </w:rPr>
        <w:t>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5.00% Notes Due 2061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2017-12-18</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940"/>
              <w:spacing w:after="0"/>
              <w:rPr>
                <w:sz w:val="20"/>
                <w:szCs w:val="20"/>
                <w:color w:val="auto"/>
              </w:rPr>
            </w:pPr>
            <w:r>
              <w:rPr>
                <w:rFonts w:ascii="Arial" w:cs="Arial" w:eastAsia="Arial" w:hAnsi="Arial"/>
                <w:sz w:val="22"/>
                <w:szCs w:val="22"/>
                <w:color w:val="auto"/>
              </w:rPr>
              <w:t>Kathryn Mordeno</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6"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December 29, 2017, pursuant to the provisions of Rule 12d2-2 (a). [ X ] 17 CFR 240.12d2-2(a)(1) That the entire class of this security was called for redemption, maturity or retirement on December 15, 2017; appropriate notice thereof was given; funds sufficient for the payment of all such securities were deposited with an agency authorized to make such payment; and such funds were made available to security holders on December 15, 2017. The Exchange also notifies the Securities and Exchange Commission that as a result of the above indicated conditions this security was suspended from trading on December 15, 2017.</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2871" TargetMode="External"/><Relationship Id="rId10" Type="http://schemas.openxmlformats.org/officeDocument/2006/relationships/hyperlink" Target="http://www.sec.gov/cgi-bin/browse-edgar?action=getcompany&amp;CIK=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2019-12-06T18:05:27Z</dcterms:created>
  <dcterms:modified xsi:type="dcterms:W3CDTF">2019-12-06T18:05:27Z</dcterms:modified>
</cp:coreProperties>
</file>