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dp190706_8k.htm"/>
      <w:bookmarkStart w:id="1" w:name="ksdp190706_8k"/>
      <w:bookmarkEnd w:id="0"/>
      <w:bookmarkEnd w:id="1"/>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ind w:left="0" w:right="0" w:hanging="0"/>
        <w:jc w:val="center"/>
        <w:rPr>
          <w:sz w:val="20"/>
        </w:rPr>
      </w:pPr>
      <w:r>
        <w:rPr>
          <w:sz w:val="20"/>
        </w:rPr>
        <w:t>____________________________</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30421__20"/>
      <w:bookmarkEnd w:id="2"/>
      <w:r>
        <w:rPr>
          <w:rFonts w:ascii="Times New Roman;Times;Serif" w:hAnsi="Times New Roman;Times;Serif"/>
          <w:b/>
          <w:i w:val="false"/>
          <w:caps w:val="false"/>
          <w:smallCaps w:val="false"/>
          <w:sz w:val="36"/>
        </w:rPr>
        <w:t>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CURRENT REPORT</w:t>
      </w:r>
      <w:r>
        <w:rPr>
          <w:rFonts w:ascii="Times New Roman;Times;Serif" w:hAnsi="Times New Roman;Times;Serif"/>
          <w:b w:val="false"/>
          <w:i w:val="false"/>
          <w:caps w:val="false"/>
          <w:smallCaps w:val="false"/>
          <w:sz w:val="28"/>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Pursuant to Section 13 or 15(d) of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April 21,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48"/>
        </w:rPr>
      </w:pPr>
      <w:bookmarkStart w:id="4" w:name="xdx_904_edei--EntityRegistrantName_c2023"/>
      <w:bookmarkEnd w:id="4"/>
      <w:r>
        <w:rPr>
          <w:rFonts w:ascii="Times New Roman;Times;Serif" w:hAnsi="Times New Roman;Times;Serif"/>
          <w:b/>
          <w:i w:val="false"/>
          <w:caps w:val="false"/>
          <w:smallCaps w:val="false"/>
          <w:sz w:val="48"/>
        </w:rPr>
        <w:t>Comcast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spacing w:before="0" w:after="0"/>
        <w:ind w:left="0" w:right="0" w:hanging="0"/>
        <w:jc w:val="center"/>
        <w:rPr>
          <w:caps w:val="false"/>
          <w:smallCaps w:val="false"/>
        </w:rPr>
      </w:pPr>
      <w:r>
        <w:rPr>
          <w:caps w:val="false"/>
          <w:smallCaps w:val="false"/>
        </w:rPr>
        <w:t> </w:t>
      </w:r>
    </w:p>
    <w:tbl>
      <w:tblPr>
        <w:tblW w:w="8955" w:type="dxa"/>
        <w:jc w:val="left"/>
        <w:tblInd w:w="0" w:type="dxa"/>
        <w:tblCellMar>
          <w:top w:w="0" w:type="dxa"/>
          <w:left w:w="0" w:type="dxa"/>
          <w:bottom w:w="0" w:type="dxa"/>
          <w:right w:w="0" w:type="dxa"/>
        </w:tblCellMar>
      </w:tblPr>
      <w:tblGrid>
        <w:gridCol w:w="2315"/>
        <w:gridCol w:w="3755"/>
        <w:gridCol w:w="2885"/>
      </w:tblGrid>
      <w:tr>
        <w:trPr/>
        <w:tc>
          <w:tcPr>
            <w:tcW w:w="2315" w:type="dxa"/>
            <w:tcBorders/>
            <w:shd w:fill="auto" w:val="clear"/>
            <w:vAlign w:val="center"/>
          </w:tcPr>
          <w:p>
            <w:pPr>
              <w:pStyle w:val="TableContents"/>
              <w:spacing w:before="0" w:after="283"/>
              <w:jc w:val="center"/>
              <w:rPr/>
            </w:pPr>
            <w:r>
              <w:rPr/>
              <w:t> </w:t>
            </w:r>
          </w:p>
        </w:tc>
        <w:tc>
          <w:tcPr>
            <w:tcW w:w="375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Pennsylvania</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w:t>
            </w:r>
          </w:p>
        </w:tc>
        <w:tc>
          <w:tcPr>
            <w:tcW w:w="2885" w:type="dxa"/>
            <w:tcBorders/>
            <w:shd w:fill="auto" w:val="clear"/>
            <w:vAlign w:val="center"/>
          </w:tcPr>
          <w:p>
            <w:pPr>
              <w:pStyle w:val="TableContents"/>
              <w:spacing w:before="0" w:after="283"/>
              <w:jc w:val="center"/>
              <w:rPr/>
            </w:pPr>
            <w:r>
              <w:rPr/>
              <w:t> </w:t>
            </w:r>
          </w:p>
        </w:tc>
      </w:tr>
      <w:tr>
        <w:trPr/>
        <w:tc>
          <w:tcPr>
            <w:tcW w:w="231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6" w:name="xdx_903_edei--EntityFileNumber_c20230421"/>
            <w:bookmarkEnd w:id="6"/>
            <w:r>
              <w:rPr>
                <w:rFonts w:ascii="Times New Roman;Times;Serif" w:hAnsi="Times New Roman;Times;Serif"/>
                <w:b/>
                <w:i w:val="false"/>
                <w:caps w:val="false"/>
                <w:smallCaps w:val="false"/>
                <w:sz w:val="20"/>
              </w:rPr>
              <w:t>001-32871</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3755" w:type="dxa"/>
            <w:tcBorders/>
            <w:shd w:fill="auto" w:val="clear"/>
            <w:vAlign w:val="center"/>
          </w:tcPr>
          <w:p>
            <w:pPr>
              <w:pStyle w:val="TableContents"/>
              <w:spacing w:before="0" w:after="283"/>
              <w:jc w:val="center"/>
              <w:rPr/>
            </w:pPr>
            <w:r>
              <w:rPr/>
              <w:t> </w:t>
            </w:r>
          </w:p>
        </w:tc>
        <w:tc>
          <w:tcPr>
            <w:tcW w:w="288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27-0000798</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 Identification No.)</w:t>
            </w:r>
          </w:p>
        </w:tc>
      </w:tr>
    </w:tbl>
    <w:p>
      <w:pPr>
        <w:pStyle w:val="TextBody"/>
        <w:rPr/>
      </w:pPr>
      <w:r>
        <w:rPr/>
        <w:t> </w:t>
      </w:r>
    </w:p>
    <w:tbl>
      <w:tblPr>
        <w:tblW w:w="4495" w:type="dxa"/>
        <w:jc w:val="left"/>
        <w:tblInd w:w="0" w:type="dxa"/>
        <w:tblCellMar>
          <w:top w:w="0" w:type="dxa"/>
          <w:left w:w="0" w:type="dxa"/>
          <w:bottom w:w="0" w:type="dxa"/>
          <w:right w:w="0" w:type="dxa"/>
        </w:tblCellMar>
      </w:tblPr>
      <w:tblGrid>
        <w:gridCol w:w="3395"/>
        <w:gridCol w:w="60"/>
        <w:gridCol w:w="1040"/>
      </w:tblGrid>
      <w:tr>
        <w:trPr/>
        <w:tc>
          <w:tcPr>
            <w:tcW w:w="339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One Comcast Center</w:t>
            </w:r>
          </w:p>
          <w:p>
            <w:pPr>
              <w:pStyle w:val="TableContents"/>
              <w:spacing w:before="0" w:after="0"/>
              <w:ind w:left="0" w:right="0" w:hanging="0"/>
              <w:jc w:val="center"/>
              <w:rPr>
                <w:rFonts w:ascii="Times New Roman;Times;Serif" w:hAnsi="Times New Roman;Times;Serif"/>
                <w:b/>
                <w:i w:val="false"/>
                <w:caps w:val="false"/>
                <w:smallCaps w:val="false"/>
                <w:sz w:val="20"/>
              </w:rPr>
            </w:pPr>
            <w:bookmarkStart w:id="9" w:name="xdx_90C_edei--EntityAddressCityOrTown_c2"/>
            <w:bookmarkEnd w:id="9"/>
            <w:r>
              <w:rPr>
                <w:rFonts w:ascii="Times New Roman;Times;Serif" w:hAnsi="Times New Roman;Times;Serif"/>
                <w:b/>
                <w:i w:val="false"/>
                <w:caps w:val="false"/>
                <w:smallCaps w:val="false"/>
                <w:sz w:val="20"/>
              </w:rPr>
              <w:t xml:space="preserve">Philadelphia, </w:t>
            </w:r>
            <w:bookmarkStart w:id="10" w:name="xdx_906_edei--EntityAddressStateOrProvin"/>
            <w:bookmarkEnd w:id="10"/>
            <w:r>
              <w:rPr>
                <w:rFonts w:ascii="Times New Roman;Times;Serif" w:hAnsi="Times New Roman;Times;Serif"/>
                <w:b/>
                <w:i w:val="false"/>
                <w:caps w:val="false"/>
                <w:smallCaps w:val="false"/>
                <w:sz w:val="20"/>
              </w:rPr>
              <w:t>PA</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shd w:fill="auto" w:val="clear"/>
            <w:vAlign w:val="center"/>
          </w:tcPr>
          <w:p>
            <w:pPr>
              <w:pStyle w:val="TableContents"/>
              <w:spacing w:before="0" w:after="283"/>
              <w:jc w:val="center"/>
              <w:rPr/>
            </w:pPr>
            <w:r>
              <w:rPr/>
              <w:t> </w:t>
            </w:r>
          </w:p>
        </w:tc>
        <w:tc>
          <w:tcPr>
            <w:tcW w:w="1040"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11" w:name="xdx_905_edei--EntityAddressPostalZipCode"/>
            <w:bookmarkEnd w:id="11"/>
            <w:r>
              <w:rPr>
                <w:rFonts w:ascii="Times New Roman;Times;Serif" w:hAnsi="Times New Roman;Times;Serif"/>
                <w:b/>
                <w:i w:val="false"/>
                <w:caps w:val="false"/>
                <w:smallCaps w:val="false"/>
                <w:sz w:val="20"/>
              </w:rPr>
              <w:t>19103-2838</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9_edei--CityAreaCode_c20230421__20"/>
      <w:bookmarkEnd w:id="12"/>
      <w:r>
        <w:rPr>
          <w:rFonts w:ascii="Times New Roman;Times;Serif" w:hAnsi="Times New Roman;Times;Serif"/>
          <w:b/>
          <w:i w:val="false"/>
          <w:caps w:val="false"/>
          <w:smallCaps w:val="false"/>
          <w:sz w:val="20"/>
        </w:rPr>
        <w:t xml:space="preserve">215) </w:t>
      </w:r>
      <w:bookmarkStart w:id="13" w:name="xdx_90C_edei--LocalPhoneNumber_c20230421"/>
      <w:bookmarkEnd w:id="13"/>
      <w:r>
        <w:rPr>
          <w:rFonts w:ascii="Times New Roman;Times;Serif" w:hAnsi="Times New Roman;Times;Serif"/>
          <w:b/>
          <w:i w:val="false"/>
          <w:caps w:val="false"/>
          <w:smallCaps w:val="false"/>
          <w:sz w:val="20"/>
        </w:rPr>
        <w:t>286-1700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jc w:val="center"/>
        <w:rPr>
          <w:sz w:val="20"/>
        </w:rPr>
      </w:pPr>
      <w:r>
        <w:rPr>
          <w:sz w:val="20"/>
        </w:rPr>
        <w:t>____________________________</w:t>
      </w:r>
    </w:p>
    <w:p>
      <w:pPr>
        <w:pStyle w:val="TextBody"/>
        <w:rPr/>
      </w:pPr>
      <w:r>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firstLine="360"/>
        <w:rPr>
          <w:caps w:val="false"/>
          <w:smallCaps w:val="false"/>
        </w:rPr>
      </w:pPr>
      <w:r>
        <w:rPr>
          <w:caps w:val="false"/>
          <w:smallCaps w:val="false"/>
        </w:rPr>
        <w:t> </w:t>
      </w:r>
    </w:p>
    <w:tbl>
      <w:tblPr>
        <w:tblW w:w="8793" w:type="dxa"/>
        <w:jc w:val="left"/>
        <w:tblInd w:w="0" w:type="dxa"/>
        <w:tblCellMar>
          <w:top w:w="0" w:type="dxa"/>
          <w:left w:w="0" w:type="dxa"/>
          <w:bottom w:w="0" w:type="dxa"/>
          <w:right w:w="0" w:type="dxa"/>
        </w:tblCellMar>
      </w:tblPr>
      <w:tblGrid>
        <w:gridCol w:w="38"/>
        <w:gridCol w:w="230"/>
        <w:gridCol w:w="852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pPr>
            <w:bookmarkStart w:id="14" w:name="xdx_902_edei--WrittenCommunications_c202"/>
            <w:bookmarkEnd w:id="14"/>
            <w:r>
              <w:rPr/>
              <w:t>☐</w:t>
            </w:r>
          </w:p>
        </w:tc>
        <w:tc>
          <w:tcPr>
            <w:tcW w:w="8525" w:type="dxa"/>
            <w:tcBorders/>
            <w:shd w:fill="auto" w:val="clear"/>
            <w:vAlign w:val="center"/>
          </w:tcPr>
          <w:p>
            <w:pPr>
              <w:pStyle w:val="TableContents"/>
              <w:spacing w:before="0" w:after="283"/>
              <w:rPr/>
            </w:pPr>
            <w:r>
              <w:rPr/>
              <w:t>Written communications pursuant to Rule 425 under the Securities Act (17 CFR 230.425)</w:t>
            </w:r>
          </w:p>
        </w:tc>
      </w:tr>
    </w:tbl>
    <w:p>
      <w:pPr>
        <w:pStyle w:val="TextBody"/>
        <w:spacing w:before="0" w:after="0"/>
        <w:rPr>
          <w:caps w:val="false"/>
          <w:smallCaps w:val="false"/>
        </w:rPr>
      </w:pPr>
      <w:r>
        <w:rPr>
          <w:caps w:val="false"/>
          <w:smallCaps w:val="false"/>
        </w:rPr>
        <w:t> </w:t>
      </w:r>
    </w:p>
    <w:tbl>
      <w:tblPr>
        <w:tblW w:w="9093" w:type="dxa"/>
        <w:jc w:val="left"/>
        <w:tblInd w:w="0" w:type="dxa"/>
        <w:tblCellMar>
          <w:top w:w="0" w:type="dxa"/>
          <w:left w:w="0" w:type="dxa"/>
          <w:bottom w:w="0" w:type="dxa"/>
          <w:right w:w="0" w:type="dxa"/>
        </w:tblCellMar>
      </w:tblPr>
      <w:tblGrid>
        <w:gridCol w:w="38"/>
        <w:gridCol w:w="230"/>
        <w:gridCol w:w="882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pPr>
            <w:bookmarkStart w:id="15" w:name="xdx_909_edei--SolicitingMaterial_c202304"/>
            <w:bookmarkEnd w:id="15"/>
            <w:r>
              <w:rPr/>
              <w:t>☐</w:t>
            </w:r>
          </w:p>
        </w:tc>
        <w:tc>
          <w:tcPr>
            <w:tcW w:w="8825" w:type="dxa"/>
            <w:tcBorders/>
            <w:shd w:fill="auto" w:val="clear"/>
            <w:vAlign w:val="center"/>
          </w:tcPr>
          <w:p>
            <w:pPr>
              <w:pStyle w:val="TableContents"/>
              <w:spacing w:before="0" w:after="283"/>
              <w:rPr/>
            </w:pPr>
            <w:r>
              <w:rPr/>
              <w:t>Soliciting material pursuant to Rule 14a-12(b) under the Exchange Act (17 CFR 240.14a-12)</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0"/>
        <w:gridCol w:w="9937"/>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pPr>
            <w:bookmarkStart w:id="16" w:name="xdx_90E_edei--PreCommencementTenderOffer"/>
            <w:bookmarkEnd w:id="16"/>
            <w:r>
              <w:rPr/>
              <w:t>☐</w:t>
            </w:r>
          </w:p>
        </w:tc>
        <w:tc>
          <w:tcPr>
            <w:tcW w:w="9937" w:type="dxa"/>
            <w:tcBorders/>
            <w:shd w:fill="auto" w:val="clear"/>
            <w:vAlign w:val="center"/>
          </w:tcPr>
          <w:p>
            <w:pPr>
              <w:pStyle w:val="TableContents"/>
              <w:spacing w:before="0" w:after="283"/>
              <w:rPr/>
            </w:pPr>
            <w:r>
              <w:rPr/>
              <w:t>Pre-commencement communications pursuant to Rule 14d-2(b) under the Exchange Act (17 CFR 240.14d-2(b))</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0"/>
        <w:gridCol w:w="9937"/>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pPr>
            <w:bookmarkStart w:id="17" w:name="xdx_902_edei--PreCommencementIssuerTende"/>
            <w:bookmarkEnd w:id="17"/>
            <w:r>
              <w:rPr/>
              <w:t>☐</w:t>
            </w:r>
          </w:p>
        </w:tc>
        <w:tc>
          <w:tcPr>
            <w:tcW w:w="9937" w:type="dxa"/>
            <w:tcBorders/>
            <w:shd w:fill="auto" w:val="clear"/>
            <w:vAlign w:val="center"/>
          </w:tcPr>
          <w:p>
            <w:pPr>
              <w:pStyle w:val="TableContents"/>
              <w:spacing w:before="0" w:after="283"/>
              <w:rPr/>
            </w:pPr>
            <w:r>
              <w:rPr/>
              <w:t>Pre-commencement communications pursuant to Rule 13e-4(c) under the Exchange Act (17 CFR 240.13e-4(c))</w:t>
            </w:r>
          </w:p>
        </w:tc>
      </w:tr>
    </w:tbl>
    <w:p>
      <w:pPr>
        <w:pStyle w:val="TextBody"/>
        <w:spacing w:before="0" w:after="0"/>
        <w:rPr>
          <w:caps w:val="false"/>
          <w:smallCaps w:val="false"/>
        </w:rPr>
      </w:pPr>
      <w:r>
        <w:rPr>
          <w:caps w:val="false"/>
          <w:smallCaps w:val="false"/>
        </w:rPr>
        <w:t> </w:t>
      </w:r>
    </w:p>
    <w:tbl>
      <w:tblPr>
        <w:tblW w:w="10205" w:type="dxa"/>
        <w:jc w:val="left"/>
        <w:tblInd w:w="0" w:type="dxa"/>
        <w:tblCellMar>
          <w:top w:w="28" w:type="dxa"/>
          <w:left w:w="28" w:type="dxa"/>
          <w:bottom w:w="28" w:type="dxa"/>
          <w:right w:w="28" w:type="dxa"/>
        </w:tblCellMar>
      </w:tblPr>
      <w:tblGrid>
        <w:gridCol w:w="5187"/>
        <w:gridCol w:w="1520"/>
        <w:gridCol w:w="3498"/>
      </w:tblGrid>
      <w:tr>
        <w:trPr/>
        <w:tc>
          <w:tcPr>
            <w:tcW w:w="5187"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sz w:val="20"/>
              </w:rPr>
            </w:pPr>
            <w:r>
              <w:rPr>
                <w:sz w:val="20"/>
              </w:rPr>
              <w:t>Title of each class</w:t>
            </w:r>
          </w:p>
        </w:tc>
        <w:tc>
          <w:tcPr>
            <w:tcW w:w="152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sz w:val="20"/>
              </w:rPr>
            </w:pPr>
            <w:r>
              <w:rPr>
                <w:sz w:val="20"/>
              </w:rPr>
              <w:t>Trading Symbol(s)</w:t>
            </w:r>
          </w:p>
        </w:tc>
        <w:tc>
          <w:tcPr>
            <w:tcW w:w="3498"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sz w:val="20"/>
              </w:rPr>
            </w:pPr>
            <w:r>
              <w:rPr>
                <w:sz w:val="20"/>
              </w:rPr>
              <w:t>Name of each exchange on which registered</w:t>
            </w:r>
          </w:p>
        </w:tc>
      </w:tr>
      <w:tr>
        <w:trPr/>
        <w:tc>
          <w:tcPr>
            <w:tcW w:w="518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bookmarkStart w:id="18" w:name="xdx_908_edei--Security12bTitle_c20230421"/>
            <w:bookmarkEnd w:id="18"/>
            <w:r>
              <w:rPr>
                <w:sz w:val="20"/>
              </w:rPr>
              <w:t>Class A Common Stock, $0.01 par value</w:t>
            </w:r>
          </w:p>
        </w:tc>
        <w:tc>
          <w:tcPr>
            <w:tcW w:w="15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19" w:name="xdx_90B_edei--TradingSymbol_c20230421__2"/>
            <w:bookmarkEnd w:id="19"/>
            <w:r>
              <w:rPr/>
              <w:t>CMCSA</w:t>
            </w:r>
          </w:p>
        </w:tc>
        <w:tc>
          <w:tcPr>
            <w:tcW w:w="349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20" w:name="xdx_90E_edei--SecurityExchangeName_c2023"/>
            <w:bookmarkEnd w:id="20"/>
            <w:r>
              <w:rPr/>
              <w:t>The Nasdaq Stock Market LLC</w:t>
            </w:r>
          </w:p>
        </w:tc>
      </w:tr>
      <w:tr>
        <w:trPr/>
        <w:tc>
          <w:tcPr>
            <w:tcW w:w="518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bookmarkStart w:id="21" w:name="xdx_90A_edei--Security12bTitle_c20230421"/>
            <w:bookmarkEnd w:id="21"/>
            <w:r>
              <w:rPr/>
              <w:t>0.000% Notes due 2026</w:t>
            </w:r>
          </w:p>
        </w:tc>
        <w:tc>
          <w:tcPr>
            <w:tcW w:w="15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22" w:name="xdx_90D_edei--TradingSymbol_c20230421__2"/>
            <w:bookmarkEnd w:id="22"/>
            <w:r>
              <w:rPr/>
              <w:t>CMCS26</w:t>
            </w:r>
          </w:p>
        </w:tc>
        <w:tc>
          <w:tcPr>
            <w:tcW w:w="349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23" w:name="xdx_908_edei--SecurityExchangeName_c2023"/>
            <w:bookmarkEnd w:id="23"/>
            <w:r>
              <w:rPr/>
              <w:t>The Nasdaq Stock Market LLC</w:t>
            </w:r>
          </w:p>
        </w:tc>
      </w:tr>
      <w:tr>
        <w:trPr/>
        <w:tc>
          <w:tcPr>
            <w:tcW w:w="518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bookmarkStart w:id="24" w:name="xdx_90E_edei--Security12bTitle_c20230421"/>
            <w:bookmarkEnd w:id="24"/>
            <w:r>
              <w:rPr/>
              <w:t>0.250% Notes due 2027</w:t>
            </w:r>
          </w:p>
        </w:tc>
        <w:tc>
          <w:tcPr>
            <w:tcW w:w="15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25" w:name="xdx_906_edei--TradingSymbol_c20230421__2"/>
            <w:bookmarkEnd w:id="25"/>
            <w:r>
              <w:rPr/>
              <w:t>CMCS27</w:t>
            </w:r>
          </w:p>
        </w:tc>
        <w:tc>
          <w:tcPr>
            <w:tcW w:w="349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26" w:name="xdx_900_edei--SecurityExchangeName_c2023"/>
            <w:bookmarkEnd w:id="26"/>
            <w:r>
              <w:rPr/>
              <w:t>The Nasdaq Stock Market LLC</w:t>
            </w:r>
          </w:p>
        </w:tc>
      </w:tr>
      <w:tr>
        <w:trPr/>
        <w:tc>
          <w:tcPr>
            <w:tcW w:w="518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bookmarkStart w:id="27" w:name="xdx_905_edei--Security12bTitle_c20230421"/>
            <w:bookmarkEnd w:id="27"/>
            <w:r>
              <w:rPr/>
              <w:t>1.500% Notes due 2029</w:t>
            </w:r>
          </w:p>
        </w:tc>
        <w:tc>
          <w:tcPr>
            <w:tcW w:w="15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28" w:name="xdx_90A_edei--TradingSymbol_c20230421__2"/>
            <w:bookmarkEnd w:id="28"/>
            <w:r>
              <w:rPr/>
              <w:t>CMCS29</w:t>
            </w:r>
          </w:p>
        </w:tc>
        <w:tc>
          <w:tcPr>
            <w:tcW w:w="349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29" w:name="xdx_90C_edei--SecurityExchangeName_c2023"/>
            <w:bookmarkEnd w:id="29"/>
            <w:r>
              <w:rPr/>
              <w:t>The Nasdaq Stock Market LLC</w:t>
            </w:r>
          </w:p>
        </w:tc>
      </w:tr>
      <w:tr>
        <w:trPr/>
        <w:tc>
          <w:tcPr>
            <w:tcW w:w="518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bookmarkStart w:id="30" w:name="xdx_901_edei--Security12bTitle_c20230421"/>
            <w:bookmarkEnd w:id="30"/>
            <w:r>
              <w:rPr/>
              <w:t>0.250% Notes due 2029</w:t>
            </w:r>
          </w:p>
        </w:tc>
        <w:tc>
          <w:tcPr>
            <w:tcW w:w="15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31" w:name="xdx_900_edei--TradingSymbol_c20230421__2"/>
            <w:bookmarkEnd w:id="31"/>
            <w:r>
              <w:rPr/>
              <w:t>CMCS29A</w:t>
            </w:r>
          </w:p>
        </w:tc>
        <w:tc>
          <w:tcPr>
            <w:tcW w:w="349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32" w:name="xdx_90F_edei--SecurityExchangeName_c2023"/>
            <w:bookmarkEnd w:id="32"/>
            <w:r>
              <w:rPr/>
              <w:t>The Nasdaq Stock Market LLC</w:t>
            </w:r>
          </w:p>
        </w:tc>
      </w:tr>
      <w:tr>
        <w:trPr/>
        <w:tc>
          <w:tcPr>
            <w:tcW w:w="518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bookmarkStart w:id="33" w:name="xdx_90B_edei--Security12bTitle_c20230421"/>
            <w:bookmarkEnd w:id="33"/>
            <w:r>
              <w:rPr/>
              <w:t>0.750% Notes due 2032</w:t>
            </w:r>
          </w:p>
        </w:tc>
        <w:tc>
          <w:tcPr>
            <w:tcW w:w="15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34" w:name="xdx_90D_edei--TradingSymbol_c20230421__2"/>
            <w:bookmarkEnd w:id="34"/>
            <w:r>
              <w:rPr/>
              <w:t>CMCS32</w:t>
            </w:r>
          </w:p>
        </w:tc>
        <w:tc>
          <w:tcPr>
            <w:tcW w:w="349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35" w:name="xdx_90F_edei--SecurityExchangeName_c2023"/>
            <w:bookmarkEnd w:id="35"/>
            <w:r>
              <w:rPr/>
              <w:t>The Nasdaq Stock Market LLC</w:t>
            </w:r>
          </w:p>
        </w:tc>
      </w:tr>
      <w:tr>
        <w:trPr/>
        <w:tc>
          <w:tcPr>
            <w:tcW w:w="518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bookmarkStart w:id="36" w:name="xdx_90D_edei--Security12bTitle_c20230421"/>
            <w:bookmarkEnd w:id="36"/>
            <w:r>
              <w:rPr/>
              <w:t>1.875% Notes due 2036</w:t>
            </w:r>
          </w:p>
        </w:tc>
        <w:tc>
          <w:tcPr>
            <w:tcW w:w="15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37" w:name="xdx_909_edei--TradingSymbol_c20230421__2"/>
            <w:bookmarkEnd w:id="37"/>
            <w:r>
              <w:rPr/>
              <w:t>CMCS36</w:t>
            </w:r>
          </w:p>
        </w:tc>
        <w:tc>
          <w:tcPr>
            <w:tcW w:w="349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38" w:name="xdx_905_edei--SecurityExchangeName_c2023"/>
            <w:bookmarkEnd w:id="38"/>
            <w:r>
              <w:rPr/>
              <w:t>The Nasdaq Stock Market LLC</w:t>
            </w:r>
          </w:p>
        </w:tc>
      </w:tr>
      <w:tr>
        <w:trPr/>
        <w:tc>
          <w:tcPr>
            <w:tcW w:w="518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bookmarkStart w:id="39" w:name="xdx_902_edei--Security12bTitle_c20230421"/>
            <w:bookmarkEnd w:id="39"/>
            <w:r>
              <w:rPr/>
              <w:t>1.250% Notes due 2040</w:t>
            </w:r>
          </w:p>
        </w:tc>
        <w:tc>
          <w:tcPr>
            <w:tcW w:w="15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40" w:name="xdx_901_edei--TradingSymbol_c20230421__2"/>
            <w:bookmarkEnd w:id="40"/>
            <w:r>
              <w:rPr/>
              <w:t>CMCS40</w:t>
            </w:r>
          </w:p>
        </w:tc>
        <w:tc>
          <w:tcPr>
            <w:tcW w:w="349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41" w:name="xdx_902_edei--SecurityExchangeName_c2023"/>
            <w:bookmarkEnd w:id="41"/>
            <w:r>
              <w:rPr/>
              <w:t>The Nasdaq Stock Market LLC</w:t>
            </w:r>
          </w:p>
        </w:tc>
      </w:tr>
      <w:tr>
        <w:trPr/>
        <w:tc>
          <w:tcPr>
            <w:tcW w:w="518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bookmarkStart w:id="42" w:name="xdx_90F_edei--Security12bTitle_c20230421"/>
            <w:bookmarkEnd w:id="42"/>
            <w:r>
              <w:rPr/>
              <w:t>5.50% Notes due 2029</w:t>
            </w:r>
          </w:p>
        </w:tc>
        <w:tc>
          <w:tcPr>
            <w:tcW w:w="15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43" w:name="xdx_909_edei--TradingSymbol_c20230421__2"/>
            <w:bookmarkEnd w:id="43"/>
            <w:r>
              <w:rPr/>
              <w:t>CCGBP29</w:t>
            </w:r>
          </w:p>
        </w:tc>
        <w:tc>
          <w:tcPr>
            <w:tcW w:w="349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44" w:name="xdx_90A_edei--SecurityExchangeName_c2023"/>
            <w:bookmarkEnd w:id="44"/>
            <w:r>
              <w:rPr/>
              <w:t>New York Stock Exchange</w:t>
            </w:r>
          </w:p>
        </w:tc>
      </w:tr>
      <w:tr>
        <w:trPr/>
        <w:tc>
          <w:tcPr>
            <w:tcW w:w="518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bookmarkStart w:id="45" w:name="xdx_90A_edei--Security12bTitle_c20230421"/>
            <w:bookmarkEnd w:id="45"/>
            <w:r>
              <w:rPr/>
              <w:t>2.0% Exchangeable Subordinated Debentures due 2029</w:t>
            </w:r>
          </w:p>
        </w:tc>
        <w:tc>
          <w:tcPr>
            <w:tcW w:w="152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46" w:name="xdx_90A_edei--TradingSymbol_c20230421__2"/>
            <w:bookmarkEnd w:id="46"/>
            <w:r>
              <w:rPr/>
              <w:t>CCZ</w:t>
            </w:r>
          </w:p>
        </w:tc>
        <w:tc>
          <w:tcPr>
            <w:tcW w:w="349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47" w:name="xdx_90B_edei--SecurityExchangeName_c2023"/>
            <w:bookmarkEnd w:id="47"/>
            <w:r>
              <w:rPr/>
              <w:t>New York Stock Exchange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48" w:name="xdx_90D_edei--EntityEmergingGrowthCompan"/>
      <w:bookmarkEnd w:id="48"/>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ind w:left="0" w:right="0" w:hanging="0"/>
        <w:rPr/>
      </w:pPr>
      <w:r>
        <w:rPr/>
        <w:t> </w:t>
      </w:r>
    </w:p>
    <w:p>
      <w:pPr>
        <w:pStyle w:val="TextBody"/>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187"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pacing w:before="0" w:after="0"/>
        <w:ind w:left="187"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2023, Comcast Corporation (“Comcast”) notified The Bank of New York Mellon, as trustee and calculation agent, that it will transition its outstanding Floating Rate Notes due 2024 (CUSIP 20030N CX7) (the “Notes”) from using three-month USD LIBOR to the three-month CME Term SOFR Reference Rate as administered by CME Group Benchmark Administration, Ltd. (or any successor administrator thereof) (“Term SOFR”) plus a tenor spread adjustment.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Notes and pursuant to the Adjustable Interest Rate (LIBOR) Act (the “LIBOR Act”) and the final rule adopted by the Board of Governors of the Federal Reserve System (the “FRS Board”) that implements the LIBOR Act (the “LIBOR Rule”), Comcast, as the determining person for the Notes, has determined that the FRS Board-selected benchmark replacement will replace USD LIBOR in the Notes on and after the first London banking day after June 30, 2023. Such replacement will be effective for determinations that are made after June 30, 2023 and will not affect any determinations made on or prior to such date under the terms of the Notes. The applicable tenor spread adjustment, as set forth in the LIBOR Act and in the LIBOR Rule, is 0.26161%.</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separate notice regarding the FRS Board-selected benchmark replacement for the Notes will be sent to holders via the Depository Trust and Clearing Corporation. This Current Report on Form 8-K does not constitute a notice to holders of the Notes regarding the Term SOFR transition.</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36"/>
        <w:gridCol w:w="1341"/>
        <w:gridCol w:w="60"/>
        <w:gridCol w:w="356"/>
        <w:gridCol w:w="641"/>
        <w:gridCol w:w="7271"/>
      </w:tblGrid>
      <w:tr>
        <w:trPr/>
        <w:tc>
          <w:tcPr>
            <w:tcW w:w="1877"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68" w:type="dxa"/>
            <w:gridSpan w:val="3"/>
            <w:tcBorders/>
            <w:shd w:fill="auto" w:val="clear"/>
            <w:vAlign w:val="center"/>
          </w:tcPr>
          <w:p>
            <w:pPr>
              <w:pStyle w:val="TableContents"/>
              <w:spacing w:before="0" w:after="283"/>
              <w:rPr>
                <w:b/>
              </w:rPr>
            </w:pPr>
            <w:r>
              <w:rPr>
                <w:b/>
              </w:rPr>
              <w:t>COMCAST CORPORATION</w:t>
            </w:r>
          </w:p>
        </w:tc>
      </w:tr>
      <w:tr>
        <w:trPr/>
        <w:tc>
          <w:tcPr>
            <w:tcW w:w="1877"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68" w:type="dxa"/>
            <w:gridSpan w:val="3"/>
            <w:tcBorders/>
            <w:shd w:fill="auto" w:val="clear"/>
            <w:vAlign w:val="center"/>
          </w:tcPr>
          <w:p>
            <w:pPr>
              <w:pStyle w:val="TableContents"/>
              <w:spacing w:before="0" w:after="283"/>
              <w:rPr/>
            </w:pPr>
            <w:r>
              <w:rPr/>
              <w:t> </w:t>
            </w:r>
          </w:p>
        </w:tc>
      </w:tr>
      <w:tr>
        <w:trPr/>
        <w:tc>
          <w:tcPr>
            <w:tcW w:w="1877"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68" w:type="dxa"/>
            <w:gridSpan w:val="3"/>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r>
              <w:rPr/>
              <w:t>Date:</w:t>
            </w:r>
          </w:p>
        </w:tc>
        <w:tc>
          <w:tcPr>
            <w:tcW w:w="1341" w:type="dxa"/>
            <w:tcBorders/>
            <w:shd w:fill="auto" w:val="clear"/>
            <w:vAlign w:val="center"/>
          </w:tcPr>
          <w:p>
            <w:pPr>
              <w:pStyle w:val="TableContents"/>
              <w:spacing w:before="0" w:after="283"/>
              <w:rPr/>
            </w:pPr>
            <w:r>
              <w:rPr/>
              <w:t> </w:t>
            </w:r>
            <w:r>
              <w:rPr/>
              <w:t>April 21, 2023</w:t>
            </w:r>
          </w:p>
        </w:tc>
        <w:tc>
          <w:tcPr>
            <w:tcW w:w="60"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By:</w:t>
            </w:r>
          </w:p>
        </w:tc>
        <w:tc>
          <w:tcPr>
            <w:tcW w:w="7912" w:type="dxa"/>
            <w:gridSpan w:val="2"/>
            <w:tcBorders>
              <w:bottom w:val="single" w:sz="8" w:space="0" w:color="000000"/>
            </w:tcBorders>
            <w:shd w:fill="auto" w:val="clear"/>
            <w:tcMar>
              <w:bottom w:w="28" w:type="dxa"/>
            </w:tcMar>
            <w:vAlign w:val="center"/>
          </w:tcPr>
          <w:p>
            <w:pPr>
              <w:pStyle w:val="TableContents"/>
              <w:spacing w:before="0" w:after="283"/>
              <w:rPr/>
            </w:pPr>
            <w:r>
              <w:rPr/>
              <w:t>/s/ Elizabeth Wideman</w:t>
            </w:r>
          </w:p>
        </w:tc>
      </w:tr>
      <w:tr>
        <w:trPr/>
        <w:tc>
          <w:tcPr>
            <w:tcW w:w="536" w:type="dxa"/>
            <w:tcBorders/>
            <w:shd w:fill="auto" w:val="clear"/>
            <w:vAlign w:val="center"/>
          </w:tcPr>
          <w:p>
            <w:pPr>
              <w:pStyle w:val="TableContents"/>
              <w:spacing w:before="0" w:after="283"/>
              <w:rPr/>
            </w:pPr>
            <w:r>
              <w:rPr/>
              <w:t> </w:t>
            </w:r>
          </w:p>
        </w:tc>
        <w:tc>
          <w:tcPr>
            <w:tcW w:w="134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641" w:type="dxa"/>
            <w:tcBorders/>
            <w:shd w:fill="auto" w:val="clear"/>
            <w:vAlign w:val="center"/>
          </w:tcPr>
          <w:p>
            <w:pPr>
              <w:pStyle w:val="TableContents"/>
              <w:spacing w:before="0" w:after="283"/>
              <w:rPr/>
            </w:pPr>
            <w:r>
              <w:rPr/>
              <w:t>Name:</w:t>
            </w:r>
          </w:p>
        </w:tc>
        <w:tc>
          <w:tcPr>
            <w:tcW w:w="7271" w:type="dxa"/>
            <w:tcBorders/>
            <w:shd w:fill="auto" w:val="clear"/>
            <w:vAlign w:val="center"/>
          </w:tcPr>
          <w:p>
            <w:pPr>
              <w:pStyle w:val="TableContents"/>
              <w:spacing w:before="0" w:after="283"/>
              <w:rPr/>
            </w:pPr>
            <w:r>
              <w:rPr/>
              <w:t>Elizabeth Wideman</w:t>
            </w:r>
          </w:p>
        </w:tc>
      </w:tr>
      <w:tr>
        <w:trPr/>
        <w:tc>
          <w:tcPr>
            <w:tcW w:w="536" w:type="dxa"/>
            <w:tcBorders/>
            <w:shd w:fill="auto" w:val="clear"/>
            <w:vAlign w:val="center"/>
          </w:tcPr>
          <w:p>
            <w:pPr>
              <w:pStyle w:val="TableContents"/>
              <w:spacing w:before="0" w:after="283"/>
              <w:rPr/>
            </w:pPr>
            <w:r>
              <w:rPr/>
              <w:t> </w:t>
            </w:r>
          </w:p>
        </w:tc>
        <w:tc>
          <w:tcPr>
            <w:tcW w:w="134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641" w:type="dxa"/>
            <w:tcBorders/>
            <w:shd w:fill="auto" w:val="clear"/>
            <w:vAlign w:val="center"/>
          </w:tcPr>
          <w:p>
            <w:pPr>
              <w:pStyle w:val="TableContents"/>
              <w:spacing w:before="0" w:after="283"/>
              <w:rPr/>
            </w:pPr>
            <w:r>
              <w:rPr/>
              <w:t>Title:</w:t>
            </w:r>
          </w:p>
        </w:tc>
        <w:tc>
          <w:tcPr>
            <w:tcW w:w="7271" w:type="dxa"/>
            <w:tcBorders/>
            <w:shd w:fill="auto" w:val="clear"/>
            <w:vAlign w:val="center"/>
          </w:tcPr>
          <w:p>
            <w:pPr>
              <w:pStyle w:val="TableContents"/>
              <w:spacing w:before="0" w:after="283"/>
              <w:rPr/>
            </w:pPr>
            <w:r>
              <w:rPr/>
              <w:t>Corporate Senior Vice President, Senior Deputy General Counsel &amp; Assistant Secretary</w:t>
            </w:r>
          </w:p>
        </w:tc>
      </w:tr>
    </w:tbl>
    <w:p>
      <w:pPr>
        <w:pStyle w:val="TextBody"/>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692</Words>
  <CharactersWithSpaces>4412</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