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333-158816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February 24, 2010</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$1,400,000,000 5.15% NOTES DUE 2020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$1,000,000,000 6.40% NOTES DUE 2040</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33" w:right="239" w:bottom="1440" w:gutter="0" w:footer="0" w:header="0"/>
        </w:sect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Cable Guarantors: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Comcast Cable Communications, LLC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84" w:lineRule="exact"/>
        <w:rPr>
          <w:sz w:val="24"/>
          <w:szCs w:val="24"/>
          <w:color w:val="auto"/>
        </w:rPr>
      </w:pPr>
    </w:p>
    <w:p>
      <w:pPr>
        <w:sectPr>
          <w:pgSz w:w="11900" w:h="16838" w:orient="portrait"/>
          <w:cols w:equalWidth="0" w:num="2">
            <w:col w:w="3620" w:space="720"/>
            <w:col w:w="7080"/>
          </w:cols>
          <w:pgMar w:left="240" w:top="233" w:right="239" w:bottom="1440" w:gutter="0" w:footer="0" w:header="0"/>
          <w:type w:val="continuous"/>
        </w:sectPr>
      </w:pPr>
    </w:p>
    <w:p>
      <w:pPr>
        <w:ind w:left="4340"/>
        <w:spacing w:after="0" w:line="259" w:lineRule="auto"/>
        <w:rPr>
          <w:sz w:val="20"/>
          <w:szCs w:val="20"/>
          <w:color w:val="auto"/>
        </w:rPr>
      </w:pPr>
      <w:r>
        <w:rPr>
          <w:rFonts w:ascii="Arial" w:cs="Arial" w:eastAsia="Arial" w:hAnsi="Arial"/>
          <w:sz w:val="18"/>
          <w:szCs w:val="18"/>
          <w:color w:val="auto"/>
        </w:rPr>
        <w:t>On August 31, 2009, Comcast Cable Communications Holdings, Inc., formerly a cable guarantor, merged with and into Comcast Cable Communications, LLC, with Comcast Cable Communications, LLC continuing as the surviving entity and a cable guarantor</w:t>
      </w:r>
    </w:p>
    <w:p>
      <w:pPr>
        <w:sectPr>
          <w:pgSz w:w="11900" w:h="16838" w:orient="portrait"/>
          <w:cols w:equalWidth="0" w:num="1">
            <w:col w:w="11420"/>
          </w:cols>
          <w:pgMar w:left="240" w:top="233" w:right="239" w:bottom="1440" w:gutter="0" w:footer="0" w:header="0"/>
          <w:type w:val="continuous"/>
        </w:sectPr>
      </w:pPr>
    </w:p>
    <w:p>
      <w:pPr>
        <w:spacing w:after="0" w:line="17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5"/>
          <w:szCs w:val="15"/>
          <w:color w:val="auto"/>
        </w:rPr>
        <w:t>5.15% Notes due 2020</w:t>
      </w:r>
    </w:p>
    <w:p>
      <w:pPr>
        <w:spacing w:after="0" w:line="57" w:lineRule="exact"/>
        <w:rPr>
          <w:sz w:val="24"/>
          <w:szCs w:val="24"/>
          <w:color w:val="auto"/>
        </w:rPr>
      </w:pPr>
    </w:p>
    <w:p>
      <w:pPr>
        <w:spacing w:after="0"/>
        <w:rPr>
          <w:sz w:val="20"/>
          <w:szCs w:val="20"/>
          <w:color w:val="auto"/>
        </w:rPr>
      </w:pPr>
      <w:r>
        <w:rPr>
          <w:rFonts w:ascii="Arial" w:cs="Arial" w:eastAsia="Arial" w:hAnsi="Arial"/>
          <w:sz w:val="15"/>
          <w:szCs w:val="15"/>
          <w:color w:val="auto"/>
        </w:rPr>
        <w:t>6.40% Notes due 2040</w:t>
      </w:r>
    </w:p>
    <w:p>
      <w:pPr>
        <w:spacing w:after="0" w:line="200" w:lineRule="exact"/>
        <w:rPr>
          <w:sz w:val="24"/>
          <w:szCs w:val="24"/>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Denomination:</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color w:val="auto"/>
        </w:rPr>
        <w:t>$2,000 and multiples of $1,000 in excess thereof</w:t>
      </w:r>
    </w:p>
    <w:p>
      <w:pPr>
        <w:spacing w:after="0" w:line="200" w:lineRule="exact"/>
        <w:rPr>
          <w:sz w:val="24"/>
          <w:szCs w:val="24"/>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line="5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294" w:lineRule="auto"/>
        <w:rPr>
          <w:sz w:val="20"/>
          <w:szCs w:val="20"/>
          <w:color w:val="auto"/>
        </w:rPr>
      </w:pPr>
      <w:r>
        <w:rPr>
          <w:rFonts w:ascii="Arial" w:cs="Arial" w:eastAsia="Arial" w:hAnsi="Arial"/>
          <w:sz w:val="16"/>
          <w:szCs w:val="16"/>
          <w:color w:val="auto"/>
        </w:rPr>
        <w:t>The Company intends to use the proceeds from this offering, after deducting fees and expenses, for working capital and general corporate purposes, which may include funding a portion of its payment to General Electric Company due upon closing of the NBC Universal transaction (as described in the Company’s Annual Report on Form 10-K for the year ended December 31, 2009) and repayment of its 5.45% notes due November 2010 ($500 million principal amount outstanding)</w:t>
      </w:r>
    </w:p>
    <w:p>
      <w:pPr>
        <w:spacing w:after="0" w:line="150" w:lineRule="exact"/>
        <w:rPr>
          <w:sz w:val="24"/>
          <w:szCs w:val="24"/>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Indenture:</w:t>
      </w:r>
    </w:p>
    <w:p>
      <w:pPr>
        <w:spacing w:after="0" w:line="20" w:lineRule="exact"/>
        <w:rPr>
          <w:sz w:val="24"/>
          <w:szCs w:val="24"/>
          <w:color w:val="auto"/>
        </w:rPr>
      </w:pPr>
      <w:r>
        <w:rPr>
          <w:sz w:val="24"/>
          <w:szCs w:val="24"/>
          <w:color w:val="auto"/>
        </w:rPr>
        <w:br w:type="column"/>
      </w:r>
    </w:p>
    <w:p>
      <w:pPr>
        <w:ind w:right="20"/>
        <w:spacing w:after="0" w:line="291" w:lineRule="auto"/>
        <w:rPr>
          <w:sz w:val="20"/>
          <w:szCs w:val="20"/>
          <w:color w:val="auto"/>
        </w:rPr>
      </w:pPr>
      <w:r>
        <w:rPr>
          <w:rFonts w:ascii="Arial" w:cs="Arial" w:eastAsia="Arial" w:hAnsi="Arial"/>
          <w:sz w:val="16"/>
          <w:szCs w:val="16"/>
          <w:color w:val="auto"/>
        </w:rPr>
        <w:t>Indenture dated as of January 7, 2003 by and among the Company,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and the Trustee</w:t>
      </w:r>
    </w:p>
    <w:p>
      <w:pPr>
        <w:sectPr>
          <w:pgSz w:w="11900" w:h="16838" w:orient="portrait"/>
          <w:cols w:equalWidth="0" w:num="2">
            <w:col w:w="3620" w:space="720"/>
            <w:col w:w="708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Trustee:</w:t>
      </w:r>
    </w:p>
    <w:p>
      <w:pPr>
        <w:spacing w:after="0" w:line="20" w:lineRule="exact"/>
        <w:rPr>
          <w:sz w:val="20"/>
          <w:szCs w:val="20"/>
          <w:color w:val="auto"/>
        </w:rPr>
      </w:pPr>
      <w:r>
        <w:rPr>
          <w:sz w:val="20"/>
          <w:szCs w:val="20"/>
          <w:color w:val="auto"/>
        </w:rPr>
        <w:br w:type="column"/>
      </w:r>
    </w:p>
    <w:p>
      <w:pPr>
        <w:jc w:val="center"/>
        <w:ind w:right="3679"/>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-205105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Expected Ratings: </w:t>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2839"/>
        <w:spacing w:after="0"/>
        <w:rPr>
          <w:sz w:val="20"/>
          <w:szCs w:val="20"/>
          <w:color w:val="auto"/>
        </w:rPr>
      </w:pPr>
      <w:r>
        <w:rPr>
          <w:rFonts w:ascii="Arial" w:cs="Arial" w:eastAsia="Arial" w:hAnsi="Arial"/>
          <w:sz w:val="16"/>
          <w:szCs w:val="16"/>
          <w:color w:val="auto"/>
        </w:rPr>
        <w:t>Moody’s: Baa1; S&amp;P: BBB+; Fitch: BBB+</w:t>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199"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Banc of America Securities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Daiwa Securities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Broadpoint Capital,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Lloyds TSB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BNY Mellon Capital Markets, LLC</w:t>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Williams Capital Group, 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Blaylock Robert Van,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Cabrera Capital Markets,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Doley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Guzman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Beal &amp;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 Inc.</w:t>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February 24, 2010</w:t>
      </w:r>
    </w:p>
    <w:p>
      <w:pPr>
        <w:spacing w:after="0" w:line="205"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Settlement Date: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March 1, 2010 (T+3)</w:t>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75" w:lineRule="exact"/>
        <w:rPr>
          <w:sz w:val="20"/>
          <w:szCs w:val="20"/>
          <w:color w:val="auto"/>
        </w:rPr>
      </w:pPr>
    </w:p>
    <w:p>
      <w:pPr>
        <w:ind w:left="5680" w:right="559" w:hanging="5672"/>
        <w:spacing w:after="0" w:line="387" w:lineRule="auto"/>
        <w:tabs>
          <w:tab w:leader="none" w:pos="464" w:val="left"/>
        </w:tabs>
        <w:numPr>
          <w:ilvl w:val="0"/>
          <w:numId w:val="1"/>
        </w:numPr>
        <w:rPr>
          <w:rFonts w:ascii="Arial" w:cs="Arial" w:eastAsia="Arial" w:hAnsi="Arial"/>
          <w:sz w:val="22"/>
          <w:szCs w:val="22"/>
          <w:color w:val="auto"/>
          <w:vertAlign w:val="superscript"/>
        </w:rPr>
      </w:pPr>
      <w:r>
        <w:rPr>
          <w:rFonts w:ascii="Arial" w:cs="Arial" w:eastAsia="Arial" w:hAnsi="Arial"/>
          <w:sz w:val="18"/>
          <w:szCs w:val="18"/>
          <w:color w:val="auto"/>
        </w:rPr>
        <w:t>A securities rating is not a recommendation to buy, sell or hold securities and may be subject to revision or withdrawal at any time.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5.15% Notes Due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Spot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-485775</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March 1, 2020</w:t>
      </w:r>
    </w:p>
    <w:p>
      <w:pPr>
        <w:spacing w:after="0" w:line="22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5.15% per annum, accruing from March 1, 2010 (calculated on the basis of a 360-day year consisting of twelve 30-day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March 1 and September 1 commencing September 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3.625% due February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99-14 (3.693%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+147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5.163%</w:t>
      </w:r>
    </w:p>
    <w:p>
      <w:pPr>
        <w:spacing w:after="0" w:line="225"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5.15% Notes due 2020 are redeemable at the option of the Company at any time, in whole or in part, at a redemption price equal to the greater of (i) 100% of the principal amount of such notes and</w:t>
      </w:r>
    </w:p>
    <w:p>
      <w:pPr>
        <w:ind w:left="260" w:hanging="257"/>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sum of the present values of remaining scheduled payments of principal and interest</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(exclusive of interest accrued to the date of redemption) discounted to the redemption date on a semiannual basis at the Treasury Rate plus 25 basis points, plus in each case accrued interest thereon to the date of redemption</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 unlimited amount of additional 5.15% Notes due 2020 may be issued. The 5.15% Notes due 2020 and any additional 5.15% Notes due 2020 that may be issued may be treated as a single series for all purposes under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20030NBA8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99.899% plus accrued interest, if any, from March 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0.45%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99.449% per $1,000 principal amount of Notes due 2020; $1,392,286,000 total</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620" w:space="720"/>
            <w:col w:w="708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6.40% Notes Due 2040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Spot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-485775</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March 1, 2040</w:t>
      </w:r>
    </w:p>
    <w:p>
      <w:pPr>
        <w:spacing w:after="0" w:line="22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6.40% per annum, accruing from March 1, 2010 (calculated on the basis of a 360-day year consisting of twelve 30-day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March 1 and September 1 commencing September 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4.375% due November 2039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95-26 (4.636%)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+180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6.436%</w:t>
      </w:r>
    </w:p>
    <w:p>
      <w:pPr>
        <w:spacing w:after="0" w:line="225"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6.40% Notes due 2040 are redeemable at the option of the Company at any time, in whole or in part, at a redemption price equal to the greater of (i) 100% of the principal amount of such notes and</w:t>
      </w:r>
    </w:p>
    <w:p>
      <w:pPr>
        <w:ind w:left="260" w:hanging="257"/>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sum of the present values of remaining scheduled payments of principal and interest</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(exclusive of interest accrued to the date of redemption) discounted to the redemption date on a semiannual basis at the Treasury Rate plus 30 basis points, plus in each case accrued interest thereon to the date of redemption</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 unlimited amount of additional 6.40% Notes due 2040 may be issued. The 6.40% Notes due 2040 and any additional 6.40% Notes due 2040 that may be issued may be treated as a single series for all purposes under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20030NBB6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99.524% plus accrued interest, if any, from March 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0.875%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98.649% per $1,000 principal amount of Notes due 2040; $986,490,000 total</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620" w:space="720"/>
            <w:col w:w="7080"/>
          </w:cols>
          <w:pgMar w:left="240" w:top="274" w:right="239" w:bottom="1440" w:gutter="0" w:footer="0" w:header="0"/>
        </w:sectPr>
      </w:pPr>
    </w:p>
    <w:bookmarkStart w:id="4" w:name="page5"/>
    <w:bookmarkEnd w:id="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Deutsche Bank Securities Inc. toll-free at (800) 503-4611, RBS Securities Inc. toll-free at (866) 884-2071, UBS Securities LLC toll-free at (877) 827-6444 (ext. 561-3884) or Mitsubishi UFJ Securities (USA), Inc. at (212) 405-7440.</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2019-12-10T21:56:43Z</dcterms:created>
  <dcterms:modified xsi:type="dcterms:W3CDTF">2019-12-10T21:56:43Z</dcterms:modified>
</cp:coreProperties>
</file>