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174625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314"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Date of report (Date of earliest event reported):  January 25, 2017</w:t>
      </w:r>
    </w:p>
    <w:p>
      <w:pPr>
        <w:spacing w:after="0" w:line="325" w:lineRule="exact"/>
        <w:rPr>
          <w:sz w:val="24"/>
          <w:szCs w:val="24"/>
          <w:color w:val="auto"/>
        </w:rPr>
      </w:pPr>
    </w:p>
    <w:tbl>
      <w:tblPr>
        <w:tblLayout w:type="fixed"/>
        <w:tblInd w:w="480" w:type="dxa"/>
        <w:tblCellMar>
          <w:top w:w="0" w:type="dxa"/>
          <w:left w:w="0" w:type="dxa"/>
          <w:bottom w:w="0" w:type="dxa"/>
          <w:right w:w="0" w:type="dxa"/>
        </w:tblCellMar>
      </w:tblPr>
      <w:tr>
        <w:trPr>
          <w:trHeight w:val="329"/>
        </w:trPr>
        <w:tc>
          <w:tcPr>
            <w:tcW w:w="3040" w:type="dxa"/>
            <w:vAlign w:val="bottom"/>
          </w:tcPr>
          <w:p>
            <w:pPr>
              <w:spacing w:after="0"/>
              <w:rPr>
                <w:sz w:val="24"/>
                <w:szCs w:val="24"/>
                <w:color w:val="auto"/>
              </w:rPr>
            </w:pPr>
          </w:p>
        </w:tc>
        <w:tc>
          <w:tcPr>
            <w:tcW w:w="7260" w:type="dxa"/>
            <w:vAlign w:val="bottom"/>
          </w:tcPr>
          <w:p>
            <w:pPr>
              <w:jc w:val="center"/>
              <w:ind w:right="2648"/>
              <w:spacing w:after="0"/>
              <w:rPr>
                <w:sz w:val="20"/>
                <w:szCs w:val="20"/>
                <w:color w:val="auto"/>
              </w:rPr>
            </w:pPr>
            <w:r>
              <w:rPr>
                <w:rFonts w:ascii="Arial" w:cs="Arial" w:eastAsia="Arial" w:hAnsi="Arial"/>
                <w:sz w:val="25"/>
                <w:szCs w:val="25"/>
                <w:b w:val="1"/>
                <w:bCs w:val="1"/>
                <w:color w:val="auto"/>
                <w:w w:val="92"/>
              </w:rPr>
              <w:t>Comcast Corporation</w:t>
            </w:r>
          </w:p>
        </w:tc>
      </w:tr>
      <w:tr>
        <w:trPr>
          <w:trHeight w:val="247"/>
        </w:trPr>
        <w:tc>
          <w:tcPr>
            <w:tcW w:w="3040" w:type="dxa"/>
            <w:vAlign w:val="bottom"/>
          </w:tcPr>
          <w:p>
            <w:pPr>
              <w:spacing w:after="0"/>
              <w:rPr>
                <w:sz w:val="21"/>
                <w:szCs w:val="21"/>
                <w:color w:val="auto"/>
              </w:rPr>
            </w:pPr>
          </w:p>
        </w:tc>
        <w:tc>
          <w:tcPr>
            <w:tcW w:w="7260" w:type="dxa"/>
            <w:vAlign w:val="bottom"/>
          </w:tcPr>
          <w:p>
            <w:pPr>
              <w:jc w:val="center"/>
              <w:ind w:right="2648"/>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3040" w:type="dxa"/>
            <w:vAlign w:val="bottom"/>
          </w:tcPr>
          <w:p>
            <w:pPr>
              <w:spacing w:after="0"/>
              <w:rPr>
                <w:sz w:val="20"/>
                <w:szCs w:val="20"/>
                <w:color w:val="auto"/>
              </w:rPr>
            </w:pPr>
          </w:p>
        </w:tc>
        <w:tc>
          <w:tcPr>
            <w:tcW w:w="7260" w:type="dxa"/>
            <w:vAlign w:val="bottom"/>
          </w:tcPr>
          <w:p>
            <w:pPr>
              <w:jc w:val="center"/>
              <w:ind w:right="2648"/>
              <w:spacing w:after="0"/>
              <w:rPr>
                <w:sz w:val="20"/>
                <w:szCs w:val="20"/>
                <w:color w:val="auto"/>
              </w:rPr>
            </w:pPr>
            <w:r>
              <w:rPr>
                <w:rFonts w:ascii="Arial" w:cs="Arial" w:eastAsia="Arial" w:hAnsi="Arial"/>
                <w:sz w:val="18"/>
                <w:szCs w:val="18"/>
                <w:color w:val="auto"/>
                <w:w w:val="90"/>
              </w:rPr>
              <w:t>as Specified in its Charter)</w:t>
            </w:r>
          </w:p>
        </w:tc>
      </w:tr>
      <w:tr>
        <w:trPr>
          <w:trHeight w:val="540"/>
        </w:trPr>
        <w:tc>
          <w:tcPr>
            <w:tcW w:w="3040" w:type="dxa"/>
            <w:vAlign w:val="bottom"/>
          </w:tcPr>
          <w:p>
            <w:pPr>
              <w:spacing w:after="0"/>
              <w:rPr>
                <w:sz w:val="24"/>
                <w:szCs w:val="24"/>
                <w:color w:val="auto"/>
              </w:rPr>
            </w:pPr>
          </w:p>
        </w:tc>
        <w:tc>
          <w:tcPr>
            <w:tcW w:w="7260" w:type="dxa"/>
            <w:vAlign w:val="bottom"/>
          </w:tcPr>
          <w:p>
            <w:pPr>
              <w:jc w:val="center"/>
              <w:ind w:right="2628"/>
              <w:spacing w:after="0"/>
              <w:rPr>
                <w:sz w:val="20"/>
                <w:szCs w:val="20"/>
                <w:color w:val="auto"/>
              </w:rPr>
            </w:pPr>
            <w:r>
              <w:rPr>
                <w:rFonts w:ascii="Arial" w:cs="Arial" w:eastAsia="Arial" w:hAnsi="Arial"/>
                <w:sz w:val="18"/>
                <w:szCs w:val="18"/>
                <w:b w:val="1"/>
                <w:bCs w:val="1"/>
                <w:color w:val="auto"/>
                <w:w w:val="88"/>
              </w:rPr>
              <w:t>Pennsylvania</w:t>
            </w:r>
          </w:p>
        </w:tc>
      </w:tr>
      <w:tr>
        <w:trPr>
          <w:trHeight w:val="270"/>
        </w:trPr>
        <w:tc>
          <w:tcPr>
            <w:tcW w:w="3040" w:type="dxa"/>
            <w:vAlign w:val="bottom"/>
          </w:tcPr>
          <w:p>
            <w:pPr>
              <w:spacing w:after="0"/>
              <w:rPr>
                <w:sz w:val="23"/>
                <w:szCs w:val="23"/>
                <w:color w:val="auto"/>
              </w:rPr>
            </w:pPr>
          </w:p>
        </w:tc>
        <w:tc>
          <w:tcPr>
            <w:tcW w:w="7260" w:type="dxa"/>
            <w:vAlign w:val="bottom"/>
          </w:tcPr>
          <w:p>
            <w:pPr>
              <w:jc w:val="center"/>
              <w:ind w:right="2648"/>
              <w:spacing w:after="0"/>
              <w:rPr>
                <w:sz w:val="20"/>
                <w:szCs w:val="20"/>
                <w:color w:val="auto"/>
              </w:rPr>
            </w:pPr>
            <w:r>
              <w:rPr>
                <w:rFonts w:ascii="Arial" w:cs="Arial" w:eastAsia="Arial" w:hAnsi="Arial"/>
                <w:sz w:val="18"/>
                <w:szCs w:val="18"/>
                <w:color w:val="auto"/>
                <w:w w:val="92"/>
              </w:rPr>
              <w:t>(State or Other Jurisdiction of Incorporation)</w:t>
            </w:r>
          </w:p>
        </w:tc>
      </w:tr>
      <w:tr>
        <w:trPr>
          <w:trHeight w:val="540"/>
        </w:trPr>
        <w:tc>
          <w:tcPr>
            <w:tcW w:w="30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001-32871</w:t>
            </w:r>
          </w:p>
        </w:tc>
        <w:tc>
          <w:tcPr>
            <w:tcW w:w="7260" w:type="dxa"/>
            <w:vAlign w:val="bottom"/>
          </w:tcPr>
          <w:p>
            <w:pPr>
              <w:jc w:val="center"/>
              <w:ind w:left="4688"/>
              <w:spacing w:after="0"/>
              <w:rPr>
                <w:sz w:val="20"/>
                <w:szCs w:val="20"/>
                <w:color w:val="auto"/>
              </w:rPr>
            </w:pPr>
            <w:r>
              <w:rPr>
                <w:rFonts w:ascii="Arial" w:cs="Arial" w:eastAsia="Arial" w:hAnsi="Arial"/>
                <w:sz w:val="18"/>
                <w:szCs w:val="18"/>
                <w:b w:val="1"/>
                <w:bCs w:val="1"/>
                <w:color w:val="auto"/>
                <w:w w:val="91"/>
              </w:rPr>
              <w:t>27-0000798</w:t>
            </w:r>
          </w:p>
        </w:tc>
      </w:tr>
      <w:tr>
        <w:trPr>
          <w:trHeight w:val="270"/>
        </w:trPr>
        <w:tc>
          <w:tcPr>
            <w:tcW w:w="304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7260" w:type="dxa"/>
            <w:vAlign w:val="bottom"/>
          </w:tcPr>
          <w:p>
            <w:pPr>
              <w:jc w:val="center"/>
              <w:ind w:left="4688"/>
              <w:spacing w:after="0"/>
              <w:rPr>
                <w:sz w:val="20"/>
                <w:szCs w:val="20"/>
                <w:color w:val="auto"/>
              </w:rPr>
            </w:pPr>
            <w:r>
              <w:rPr>
                <w:rFonts w:ascii="Arial" w:cs="Arial" w:eastAsia="Arial" w:hAnsi="Arial"/>
                <w:sz w:val="18"/>
                <w:szCs w:val="18"/>
                <w:color w:val="auto"/>
                <w:w w:val="94"/>
              </w:rPr>
              <w:t>(IRS Employer Identification No.)</w:t>
            </w:r>
          </w:p>
        </w:tc>
      </w:tr>
      <w:tr>
        <w:trPr>
          <w:trHeight w:val="522"/>
        </w:trPr>
        <w:tc>
          <w:tcPr>
            <w:tcW w:w="30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One Comcast Center</w:t>
            </w:r>
          </w:p>
        </w:tc>
        <w:tc>
          <w:tcPr>
            <w:tcW w:w="7260" w:type="dxa"/>
            <w:vAlign w:val="bottom"/>
          </w:tcPr>
          <w:p>
            <w:pPr>
              <w:spacing w:after="0"/>
              <w:rPr>
                <w:sz w:val="24"/>
                <w:szCs w:val="24"/>
                <w:color w:val="auto"/>
              </w:rPr>
            </w:pPr>
          </w:p>
        </w:tc>
      </w:tr>
      <w:tr>
        <w:trPr>
          <w:trHeight w:val="234"/>
        </w:trPr>
        <w:tc>
          <w:tcPr>
            <w:tcW w:w="3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Philadelphia, PA</w:t>
            </w:r>
          </w:p>
        </w:tc>
        <w:tc>
          <w:tcPr>
            <w:tcW w:w="7260" w:type="dxa"/>
            <w:vAlign w:val="bottom"/>
          </w:tcPr>
          <w:p>
            <w:pPr>
              <w:jc w:val="center"/>
              <w:ind w:left="4688"/>
              <w:spacing w:after="0"/>
              <w:rPr>
                <w:sz w:val="20"/>
                <w:szCs w:val="20"/>
                <w:color w:val="auto"/>
              </w:rPr>
            </w:pPr>
            <w:r>
              <w:rPr>
                <w:rFonts w:ascii="Arial" w:cs="Arial" w:eastAsia="Arial" w:hAnsi="Arial"/>
                <w:sz w:val="18"/>
                <w:szCs w:val="18"/>
                <w:b w:val="1"/>
                <w:bCs w:val="1"/>
                <w:color w:val="auto"/>
                <w:w w:val="91"/>
              </w:rPr>
              <w:t>19103-2838</w:t>
            </w:r>
          </w:p>
        </w:tc>
      </w:tr>
      <w:tr>
        <w:trPr>
          <w:trHeight w:val="270"/>
        </w:trPr>
        <w:tc>
          <w:tcPr>
            <w:tcW w:w="304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7260" w:type="dxa"/>
            <w:vAlign w:val="bottom"/>
          </w:tcPr>
          <w:p>
            <w:pPr>
              <w:jc w:val="center"/>
              <w:ind w:left="4688"/>
              <w:spacing w:after="0"/>
              <w:rPr>
                <w:sz w:val="20"/>
                <w:szCs w:val="20"/>
                <w:color w:val="auto"/>
              </w:rPr>
            </w:pPr>
            <w:r>
              <w:rPr>
                <w:rFonts w:ascii="Arial" w:cs="Arial" w:eastAsia="Arial" w:hAnsi="Arial"/>
                <w:sz w:val="18"/>
                <w:szCs w:val="18"/>
                <w:color w:val="auto"/>
                <w:w w:val="94"/>
              </w:rPr>
              <w:t>(Zip Code)</w:t>
            </w:r>
          </w:p>
        </w:tc>
      </w:tr>
      <w:tr>
        <w:trPr>
          <w:trHeight w:val="540"/>
        </w:trPr>
        <w:tc>
          <w:tcPr>
            <w:tcW w:w="3040" w:type="dxa"/>
            <w:vAlign w:val="bottom"/>
          </w:tcPr>
          <w:p>
            <w:pPr>
              <w:spacing w:after="0"/>
              <w:rPr>
                <w:sz w:val="24"/>
                <w:szCs w:val="24"/>
                <w:color w:val="auto"/>
              </w:rPr>
            </w:pPr>
          </w:p>
        </w:tc>
        <w:tc>
          <w:tcPr>
            <w:tcW w:w="7260" w:type="dxa"/>
            <w:vAlign w:val="bottom"/>
          </w:tcPr>
          <w:p>
            <w:pPr>
              <w:ind w:left="1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tc>
      </w:tr>
    </w:tbl>
    <w:p>
      <w:pPr>
        <w:spacing w:after="0" w:line="310"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00"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the Articles of Incorporation or By-Laws; Change in Fiscal Year.</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Effective January 25, 2017,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adopted amendments to the Amended and Restated By-Laws of Comcast (the “</w:t>
      </w:r>
      <w:r>
        <w:rPr>
          <w:rFonts w:ascii="Arial" w:cs="Arial" w:eastAsia="Arial" w:hAnsi="Arial"/>
          <w:sz w:val="18"/>
          <w:szCs w:val="18"/>
          <w:b w:val="1"/>
          <w:bCs w:val="1"/>
          <w:color w:val="auto"/>
        </w:rPr>
        <w:t>By-Laws</w:t>
      </w:r>
      <w:r>
        <w:rPr>
          <w:rFonts w:ascii="Arial" w:cs="Arial" w:eastAsia="Arial" w:hAnsi="Arial"/>
          <w:sz w:val="18"/>
          <w:szCs w:val="18"/>
          <w:color w:val="auto"/>
        </w:rPr>
        <w:t>”), primarily to implement proxy access.</w:t>
      </w:r>
    </w:p>
    <w:p>
      <w:pPr>
        <w:spacing w:after="0" w:line="1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Section 3.11 has been added to the By-Laws to permit a shareholder or a group of up to 20 shareholders owning 3% or more of the aggregate number of shares outstanding of each class of Comcast’s outstanding common stock continuously for at least three years to nominate and include in Comcast’s proxy materials director nominees constituting up to the greater of 20% of the Board or two individuals, provided the shareholder(s) and the nominee(s) satisfy the requirements specified in the By-Laws. The advance notice provisions for nominating directors to the Board, set forth in Section 3.10 of the By-Laws, have also been updated, along with certain clarifying and administrative changes.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description of the amendments to the By-Laws is qualified in its entirety by reference to the full and complete copy of the By-Laws, attached hereto as Exhibit 3.1 and incorporated herein by reference in its entirety.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January 26, 2017, Comcast issued a press release announcing that the Board has approved a two-for-one stock split in the form of a 100% stock dividend payable on February 17, 2017 to shareholders of record on February 8,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and is incorporated herein by reference in its entirety.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9340" w:type="dxa"/>
            <w:vAlign w:val="bottom"/>
          </w:tcPr>
          <w:p>
            <w:pPr>
              <w:spacing w:after="0"/>
              <w:rPr>
                <w:sz w:val="20"/>
                <w:szCs w:val="20"/>
                <w:color w:val="auto"/>
              </w:rPr>
            </w:pPr>
          </w:p>
        </w:tc>
      </w:tr>
      <w:tr>
        <w:trPr>
          <w:trHeight w:val="419"/>
        </w:trPr>
        <w:tc>
          <w:tcPr>
            <w:tcW w:w="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64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w w:val="91"/>
              </w:rPr>
              <w:t>Number</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340" w:type="dxa"/>
            <w:vAlign w:val="bottom"/>
          </w:tcPr>
          <w:p>
            <w:pPr>
              <w:spacing w:after="0"/>
              <w:rPr>
                <w:sz w:val="15"/>
                <w:szCs w:val="15"/>
                <w:color w:val="auto"/>
              </w:rPr>
            </w:pPr>
          </w:p>
        </w:tc>
      </w:tr>
      <w:tr>
        <w:trPr>
          <w:trHeight w:val="291"/>
        </w:trPr>
        <w:tc>
          <w:tcPr>
            <w:tcW w:w="60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Amended and Restated By-Laws of Comcast Corporation, effective January 25, 2017.</w:t>
            </w:r>
          </w:p>
        </w:tc>
      </w:tr>
      <w:tr>
        <w:trPr>
          <w:trHeight w:val="270"/>
        </w:trPr>
        <w:tc>
          <w:tcPr>
            <w:tcW w:w="6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Press release, dated January 26, 2017, issued by Comcast Corporation.</w:t>
            </w:r>
          </w:p>
        </w:tc>
      </w:tr>
      <w:tr>
        <w:trPr>
          <w:trHeight w:val="378"/>
        </w:trPr>
        <w:tc>
          <w:tcPr>
            <w:tcW w:w="40" w:type="dxa"/>
            <w:vAlign w:val="bottom"/>
            <w:tcBorders>
              <w:bottom w:val="single" w:sz="8" w:color="54301A"/>
            </w:tcBorders>
          </w:tcPr>
          <w:p>
            <w:pPr>
              <w:spacing w:after="0"/>
              <w:rPr>
                <w:sz w:val="24"/>
                <w:szCs w:val="24"/>
                <w:color w:val="auto"/>
              </w:rPr>
            </w:pPr>
          </w:p>
        </w:tc>
        <w:tc>
          <w:tcPr>
            <w:tcW w:w="560" w:type="dxa"/>
            <w:vAlign w:val="bottom"/>
            <w:tcBorders>
              <w:bottom w:val="single" w:sz="8" w:color="54301A"/>
            </w:tcBorders>
          </w:tcPr>
          <w:p>
            <w:pPr>
              <w:spacing w:after="0"/>
              <w:rPr>
                <w:sz w:val="24"/>
                <w:szCs w:val="24"/>
                <w:color w:val="auto"/>
              </w:rPr>
            </w:pPr>
          </w:p>
        </w:tc>
        <w:tc>
          <w:tcPr>
            <w:tcW w:w="80" w:type="dxa"/>
            <w:vAlign w:val="bottom"/>
            <w:tcBorders>
              <w:bottom w:val="single" w:sz="8" w:color="54301A"/>
            </w:tcBorders>
          </w:tcPr>
          <w:p>
            <w:pPr>
              <w:spacing w:after="0"/>
              <w:rPr>
                <w:sz w:val="24"/>
                <w:szCs w:val="24"/>
                <w:color w:val="auto"/>
              </w:rPr>
            </w:pPr>
          </w:p>
        </w:tc>
        <w:tc>
          <w:tcPr>
            <w:tcW w:w="500" w:type="dxa"/>
            <w:vAlign w:val="bottom"/>
            <w:tcBorders>
              <w:bottom w:val="single" w:sz="8" w:color="54301A"/>
            </w:tcBorders>
          </w:tcPr>
          <w:p>
            <w:pPr>
              <w:spacing w:after="0"/>
              <w:rPr>
                <w:sz w:val="24"/>
                <w:szCs w:val="24"/>
                <w:color w:val="auto"/>
              </w:rPr>
            </w:pPr>
          </w:p>
        </w:tc>
        <w:tc>
          <w:tcPr>
            <w:tcW w:w="900" w:type="dxa"/>
            <w:vAlign w:val="bottom"/>
            <w:tcBorders>
              <w:bottom w:val="single" w:sz="8" w:color="54301A"/>
            </w:tcBorders>
          </w:tcPr>
          <w:p>
            <w:pPr>
              <w:spacing w:after="0"/>
              <w:rPr>
                <w:sz w:val="24"/>
                <w:szCs w:val="24"/>
                <w:color w:val="auto"/>
              </w:rPr>
            </w:pPr>
          </w:p>
        </w:tc>
        <w:tc>
          <w:tcPr>
            <w:tcW w:w="934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37"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40" w:type="dxa"/>
            <w:vAlign w:val="bottom"/>
            <w:gridSpan w:val="5"/>
          </w:tcPr>
          <w:p>
            <w:pPr>
              <w:jc w:val="center"/>
              <w:ind w:right="148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Exhibit Number</w:t>
            </w:r>
          </w:p>
        </w:tc>
        <w:tc>
          <w:tcPr>
            <w:tcW w:w="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4680" w:type="dxa"/>
            <w:vAlign w:val="bottom"/>
          </w:tcPr>
          <w:p>
            <w:pPr>
              <w:spacing w:after="0"/>
              <w:rPr>
                <w:sz w:val="24"/>
                <w:szCs w:val="24"/>
                <w:color w:val="auto"/>
              </w:rPr>
            </w:pPr>
          </w:p>
        </w:tc>
      </w:tr>
      <w:tr>
        <w:trPr>
          <w:trHeight w:val="291"/>
        </w:trPr>
        <w:tc>
          <w:tcPr>
            <w:tcW w:w="120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9940" w:type="dxa"/>
            <w:vAlign w:val="bottom"/>
            <w:gridSpan w:val="5"/>
          </w:tcPr>
          <w:p>
            <w:pPr>
              <w:ind w:left="280"/>
              <w:spacing w:after="0"/>
              <w:rPr>
                <w:sz w:val="20"/>
                <w:szCs w:val="20"/>
                <w:color w:val="auto"/>
              </w:rPr>
            </w:pPr>
            <w:r>
              <w:rPr>
                <w:rFonts w:ascii="Arial" w:cs="Arial" w:eastAsia="Arial" w:hAnsi="Arial"/>
                <w:sz w:val="18"/>
                <w:szCs w:val="18"/>
                <w:color w:val="auto"/>
              </w:rPr>
              <w:t>Amended and Restated By-Laws of Comcast Corporation, effective January 25, 2017.</w:t>
            </w: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3"/>
                <w:szCs w:val="23"/>
                <w:color w:val="auto"/>
              </w:rPr>
            </w:pPr>
          </w:p>
        </w:tc>
        <w:tc>
          <w:tcPr>
            <w:tcW w:w="9940" w:type="dxa"/>
            <w:vAlign w:val="bottom"/>
            <w:gridSpan w:val="5"/>
          </w:tcPr>
          <w:p>
            <w:pPr>
              <w:ind w:left="280"/>
              <w:spacing w:after="0"/>
              <w:rPr>
                <w:sz w:val="20"/>
                <w:szCs w:val="20"/>
                <w:color w:val="auto"/>
              </w:rPr>
            </w:pPr>
            <w:r>
              <w:rPr>
                <w:rFonts w:ascii="Arial" w:cs="Arial" w:eastAsia="Arial" w:hAnsi="Arial"/>
                <w:sz w:val="18"/>
                <w:szCs w:val="18"/>
                <w:color w:val="auto"/>
              </w:rPr>
              <w:t>Press release, dated January 26, 2017, issued by Comcast Corporation.</w:t>
            </w:r>
          </w:p>
        </w:tc>
      </w:tr>
      <w:tr>
        <w:trPr>
          <w:trHeight w:val="594"/>
        </w:trPr>
        <w:tc>
          <w:tcPr>
            <w:tcW w:w="40" w:type="dxa"/>
            <w:vAlign w:val="bottom"/>
            <w:tcBorders>
              <w:bottom w:val="single" w:sz="8" w:color="54301A"/>
            </w:tcBorders>
          </w:tcPr>
          <w:p>
            <w:pPr>
              <w:spacing w:after="0"/>
              <w:rPr>
                <w:sz w:val="24"/>
                <w:szCs w:val="24"/>
                <w:color w:val="auto"/>
              </w:rPr>
            </w:pPr>
          </w:p>
        </w:tc>
        <w:tc>
          <w:tcPr>
            <w:tcW w:w="1160" w:type="dxa"/>
            <w:vAlign w:val="bottom"/>
            <w:tcBorders>
              <w:bottom w:val="single" w:sz="8" w:color="54301A"/>
            </w:tcBorders>
          </w:tcPr>
          <w:p>
            <w:pPr>
              <w:spacing w:after="0"/>
              <w:rPr>
                <w:sz w:val="24"/>
                <w:szCs w:val="24"/>
                <w:color w:val="auto"/>
              </w:rPr>
            </w:pPr>
          </w:p>
        </w:tc>
        <w:tc>
          <w:tcPr>
            <w:tcW w:w="280" w:type="dxa"/>
            <w:vAlign w:val="bottom"/>
            <w:tcBorders>
              <w:bottom w:val="single" w:sz="8" w:color="54301A"/>
            </w:tcBorders>
          </w:tcPr>
          <w:p>
            <w:pPr>
              <w:spacing w:after="0"/>
              <w:rPr>
                <w:sz w:val="24"/>
                <w:szCs w:val="24"/>
                <w:color w:val="auto"/>
              </w:rPr>
            </w:pPr>
          </w:p>
        </w:tc>
        <w:tc>
          <w:tcPr>
            <w:tcW w:w="4760" w:type="dxa"/>
            <w:vAlign w:val="bottom"/>
            <w:tcBorders>
              <w:bottom w:val="single" w:sz="8" w:color="54301A"/>
            </w:tcBorders>
            <w:gridSpan w:val="2"/>
          </w:tcPr>
          <w:p>
            <w:pPr>
              <w:jc w:val="right"/>
              <w:ind w:right="48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54301A"/>
            </w:tcBorders>
          </w:tcPr>
          <w:p>
            <w:pPr>
              <w:spacing w:after="0"/>
              <w:rPr>
                <w:sz w:val="24"/>
                <w:szCs w:val="24"/>
                <w:color w:val="auto"/>
              </w:rPr>
            </w:pPr>
          </w:p>
        </w:tc>
        <w:tc>
          <w:tcPr>
            <w:tcW w:w="340" w:type="dxa"/>
            <w:vAlign w:val="bottom"/>
            <w:tcBorders>
              <w:bottom w:val="single" w:sz="8" w:color="54301A"/>
            </w:tcBorders>
          </w:tcPr>
          <w:p>
            <w:pPr>
              <w:spacing w:after="0"/>
              <w:rPr>
                <w:sz w:val="24"/>
                <w:szCs w:val="24"/>
                <w:color w:val="auto"/>
              </w:rPr>
            </w:pPr>
          </w:p>
        </w:tc>
        <w:tc>
          <w:tcPr>
            <w:tcW w:w="468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24" w:right="239" w:bottom="1440" w:gutter="0" w:footer="0" w:header="0"/>
        </w:sectPr>
      </w:pPr>
    </w:p>
    <w:bookmarkStart w:id="4" w:name="page5"/>
    <w:bookmarkEnd w:id="4"/>
    <w:p>
      <w:pPr>
        <w:ind w:left="10540"/>
        <w:spacing w:after="0"/>
        <w:rPr>
          <w:sz w:val="20"/>
          <w:szCs w:val="20"/>
          <w:color w:val="auto"/>
        </w:rPr>
      </w:pPr>
      <w:r>
        <w:rPr>
          <w:rFonts w:ascii="Arial" w:cs="Arial" w:eastAsia="Arial" w:hAnsi="Arial"/>
          <w:sz w:val="17"/>
          <w:szCs w:val="17"/>
          <w:b w:val="1"/>
          <w:bCs w:val="1"/>
          <w:color w:val="auto"/>
        </w:rPr>
        <w:t>Exhibit 3.1</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 *</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January 25, 2017</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 *</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FFICES</w:t>
      </w:r>
    </w:p>
    <w:p>
      <w:pPr>
        <w:spacing w:after="0" w:line="207"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Registered Office</w:t>
      </w:r>
      <w:r>
        <w:rPr>
          <w:rFonts w:ascii="Arial" w:cs="Arial" w:eastAsia="Arial" w:hAnsi="Arial"/>
          <w:sz w:val="16"/>
          <w:szCs w:val="16"/>
          <w:color w:val="auto"/>
        </w:rPr>
        <w:t>. The registered office of the Comcast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shall be located within the Commonwealth of Pennsylvania at such place as the Board of Directors (hereinafter referred to as the “</w:t>
      </w:r>
      <w:r>
        <w:rPr>
          <w:rFonts w:ascii="Arial" w:cs="Arial" w:eastAsia="Arial" w:hAnsi="Arial"/>
          <w:sz w:val="16"/>
          <w:szCs w:val="16"/>
          <w:b w:val="1"/>
          <w:bCs w:val="1"/>
          <w:color w:val="auto"/>
        </w:rPr>
        <w:t>Board of Directors</w:t>
      </w:r>
      <w:r>
        <w:rPr>
          <w:rFonts w:ascii="Arial" w:cs="Arial" w:eastAsia="Arial" w:hAnsi="Arial"/>
          <w:sz w:val="16"/>
          <w:szCs w:val="16"/>
          <w:color w:val="auto"/>
        </w:rPr>
        <w:t>” or the “</w:t>
      </w:r>
      <w:r>
        <w:rPr>
          <w:rFonts w:ascii="Arial" w:cs="Arial" w:eastAsia="Arial" w:hAnsi="Arial"/>
          <w:sz w:val="16"/>
          <w:szCs w:val="16"/>
          <w:b w:val="1"/>
          <w:bCs w:val="1"/>
          <w:color w:val="auto"/>
        </w:rPr>
        <w:t>Board</w:t>
      </w:r>
      <w:r>
        <w:rPr>
          <w:rFonts w:ascii="Arial" w:cs="Arial" w:eastAsia="Arial" w:hAnsi="Arial"/>
          <w:sz w:val="16"/>
          <w:szCs w:val="16"/>
          <w:color w:val="auto"/>
        </w:rPr>
        <w:t>”) shall determine from time to time.</w:t>
      </w:r>
    </w:p>
    <w:p>
      <w:pPr>
        <w:spacing w:after="0" w:line="12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Offices</w:t>
      </w:r>
      <w:r>
        <w:rPr>
          <w:rFonts w:ascii="Arial" w:cs="Arial" w:eastAsia="Arial" w:hAnsi="Arial"/>
          <w:sz w:val="18"/>
          <w:szCs w:val="18"/>
          <w:color w:val="auto"/>
        </w:rPr>
        <w:t>. The Corporation may also have offices at such other places, within or without the Commonwealth of Pennsylvania, as the Board of Directors may determine from time to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EETINGS OF</w:t>
      </w:r>
      <w:r>
        <w:rPr>
          <w:rFonts w:ascii="Arial" w:cs="Arial" w:eastAsia="Arial" w:hAnsi="Arial"/>
          <w:sz w:val="18"/>
          <w:szCs w:val="18"/>
          <w:color w:val="auto"/>
        </w:rPr>
        <w:t xml:space="preserve"> S</w:t>
      </w:r>
      <w:r>
        <w:rPr>
          <w:rFonts w:ascii="Arial" w:cs="Arial" w:eastAsia="Arial" w:hAnsi="Arial"/>
          <w:sz w:val="12"/>
          <w:szCs w:val="12"/>
          <w:color w:val="auto"/>
        </w:rPr>
        <w:t>HAREHOLDERS</w:t>
      </w:r>
    </w:p>
    <w:p>
      <w:pPr>
        <w:spacing w:after="0" w:line="211" w:lineRule="exact"/>
        <w:rPr>
          <w:sz w:val="20"/>
          <w:szCs w:val="20"/>
          <w:color w:val="auto"/>
        </w:rPr>
      </w:pPr>
    </w:p>
    <w:p>
      <w:pPr>
        <w:ind w:left="80" w:right="20" w:firstLine="648"/>
        <w:spacing w:after="0" w:line="272"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Place of Meetings of Shareholders</w:t>
      </w:r>
      <w:r>
        <w:rPr>
          <w:rFonts w:ascii="Arial" w:cs="Arial" w:eastAsia="Arial" w:hAnsi="Arial"/>
          <w:sz w:val="17"/>
          <w:szCs w:val="17"/>
          <w:color w:val="auto"/>
        </w:rPr>
        <w:t>.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be held at a particular geographic location.</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Annual Meetings of Shareholders.</w:t>
      </w:r>
    </w:p>
    <w:p>
      <w:pPr>
        <w:spacing w:after="0" w:line="225" w:lineRule="exact"/>
        <w:rPr>
          <w:sz w:val="20"/>
          <w:szCs w:val="20"/>
          <w:color w:val="auto"/>
        </w:rPr>
      </w:pPr>
    </w:p>
    <w:p>
      <w:pPr>
        <w:ind w:right="200" w:firstLine="851"/>
        <w:spacing w:after="0" w:line="264" w:lineRule="auto"/>
        <w:tabs>
          <w:tab w:leader="none" w:pos="1087"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ind w:right="100"/>
        <w:spacing w:after="0" w:line="282" w:lineRule="auto"/>
        <w:rPr>
          <w:sz w:val="20"/>
          <w:szCs w:val="20"/>
          <w:color w:val="auto"/>
        </w:rPr>
      </w:pPr>
      <w:r>
        <w:rPr>
          <w:rFonts w:ascii="Arial" w:cs="Arial" w:eastAsia="Arial" w:hAnsi="Arial"/>
          <w:sz w:val="18"/>
          <w:szCs w:val="18"/>
          <w:color w:val="auto"/>
        </w:rPr>
        <w:t>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w:t>
      </w:r>
    </w:p>
    <w:p>
      <w:pPr>
        <w:spacing w:after="0" w:line="166" w:lineRule="exact"/>
        <w:rPr>
          <w:sz w:val="20"/>
          <w:szCs w:val="20"/>
          <w:color w:val="auto"/>
        </w:rPr>
      </w:pPr>
    </w:p>
    <w:p>
      <w:pPr>
        <w:ind w:right="380" w:firstLine="851"/>
        <w:spacing w:after="0" w:line="277" w:lineRule="auto"/>
        <w:tabs>
          <w:tab w:leader="none" w:pos="1097"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70" w:lineRule="exact"/>
        <w:rPr>
          <w:sz w:val="20"/>
          <w:szCs w:val="20"/>
          <w:color w:val="auto"/>
        </w:rPr>
      </w:pPr>
    </w:p>
    <w:p>
      <w:pPr>
        <w:ind w:left="80" w:firstLine="648"/>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Special Meetings of Shareholders</w:t>
      </w:r>
      <w:r>
        <w:rPr>
          <w:rFonts w:ascii="Arial" w:cs="Arial" w:eastAsia="Arial" w:hAnsi="Arial"/>
          <w:sz w:val="18"/>
          <w:szCs w:val="18"/>
          <w:color w:val="auto"/>
        </w:rPr>
        <w:t>.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87" w:lineRule="exact"/>
        <w:rPr>
          <w:sz w:val="20"/>
          <w:szCs w:val="20"/>
          <w:color w:val="auto"/>
        </w:rPr>
      </w:pPr>
    </w:p>
    <w:p>
      <w:pPr>
        <w:ind w:left="80" w:firstLine="648"/>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Notices of Meetings of Shareholders</w:t>
      </w:r>
      <w:r>
        <w:rPr>
          <w:rFonts w:ascii="Arial" w:cs="Arial" w:eastAsia="Arial" w:hAnsi="Arial"/>
          <w:sz w:val="18"/>
          <w:szCs w:val="18"/>
          <w:color w:val="auto"/>
        </w:rPr>
        <w:t>. Written notice, complying with Article 6 of these By-Laws, of any meeting of the shareholders, shall be given to each shareholder of record entitled to vote at the meeting, other than those excepted by Section 1707 of the Pennsylvania Business Corporation Law of 1988, as amended (the “</w:t>
      </w:r>
      <w:r>
        <w:rPr>
          <w:rFonts w:ascii="Arial" w:cs="Arial" w:eastAsia="Arial" w:hAnsi="Arial"/>
          <w:sz w:val="18"/>
          <w:szCs w:val="18"/>
          <w:b w:val="1"/>
          <w:bCs w:val="1"/>
          <w:color w:val="auto"/>
        </w:rPr>
        <w:t>Pennsylvania BCL</w:t>
      </w:r>
      <w:r>
        <w:rPr>
          <w:rFonts w:ascii="Arial" w:cs="Arial" w:eastAsia="Arial" w:hAnsi="Arial"/>
          <w:sz w:val="18"/>
          <w:szCs w:val="18"/>
          <w:color w:val="auto"/>
        </w:rPr>
        <w:t>”), at least twenty days prior to the day named for the meeting, except as provided in Section 6.07. Such notices may be given by, or at the direction of, the Secretary or his or her designated agent.</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Quorum of and Action by Shareholders.</w:t>
      </w:r>
    </w:p>
    <w:p>
      <w:pPr>
        <w:spacing w:after="0" w:line="225" w:lineRule="exact"/>
        <w:rPr>
          <w:sz w:val="20"/>
          <w:szCs w:val="20"/>
          <w:color w:val="auto"/>
        </w:rPr>
      </w:pPr>
    </w:p>
    <w:p>
      <w:pPr>
        <w:ind w:right="40" w:firstLine="851"/>
        <w:spacing w:after="0" w:line="255" w:lineRule="auto"/>
        <w:tabs>
          <w:tab w:leader="none" w:pos="1087"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Rule. A meeting of shareholders duly called shall not be organized for the transaction of business unless a quorum is 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89" w:lineRule="exact"/>
        <w:rPr>
          <w:rFonts w:ascii="Arial" w:cs="Arial" w:eastAsia="Arial" w:hAnsi="Arial"/>
          <w:sz w:val="18"/>
          <w:szCs w:val="18"/>
          <w:color w:val="auto"/>
        </w:rPr>
      </w:pPr>
    </w:p>
    <w:p>
      <w:pPr>
        <w:ind w:right="420" w:firstLine="851"/>
        <w:spacing w:after="0" w:line="297" w:lineRule="auto"/>
        <w:tabs>
          <w:tab w:leader="none" w:pos="1097"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required shareholder vote be reduced below that provided above.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20" w:right="80" w:firstLine="851"/>
        <w:spacing w:after="0" w:line="277" w:lineRule="auto"/>
        <w:tabs>
          <w:tab w:leader="none" w:pos="1067"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70" w:lineRule="exact"/>
        <w:rPr>
          <w:rFonts w:ascii="Arial" w:cs="Arial" w:eastAsia="Arial" w:hAnsi="Arial"/>
          <w:sz w:val="18"/>
          <w:szCs w:val="18"/>
          <w:color w:val="auto"/>
        </w:rPr>
      </w:pPr>
    </w:p>
    <w:p>
      <w:pPr>
        <w:ind w:left="-20" w:right="300" w:firstLine="851"/>
        <w:spacing w:after="0" w:line="264" w:lineRule="auto"/>
        <w:tabs>
          <w:tab w:leader="none" w:pos="1077"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Directors at Adjourned Meetings. Those shareholders entitled to vote who attend a meeting at which Directors are to be elected that has been previously adjourned for lack of a quorum with respect thereto, although less than a quorum as fixed in subsection (a), shall nevertheless constitute a quorum for the purpose of electing Directors at such reconvened meeting.</w:t>
      </w:r>
    </w:p>
    <w:p>
      <w:pPr>
        <w:spacing w:after="0" w:line="181" w:lineRule="exact"/>
        <w:rPr>
          <w:rFonts w:ascii="Arial" w:cs="Arial" w:eastAsia="Arial" w:hAnsi="Arial"/>
          <w:sz w:val="18"/>
          <w:szCs w:val="18"/>
          <w:color w:val="auto"/>
        </w:rPr>
      </w:pPr>
    </w:p>
    <w:p>
      <w:pPr>
        <w:ind w:left="-20" w:right="20" w:firstLine="851"/>
        <w:spacing w:after="0" w:line="257" w:lineRule="auto"/>
        <w:tabs>
          <w:tab w:leader="none" w:pos="1067"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of Other Business at Adjourned Meetings.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Adjournments.</w:t>
      </w:r>
    </w:p>
    <w:p>
      <w:pPr>
        <w:spacing w:after="0" w:line="225" w:lineRule="exact"/>
        <w:rPr>
          <w:sz w:val="20"/>
          <w:szCs w:val="20"/>
          <w:color w:val="auto"/>
        </w:rPr>
      </w:pPr>
    </w:p>
    <w:p>
      <w:pPr>
        <w:ind w:left="-20" w:right="400" w:firstLine="851"/>
        <w:spacing w:after="0" w:line="277" w:lineRule="auto"/>
        <w:tabs>
          <w:tab w:leader="none" w:pos="1067"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70" w:lineRule="exact"/>
        <w:rPr>
          <w:rFonts w:ascii="Arial" w:cs="Arial" w:eastAsia="Arial" w:hAnsi="Arial"/>
          <w:sz w:val="18"/>
          <w:szCs w:val="18"/>
          <w:color w:val="auto"/>
        </w:rPr>
      </w:pPr>
    </w:p>
    <w:p>
      <w:pPr>
        <w:ind w:left="-20" w:firstLine="851"/>
        <w:spacing w:after="0" w:line="297" w:lineRule="auto"/>
        <w:tabs>
          <w:tab w:leader="none" w:pos="1077" w:val="left"/>
        </w:tabs>
        <w:numPr>
          <w:ilvl w:val="0"/>
          <w:numId w:val="6"/>
        </w:numPr>
        <w:rPr>
          <w:rFonts w:ascii="Arial" w:cs="Arial" w:eastAsia="Arial" w:hAnsi="Arial"/>
          <w:sz w:val="16"/>
          <w:szCs w:val="16"/>
          <w:color w:val="auto"/>
        </w:rPr>
      </w:pPr>
      <w:r>
        <w:rPr>
          <w:rFonts w:ascii="Arial" w:cs="Arial" w:eastAsia="Arial" w:hAnsi="Arial"/>
          <w:sz w:val="16"/>
          <w:szCs w:val="16"/>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158" w:lineRule="exact"/>
        <w:rPr>
          <w:rFonts w:ascii="Arial" w:cs="Arial" w:eastAsia="Arial" w:hAnsi="Arial"/>
          <w:sz w:val="16"/>
          <w:szCs w:val="16"/>
          <w:color w:val="auto"/>
        </w:rPr>
      </w:pPr>
    </w:p>
    <w:p>
      <w:pPr>
        <w:ind w:left="-20" w:right="80" w:firstLine="851"/>
        <w:spacing w:after="0" w:line="259" w:lineRule="auto"/>
        <w:tabs>
          <w:tab w:leader="none" w:pos="1067"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Voting List, Voting and Proxies.</w:t>
      </w:r>
    </w:p>
    <w:p>
      <w:pPr>
        <w:spacing w:after="0" w:line="225" w:lineRule="exact"/>
        <w:rPr>
          <w:sz w:val="20"/>
          <w:szCs w:val="20"/>
          <w:color w:val="auto"/>
        </w:rPr>
      </w:pPr>
    </w:p>
    <w:p>
      <w:pPr>
        <w:ind w:left="-20" w:right="260" w:firstLine="851"/>
        <w:spacing w:after="0" w:line="264" w:lineRule="auto"/>
        <w:tabs>
          <w:tab w:leader="none" w:pos="1067"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7" w:name="page8"/>
    <w:bookmarkEnd w:id="7"/>
    <w:p>
      <w:pPr>
        <w:jc w:val="both"/>
        <w:ind w:right="240"/>
        <w:spacing w:after="0" w:line="264" w:lineRule="auto"/>
        <w:rPr>
          <w:sz w:val="20"/>
          <w:szCs w:val="20"/>
          <w:color w:val="auto"/>
        </w:rPr>
      </w:pPr>
      <w:r>
        <w:rPr>
          <w:rFonts w:ascii="Arial" w:cs="Arial" w:eastAsia="Arial" w:hAnsi="Arial"/>
          <w:sz w:val="18"/>
          <w:szCs w:val="18"/>
          <w:color w:val="auto"/>
        </w:rPr>
        <w:t>and place of the meeting and shall be subject to the inspection of any shareholder during the whole time of the meeting for the purposes thereof except that the Corporation shall not be required to produce the list at a meeting of shareholders for which a judge or judges of election are appointed but instead shall furnish the list to the judge or judges of election.</w:t>
      </w:r>
    </w:p>
    <w:p>
      <w:pPr>
        <w:spacing w:after="0" w:line="181" w:lineRule="exact"/>
        <w:rPr>
          <w:sz w:val="20"/>
          <w:szCs w:val="20"/>
          <w:color w:val="auto"/>
        </w:rPr>
      </w:pPr>
    </w:p>
    <w:p>
      <w:pPr>
        <w:jc w:val="both"/>
        <w:ind w:right="280" w:firstLine="851"/>
        <w:spacing w:after="0" w:line="288" w:lineRule="auto"/>
        <w:tabs>
          <w:tab w:leader="none" w:pos="1097" w:val="left"/>
        </w:tabs>
        <w:numPr>
          <w:ilvl w:val="0"/>
          <w:numId w:val="8"/>
        </w:numPr>
        <w:rPr>
          <w:rFonts w:ascii="Arial" w:cs="Arial" w:eastAsia="Arial" w:hAnsi="Arial"/>
          <w:sz w:val="16"/>
          <w:szCs w:val="16"/>
          <w:color w:val="auto"/>
        </w:rPr>
      </w:pPr>
      <w:r>
        <w:rPr>
          <w:rFonts w:ascii="Arial" w:cs="Arial" w:eastAsia="Arial" w:hAnsi="Arial"/>
          <w:sz w:val="16"/>
          <w:szCs w:val="16"/>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w:t>
      </w: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2.05(b), voting need not be by ballot but may be taken by voice, show of hands or such other method determined by the presiding officer to the fullest extent permitted by applicable law (including the Pennsylvania BCL).</w:t>
      </w:r>
    </w:p>
    <w:p>
      <w:pPr>
        <w:spacing w:after="0" w:line="183" w:lineRule="exact"/>
        <w:rPr>
          <w:rFonts w:ascii="Arial" w:cs="Arial" w:eastAsia="Arial" w:hAnsi="Arial"/>
          <w:sz w:val="16"/>
          <w:szCs w:val="16"/>
          <w:color w:val="auto"/>
        </w:rPr>
      </w:pPr>
    </w:p>
    <w:p>
      <w:pPr>
        <w:ind w:firstLine="851"/>
        <w:spacing w:after="0" w:line="270" w:lineRule="auto"/>
        <w:tabs>
          <w:tab w:leader="none" w:pos="1087"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81" w:lineRule="exact"/>
        <w:rPr>
          <w:rFonts w:ascii="Arial" w:cs="Arial" w:eastAsia="Arial" w:hAnsi="Arial"/>
          <w:sz w:val="17"/>
          <w:szCs w:val="17"/>
          <w:color w:val="auto"/>
        </w:rPr>
      </w:pPr>
    </w:p>
    <w:p>
      <w:pPr>
        <w:ind w:right="40" w:firstLine="851"/>
        <w:spacing w:after="0" w:line="272" w:lineRule="auto"/>
        <w:tabs>
          <w:tab w:leader="none" w:pos="1097" w:val="left"/>
        </w:tabs>
        <w:numPr>
          <w:ilvl w:val="0"/>
          <w:numId w:val="8"/>
        </w:numPr>
        <w:rPr>
          <w:rFonts w:ascii="Arial" w:cs="Arial" w:eastAsia="Arial" w:hAnsi="Arial"/>
          <w:sz w:val="17"/>
          <w:szCs w:val="17"/>
          <w:color w:val="auto"/>
        </w:rPr>
      </w:pPr>
      <w:r>
        <w:rPr>
          <w:rFonts w:ascii="Arial" w:cs="Arial" w:eastAsia="Arial" w:hAnsi="Arial"/>
          <w:sz w:val="17"/>
          <w:szCs w:val="17"/>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left="-20" w:right="180" w:firstLine="851"/>
        <w:spacing w:after="0" w:line="277" w:lineRule="auto"/>
        <w:tabs>
          <w:tab w:leader="none" w:pos="1067"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170" w:lineRule="exact"/>
        <w:rPr>
          <w:sz w:val="20"/>
          <w:szCs w:val="20"/>
          <w:color w:val="auto"/>
        </w:rPr>
      </w:pPr>
    </w:p>
    <w:p>
      <w:pPr>
        <w:ind w:left="60" w:firstLine="648"/>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Participation in Meetings by Electronic Means</w:t>
      </w:r>
      <w:r>
        <w:rPr>
          <w:rFonts w:ascii="Arial" w:cs="Arial" w:eastAsia="Arial" w:hAnsi="Arial"/>
          <w:sz w:val="18"/>
          <w:szCs w:val="18"/>
          <w:color w:val="auto"/>
        </w:rPr>
        <w:t>.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93" w:lineRule="exact"/>
        <w:rPr>
          <w:sz w:val="20"/>
          <w:szCs w:val="20"/>
          <w:color w:val="auto"/>
        </w:rPr>
      </w:pPr>
    </w:p>
    <w:p>
      <w:pPr>
        <w:ind w:left="60" w:right="60" w:firstLine="648"/>
        <w:spacing w:after="0" w:line="290"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Business at Meetings of Shareholders</w:t>
      </w:r>
      <w:r>
        <w:rPr>
          <w:rFonts w:ascii="Arial" w:cs="Arial" w:eastAsia="Arial" w:hAnsi="Arial"/>
          <w:sz w:val="16"/>
          <w:szCs w:val="16"/>
          <w:color w:val="auto"/>
        </w:rPr>
        <w:t>. Except as otherwise provided by law (including but not limited to Rule 14a-8 promulgated under the Securities Exchange Act of 1934, as amended, or any successor provision thereto (the “</w:t>
      </w:r>
      <w:r>
        <w:rPr>
          <w:rFonts w:ascii="Arial" w:cs="Arial" w:eastAsia="Arial" w:hAnsi="Arial"/>
          <w:sz w:val="16"/>
          <w:szCs w:val="16"/>
          <w:b w:val="1"/>
          <w:bCs w:val="1"/>
          <w:color w:val="auto"/>
        </w:rPr>
        <w:t>Exchange Act</w:t>
      </w:r>
      <w:r>
        <w:rPr>
          <w:rFonts w:ascii="Arial" w:cs="Arial" w:eastAsia="Arial" w:hAnsi="Arial"/>
          <w:sz w:val="16"/>
          <w:szCs w:val="16"/>
          <w:color w:val="auto"/>
        </w:rPr>
        <w:t>”))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by or on behalf of any shareholder who shall have been a shareholder of record on the record date for such meeting and who shall continue to be entitled to vote thereat (the “</w:t>
      </w:r>
      <w:r>
        <w:rPr>
          <w:rFonts w:ascii="Arial" w:cs="Arial" w:eastAsia="Arial" w:hAnsi="Arial"/>
          <w:sz w:val="16"/>
          <w:szCs w:val="16"/>
          <w:b w:val="1"/>
          <w:bCs w:val="1"/>
          <w:color w:val="auto"/>
        </w:rPr>
        <w:t>Shareholder Notice</w:t>
      </w:r>
      <w:r>
        <w:rPr>
          <w:rFonts w:ascii="Arial" w:cs="Arial" w:eastAsia="Arial" w:hAnsi="Arial"/>
          <w:sz w:val="16"/>
          <w:szCs w:val="16"/>
          <w:color w:val="auto"/>
        </w:rPr>
        <w:t>”), in accordance with all of the following requirements:</w:t>
      </w:r>
    </w:p>
    <w:p>
      <w:pPr>
        <w:spacing w:after="0" w:line="166" w:lineRule="exact"/>
        <w:rPr>
          <w:sz w:val="20"/>
          <w:szCs w:val="20"/>
          <w:color w:val="auto"/>
        </w:rPr>
      </w:pPr>
    </w:p>
    <w:p>
      <w:pPr>
        <w:ind w:left="640" w:right="20" w:firstLine="969"/>
        <w:spacing w:after="0" w:line="255" w:lineRule="auto"/>
        <w:tabs>
          <w:tab w:leader="none" w:pos="18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90 days nor more than 120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193" w:lineRule="exact"/>
        <w:rPr>
          <w:rFonts w:ascii="Arial" w:cs="Arial" w:eastAsia="Arial" w:hAnsi="Arial"/>
          <w:sz w:val="18"/>
          <w:szCs w:val="18"/>
          <w:color w:val="auto"/>
        </w:rPr>
      </w:pPr>
    </w:p>
    <w:p>
      <w:pPr>
        <w:ind w:left="640" w:right="60" w:firstLine="969"/>
        <w:spacing w:after="0" w:line="264" w:lineRule="auto"/>
        <w:tabs>
          <w:tab w:leader="none" w:pos="18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9" w:name="page10"/>
    <w:bookmarkEnd w:id="9"/>
    <w:p>
      <w:pPr>
        <w:ind w:left="640" w:right="60"/>
        <w:spacing w:after="0" w:line="312" w:lineRule="auto"/>
        <w:rPr>
          <w:sz w:val="20"/>
          <w:szCs w:val="20"/>
          <w:color w:val="auto"/>
        </w:rPr>
      </w:pPr>
      <w:r>
        <w:rPr>
          <w:rFonts w:ascii="Arial" w:cs="Arial" w:eastAsia="Arial" w:hAnsi="Arial"/>
          <w:sz w:val="16"/>
          <w:szCs w:val="16"/>
          <w:color w:val="auto"/>
        </w:rPr>
        <w:t>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Conduct Of Meetings Of Shareholders.</w:t>
      </w:r>
    </w:p>
    <w:p>
      <w:pPr>
        <w:spacing w:after="0" w:line="225" w:lineRule="exact"/>
        <w:rPr>
          <w:sz w:val="20"/>
          <w:szCs w:val="20"/>
          <w:color w:val="auto"/>
        </w:rPr>
      </w:pPr>
    </w:p>
    <w:p>
      <w:pPr>
        <w:ind w:left="-20" w:right="280" w:firstLine="656"/>
        <w:spacing w:after="0" w:line="259" w:lineRule="auto"/>
        <w:tabs>
          <w:tab w:leader="none" w:pos="8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presiding officer is not designated by the Board of Directors or in the manner authorized by the Board of Directors, the Chairman of the Board shall be the presiding officer.</w:t>
      </w:r>
    </w:p>
    <w:p>
      <w:pPr>
        <w:spacing w:after="0" w:line="186" w:lineRule="exact"/>
        <w:rPr>
          <w:rFonts w:ascii="Arial" w:cs="Arial" w:eastAsia="Arial" w:hAnsi="Arial"/>
          <w:sz w:val="18"/>
          <w:szCs w:val="18"/>
          <w:color w:val="auto"/>
        </w:rPr>
      </w:pPr>
    </w:p>
    <w:p>
      <w:pPr>
        <w:ind w:left="-20" w:right="340" w:firstLine="656"/>
        <w:spacing w:after="0" w:line="277" w:lineRule="auto"/>
        <w:tabs>
          <w:tab w:leader="none" w:pos="8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70" w:lineRule="exact"/>
        <w:rPr>
          <w:rFonts w:ascii="Arial" w:cs="Arial" w:eastAsia="Arial" w:hAnsi="Arial"/>
          <w:sz w:val="18"/>
          <w:szCs w:val="18"/>
          <w:color w:val="auto"/>
        </w:rPr>
      </w:pPr>
    </w:p>
    <w:p>
      <w:pPr>
        <w:ind w:left="-20" w:firstLine="656"/>
        <w:spacing w:after="0" w:line="308" w:lineRule="auto"/>
        <w:tabs>
          <w:tab w:leader="none" w:pos="8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17"/>
          <w:szCs w:val="17"/>
          <w:i w:val="1"/>
          <w:iCs w:val="1"/>
          <w:color w:val="auto"/>
        </w:rPr>
        <w:t>Robert’s Rules of Order</w:t>
      </w:r>
      <w:r>
        <w:rPr>
          <w:rFonts w:ascii="Arial" w:cs="Arial" w:eastAsia="Arial" w:hAnsi="Arial"/>
          <w:sz w:val="17"/>
          <w:szCs w:val="17"/>
          <w:color w:val="auto"/>
        </w:rPr>
        <w:t xml:space="preserve"> or any other published rules for the conduct of a meeting.</w:t>
      </w:r>
    </w:p>
    <w:p>
      <w:pPr>
        <w:spacing w:after="0" w:line="146" w:lineRule="exact"/>
        <w:rPr>
          <w:rFonts w:ascii="Arial" w:cs="Arial" w:eastAsia="Arial" w:hAnsi="Arial"/>
          <w:sz w:val="17"/>
          <w:szCs w:val="17"/>
          <w:color w:val="auto"/>
        </w:rPr>
      </w:pPr>
    </w:p>
    <w:p>
      <w:pPr>
        <w:ind w:left="-20" w:right="180" w:firstLine="656"/>
        <w:spacing w:after="0" w:line="264" w:lineRule="auto"/>
        <w:tabs>
          <w:tab w:leader="none" w:pos="8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OARD OF</w:t>
      </w:r>
      <w:r>
        <w:rPr>
          <w:rFonts w:ascii="Arial" w:cs="Arial" w:eastAsia="Arial" w:hAnsi="Arial"/>
          <w:sz w:val="18"/>
          <w:szCs w:val="18"/>
          <w:color w:val="auto"/>
        </w:rPr>
        <w:t xml:space="preserve"> D</w:t>
      </w:r>
      <w:r>
        <w:rPr>
          <w:rFonts w:ascii="Arial" w:cs="Arial" w:eastAsia="Arial" w:hAnsi="Arial"/>
          <w:sz w:val="12"/>
          <w:szCs w:val="12"/>
          <w:color w:val="auto"/>
        </w:rPr>
        <w:t>IRECTORS</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Board of Directors.</w:t>
      </w:r>
    </w:p>
    <w:p>
      <w:pPr>
        <w:spacing w:after="0" w:line="225" w:lineRule="exact"/>
        <w:rPr>
          <w:sz w:val="20"/>
          <w:szCs w:val="20"/>
          <w:color w:val="auto"/>
        </w:rPr>
      </w:pPr>
    </w:p>
    <w:p>
      <w:pPr>
        <w:ind w:left="-20" w:right="180" w:firstLine="851"/>
        <w:spacing w:after="0" w:line="342" w:lineRule="auto"/>
        <w:tabs>
          <w:tab w:leader="none" w:pos="10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123" w:lineRule="exact"/>
        <w:rPr>
          <w:rFonts w:ascii="Arial" w:cs="Arial" w:eastAsia="Arial" w:hAnsi="Arial"/>
          <w:sz w:val="16"/>
          <w:szCs w:val="16"/>
          <w:color w:val="auto"/>
        </w:rPr>
      </w:pPr>
    </w:p>
    <w:p>
      <w:pPr>
        <w:ind w:left="1080" w:hanging="249"/>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The number of Directors shall be as determined by the Board of Directors from time to time.</w:t>
      </w:r>
    </w:p>
    <w:p>
      <w:pPr>
        <w:spacing w:after="0" w:line="225" w:lineRule="exact"/>
        <w:rPr>
          <w:rFonts w:ascii="Arial" w:cs="Arial" w:eastAsia="Arial" w:hAnsi="Arial"/>
          <w:sz w:val="18"/>
          <w:szCs w:val="18"/>
          <w:color w:val="auto"/>
        </w:rPr>
      </w:pPr>
    </w:p>
    <w:p>
      <w:pPr>
        <w:ind w:left="-20" w:right="20" w:firstLine="851"/>
        <w:spacing w:after="0" w:line="277" w:lineRule="auto"/>
        <w:tabs>
          <w:tab w:leader="none" w:pos="10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Vacancies. Each Director shall hold office until the expiration of the term for which such person was selected and until such person’s successor has been selected and qualified or until such person’s earlier death, resignation or removal. Subject to</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0" w:name="page11"/>
    <w:bookmarkEnd w:id="10"/>
    <w:p>
      <w:pPr>
        <w:ind w:right="160"/>
        <w:spacing w:after="0" w:line="312" w:lineRule="auto"/>
        <w:rPr>
          <w:sz w:val="20"/>
          <w:szCs w:val="20"/>
          <w:color w:val="auto"/>
        </w:rPr>
      </w:pPr>
      <w:r>
        <w:rPr>
          <w:rFonts w:ascii="Arial" w:cs="Arial" w:eastAsia="Arial" w:hAnsi="Arial"/>
          <w:sz w:val="16"/>
          <w:szCs w:val="16"/>
          <w:color w:val="auto"/>
        </w:rPr>
        <w:t>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47" w:lineRule="exact"/>
        <w:rPr>
          <w:sz w:val="20"/>
          <w:szCs w:val="20"/>
          <w:color w:val="auto"/>
        </w:rPr>
      </w:pPr>
    </w:p>
    <w:p>
      <w:pPr>
        <w:ind w:right="80" w:firstLine="851"/>
        <w:spacing w:after="0" w:line="277" w:lineRule="auto"/>
        <w:tabs>
          <w:tab w:leader="none" w:pos="10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Removal. The entire Board of Directors or any individual Director may be removed from office only for cause by the vote of the shareholders entitled to elect directors.</w:t>
      </w:r>
    </w:p>
    <w:p>
      <w:pPr>
        <w:spacing w:after="0" w:line="170" w:lineRule="exact"/>
        <w:rPr>
          <w:rFonts w:ascii="Arial" w:cs="Arial" w:eastAsia="Arial" w:hAnsi="Arial"/>
          <w:sz w:val="18"/>
          <w:szCs w:val="18"/>
          <w:color w:val="auto"/>
        </w:rPr>
      </w:pPr>
    </w:p>
    <w:p>
      <w:pPr>
        <w:ind w:left="1100" w:hanging="249"/>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Qualification. A Director must be a natural person at least 18 years of age.</w:t>
      </w:r>
    </w:p>
    <w:p>
      <w:pPr>
        <w:spacing w:after="0" w:line="225" w:lineRule="exact"/>
        <w:rPr>
          <w:sz w:val="20"/>
          <w:szCs w:val="20"/>
          <w:color w:val="auto"/>
        </w:rPr>
      </w:pPr>
    </w:p>
    <w:p>
      <w:pPr>
        <w:ind w:left="80" w:right="920" w:firstLine="648"/>
        <w:spacing w:after="0" w:line="34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Place of Meeting</w:t>
      </w:r>
      <w:r>
        <w:rPr>
          <w:rFonts w:ascii="Arial" w:cs="Arial" w:eastAsia="Arial" w:hAnsi="Arial"/>
          <w:sz w:val="16"/>
          <w:szCs w:val="16"/>
          <w:color w:val="auto"/>
        </w:rPr>
        <w:t>s. Meetings of the Board of Directors may be held at such place within or without the Commonwealth of Pennsylvania as the Board of Directors may appoint from time to time or as may be designated in the notice of the meeting.</w:t>
      </w:r>
    </w:p>
    <w:p>
      <w:pPr>
        <w:spacing w:after="0" w:line="124" w:lineRule="exact"/>
        <w:rPr>
          <w:sz w:val="20"/>
          <w:szCs w:val="20"/>
          <w:color w:val="auto"/>
        </w:rPr>
      </w:pPr>
    </w:p>
    <w:p>
      <w:pPr>
        <w:ind w:left="80" w:firstLine="648"/>
        <w:spacing w:after="0" w:line="25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Regular Meetings</w:t>
      </w:r>
      <w:r>
        <w:rPr>
          <w:rFonts w:ascii="Arial" w:cs="Arial" w:eastAsia="Arial" w:hAnsi="Arial"/>
          <w:sz w:val="18"/>
          <w:szCs w:val="18"/>
          <w:color w:val="auto"/>
        </w:rPr>
        <w:t>.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88" w:lineRule="exact"/>
        <w:rPr>
          <w:sz w:val="20"/>
          <w:szCs w:val="20"/>
          <w:color w:val="auto"/>
        </w:rPr>
      </w:pPr>
    </w:p>
    <w:p>
      <w:pPr>
        <w:jc w:val="both"/>
        <w:ind w:left="80" w:firstLine="648"/>
        <w:spacing w:after="0" w:line="26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Special Meetings</w:t>
      </w:r>
      <w:r>
        <w:rPr>
          <w:rFonts w:ascii="Arial" w:cs="Arial" w:eastAsia="Arial" w:hAnsi="Arial"/>
          <w:sz w:val="18"/>
          <w:szCs w:val="18"/>
          <w:color w:val="auto"/>
        </w:rPr>
        <w:t>.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81" w:lineRule="exact"/>
        <w:rPr>
          <w:sz w:val="20"/>
          <w:szCs w:val="20"/>
          <w:color w:val="auto"/>
        </w:rPr>
      </w:pPr>
    </w:p>
    <w:p>
      <w:pPr>
        <w:ind w:left="80" w:right="60" w:firstLine="648"/>
        <w:spacing w:after="0" w:line="25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Participation in Meetings by Electronic Means</w:t>
      </w:r>
      <w:r>
        <w:rPr>
          <w:rFonts w:ascii="Arial" w:cs="Arial" w:eastAsia="Arial" w:hAnsi="Arial"/>
          <w:sz w:val="18"/>
          <w:szCs w:val="18"/>
          <w:color w:val="auto"/>
        </w:rPr>
        <w:t>. Any Director may participate in any meeting of the Board of Directors or of any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means, including, without limitation, the Internet, by means of which all persons participating in the meeting can hear each other.</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Notices of Meetings of Board of Directors.</w:t>
      </w:r>
    </w:p>
    <w:p>
      <w:pPr>
        <w:spacing w:after="0" w:line="225" w:lineRule="exact"/>
        <w:rPr>
          <w:sz w:val="20"/>
          <w:szCs w:val="20"/>
          <w:color w:val="auto"/>
        </w:rPr>
      </w:pPr>
    </w:p>
    <w:p>
      <w:pPr>
        <w:ind w:right="140" w:firstLine="851"/>
        <w:spacing w:after="0" w:line="277" w:lineRule="auto"/>
        <w:tabs>
          <w:tab w:leader="none" w:pos="10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hours’ notice shall be given of the place and time of such meeting complying with Article 6 of these By-Laws.</w:t>
      </w:r>
    </w:p>
    <w:p>
      <w:pPr>
        <w:spacing w:after="0" w:line="225" w:lineRule="exact"/>
        <w:rPr>
          <w:sz w:val="20"/>
          <w:szCs w:val="20"/>
          <w:color w:val="auto"/>
        </w:rPr>
      </w:pPr>
    </w:p>
    <w:p>
      <w:pPr>
        <w:ind w:right="60" w:firstLine="851"/>
        <w:spacing w:after="0" w:line="277" w:lineRule="auto"/>
        <w:tabs>
          <w:tab w:leader="none" w:pos="10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70" w:lineRule="exact"/>
        <w:rPr>
          <w:sz w:val="20"/>
          <w:szCs w:val="20"/>
          <w:color w:val="auto"/>
        </w:rPr>
      </w:pPr>
    </w:p>
    <w:p>
      <w:pPr>
        <w:ind w:left="80" w:right="100" w:firstLine="648"/>
        <w:spacing w:after="0" w:line="279"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i w:val="1"/>
          <w:iCs w:val="1"/>
          <w:color w:val="auto"/>
        </w:rPr>
        <w:t>Quorum; Action by the Board of Directors</w:t>
      </w:r>
      <w:r>
        <w:rPr>
          <w:rFonts w:ascii="Arial" w:cs="Arial" w:eastAsia="Arial" w:hAnsi="Arial"/>
          <w:sz w:val="17"/>
          <w:szCs w:val="17"/>
          <w:color w:val="auto"/>
        </w:rPr>
        <w:t>.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71" w:lineRule="exact"/>
        <w:rPr>
          <w:sz w:val="20"/>
          <w:szCs w:val="20"/>
          <w:color w:val="auto"/>
        </w:rPr>
      </w:pPr>
    </w:p>
    <w:p>
      <w:pPr>
        <w:ind w:left="80" w:right="20" w:firstLine="648"/>
        <w:spacing w:after="0" w:line="34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i w:val="1"/>
          <w:iCs w:val="1"/>
          <w:color w:val="auto"/>
        </w:rPr>
        <w:t>Informal Action by the Board of Directors</w:t>
      </w:r>
      <w:r>
        <w:rPr>
          <w:rFonts w:ascii="Arial" w:cs="Arial" w:eastAsia="Arial" w:hAnsi="Arial"/>
          <w:sz w:val="16"/>
          <w:szCs w:val="16"/>
          <w:color w:val="auto"/>
        </w:rPr>
        <w:t>.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Committees.</w:t>
      </w:r>
    </w:p>
    <w:p>
      <w:pPr>
        <w:spacing w:after="0" w:line="225" w:lineRule="exact"/>
        <w:rPr>
          <w:sz w:val="20"/>
          <w:szCs w:val="20"/>
          <w:color w:val="auto"/>
        </w:rPr>
      </w:pPr>
    </w:p>
    <w:p>
      <w:pPr>
        <w:ind w:firstLine="851"/>
        <w:spacing w:after="0" w:line="259" w:lineRule="auto"/>
        <w:tabs>
          <w:tab w:leader="none" w:pos="10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86" w:lineRule="exact"/>
        <w:rPr>
          <w:rFonts w:ascii="Arial" w:cs="Arial" w:eastAsia="Arial" w:hAnsi="Arial"/>
          <w:sz w:val="18"/>
          <w:szCs w:val="18"/>
          <w:color w:val="auto"/>
        </w:rPr>
      </w:pPr>
    </w:p>
    <w:p>
      <w:pPr>
        <w:ind w:left="1840" w:hanging="211"/>
        <w:spacing w:after="0"/>
        <w:tabs>
          <w:tab w:leader="none" w:pos="1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Pennsylvania BCL.</w:t>
      </w:r>
    </w:p>
    <w:p>
      <w:pPr>
        <w:spacing w:after="0" w:line="225" w:lineRule="exact"/>
        <w:rPr>
          <w:rFonts w:ascii="Arial" w:cs="Arial" w:eastAsia="Arial" w:hAnsi="Arial"/>
          <w:sz w:val="18"/>
          <w:szCs w:val="18"/>
          <w:color w:val="auto"/>
        </w:rPr>
      </w:pPr>
    </w:p>
    <w:p>
      <w:pPr>
        <w:ind w:left="1900" w:hanging="271"/>
        <w:spacing w:after="0"/>
        <w:tabs>
          <w:tab w:leader="none" w:pos="1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creation or filling of vacancies in the Board of Directors.</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adoption, amendment or repeal of the By-Laws.</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amendment or repeal of any resolution of the Board of Directors that by its terms is amendable or repealable only by the Board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Directors.</w:t>
      </w:r>
    </w:p>
    <w:p>
      <w:pPr>
        <w:spacing w:after="0" w:line="210" w:lineRule="exact"/>
        <w:rPr>
          <w:rFonts w:ascii="Arial" w:cs="Arial" w:eastAsia="Arial" w:hAnsi="Arial"/>
          <w:sz w:val="16"/>
          <w:szCs w:val="16"/>
          <w:color w:val="auto"/>
        </w:rPr>
      </w:pPr>
    </w:p>
    <w:p>
      <w:pPr>
        <w:ind w:left="660" w:right="520" w:firstLine="969"/>
        <w:spacing w:after="0" w:line="277" w:lineRule="auto"/>
        <w:tabs>
          <w:tab w:leader="none" w:pos="18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Action on matters committed by the Articles of Incorporation, the By-Laws or resolution of the Board of Directors to another committee of the Board of Directors.</w:t>
      </w:r>
    </w:p>
    <w:p>
      <w:pPr>
        <w:spacing w:after="0" w:line="170" w:lineRule="exact"/>
        <w:rPr>
          <w:rFonts w:ascii="Arial" w:cs="Arial" w:eastAsia="Arial" w:hAnsi="Arial"/>
          <w:sz w:val="18"/>
          <w:szCs w:val="18"/>
          <w:color w:val="auto"/>
        </w:rPr>
      </w:pPr>
    </w:p>
    <w:p>
      <w:pPr>
        <w:jc w:val="both"/>
        <w:ind w:right="220" w:firstLine="851"/>
        <w:spacing w:after="0" w:line="264" w:lineRule="auto"/>
        <w:tabs>
          <w:tab w:leader="none" w:pos="10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line="264" w:lineRule="auto"/>
        <w:rPr>
          <w:sz w:val="20"/>
          <w:szCs w:val="20"/>
          <w:color w:val="auto"/>
        </w:rPr>
      </w:pPr>
      <w:r>
        <w:rPr>
          <w:rFonts w:ascii="Arial" w:cs="Arial" w:eastAsia="Arial" w:hAnsi="Arial"/>
          <w:sz w:val="18"/>
          <w:szCs w:val="18"/>
          <w:color w:val="auto"/>
        </w:rPr>
        <w:t>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1" w:lineRule="exact"/>
        <w:rPr>
          <w:sz w:val="20"/>
          <w:szCs w:val="20"/>
          <w:color w:val="auto"/>
        </w:rPr>
      </w:pPr>
    </w:p>
    <w:p>
      <w:pPr>
        <w:ind w:left="1100" w:hanging="249"/>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 Each committee of the Board of Directors shall serve at the pleasure of the Board of Directors.</w:t>
      </w:r>
    </w:p>
    <w:p>
      <w:pPr>
        <w:spacing w:after="0" w:line="221" w:lineRule="exact"/>
        <w:rPr>
          <w:rFonts w:ascii="Arial" w:cs="Arial" w:eastAsia="Arial" w:hAnsi="Arial"/>
          <w:sz w:val="18"/>
          <w:szCs w:val="18"/>
          <w:color w:val="auto"/>
        </w:rPr>
      </w:pPr>
    </w:p>
    <w:p>
      <w:pPr>
        <w:ind w:right="100" w:firstLine="851"/>
        <w:spacing w:after="0" w:line="258" w:lineRule="auto"/>
        <w:tabs>
          <w:tab w:leader="none" w:pos="10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Status of Committee Action. The term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88" w:lineRule="exact"/>
        <w:rPr>
          <w:sz w:val="20"/>
          <w:szCs w:val="20"/>
          <w:color w:val="auto"/>
        </w:rPr>
      </w:pPr>
    </w:p>
    <w:p>
      <w:pPr>
        <w:ind w:left="80" w:right="40" w:firstLine="648"/>
        <w:spacing w:after="0" w:line="285"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i w:val="1"/>
          <w:iCs w:val="1"/>
          <w:color w:val="auto"/>
        </w:rPr>
        <w:t>Nomination</w:t>
      </w:r>
      <w:r>
        <w:rPr>
          <w:rFonts w:ascii="Arial" w:cs="Arial" w:eastAsia="Arial" w:hAnsi="Arial"/>
          <w:sz w:val="16"/>
          <w:szCs w:val="16"/>
          <w:color w:val="auto"/>
        </w:rPr>
        <w:t>. Nominations for the election of Directors may be made only (A) by the Board of Directors, (B) pursuant to this Section 3.10 by any shareholder of record entitled to vote in the election of Directors generally at the record date of the meeting and also on the date of the meeting at which Directors are to be elected or (C) by way of proxy access in accordance with Section 3.11. However, any shareholder entitled to vote in the election of Directors generally may nominate one or more persons for election as Directors at a meeting pursuant to this Section 3.10 only if written notice of such shareholder’s intention to make such nomination or nominations has been delivered personally to, or been mailed to and received by the Corporation at, the principal executive offices of the Corporation, addressed to the attention of the Secretary,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reasonably detailed description of all agreements, arrangements and understandings between the shareholder and each nominee and any other person or persons (naming such person or persons) pursuant to which the nomination or nominations are to be made by the shareholder; (iv) a reasonably detailed description of all agreements, arrangements and understandings (including, regardless of the form of settlement, any derivative, long or short positions, profit interests, forwards, futures, swaps, options, warrants, convertible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20"/>
        <w:spacing w:after="0" w:line="288" w:lineRule="auto"/>
        <w:rPr>
          <w:sz w:val="20"/>
          <w:szCs w:val="20"/>
          <w:color w:val="auto"/>
        </w:rPr>
      </w:pPr>
      <w:r>
        <w:rPr>
          <w:rFonts w:ascii="Arial" w:cs="Arial" w:eastAsia="Arial" w:hAnsi="Arial"/>
          <w:sz w:val="16"/>
          <w:szCs w:val="16"/>
          <w:color w:val="auto"/>
        </w:rPr>
        <w:t>securities, stock appreciation or similar rights, hedging transactions and borrowed or loaned shares) that have been entered into by or on behalf of such shareholder, and all other agreements, arrangements and understandings that have been made, the effect or intent of which is to create or mitigate loss to, manage risk or benefit of share price changes for, or increase or decrease the voting power of, such shareholder; (v) a reasonably detailed description of all agreements, arrangements and understandings with any person with respect to any direct or indirect compensation, reimbursement or indemnification of each nominee (A) in connection with being a nominee that has not been fully disclosed in writing to the Corporation prior to or concurrently with the submission of the notice or (B) in connection with service or action as a Director of the Corporation if so elected; (vi) such other information regarding each nominee proposed by such shareholder as would have been required to be included in a proxy statement filed pursuant to the proxy rules of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had the nominee been nominated by the Board of Directors; and (vii)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16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Proxy Access.</w:t>
      </w:r>
    </w:p>
    <w:p>
      <w:pPr>
        <w:spacing w:after="0" w:line="225" w:lineRule="exact"/>
        <w:rPr>
          <w:sz w:val="20"/>
          <w:szCs w:val="20"/>
          <w:color w:val="auto"/>
        </w:rPr>
      </w:pPr>
    </w:p>
    <w:p>
      <w:pPr>
        <w:ind w:left="1100" w:hanging="249"/>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Inclusion of Shareholder Nominees in Corporation’s Proxy Statement.</w:t>
      </w:r>
    </w:p>
    <w:p>
      <w:pPr>
        <w:spacing w:after="0" w:line="225" w:lineRule="exact"/>
        <w:rPr>
          <w:rFonts w:ascii="Arial" w:cs="Arial" w:eastAsia="Arial" w:hAnsi="Arial"/>
          <w:sz w:val="18"/>
          <w:szCs w:val="18"/>
          <w:color w:val="auto"/>
        </w:rPr>
      </w:pPr>
    </w:p>
    <w:p>
      <w:pPr>
        <w:ind w:left="660" w:firstLine="969"/>
        <w:spacing w:after="0" w:line="286" w:lineRule="auto"/>
        <w:tabs>
          <w:tab w:leader="none" w:pos="1847" w:val="left"/>
        </w:tabs>
        <w:numPr>
          <w:ilvl w:val="1"/>
          <w:numId w:val="18"/>
        </w:numPr>
        <w:rPr>
          <w:rFonts w:ascii="Arial" w:cs="Arial" w:eastAsia="Arial" w:hAnsi="Arial"/>
          <w:sz w:val="16"/>
          <w:szCs w:val="16"/>
          <w:color w:val="auto"/>
        </w:rPr>
      </w:pPr>
      <w:r>
        <w:rPr>
          <w:rFonts w:ascii="Arial" w:cs="Arial" w:eastAsia="Arial" w:hAnsi="Arial"/>
          <w:sz w:val="16"/>
          <w:szCs w:val="16"/>
          <w:color w:val="auto"/>
        </w:rPr>
        <w:t>Subject to the provisions of this Section 3.11, if expressly requested in the relevant Nomination Notice (as defined below), the Corporation shall include in its proxy statement for any annual meeting of shareholders (but not at any special meeting of shareholders): (A) the names of any person or persons therein nominated for the election of Directors (each, a “</w:t>
      </w:r>
      <w:r>
        <w:rPr>
          <w:rFonts w:ascii="Arial" w:cs="Arial" w:eastAsia="Arial" w:hAnsi="Arial"/>
          <w:sz w:val="16"/>
          <w:szCs w:val="16"/>
          <w:b w:val="1"/>
          <w:bCs w:val="1"/>
          <w:color w:val="auto"/>
        </w:rPr>
        <w:t>Shareholder Nominee</w:t>
      </w:r>
      <w:r>
        <w:rPr>
          <w:rFonts w:ascii="Arial" w:cs="Arial" w:eastAsia="Arial" w:hAnsi="Arial"/>
          <w:sz w:val="16"/>
          <w:szCs w:val="16"/>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 conditions and complied with all applicable procedures and requirements set forth in this Section 3.11 (such Eligible Shareholder or group of Eligible Shareholders being a “</w:t>
      </w:r>
      <w:r>
        <w:rPr>
          <w:rFonts w:ascii="Arial" w:cs="Arial" w:eastAsia="Arial" w:hAnsi="Arial"/>
          <w:sz w:val="16"/>
          <w:szCs w:val="16"/>
          <w:b w:val="1"/>
          <w:bCs w:val="1"/>
          <w:color w:val="auto"/>
        </w:rPr>
        <w:t>Nominating Shareholder</w:t>
      </w:r>
      <w:r>
        <w:rPr>
          <w:rFonts w:ascii="Arial" w:cs="Arial" w:eastAsia="Arial" w:hAnsi="Arial"/>
          <w:sz w:val="16"/>
          <w:szCs w:val="16"/>
          <w:color w:val="auto"/>
        </w:rPr>
        <w:t>”); (B) disclosure about each Shareholder Nominee and the Nominating Shareholder required under the rules of the SEC or other applicable law to be included in the proxy statement; (C) any statement included by the Nominating Shareholder in the Nomination Notice for inclusion in the proxy statement in support of each Shareholder Nominee’s election to the Board of Directors (subject, without limitation, to Section 3.11(e)(ii), and provided that such statement does not exceed 500 words and fully complies with Section 14 of the Exchange Act, including Rule 14a-9 thereunder (the “</w:t>
      </w:r>
      <w:r>
        <w:rPr>
          <w:rFonts w:ascii="Arial" w:cs="Arial" w:eastAsia="Arial" w:hAnsi="Arial"/>
          <w:sz w:val="16"/>
          <w:szCs w:val="16"/>
          <w:b w:val="1"/>
          <w:bCs w:val="1"/>
          <w:color w:val="auto"/>
        </w:rPr>
        <w:t>Supporting Statement</w:t>
      </w:r>
      <w:r>
        <w:rPr>
          <w:rFonts w:ascii="Arial" w:cs="Arial" w:eastAsia="Arial" w:hAnsi="Arial"/>
          <w:sz w:val="16"/>
          <w:szCs w:val="16"/>
          <w:color w:val="auto"/>
        </w:rPr>
        <w: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 provided pursuant to this Section 3.11</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and any solicitation materials or related information with respect to a Shareholder Nominee.</w:t>
      </w:r>
    </w:p>
    <w:p>
      <w:pPr>
        <w:spacing w:after="0" w:line="225" w:lineRule="exact"/>
        <w:rPr>
          <w:sz w:val="20"/>
          <w:szCs w:val="20"/>
          <w:color w:val="auto"/>
        </w:rPr>
      </w:pPr>
    </w:p>
    <w:p>
      <w:pPr>
        <w:ind w:right="60" w:firstLine="969"/>
        <w:spacing w:after="0" w:line="271" w:lineRule="auto"/>
        <w:tabs>
          <w:tab w:leader="none" w:pos="1237" w:val="left"/>
        </w:tabs>
        <w:numPr>
          <w:ilvl w:val="1"/>
          <w:numId w:val="19"/>
        </w:numPr>
        <w:rPr>
          <w:rFonts w:ascii="Arial" w:cs="Arial" w:eastAsia="Arial" w:hAnsi="Arial"/>
          <w:sz w:val="17"/>
          <w:szCs w:val="17"/>
          <w:color w:val="auto"/>
        </w:rPr>
      </w:pPr>
      <w:r>
        <w:rPr>
          <w:rFonts w:ascii="Arial" w:cs="Arial" w:eastAsia="Arial" w:hAnsi="Arial"/>
          <w:sz w:val="17"/>
          <w:szCs w:val="17"/>
          <w:color w:val="auto"/>
        </w:rPr>
        <w:t>For purposes of this Section 3.11,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any Eligible Shareholder, any Nominating Shareholder, any Shareholder Nominee and any other person so long as made in good faith (without any further requirements). If any intervening events, facts or circumstances arise subsequent to any such determination, the presiding officer of any annual meeting of shareholders, in addition to making any other determinations that may be appropriate to the conduct of the meeting, shall have the power and duty to determine whether a Shareholder Nominee has been nominated in accordance with the requirements of this Section 3.11 and, if not so nominated, shall direct and declare at the meeting that such Shareholder Nominee shall not be considered.</w:t>
      </w:r>
    </w:p>
    <w:p>
      <w:pPr>
        <w:spacing w:after="0" w:line="178" w:lineRule="exact"/>
        <w:rPr>
          <w:rFonts w:ascii="Arial" w:cs="Arial" w:eastAsia="Arial" w:hAnsi="Arial"/>
          <w:sz w:val="17"/>
          <w:szCs w:val="17"/>
          <w:color w:val="auto"/>
        </w:rPr>
      </w:pPr>
    </w:p>
    <w:p>
      <w:pPr>
        <w:ind w:left="440" w:hanging="249"/>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Maximum Number of Shareholder Nominees.</w:t>
      </w:r>
    </w:p>
    <w:p>
      <w:pPr>
        <w:spacing w:after="0" w:line="225" w:lineRule="exact"/>
        <w:rPr>
          <w:rFonts w:ascii="Arial" w:cs="Arial" w:eastAsia="Arial" w:hAnsi="Arial"/>
          <w:sz w:val="18"/>
          <w:szCs w:val="18"/>
          <w:color w:val="auto"/>
        </w:rPr>
      </w:pPr>
    </w:p>
    <w:p>
      <w:pPr>
        <w:ind w:right="240" w:firstLine="969"/>
        <w:spacing w:after="0" w:line="259" w:lineRule="auto"/>
        <w:tabs>
          <w:tab w:leader="none" w:pos="11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Corporation shall not be required to include in the proxy statement for an annual meeting of shareholders more Shareholder Nominees than that number constituting the greater of (A) two or (B) 20% of the total number of Directors of the Corporation then serving on the last day on which a Nomination Notice may be submitted pursuant to this Section 3.11 (rounded down to the nearest whole number) (the “</w:t>
      </w:r>
      <w:r>
        <w:rPr>
          <w:rFonts w:ascii="Arial" w:cs="Arial" w:eastAsia="Arial" w:hAnsi="Arial"/>
          <w:sz w:val="18"/>
          <w:szCs w:val="18"/>
          <w:b w:val="1"/>
          <w:bCs w:val="1"/>
          <w:color w:val="auto"/>
        </w:rPr>
        <w:t>Maximum Number</w:t>
      </w:r>
      <w:r>
        <w:rPr>
          <w:rFonts w:ascii="Arial" w:cs="Arial" w:eastAsia="Arial" w:hAnsi="Arial"/>
          <w:sz w:val="18"/>
          <w:szCs w:val="18"/>
          <w:color w:val="auto"/>
        </w:rPr>
        <w:t>”).</w:t>
      </w:r>
    </w:p>
    <w:p>
      <w:pPr>
        <w:spacing w:after="0" w:line="187" w:lineRule="exact"/>
        <w:rPr>
          <w:sz w:val="20"/>
          <w:szCs w:val="20"/>
          <w:color w:val="auto"/>
        </w:rPr>
      </w:pPr>
    </w:p>
    <w:p>
      <w:pPr>
        <w:ind w:firstLine="969"/>
        <w:spacing w:after="0" w:line="289" w:lineRule="auto"/>
        <w:tabs>
          <w:tab w:leader="none" w:pos="123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Section 3.11, as determined by the Board of Directors; (C) 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 annual meeting of shareholders is being recommended by the Board of Directors. In the event that one or more vacancies for any reason occurs on the Board of Directors after the deadline for submitting a Nomination Notice as set forth in Section 3.11(d) but before the date of the annual meeting of shareholders and the Board of Directors resolves to reduce the size of the Board of Directors in connection therewith, the Maximum Number shall be calculated based on the number of Directors in office as so reduced.</w:t>
      </w:r>
    </w:p>
    <w:p>
      <w:pPr>
        <w:spacing w:after="0" w:line="166" w:lineRule="exact"/>
        <w:rPr>
          <w:rFonts w:ascii="Arial" w:cs="Arial" w:eastAsia="Arial" w:hAnsi="Arial"/>
          <w:sz w:val="16"/>
          <w:szCs w:val="16"/>
          <w:color w:val="auto"/>
        </w:rPr>
      </w:pPr>
    </w:p>
    <w:p>
      <w:pPr>
        <w:ind w:right="740" w:firstLine="969"/>
        <w:spacing w:after="0" w:line="277" w:lineRule="auto"/>
        <w:tabs>
          <w:tab w:leader="none" w:pos="12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number of Shareholder Nominees pursuant to this Section 3.11 for any annual meeting of shareholders exceeds the Maximum Number then,</w:t>
      </w:r>
    </w:p>
    <w:p>
      <w:pPr>
        <w:spacing w:after="0" w:line="2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t>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 Nomination Notice as set forth in Section</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3.11(d), a Nominating Shareholder or a Shareholder Nominee ceases to satisfy the eligibility requirements in this Section 3.11,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170" w:lineRule="exact"/>
        <w:rPr>
          <w:sz w:val="20"/>
          <w:szCs w:val="20"/>
          <w:color w:val="auto"/>
        </w:rPr>
      </w:pPr>
    </w:p>
    <w:p>
      <w:pPr>
        <w:ind w:left="440" w:hanging="249"/>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Eligibility of Nominating Shareholder.</w:t>
      </w:r>
    </w:p>
    <w:p>
      <w:pPr>
        <w:spacing w:after="0" w:line="221" w:lineRule="exact"/>
        <w:rPr>
          <w:rFonts w:ascii="Arial" w:cs="Arial" w:eastAsia="Arial" w:hAnsi="Arial"/>
          <w:sz w:val="18"/>
          <w:szCs w:val="18"/>
          <w:color w:val="auto"/>
        </w:rPr>
      </w:pPr>
    </w:p>
    <w:p>
      <w:pPr>
        <w:ind w:right="60" w:firstLine="969"/>
        <w:spacing w:after="0" w:line="281" w:lineRule="auto"/>
        <w:tabs>
          <w:tab w:leader="none" w:pos="1187"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color w:val="auto"/>
        </w:rPr>
        <w:t>Eligible Shareholder</w:t>
      </w:r>
      <w:r>
        <w:rPr>
          <w:rFonts w:ascii="Arial" w:cs="Arial" w:eastAsia="Arial" w:hAnsi="Arial"/>
          <w:sz w:val="17"/>
          <w:szCs w:val="17"/>
          <w:color w:val="auto"/>
        </w:rPr>
        <w:t>” is a person who has either (A) been a record holder of the shares of common stock of the Corporation used to satisfy the eligibility requirements in this Section 3.11(c) continuously for the three-year period specified in Section 3.11(c)(ii) or (B) provides to the Secretary, within the time period referred to in Section 3.11(d), evidence of continuous ownership of such shares for such three-year period from one or more securities intermediaries in a form that the Board of Directors determines acceptable.</w:t>
      </w:r>
    </w:p>
    <w:p>
      <w:pPr>
        <w:spacing w:after="0" w:line="168" w:lineRule="exact"/>
        <w:rPr>
          <w:rFonts w:ascii="Arial" w:cs="Arial" w:eastAsia="Arial" w:hAnsi="Arial"/>
          <w:sz w:val="17"/>
          <w:szCs w:val="17"/>
          <w:color w:val="auto"/>
        </w:rPr>
      </w:pPr>
    </w:p>
    <w:p>
      <w:pPr>
        <w:ind w:firstLine="969"/>
        <w:spacing w:after="0" w:line="271" w:lineRule="auto"/>
        <w:tabs>
          <w:tab w:leader="none" w:pos="1227"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 Eligible Shareholder or group of up to 20 Eligible Shareholders may submit a nomination in accordance with this Section 3.11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w:t>
      </w:r>
    </w:p>
    <w:p>
      <w:pPr>
        <w:spacing w:after="0" w:line="2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900" w:top="341" w:right="319" w:bottom="1440" w:gutter="0" w:footer="0" w:header="0"/>
        </w:sectPr>
      </w:pPr>
    </w:p>
    <w:bookmarkStart w:id="16" w:name="page17"/>
    <w:bookmarkEnd w:id="16"/>
    <w:p>
      <w:pPr>
        <w:ind w:right="40"/>
        <w:spacing w:after="0" w:line="271" w:lineRule="auto"/>
        <w:rPr>
          <w:sz w:val="20"/>
          <w:szCs w:val="20"/>
          <w:color w:val="auto"/>
        </w:rPr>
      </w:pPr>
      <w:r>
        <w:rPr>
          <w:rFonts w:ascii="Arial" w:cs="Arial" w:eastAsia="Arial" w:hAnsi="Arial"/>
          <w:sz w:val="17"/>
          <w:szCs w:val="17"/>
          <w:color w:val="auto"/>
        </w:rPr>
        <w:t xml:space="preserve">amended). In the event of a nomination by a Nominating Shareholder that includes a group of Eligible Shareholders, any and all requirements and obligations for an Eligible Shareholder shall apply to each Eligible Shareholder in such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Minimum Number shall apply to the aggregate ownership of the group of Eligible Shareholders constituting the Nominating Shareholder. Should any Eligible Shareholder cease to satisfy the eligibility requirements in this Section 3.11,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Section 3.11, any reference to a “group” or “group of Eligible Shareholders” refers to any Nominating Shareholder that consists of more than one Eligible Shareholder and to all the Eligible Shareholders that make up such Nominating Shareholder.</w:t>
      </w:r>
    </w:p>
    <w:p>
      <w:pPr>
        <w:spacing w:after="0" w:line="175" w:lineRule="exact"/>
        <w:rPr>
          <w:sz w:val="20"/>
          <w:szCs w:val="20"/>
          <w:color w:val="auto"/>
        </w:rPr>
      </w:pPr>
    </w:p>
    <w:p>
      <w:pPr>
        <w:jc w:val="both"/>
        <w:ind w:right="40" w:firstLine="969"/>
        <w:spacing w:after="0" w:line="266" w:lineRule="auto"/>
        <w:tabs>
          <w:tab w:leader="none" w:pos="12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Minimum Number</w:t>
      </w:r>
      <w:r>
        <w:rPr>
          <w:rFonts w:ascii="Arial" w:cs="Arial" w:eastAsia="Arial" w:hAnsi="Arial"/>
          <w:sz w:val="18"/>
          <w:szCs w:val="18"/>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176" w:lineRule="exact"/>
        <w:rPr>
          <w:rFonts w:ascii="Arial" w:cs="Arial" w:eastAsia="Arial" w:hAnsi="Arial"/>
          <w:sz w:val="18"/>
          <w:szCs w:val="18"/>
          <w:color w:val="auto"/>
        </w:rPr>
      </w:pPr>
    </w:p>
    <w:p>
      <w:pPr>
        <w:ind w:firstLine="969"/>
        <w:spacing w:after="0" w:line="268" w:lineRule="auto"/>
        <w:tabs>
          <w:tab w:leader="none" w:pos="1277"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purposes of this Section 3.11, an Eligible Shareholder “</w:t>
      </w:r>
      <w:r>
        <w:rPr>
          <w:rFonts w:ascii="Arial" w:cs="Arial" w:eastAsia="Arial" w:hAnsi="Arial"/>
          <w:sz w:val="17"/>
          <w:szCs w:val="17"/>
          <w:b w:val="1"/>
          <w:bCs w:val="1"/>
          <w:color w:val="auto"/>
        </w:rPr>
        <w:t>owns</w:t>
      </w:r>
      <w:r>
        <w:rPr>
          <w:rFonts w:ascii="Arial" w:cs="Arial" w:eastAsia="Arial" w:hAnsi="Arial"/>
          <w:sz w:val="17"/>
          <w:szCs w:val="17"/>
          <w:color w:val="auto"/>
        </w:rPr>
        <w:t xml:space="preserve">”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number of shares calculated in accordance with clauses (A) and (B) shall not include any shares: (w) purchased or sold by such Eligible Shareholder or any of its affiliates in any transaction that has not been settled or closed, (x) that are subject to short positions or were otherwise sold short by such Eligible Shareholder or any of its affiliates, (y) borrowed by such Eligible Shareholder or any of its affiliates for any purpose or purchased by such Eligible Shareholder or any of its affiliates pursuant to an agreement to resell or subject to any other obligation to resell to another person, or (z)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(1) reducing in any manner, to any extent or at any time in the future, such Eligible Shareholder’s or any of its affiliates’ full right to vote or direct the voting of any such shares and/or (2)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w:t>
      </w:r>
    </w:p>
    <w:p>
      <w:pPr>
        <w:spacing w:after="0" w:line="29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7" w:name="page18"/>
    <w:bookmarkEnd w:id="17"/>
    <w:p>
      <w:pPr>
        <w:ind w:right="160"/>
        <w:spacing w:after="0" w:line="271" w:lineRule="auto"/>
        <w:rPr>
          <w:sz w:val="20"/>
          <w:szCs w:val="20"/>
          <w:color w:val="auto"/>
        </w:rPr>
      </w:pPr>
      <w:r>
        <w:rPr>
          <w:rFonts w:ascii="Arial" w:cs="Arial" w:eastAsia="Arial" w:hAnsi="Arial"/>
          <w:sz w:val="17"/>
          <w:szCs w:val="17"/>
          <w:color w:val="auto"/>
        </w:rPr>
        <w:t xml:space="preserve">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Eligible Shareholder has the power to recall such loaned shares on not more than five business days’ notice. The terms “owned,” “owning” and other variations of the word “own” shall have correlative meanings. Whether outstanding shares of the Corporation are “owned” for these purposes shall be determined by the Board of Directors. For purposes of this Section 3.11(c)(iv), the term “affiliate” or “affiliates” shall have the meaning ascribed thereto under the General Rules and Regulations under the Exchange Act.</w:t>
      </w:r>
    </w:p>
    <w:p>
      <w:pPr>
        <w:spacing w:after="0" w:line="179" w:lineRule="exact"/>
        <w:rPr>
          <w:sz w:val="20"/>
          <w:szCs w:val="20"/>
          <w:color w:val="auto"/>
        </w:rPr>
      </w:pPr>
    </w:p>
    <w:p>
      <w:pPr>
        <w:ind w:firstLine="969"/>
        <w:spacing w:after="0" w:line="312" w:lineRule="auto"/>
        <w:tabs>
          <w:tab w:leader="none" w:pos="1227"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owns the largest aggregate number of shares of each class of the Corporation’s common stock, as reflected in the Nomination Notice.</w:t>
      </w:r>
    </w:p>
    <w:p>
      <w:pPr>
        <w:spacing w:after="0" w:line="146" w:lineRule="exact"/>
        <w:rPr>
          <w:rFonts w:ascii="Arial" w:cs="Arial" w:eastAsia="Arial" w:hAnsi="Arial"/>
          <w:sz w:val="16"/>
          <w:szCs w:val="16"/>
          <w:color w:val="auto"/>
        </w:rPr>
      </w:pPr>
    </w:p>
    <w:p>
      <w:pPr>
        <w:ind w:left="440" w:hanging="249"/>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Nomination Notice.</w:t>
      </w:r>
    </w:p>
    <w:p>
      <w:pPr>
        <w:spacing w:after="0" w:line="225" w:lineRule="exact"/>
        <w:rPr>
          <w:rFonts w:ascii="Arial" w:cs="Arial" w:eastAsia="Arial" w:hAnsi="Arial"/>
          <w:sz w:val="18"/>
          <w:szCs w:val="18"/>
          <w:color w:val="auto"/>
        </w:rPr>
      </w:pPr>
    </w:p>
    <w:p>
      <w:pPr>
        <w:ind w:firstLine="969"/>
        <w:spacing w:after="0" w:line="269" w:lineRule="auto"/>
        <w:tabs>
          <w:tab w:leader="none" w:pos="1184" w:val="left"/>
        </w:tabs>
        <w:numPr>
          <w:ilvl w:val="1"/>
          <w:numId w:val="25"/>
        </w:numPr>
        <w:rPr>
          <w:rFonts w:ascii="Arial" w:cs="Arial" w:eastAsia="Arial" w:hAnsi="Arial"/>
          <w:sz w:val="17"/>
          <w:szCs w:val="17"/>
          <w:color w:val="auto"/>
        </w:rPr>
      </w:pPr>
      <w:r>
        <w:rPr>
          <w:rFonts w:ascii="Arial" w:cs="Arial" w:eastAsia="Arial" w:hAnsi="Arial"/>
          <w:sz w:val="17"/>
          <w:szCs w:val="17"/>
          <w:color w:val="auto"/>
        </w:rPr>
        <w:t>To nominate a Shareholder Nominee pursuant to this Section 3.11, the Nominating Shareholder (including each Eligible Shareholder in the case of a Nominating Shareholder consisting of a group of Eligible Shareholders) must deliver to the Secretary at the principal executive offices of the Corporation all of the following information and documents in a form that the Board of Directors determines acceptable (collectively, the “</w:t>
      </w:r>
      <w:r>
        <w:rPr>
          <w:rFonts w:ascii="Arial" w:cs="Arial" w:eastAsia="Arial" w:hAnsi="Arial"/>
          <w:sz w:val="17"/>
          <w:szCs w:val="17"/>
          <w:b w:val="1"/>
          <w:bCs w:val="1"/>
          <w:color w:val="auto"/>
        </w:rPr>
        <w:t>Nomination Notice</w:t>
      </w:r>
      <w:r>
        <w:rPr>
          <w:rFonts w:ascii="Arial" w:cs="Arial" w:eastAsia="Arial" w:hAnsi="Arial"/>
          <w:sz w:val="17"/>
          <w:szCs w:val="17"/>
          <w:color w:val="auto"/>
        </w:rPr>
        <w:t xml:space="preserve">”), not less than 120 days nor more than 150 days prior to the anniversary of the date that the Corporation first mailed or otherwise distributed its proxy statement for the prior year’s annual meeting of shareholders;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(and only if) the annual meeting of shareholders is not scheduled to be held within a period that commences 30 days before and concludes 30 days after the first anniversary date of the preceding year’s annual meeting of shareholders (an annual meeting date outside such period being referred to herein as an “</w:t>
      </w:r>
      <w:r>
        <w:rPr>
          <w:rFonts w:ascii="Arial" w:cs="Arial" w:eastAsia="Arial" w:hAnsi="Arial"/>
          <w:sz w:val="17"/>
          <w:szCs w:val="17"/>
          <w:b w:val="1"/>
          <w:bCs w:val="1"/>
          <w:color w:val="auto"/>
        </w:rPr>
        <w:t>Other</w:t>
      </w:r>
      <w:r>
        <w:rPr>
          <w:rFonts w:ascii="Arial" w:cs="Arial" w:eastAsia="Arial" w:hAnsi="Arial"/>
          <w:sz w:val="17"/>
          <w:szCs w:val="17"/>
          <w:color w:val="auto"/>
        </w:rPr>
        <w:t xml:space="preserve"> </w:t>
      </w:r>
      <w:r>
        <w:rPr>
          <w:rFonts w:ascii="Arial" w:cs="Arial" w:eastAsia="Arial" w:hAnsi="Arial"/>
          <w:sz w:val="17"/>
          <w:szCs w:val="17"/>
          <w:b w:val="1"/>
          <w:bCs w:val="1"/>
          <w:color w:val="auto"/>
        </w:rPr>
        <w:t>Meeting Date</w:t>
      </w:r>
      <w:r>
        <w:rPr>
          <w:rFonts w:ascii="Arial" w:cs="Arial" w:eastAsia="Arial" w:hAnsi="Arial"/>
          <w:sz w:val="17"/>
          <w:szCs w:val="17"/>
          <w:color w:val="auto"/>
        </w:rPr>
        <w:t>”), the Nomination Notice shall be given in the manner provided herein by the later of the close of business on the date that is 180 days</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such Other Meeting Date or the tenth day following the date such Other Meeting Date is first publicly announced or disclosed (in no event shall the adjournment or postponement of an annual meeting, or the public announcement thereof, commence a new time period (or extend any time period) for the giving of the Nomination Notice):</w:t>
      </w:r>
    </w:p>
    <w:p>
      <w:pPr>
        <w:spacing w:after="0" w:line="182" w:lineRule="exact"/>
        <w:rPr>
          <w:rFonts w:ascii="Arial" w:cs="Arial" w:eastAsia="Arial" w:hAnsi="Arial"/>
          <w:sz w:val="17"/>
          <w:szCs w:val="17"/>
          <w:color w:val="auto"/>
        </w:rPr>
      </w:pPr>
    </w:p>
    <w:p>
      <w:pPr>
        <w:ind w:left="700" w:right="420" w:firstLine="1046"/>
        <w:spacing w:after="0" w:line="277" w:lineRule="auto"/>
        <w:tabs>
          <w:tab w:leader="none" w:pos="2032" w:val="left"/>
        </w:tabs>
        <w:numPr>
          <w:ilvl w:val="2"/>
          <w:numId w:val="25"/>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 of the shares (and from each intermediary through which the shares are or have been held during the requisite three-year holding period) verifying</w:t>
      </w:r>
    </w:p>
    <w:p>
      <w:pPr>
        <w:spacing w:after="0" w:line="2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8" w:name="page19"/>
    <w:bookmarkEnd w:id="18"/>
    <w:p>
      <w:pPr>
        <w:ind w:left="160" w:right="40"/>
        <w:spacing w:after="0" w:line="302" w:lineRule="auto"/>
        <w:rPr>
          <w:sz w:val="20"/>
          <w:szCs w:val="20"/>
          <w:color w:val="auto"/>
        </w:rPr>
      </w:pPr>
      <w:r>
        <w:rPr>
          <w:rFonts w:ascii="Arial" w:cs="Arial" w:eastAsia="Arial" w:hAnsi="Arial"/>
          <w:sz w:val="16"/>
          <w:szCs w:val="16"/>
          <w:color w:val="auto"/>
        </w:rPr>
        <w:t>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54" w:lineRule="exact"/>
        <w:rPr>
          <w:sz w:val="20"/>
          <w:szCs w:val="20"/>
          <w:color w:val="auto"/>
        </w:rPr>
      </w:pPr>
    </w:p>
    <w:p>
      <w:pPr>
        <w:ind w:left="160" w:right="20" w:firstLine="1046"/>
        <w:spacing w:after="0" w:line="308" w:lineRule="auto"/>
        <w:tabs>
          <w:tab w:leader="none" w:pos="1482"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46" w:lineRule="exact"/>
        <w:rPr>
          <w:rFonts w:ascii="Arial" w:cs="Arial" w:eastAsia="Arial" w:hAnsi="Arial"/>
          <w:sz w:val="17"/>
          <w:szCs w:val="17"/>
          <w:color w:val="auto"/>
        </w:rPr>
      </w:pPr>
    </w:p>
    <w:p>
      <w:pPr>
        <w:ind w:left="160" w:right="40" w:firstLine="1046"/>
        <w:spacing w:after="0" w:line="277" w:lineRule="auto"/>
        <w:tabs>
          <w:tab w:leader="none" w:pos="14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Schedule 14N (or any successor form) relating to each Shareholder Nominee, completed and filed with the SEC by the Nominating Shareholder, as applicable, in accordance with SEC rules;</w:t>
      </w:r>
    </w:p>
    <w:p>
      <w:pPr>
        <w:spacing w:after="0" w:line="170" w:lineRule="exact"/>
        <w:rPr>
          <w:rFonts w:ascii="Arial" w:cs="Arial" w:eastAsia="Arial" w:hAnsi="Arial"/>
          <w:sz w:val="18"/>
          <w:szCs w:val="18"/>
          <w:color w:val="auto"/>
        </w:rPr>
      </w:pPr>
    </w:p>
    <w:p>
      <w:pPr>
        <w:ind w:left="160" w:right="200" w:firstLine="1046"/>
        <w:spacing w:after="0" w:line="277" w:lineRule="auto"/>
        <w:tabs>
          <w:tab w:leader="none" w:pos="14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written consent of each Shareholder Nominee to being named in the Corporation’s proxy statement, form of proxy and ballot as a Shareholder Nominee and to serving as a Director if elected;</w:t>
      </w:r>
    </w:p>
    <w:p>
      <w:pPr>
        <w:spacing w:after="0" w:line="170" w:lineRule="exact"/>
        <w:rPr>
          <w:rFonts w:ascii="Arial" w:cs="Arial" w:eastAsia="Arial" w:hAnsi="Arial"/>
          <w:sz w:val="18"/>
          <w:szCs w:val="18"/>
          <w:color w:val="auto"/>
        </w:rPr>
      </w:pPr>
    </w:p>
    <w:p>
      <w:pPr>
        <w:ind w:left="160" w:right="200" w:firstLine="1046"/>
        <w:spacing w:after="0" w:line="291" w:lineRule="auto"/>
        <w:tabs>
          <w:tab w:leader="none" w:pos="1472" w:val="left"/>
        </w:tabs>
        <w:numPr>
          <w:ilvl w:val="1"/>
          <w:numId w:val="26"/>
        </w:numPr>
        <w:rPr>
          <w:rFonts w:ascii="Arial" w:cs="Arial" w:eastAsia="Arial" w:hAnsi="Arial"/>
          <w:sz w:val="16"/>
          <w:szCs w:val="16"/>
          <w:color w:val="auto"/>
        </w:rPr>
      </w:pPr>
      <w:r>
        <w:rPr>
          <w:rFonts w:ascii="Arial" w:cs="Arial" w:eastAsia="Arial" w:hAnsi="Arial"/>
          <w:sz w:val="16"/>
          <w:szCs w:val="16"/>
          <w:color w:val="auto"/>
        </w:rPr>
        <w:t>a written notice, in a form deemed satisfactory by the Board of Directors, of the nomination of each Shareholder Nominee that includes the following additional information, agreements, representations and warranties by the Nominating Shareholder:</w:t>
      </w:r>
    </w:p>
    <w:p>
      <w:pPr>
        <w:ind w:left="160" w:firstLine="9"/>
        <w:spacing w:after="0" w:line="286" w:lineRule="auto"/>
        <w:tabs>
          <w:tab w:leader="none" w:pos="4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that would be required to be set forth in a shareholder’s notice of nomination pursuant to Section 3.10; (2) 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(3) a representation and warranty that the Nominating Shareholder has not nominated and will not nominate for election to the Board of Directors at the annual meeting any person other than such Nominating Shareholder’s Shareholder Nominee(s); (4) a representation and warranty that the Nominating Shareholder has not engaged in and will not engage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 (5) a representation and warranty that the Nominating Shareholder will not use any form of proxy and ballot other than the Corporation’s form of proxy and ballot in soliciting shareholders in connection with the election of a Shareholder Nominee at the annual meeting; (6) a representation and warranty that each Shareholder Nominee’s candidacy or, if elected, membership on the Board of</w:t>
      </w:r>
    </w:p>
    <w:p>
      <w:pPr>
        <w:spacing w:after="0" w:line="2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19" w:name="page20"/>
    <w:bookmarkEnd w:id="19"/>
    <w:p>
      <w:pPr>
        <w:ind w:left="160" w:right="60"/>
        <w:spacing w:after="0" w:line="291" w:lineRule="auto"/>
        <w:rPr>
          <w:sz w:val="20"/>
          <w:szCs w:val="20"/>
          <w:color w:val="auto"/>
        </w:rPr>
      </w:pPr>
      <w:r>
        <w:rPr>
          <w:rFonts w:ascii="Arial" w:cs="Arial" w:eastAsia="Arial" w:hAnsi="Arial"/>
          <w:sz w:val="16"/>
          <w:szCs w:val="16"/>
          <w:color w:val="auto"/>
        </w:rPr>
        <w:t>Directors would not violate the Articles of Incorporation, the By-Laws, any applicable law, rule, regulation, order or decree to which the Corporation is subject, including rules or regulations of any stock exchange on which the Corporation’s shares of common stock are listed;</w:t>
      </w:r>
    </w:p>
    <w:p>
      <w:pPr>
        <w:ind w:left="160" w:firstLine="9"/>
        <w:spacing w:after="0" w:line="266" w:lineRule="auto"/>
        <w:tabs>
          <w:tab w:leader="none" w:pos="4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representation and warranty that each Shareholder Nominee: (a)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 requirements under the rules of any stock exchange on which the Corporation’s shares of common stock are listed; (c)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(f) meets the Director qualifications set forth in the Corporation’s Corporate Governance Guidelines and any other standards established by the Corporation (notwithstanding this clause (7), for the avoidance of doubt, the Board is responsible for making the final determination of the Shareholder Nominee’s independence); (8) a representation and warranty that the Nominating Shareholder satisfies the eligibility requirements set forth in Section 3.11(c) and intends to continue to satisfy such eligibility requirements through the date of the annual meeting; (9) details of any position of a Shareholder Nominee as an employee, officer or director of any company, and of any other material relationship with or material financial interest in any company, within the three years preceding the submission of the Nomination Notice; (10) if desired, a Supporting Statement; and (11)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191" w:lineRule="exact"/>
        <w:rPr>
          <w:rFonts w:ascii="Arial" w:cs="Arial" w:eastAsia="Arial" w:hAnsi="Arial"/>
          <w:sz w:val="17"/>
          <w:szCs w:val="17"/>
          <w:color w:val="auto"/>
        </w:rPr>
      </w:pPr>
    </w:p>
    <w:p>
      <w:pPr>
        <w:ind w:left="160" w:right="60" w:firstLine="1046"/>
        <w:spacing w:after="0" w:line="259" w:lineRule="auto"/>
        <w:tabs>
          <w:tab w:leader="none" w:pos="146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executed agreement, in a form deemed satisfactory by the Board of Directors, pursuant to which the Nominating Shareholder (including in the case of a group, each Eligible Shareholder in that group) agrees: (1) to comply with all applicable laws, rules and regulations in connection with the nomination, solicitation and election of the Shareholder Nominee; (2) to file any written solicitation or other communication with the Corporation’s shareholders relating to one or</w:t>
      </w:r>
    </w:p>
    <w:p>
      <w:pPr>
        <w:spacing w:after="0" w:line="2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0" w:name="page21"/>
    <w:bookmarkEnd w:id="20"/>
    <w:p>
      <w:pPr>
        <w:ind w:left="160" w:right="40"/>
        <w:spacing w:after="0" w:line="291" w:lineRule="auto"/>
        <w:rPr>
          <w:sz w:val="20"/>
          <w:szCs w:val="20"/>
          <w:color w:val="auto"/>
        </w:rPr>
      </w:pPr>
      <w:r>
        <w:rPr>
          <w:rFonts w:ascii="Arial" w:cs="Arial" w:eastAsia="Arial" w:hAnsi="Arial"/>
          <w:sz w:val="16"/>
          <w:szCs w:val="16"/>
          <w:color w:val="auto"/>
        </w:rPr>
        <w:t>more of the Corporation’s Directors or director nominees or any Shareholder Nominee with the SEC, regardless of whether any such filing is required under any rule or regulation or whether any exemption from filing is available for such materials under any rule or regulation;</w:t>
      </w:r>
    </w:p>
    <w:p>
      <w:pPr>
        <w:ind w:left="160" w:right="20" w:firstLine="9"/>
        <w:spacing w:after="0" w:line="266" w:lineRule="auto"/>
        <w:tabs>
          <w:tab w:leader="none" w:pos="4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Nomination Notice; (4)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 3.11; (5) in the event that any information included in the Nomination Notice or any other communication by the Nominating Shareholder (including with respect to any Eligible Shareholder included in a group) with the Corporation, the shareholders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Shareholder (including any Eligible Shareholder in a group) has failed to continue to satisfy the eligibility requirements described in Section 3.11(c), to promptly notify the Corporation; and</w:t>
      </w:r>
    </w:p>
    <w:p>
      <w:pPr>
        <w:spacing w:after="0" w:line="192" w:lineRule="exact"/>
        <w:rPr>
          <w:rFonts w:ascii="Arial" w:cs="Arial" w:eastAsia="Arial" w:hAnsi="Arial"/>
          <w:sz w:val="17"/>
          <w:szCs w:val="17"/>
          <w:color w:val="auto"/>
        </w:rPr>
      </w:pPr>
    </w:p>
    <w:p>
      <w:pPr>
        <w:ind w:left="160" w:firstLine="1046"/>
        <w:spacing w:after="0" w:line="255" w:lineRule="auto"/>
        <w:tabs>
          <w:tab w:leader="none" w:pos="14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executed agreement, in a form deemed satisfactory by the Board of Directors, by each Shareholder Nominee: (1) to promptly, but in any event within ten business days after such request, provide to the Corporation such other information and certifications, including completion of the Corporation’s director nominee questionnaire, as the Corporation may reasonably request; (2)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w:t>
      </w: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21" w:name="page22"/>
    <w:bookmarkEnd w:id="21"/>
    <w:p>
      <w:pPr>
        <w:ind w:left="700"/>
        <w:spacing w:after="0" w:line="268" w:lineRule="auto"/>
        <w:rPr>
          <w:sz w:val="20"/>
          <w:szCs w:val="20"/>
          <w:color w:val="auto"/>
        </w:rPr>
      </w:pPr>
      <w:r>
        <w:rPr>
          <w:rFonts w:ascii="Arial" w:cs="Arial" w:eastAsia="Arial" w:hAnsi="Arial"/>
          <w:sz w:val="17"/>
          <w:szCs w:val="17"/>
          <w:color w:val="auto"/>
        </w:rPr>
        <w:t>information provided by such Shareholder Nominee to the Corporation in connection with his or her nomination and such Shareholder Nominee’s eligibility to serve as a member of the Board of Directors; (3) that such Shareholder Nominee has read and agrees, if elected, to comply with all of the Corporation’s corporate governance, conflict of interest, confidentiality, and stock ownership and trading policies and guidelines, and any other Corporation policies and guidelines applicable to Directors; (4) understands his or her duties as a director under Pennsylvania law and agrees to act in accordance with those duties while serving as a Director, and (5) that such Shareholder Nominee is not and will not become a party to: (a) any agreement, arrangement or understanding with any person with respect to any direct or indirect compensation, reimbursement or indemnification of the Shareholder Nominee in connection with being a Shareholder Nominee that has not been fully disclosed in writing to the Corporation prior to or concurrently with the Nominating Shareholder’s submission of the Nomination Notice; (b) any agreement, arrangement, or understanding with any person other than the Corporation with respect to any direct or indirect compensation, reimbursement, or indemnification of the Shareholder Nominee in connection with service or action as a Director of the Corporation if so elected; (c) any agreement, arrangement or understanding with any person or entity as to how such Shareholder Nominee, if elected, will vote or act on any issue (a “</w:t>
      </w:r>
      <w:r>
        <w:rPr>
          <w:rFonts w:ascii="Arial" w:cs="Arial" w:eastAsia="Arial" w:hAnsi="Arial"/>
          <w:sz w:val="17"/>
          <w:szCs w:val="17"/>
          <w:b w:val="1"/>
          <w:bCs w:val="1"/>
          <w:color w:val="auto"/>
        </w:rPr>
        <w:t>Voting Commitment</w:t>
      </w:r>
      <w:r>
        <w:rPr>
          <w:rFonts w:ascii="Arial" w:cs="Arial" w:eastAsia="Arial" w:hAnsi="Arial"/>
          <w:sz w:val="17"/>
          <w:szCs w:val="17"/>
          <w:color w:val="auto"/>
        </w:rPr>
        <w:t>”) except such as is already existing and has been fully disclosed to the Corporation prior to or concurrently with the Nominating Shareholder’s submission of the Nomination Notice; or (d) any Voting Commitment that could limit or interfere with such Shareholder Nominee’s ability to comply, if elected, with his or her fiduciary duties under applicable law.</w:t>
      </w:r>
    </w:p>
    <w:p>
      <w:pPr>
        <w:spacing w:after="0" w:line="183" w:lineRule="exact"/>
        <w:rPr>
          <w:sz w:val="20"/>
          <w:szCs w:val="20"/>
          <w:color w:val="auto"/>
        </w:rPr>
      </w:pPr>
    </w:p>
    <w:p>
      <w:pPr>
        <w:ind w:right="100" w:firstLine="969"/>
        <w:spacing w:after="0" w:line="291" w:lineRule="auto"/>
        <w:tabs>
          <w:tab w:leader="none" w:pos="1237"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information and documents required by this Section 3.11(d) to be provided by the Nominating Shareholder shall be: (A) provided with respect to and executed by each Eligible Shareholder in the case of a Nominating Shareholder comprised of a group of Eligible Shareholders; and (B) provided with respect to both the persons specified in Instructions 1 and 2 to Items 6(c) and (d) of Schedule 14N (or any successor item) and limited liability companies (x) in the case of a Nominating Shareholder that is an entity and (y) in the case of a Nominating Shareholder that is a group that includes one or more Eligible Shareholders that are entities. The Nomination Notice shall be deemed submitted on the date on which all of the information and documents referred to in this Section 3.11(d) (other than such information and documents contemplated to be provided after the date the Nomination Notice is provided) have been delivered to and received by the Secretary.</w:t>
      </w:r>
    </w:p>
    <w:p>
      <w:pPr>
        <w:spacing w:after="0" w:line="167" w:lineRule="exact"/>
        <w:rPr>
          <w:rFonts w:ascii="Arial" w:cs="Arial" w:eastAsia="Arial" w:hAnsi="Arial"/>
          <w:sz w:val="16"/>
          <w:szCs w:val="16"/>
          <w:color w:val="auto"/>
        </w:rPr>
      </w:pPr>
    </w:p>
    <w:p>
      <w:pPr>
        <w:ind w:left="440" w:hanging="249"/>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Exceptions.</w:t>
      </w:r>
    </w:p>
    <w:p>
      <w:pPr>
        <w:spacing w:after="0" w:line="225" w:lineRule="exact"/>
        <w:rPr>
          <w:rFonts w:ascii="Arial" w:cs="Arial" w:eastAsia="Arial" w:hAnsi="Arial"/>
          <w:sz w:val="18"/>
          <w:szCs w:val="18"/>
          <w:color w:val="auto"/>
        </w:rPr>
      </w:pPr>
    </w:p>
    <w:p>
      <w:pPr>
        <w:ind w:left="1180" w:hanging="211"/>
        <w:spacing w:after="0"/>
        <w:tabs>
          <w:tab w:leader="none" w:pos="11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3.11, the Corporation may omit from its proxy statement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Shareholder</w:t>
      </w:r>
    </w:p>
    <w:p>
      <w:pPr>
        <w:spacing w:after="0" w:line="3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22" w:name="page23"/>
    <w:bookmarkEnd w:id="22"/>
    <w:p>
      <w:pPr>
        <w:spacing w:after="0" w:line="284" w:lineRule="auto"/>
        <w:rPr>
          <w:sz w:val="20"/>
          <w:szCs w:val="20"/>
          <w:color w:val="auto"/>
        </w:rPr>
      </w:pPr>
      <w:r>
        <w:rPr>
          <w:rFonts w:ascii="Arial" w:cs="Arial" w:eastAsia="Arial" w:hAnsi="Arial"/>
          <w:sz w:val="16"/>
          <w:szCs w:val="16"/>
          <w:color w:val="auto"/>
        </w:rPr>
        <w:t>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 notice requirements set forth in Section 3.10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3.11, the Nominating Shareholder withdraws its nomination or the presiding officer of the annual meeting declares that such nomination was not made in accordance with the procedures prescribed by this Section 3.11 and shall therefore be disregarded; (C) the Board of Directors in good faith determines that such Shareholder Nominee fails to satisfy all the standards set forth in Section 3.11(d)(i)(E)(7)(a)-(f),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Articles of Incorporation, the By-Laws or any applicable law, rule, regulation, order or decree to which the Corporation is subject, including any rules or regulations of any stock exchange on which the Corporation’s shares of common stock are listed; (D) such Shareholder Nominee was nominated for election to the Board of Directors pursuant to this Section 3.11 at one of the Corporation’s two preceding annual meetings of shareholders and either withdrew from or became ineligible or unavailable for election at such annual meeting or received less than 25% of the votes that all shareholders are entitled to cast in favor of the election of such Shareholder Nominee; or (E) the Corporation is notified, or the Board of Directors determines, that the Nominating Shareholder or such Shareholder Nominee has failed to continue to satisfy the eligibility requirements described in Section 3.11(c),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3.11.</w:t>
      </w:r>
    </w:p>
    <w:p>
      <w:pPr>
        <w:spacing w:after="0" w:line="179" w:lineRule="exact"/>
        <w:rPr>
          <w:sz w:val="20"/>
          <w:szCs w:val="20"/>
          <w:color w:val="auto"/>
        </w:rPr>
      </w:pPr>
    </w:p>
    <w:p>
      <w:pPr>
        <w:ind w:firstLine="969"/>
        <w:spacing w:after="0" w:line="264" w:lineRule="auto"/>
        <w:tabs>
          <w:tab w:leader="none" w:pos="12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3.11, the Corporation may omit from its proxy statement, or may supplement or correct, any information, including all or any portion of the Supporting Statement or any other statement in support of a Shareholder Nominee included in the</w:t>
      </w:r>
    </w:p>
    <w:p>
      <w:pPr>
        <w:spacing w:after="0" w:line="2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23" w:name="page24"/>
    <w:bookmarkEnd w:id="23"/>
    <w:p>
      <w:pPr>
        <w:ind w:left="580" w:right="40"/>
        <w:spacing w:after="0" w:line="273" w:lineRule="auto"/>
        <w:rPr>
          <w:sz w:val="20"/>
          <w:szCs w:val="20"/>
          <w:color w:val="auto"/>
        </w:rPr>
      </w:pPr>
      <w:r>
        <w:rPr>
          <w:rFonts w:ascii="Arial" w:cs="Arial" w:eastAsia="Arial" w:hAnsi="Arial"/>
          <w:sz w:val="17"/>
          <w:szCs w:val="17"/>
          <w:color w:val="auto"/>
        </w:rPr>
        <w:t>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178"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(iii) The Corporation may solicit against, and include in the proxy statement its own statement relating to, any Shareholder Nominee.</w:t>
      </w: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Election and Office</w:t>
      </w:r>
      <w:r>
        <w:rPr>
          <w:rFonts w:ascii="Arial" w:cs="Arial" w:eastAsia="Arial" w:hAnsi="Arial"/>
          <w:sz w:val="18"/>
          <w:szCs w:val="18"/>
          <w:color w:val="auto"/>
        </w:rPr>
        <w:t>.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one or more Vice Presidents, and one or more other officers or assistant officers. Any number of offices may be held by the same person. The Chairman of the Board must be a Director of the Corporation.</w:t>
      </w:r>
    </w:p>
    <w:p>
      <w:pPr>
        <w:spacing w:after="0" w:line="18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Term</w:t>
      </w:r>
      <w:r>
        <w:rPr>
          <w:rFonts w:ascii="Arial" w:cs="Arial" w:eastAsia="Arial" w:hAnsi="Arial"/>
          <w:sz w:val="16"/>
          <w:szCs w:val="16"/>
          <w:color w:val="auto"/>
        </w:rPr>
        <w:t>.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Powers and Duties of the Chairman of the Board</w:t>
      </w:r>
      <w:r>
        <w:rPr>
          <w:rFonts w:ascii="Arial" w:cs="Arial" w:eastAsia="Arial" w:hAnsi="Arial"/>
          <w:sz w:val="18"/>
          <w:szCs w:val="18"/>
          <w:color w:val="auto"/>
        </w:rPr>
        <w:t>. The Chairman of the Board shall have such powers and shall perform such duties as are provided in Article SIXTH of the Articles of Incorporation.</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Powers and Duties of the Chief Executive Officer</w:t>
      </w:r>
      <w:r>
        <w:rPr>
          <w:rFonts w:ascii="Arial" w:cs="Arial" w:eastAsia="Arial" w:hAnsi="Arial"/>
          <w:sz w:val="18"/>
          <w:szCs w:val="18"/>
          <w:color w:val="auto"/>
        </w:rPr>
        <w:t>. The Chief Executive Officer shall have such powers and shall perform such duties as are provided in Article SIXTH of the Articles of Incorporation.</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Powers and Duties of the President</w:t>
      </w:r>
      <w:r>
        <w:rPr>
          <w:rFonts w:ascii="Arial" w:cs="Arial" w:eastAsia="Arial" w:hAnsi="Arial"/>
          <w:sz w:val="18"/>
          <w:szCs w:val="18"/>
          <w:color w:val="auto"/>
        </w:rPr>
        <w:t>. The President shall have such powers and shall perform such duties as may, subject to Article SIXTH of the Articles of Incorporation, from time to time be assigned to the President by the Board of Directors.</w:t>
      </w:r>
    </w:p>
    <w:p>
      <w:pPr>
        <w:spacing w:after="0" w:line="27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24" w:name="page25"/>
    <w:bookmarkEnd w:id="24"/>
    <w:p>
      <w:pPr>
        <w:ind w:left="80" w:right="40" w:firstLine="648"/>
        <w:spacing w:after="0" w:line="25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Powers and Duties of the Secretary</w:t>
      </w:r>
      <w:r>
        <w:rPr>
          <w:rFonts w:ascii="Arial" w:cs="Arial" w:eastAsia="Arial" w:hAnsi="Arial"/>
          <w:sz w:val="18"/>
          <w:szCs w:val="18"/>
          <w:color w:val="auto"/>
        </w:rPr>
        <w:t>.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88" w:lineRule="exact"/>
        <w:rPr>
          <w:sz w:val="20"/>
          <w:szCs w:val="20"/>
          <w:color w:val="auto"/>
        </w:rPr>
      </w:pPr>
    </w:p>
    <w:p>
      <w:pPr>
        <w:ind w:left="80" w:firstLine="648"/>
        <w:spacing w:after="0" w:line="253"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Powers and Duties of the Treasurer</w:t>
      </w:r>
      <w:r>
        <w:rPr>
          <w:rFonts w:ascii="Arial" w:cs="Arial" w:eastAsia="Arial" w:hAnsi="Arial"/>
          <w:sz w:val="18"/>
          <w:szCs w:val="18"/>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97" w:lineRule="exact"/>
        <w:rPr>
          <w:sz w:val="20"/>
          <w:szCs w:val="20"/>
          <w:color w:val="auto"/>
        </w:rPr>
      </w:pPr>
    </w:p>
    <w:p>
      <w:pPr>
        <w:ind w:left="80" w:right="100" w:firstLine="648"/>
        <w:spacing w:after="0" w:line="288"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Rank and Duties of Vice Chairmen, Vice Presidents and Assistant Officers</w:t>
      </w:r>
      <w:r>
        <w:rPr>
          <w:rFonts w:ascii="Arial" w:cs="Arial" w:eastAsia="Arial" w:hAnsi="Arial"/>
          <w:sz w:val="16"/>
          <w:szCs w:val="16"/>
          <w:color w:val="auto"/>
        </w:rPr>
        <w:t>. Vice Chairmen, Executive Vice Presidents, Senior Vice Presidents, Vice Presidents and assistant officers shall have such rank as may be designated by the Board of Directors, provided that Vice Chairmen and Executive Vice Presidents shall serve as superior officers to Senior Vice Presidents and Senior Vice Presidents shall serve as superior officers to Vice Presidents. Vice Chairmen, Executive Vice Presidents, Senior Vice Presidents and Vice Presidents may be designated by the Board of Directors as having responsibility for a specific area of the Corporation’s affairs, in which event such Vice Chairmen, Executive Vice Presidents, Senior Vice Presidents or Vice Presidents shall be superior to the other Vice Chairmen, Executive Vice Presidents, Senior Vice Presidents or Vice Presidents, respectively, in relation to matters within his or her area. The President shall be the superior officer of the Vice Chairmen, Executive Vice Presidents, Senior Vice Presidents, Vice Presidents and all other officer positions, unless the Board of Directors provides otherwise. The Treasurer and Secretary shall be the superior officers of the Assistant Treasurers and Assistant Secretaries, respectively. Vice Chairmen, Executive Vice Presidents, Senior Vice Presidents and assistant officers shall have such duties as may be assigned to them by the Board of Directors or the President.</w:t>
      </w:r>
    </w:p>
    <w:p>
      <w:pPr>
        <w:spacing w:after="0" w:line="16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Vacancies</w:t>
      </w:r>
      <w:r>
        <w:rPr>
          <w:rFonts w:ascii="Arial" w:cs="Arial" w:eastAsia="Arial" w:hAnsi="Arial"/>
          <w:sz w:val="18"/>
          <w:szCs w:val="18"/>
          <w:color w:val="auto"/>
        </w:rPr>
        <w:t>. Subject to Article SIXTH of the Articles of Incorporation, the Board of Directors shall have the power to fill any vacancies in any office occurring for any reason.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right="340" w:firstLine="648"/>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Delegation of Office</w:t>
      </w:r>
      <w:r>
        <w:rPr>
          <w:rFonts w:ascii="Arial" w:cs="Arial" w:eastAsia="Arial" w:hAnsi="Arial"/>
          <w:sz w:val="18"/>
          <w:szCs w:val="18"/>
          <w:color w:val="auto"/>
        </w:rPr>
        <w:t>. Subject to Article SIXTH of the Articles of Incorporation, the Board of Directors may delegate the powers or duties of any officer of the Corporation to any other person from time to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APITAL</w:t>
      </w:r>
      <w:r>
        <w:rPr>
          <w:rFonts w:ascii="Arial" w:cs="Arial" w:eastAsia="Arial" w:hAnsi="Arial"/>
          <w:sz w:val="18"/>
          <w:szCs w:val="18"/>
          <w:color w:val="auto"/>
        </w:rPr>
        <w:t xml:space="preserve"> S</w:t>
      </w:r>
      <w:r>
        <w:rPr>
          <w:rFonts w:ascii="Arial" w:cs="Arial" w:eastAsia="Arial" w:hAnsi="Arial"/>
          <w:sz w:val="12"/>
          <w:szCs w:val="12"/>
          <w:color w:val="auto"/>
        </w:rPr>
        <w:t>TOCK</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Share Certificates.</w:t>
      </w:r>
    </w:p>
    <w:p>
      <w:pPr>
        <w:spacing w:after="0" w:line="225" w:lineRule="exact"/>
        <w:rPr>
          <w:sz w:val="20"/>
          <w:szCs w:val="20"/>
          <w:color w:val="auto"/>
        </w:rPr>
      </w:pPr>
    </w:p>
    <w:p>
      <w:pPr>
        <w:ind w:right="60" w:firstLine="851"/>
        <w:spacing w:after="0" w:line="273" w:lineRule="auto"/>
        <w:tabs>
          <w:tab w:leader="none" w:pos="1087"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78" w:lineRule="exact"/>
        <w:rPr>
          <w:rFonts w:ascii="Arial" w:cs="Arial" w:eastAsia="Arial" w:hAnsi="Arial"/>
          <w:sz w:val="17"/>
          <w:szCs w:val="17"/>
          <w:color w:val="auto"/>
        </w:rPr>
      </w:pPr>
    </w:p>
    <w:p>
      <w:pPr>
        <w:ind w:firstLine="851"/>
        <w:spacing w:after="0" w:line="255" w:lineRule="auto"/>
        <w:tabs>
          <w:tab w:leader="none" w:pos="10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93" w:lineRule="exact"/>
        <w:rPr>
          <w:rFonts w:ascii="Arial" w:cs="Arial" w:eastAsia="Arial" w:hAnsi="Arial"/>
          <w:sz w:val="18"/>
          <w:szCs w:val="18"/>
          <w:color w:val="auto"/>
        </w:rPr>
      </w:pPr>
    </w:p>
    <w:p>
      <w:pPr>
        <w:ind w:right="40" w:firstLine="851"/>
        <w:spacing w:after="0" w:line="264" w:lineRule="auto"/>
        <w:tabs>
          <w:tab w:leader="none" w:pos="10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81" w:lineRule="exact"/>
        <w:rPr>
          <w:sz w:val="20"/>
          <w:szCs w:val="20"/>
          <w:color w:val="auto"/>
        </w:rPr>
      </w:pPr>
    </w:p>
    <w:p>
      <w:pPr>
        <w:ind w:left="80" w:right="140" w:firstLine="648"/>
        <w:spacing w:after="0" w:line="26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Transfer of Shares</w:t>
      </w:r>
      <w:r>
        <w:rPr>
          <w:rFonts w:ascii="Arial" w:cs="Arial" w:eastAsia="Arial" w:hAnsi="Arial"/>
          <w:sz w:val="18"/>
          <w:szCs w:val="18"/>
          <w:color w:val="auto"/>
        </w:rPr>
        <w:t>.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Determination of Shareholders of Record.</w:t>
      </w:r>
    </w:p>
    <w:p>
      <w:pPr>
        <w:spacing w:after="0" w:line="225" w:lineRule="exact"/>
        <w:rPr>
          <w:sz w:val="20"/>
          <w:szCs w:val="20"/>
          <w:color w:val="auto"/>
        </w:rPr>
      </w:pPr>
    </w:p>
    <w:p>
      <w:pPr>
        <w:ind w:right="260" w:firstLine="851"/>
        <w:spacing w:after="0" w:line="277" w:lineRule="auto"/>
        <w:tabs>
          <w:tab w:leader="none" w:pos="11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Fixing Record Date for Purposes of Meetings. The Board of Directors of the Corporation may fix a time prior to the date of any meeting of shareholders as a record date for the determination of the shareholders entitled to notice of, or to vote at,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60"/>
        <w:spacing w:after="0" w:line="302" w:lineRule="auto"/>
        <w:rPr>
          <w:sz w:val="20"/>
          <w:szCs w:val="20"/>
          <w:color w:val="auto"/>
        </w:rPr>
      </w:pPr>
      <w:r>
        <w:rPr>
          <w:rFonts w:ascii="Arial" w:cs="Arial" w:eastAsia="Arial" w:hAnsi="Arial"/>
          <w:sz w:val="16"/>
          <w:szCs w:val="16"/>
          <w:color w:val="auto"/>
        </w:rPr>
        <w:t>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54" w:lineRule="exact"/>
        <w:rPr>
          <w:sz w:val="20"/>
          <w:szCs w:val="20"/>
          <w:color w:val="auto"/>
        </w:rPr>
      </w:pPr>
    </w:p>
    <w:p>
      <w:pPr>
        <w:jc w:val="both"/>
        <w:ind w:right="80" w:firstLine="851"/>
        <w:spacing w:after="0" w:line="259" w:lineRule="auto"/>
        <w:tabs>
          <w:tab w:leader="none" w:pos="10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Fixing Record Date for Purpose of Distributions. The Board of Directors of the Corporation may fix a time prior to the date of payment 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186" w:lineRule="exact"/>
        <w:rPr>
          <w:rFonts w:ascii="Arial" w:cs="Arial" w:eastAsia="Arial" w:hAnsi="Arial"/>
          <w:sz w:val="18"/>
          <w:szCs w:val="18"/>
          <w:color w:val="auto"/>
        </w:rPr>
      </w:pPr>
    </w:p>
    <w:p>
      <w:pPr>
        <w:ind w:right="80" w:firstLine="851"/>
        <w:spacing w:after="0" w:line="264" w:lineRule="auto"/>
        <w:tabs>
          <w:tab w:leader="none" w:pos="10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Fixing Record Date for Other Purposes.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181" w:lineRule="exact"/>
        <w:rPr>
          <w:rFonts w:ascii="Arial" w:cs="Arial" w:eastAsia="Arial" w:hAnsi="Arial"/>
          <w:sz w:val="18"/>
          <w:szCs w:val="18"/>
          <w:color w:val="auto"/>
        </w:rPr>
      </w:pPr>
    </w:p>
    <w:p>
      <w:pPr>
        <w:ind w:left="1100" w:hanging="249"/>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Determination when No Record Date Fixed. If a record date is not fixed:</w:t>
      </w:r>
    </w:p>
    <w:p>
      <w:pPr>
        <w:spacing w:after="0" w:line="225" w:lineRule="exact"/>
        <w:rPr>
          <w:rFonts w:ascii="Arial" w:cs="Arial" w:eastAsia="Arial" w:hAnsi="Arial"/>
          <w:sz w:val="18"/>
          <w:szCs w:val="18"/>
          <w:color w:val="auto"/>
        </w:rPr>
      </w:pPr>
    </w:p>
    <w:p>
      <w:pPr>
        <w:ind w:left="660" w:firstLine="969"/>
        <w:spacing w:after="0" w:line="264" w:lineRule="auto"/>
        <w:tabs>
          <w:tab w:leader="none" w:pos="18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81" w:lineRule="exact"/>
        <w:rPr>
          <w:rFonts w:ascii="Arial" w:cs="Arial" w:eastAsia="Arial" w:hAnsi="Arial"/>
          <w:sz w:val="18"/>
          <w:szCs w:val="18"/>
          <w:color w:val="auto"/>
        </w:rPr>
      </w:pPr>
    </w:p>
    <w:p>
      <w:pPr>
        <w:ind w:left="660" w:right="100" w:firstLine="969"/>
        <w:spacing w:after="0" w:line="277" w:lineRule="auto"/>
        <w:tabs>
          <w:tab w:leader="none" w:pos="18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record date for determining shareholders for any other purpose shall be at the close of business on the day on which the Board of Directors adopts the resolution relating thereto.</w:t>
      </w:r>
    </w:p>
    <w:p>
      <w:pPr>
        <w:spacing w:after="0" w:line="170" w:lineRule="exact"/>
        <w:rPr>
          <w:rFonts w:ascii="Arial" w:cs="Arial" w:eastAsia="Arial" w:hAnsi="Arial"/>
          <w:sz w:val="18"/>
          <w:szCs w:val="18"/>
          <w:color w:val="auto"/>
        </w:rPr>
      </w:pPr>
    </w:p>
    <w:p>
      <w:pPr>
        <w:ind w:right="160" w:firstLine="851"/>
        <w:spacing w:after="0" w:line="264" w:lineRule="auto"/>
        <w:tabs>
          <w:tab w:leader="none" w:pos="10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81" w:lineRule="exact"/>
        <w:rPr>
          <w:rFonts w:ascii="Arial" w:cs="Arial" w:eastAsia="Arial" w:hAnsi="Arial"/>
          <w:sz w:val="18"/>
          <w:szCs w:val="18"/>
          <w:color w:val="auto"/>
        </w:rPr>
      </w:pPr>
    </w:p>
    <w:p>
      <w:pPr>
        <w:ind w:left="1840" w:hanging="211"/>
        <w:spacing w:after="0"/>
        <w:tabs>
          <w:tab w:leader="none" w:pos="18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classification of shareholder who may certify;</w:t>
      </w:r>
    </w:p>
    <w:p>
      <w:pPr>
        <w:spacing w:after="0" w:line="225" w:lineRule="exact"/>
        <w:rPr>
          <w:rFonts w:ascii="Arial" w:cs="Arial" w:eastAsia="Arial" w:hAnsi="Arial"/>
          <w:sz w:val="18"/>
          <w:szCs w:val="18"/>
          <w:color w:val="auto"/>
        </w:rPr>
      </w:pPr>
    </w:p>
    <w:p>
      <w:pPr>
        <w:ind w:left="1900" w:hanging="271"/>
        <w:spacing w:after="0"/>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purpose or purposes for which the certification may be made;</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form of certification and information to be contained therein;</w:t>
      </w:r>
    </w:p>
    <w:p>
      <w:pPr>
        <w:spacing w:after="0" w:line="225" w:lineRule="exact"/>
        <w:rPr>
          <w:rFonts w:ascii="Arial" w:cs="Arial" w:eastAsia="Arial" w:hAnsi="Arial"/>
          <w:sz w:val="18"/>
          <w:szCs w:val="18"/>
          <w:color w:val="auto"/>
        </w:rPr>
      </w:pPr>
    </w:p>
    <w:p>
      <w:pPr>
        <w:ind w:left="660" w:right="120" w:firstLine="969"/>
        <w:spacing w:after="0" w:line="277" w:lineRule="auto"/>
        <w:tabs>
          <w:tab w:leader="none" w:pos="19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certification is with respect to a record date, the time after the record date within which the certification must be received by the Corporation; and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left="1620"/>
        <w:spacing w:after="0"/>
        <w:rPr>
          <w:sz w:val="20"/>
          <w:szCs w:val="20"/>
          <w:color w:val="auto"/>
        </w:rPr>
      </w:pPr>
      <w:r>
        <w:rPr>
          <w:rFonts w:ascii="Arial" w:cs="Arial" w:eastAsia="Arial" w:hAnsi="Arial"/>
          <w:sz w:val="18"/>
          <w:szCs w:val="18"/>
          <w:color w:val="auto"/>
        </w:rPr>
        <w:t>(v) such other provisions with respect to the procedure as are deemed necessary or desirable.</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24" w:lineRule="exact"/>
        <w:rPr>
          <w:sz w:val="20"/>
          <w:szCs w:val="20"/>
          <w:color w:val="auto"/>
        </w:rPr>
      </w:pPr>
    </w:p>
    <w:p>
      <w:pPr>
        <w:ind w:left="80" w:right="40" w:firstLine="648"/>
        <w:spacing w:after="0" w:line="293"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Lost Share Certificates</w:t>
      </w:r>
      <w:r>
        <w:rPr>
          <w:rFonts w:ascii="Arial" w:cs="Arial" w:eastAsia="Arial" w:hAnsi="Arial"/>
          <w:sz w:val="16"/>
          <w:szCs w:val="16"/>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request therefor and issuance thereof have been made before the Corporation has notice that such shares have been acquired by a bona fide purchaser.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OTICES</w:t>
      </w:r>
      <w:r>
        <w:rPr>
          <w:rFonts w:ascii="Arial" w:cs="Arial" w:eastAsia="Arial" w:hAnsi="Arial"/>
          <w:sz w:val="18"/>
          <w:szCs w:val="18"/>
          <w:color w:val="auto"/>
        </w:rPr>
        <w:t>; C</w:t>
      </w:r>
      <w:r>
        <w:rPr>
          <w:rFonts w:ascii="Arial" w:cs="Arial" w:eastAsia="Arial" w:hAnsi="Arial"/>
          <w:sz w:val="12"/>
          <w:szCs w:val="12"/>
          <w:color w:val="auto"/>
        </w:rPr>
        <w:t>OMPUTING</w:t>
      </w:r>
      <w:r>
        <w:rPr>
          <w:rFonts w:ascii="Arial" w:cs="Arial" w:eastAsia="Arial" w:hAnsi="Arial"/>
          <w:sz w:val="18"/>
          <w:szCs w:val="18"/>
          <w:color w:val="auto"/>
        </w:rPr>
        <w:t xml:space="preserve"> T</w:t>
      </w:r>
      <w:r>
        <w:rPr>
          <w:rFonts w:ascii="Arial" w:cs="Arial" w:eastAsia="Arial" w:hAnsi="Arial"/>
          <w:sz w:val="12"/>
          <w:szCs w:val="12"/>
          <w:color w:val="auto"/>
        </w:rPr>
        <w:t>IME</w:t>
      </w:r>
      <w:r>
        <w:rPr>
          <w:rFonts w:ascii="Arial" w:cs="Arial" w:eastAsia="Arial" w:hAnsi="Arial"/>
          <w:sz w:val="18"/>
          <w:szCs w:val="18"/>
          <w:color w:val="auto"/>
        </w:rPr>
        <w:t xml:space="preserve"> P</w:t>
      </w:r>
      <w:r>
        <w:rPr>
          <w:rFonts w:ascii="Arial" w:cs="Arial" w:eastAsia="Arial" w:hAnsi="Arial"/>
          <w:sz w:val="12"/>
          <w:szCs w:val="12"/>
          <w:color w:val="auto"/>
        </w:rPr>
        <w:t>ERIODS</w:t>
      </w:r>
    </w:p>
    <w:p>
      <w:pPr>
        <w:spacing w:after="0" w:line="211" w:lineRule="exact"/>
        <w:rPr>
          <w:sz w:val="20"/>
          <w:szCs w:val="20"/>
          <w:color w:val="auto"/>
        </w:rPr>
      </w:pPr>
    </w:p>
    <w:p>
      <w:pPr>
        <w:ind w:left="80" w:right="60" w:firstLine="648"/>
        <w:spacing w:after="0" w:line="27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Contents of Notice</w:t>
      </w:r>
      <w:r>
        <w:rPr>
          <w:rFonts w:ascii="Arial" w:cs="Arial" w:eastAsia="Arial" w:hAnsi="Arial"/>
          <w:sz w:val="17"/>
          <w:szCs w:val="17"/>
          <w:color w:val="auto"/>
        </w:rPr>
        <w:t>.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71" w:lineRule="exact"/>
        <w:rPr>
          <w:sz w:val="20"/>
          <w:szCs w:val="20"/>
          <w:color w:val="auto"/>
        </w:rPr>
      </w:pPr>
    </w:p>
    <w:p>
      <w:pPr>
        <w:ind w:left="80" w:firstLine="648"/>
        <w:spacing w:after="0" w:line="270"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Method of Notice</w:t>
      </w:r>
      <w:r>
        <w:rPr>
          <w:rFonts w:ascii="Arial" w:cs="Arial" w:eastAsia="Arial" w:hAnsi="Arial"/>
          <w:sz w:val="17"/>
          <w:szCs w:val="17"/>
          <w:color w:val="auto"/>
        </w:rPr>
        <w:t>.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left="7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Computing Time Periods.</w:t>
      </w:r>
    </w:p>
    <w:p>
      <w:pPr>
        <w:spacing w:after="0" w:line="225" w:lineRule="exact"/>
        <w:rPr>
          <w:sz w:val="20"/>
          <w:szCs w:val="20"/>
          <w:color w:val="auto"/>
        </w:rPr>
      </w:pPr>
    </w:p>
    <w:p>
      <w:pPr>
        <w:ind w:left="-20" w:right="200" w:firstLine="656"/>
        <w:spacing w:after="0" w:line="279" w:lineRule="auto"/>
        <w:tabs>
          <w:tab w:leader="none" w:pos="873"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Days to be Counted. In computing the number of days for purposes of these By-Laws, all days shall be counted, including Saturdays, Sundays and any Holiday;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71" w:lineRule="exact"/>
        <w:rPr>
          <w:rFonts w:ascii="Arial" w:cs="Arial" w:eastAsia="Arial" w:hAnsi="Arial"/>
          <w:sz w:val="17"/>
          <w:szCs w:val="17"/>
          <w:color w:val="auto"/>
        </w:rPr>
      </w:pPr>
    </w:p>
    <w:p>
      <w:pPr>
        <w:ind w:left="-20" w:right="220" w:firstLine="656"/>
        <w:spacing w:after="0" w:line="308" w:lineRule="auto"/>
        <w:tabs>
          <w:tab w:leader="none" w:pos="883"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147" w:lineRule="exact"/>
        <w:rPr>
          <w:sz w:val="20"/>
          <w:szCs w:val="20"/>
          <w:color w:val="auto"/>
        </w:rPr>
      </w:pPr>
    </w:p>
    <w:p>
      <w:pPr>
        <w:ind w:left="60" w:firstLine="648"/>
        <w:spacing w:after="0" w:line="272"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Waiver of Notice</w:t>
      </w:r>
      <w:r>
        <w:rPr>
          <w:rFonts w:ascii="Arial" w:cs="Arial" w:eastAsia="Arial" w:hAnsi="Arial"/>
          <w:sz w:val="17"/>
          <w:szCs w:val="17"/>
          <w:color w:val="auto"/>
        </w:rPr>
        <w:t>.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78" w:lineRule="exact"/>
        <w:rPr>
          <w:sz w:val="20"/>
          <w:szCs w:val="20"/>
          <w:color w:val="auto"/>
        </w:rPr>
      </w:pPr>
    </w:p>
    <w:p>
      <w:pPr>
        <w:ind w:left="60" w:right="200" w:firstLine="648"/>
        <w:spacing w:after="0" w:line="286"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Modification of Proposal Contained in Notice</w:t>
      </w:r>
      <w:r>
        <w:rPr>
          <w:rFonts w:ascii="Arial" w:cs="Arial" w:eastAsia="Arial" w:hAnsi="Arial"/>
          <w:sz w:val="17"/>
          <w:szCs w:val="17"/>
          <w:color w:val="auto"/>
        </w:rPr>
        <w:t>.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66" w:lineRule="exact"/>
        <w:rPr>
          <w:sz w:val="20"/>
          <w:szCs w:val="20"/>
          <w:color w:val="auto"/>
        </w:rPr>
      </w:pPr>
    </w:p>
    <w:p>
      <w:pPr>
        <w:ind w:left="60" w:right="180" w:firstLine="648"/>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Bulk Mail</w:t>
      </w:r>
      <w:r>
        <w:rPr>
          <w:rFonts w:ascii="Arial" w:cs="Arial" w:eastAsia="Arial" w:hAnsi="Arial"/>
          <w:sz w:val="18"/>
          <w:szCs w:val="18"/>
          <w:color w:val="auto"/>
        </w:rPr>
        <w:t>.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87" w:lineRule="exact"/>
        <w:rPr>
          <w:sz w:val="20"/>
          <w:szCs w:val="20"/>
          <w:color w:val="auto"/>
        </w:rPr>
      </w:pPr>
    </w:p>
    <w:p>
      <w:pPr>
        <w:ind w:left="60" w:right="340" w:firstLine="648"/>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Shareholders Without Forwarding Addresses</w:t>
      </w:r>
      <w:r>
        <w:rPr>
          <w:rFonts w:ascii="Arial" w:cs="Arial" w:eastAsia="Arial" w:hAnsi="Arial"/>
          <w:sz w:val="18"/>
          <w:szCs w:val="18"/>
          <w:color w:val="auto"/>
        </w:rPr>
        <w:t>.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commence sending notices and other communications to the shareholder in the same manner as to other shareholders.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 OF</w:t>
      </w:r>
      <w:r>
        <w:rPr>
          <w:rFonts w:ascii="Arial" w:cs="Arial" w:eastAsia="Arial" w:hAnsi="Arial"/>
          <w:sz w:val="18"/>
          <w:szCs w:val="18"/>
          <w:color w:val="auto"/>
        </w:rPr>
        <w:t xml:space="preserve"> D</w:t>
      </w:r>
      <w:r>
        <w:rPr>
          <w:rFonts w:ascii="Arial" w:cs="Arial" w:eastAsia="Arial" w:hAnsi="Arial"/>
          <w:sz w:val="12"/>
          <w:szCs w:val="12"/>
          <w:color w:val="auto"/>
        </w:rPr>
        <w:t>IRECTORS</w:t>
      </w:r>
      <w:r>
        <w:rPr>
          <w:rFonts w:ascii="Arial" w:cs="Arial" w:eastAsia="Arial" w:hAnsi="Arial"/>
          <w:sz w:val="18"/>
          <w:szCs w:val="18"/>
          <w:color w:val="auto"/>
        </w:rPr>
        <w:t>, O</w:t>
      </w:r>
      <w:r>
        <w:rPr>
          <w:rFonts w:ascii="Arial" w:cs="Arial" w:eastAsia="Arial" w:hAnsi="Arial"/>
          <w:sz w:val="12"/>
          <w:szCs w:val="12"/>
          <w:color w:val="auto"/>
        </w:rPr>
        <w:t>FFICERS AND</w:t>
      </w:r>
      <w:r>
        <w:rPr>
          <w:rFonts w:ascii="Arial" w:cs="Arial" w:eastAsia="Arial" w:hAnsi="Arial"/>
          <w:sz w:val="18"/>
          <w:szCs w:val="18"/>
          <w:color w:val="auto"/>
        </w:rPr>
        <w:t xml:space="preserve"> O</w:t>
      </w:r>
      <w:r>
        <w:rPr>
          <w:rFonts w:ascii="Arial" w:cs="Arial" w:eastAsia="Arial" w:hAnsi="Arial"/>
          <w:sz w:val="12"/>
          <w:szCs w:val="12"/>
          <w:color w:val="auto"/>
        </w:rPr>
        <w:t>THER</w:t>
      </w:r>
      <w:r>
        <w:rPr>
          <w:rFonts w:ascii="Arial" w:cs="Arial" w:eastAsia="Arial" w:hAnsi="Arial"/>
          <w:sz w:val="18"/>
          <w:szCs w:val="18"/>
          <w:color w:val="auto"/>
        </w:rPr>
        <w:t xml:space="preserve"> P</w:t>
      </w:r>
      <w:r>
        <w:rPr>
          <w:rFonts w:ascii="Arial" w:cs="Arial" w:eastAsia="Arial" w:hAnsi="Arial"/>
          <w:sz w:val="12"/>
          <w:szCs w:val="12"/>
          <w:color w:val="auto"/>
        </w:rPr>
        <w:t>ERSONS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Indemnification and Insurance.</w:t>
      </w:r>
    </w:p>
    <w:p>
      <w:pPr>
        <w:spacing w:after="0" w:line="225" w:lineRule="exact"/>
        <w:rPr>
          <w:sz w:val="20"/>
          <w:szCs w:val="20"/>
          <w:color w:val="auto"/>
        </w:rPr>
      </w:pPr>
    </w:p>
    <w:p>
      <w:pPr>
        <w:ind w:left="1020" w:hanging="249"/>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225" w:lineRule="exact"/>
        <w:rPr>
          <w:rFonts w:ascii="Arial" w:cs="Arial" w:eastAsia="Arial" w:hAnsi="Arial"/>
          <w:sz w:val="18"/>
          <w:szCs w:val="18"/>
          <w:color w:val="auto"/>
        </w:rPr>
      </w:pPr>
    </w:p>
    <w:p>
      <w:pPr>
        <w:ind w:left="580" w:firstLine="969"/>
        <w:spacing w:after="0" w:line="254" w:lineRule="auto"/>
        <w:tabs>
          <w:tab w:leader="none" w:pos="17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willful misconduct or recklessness; or (B)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192" w:lineRule="exact"/>
        <w:rPr>
          <w:rFonts w:ascii="Arial" w:cs="Arial" w:eastAsia="Arial" w:hAnsi="Arial"/>
          <w:sz w:val="18"/>
          <w:szCs w:val="18"/>
          <w:color w:val="auto"/>
        </w:rPr>
      </w:pPr>
    </w:p>
    <w:p>
      <w:pPr>
        <w:ind w:left="580" w:right="40" w:firstLine="969"/>
        <w:spacing w:after="0" w:line="293" w:lineRule="auto"/>
        <w:tabs>
          <w:tab w:leader="none" w:pos="18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60" w:lineRule="exact"/>
        <w:rPr>
          <w:rFonts w:ascii="Arial" w:cs="Arial" w:eastAsia="Arial" w:hAnsi="Arial"/>
          <w:sz w:val="16"/>
          <w:szCs w:val="16"/>
          <w:color w:val="auto"/>
        </w:rPr>
      </w:pPr>
    </w:p>
    <w:p>
      <w:pPr>
        <w:ind w:left="580" w:right="140" w:firstLine="969"/>
        <w:spacing w:after="0" w:line="256" w:lineRule="auto"/>
        <w:tabs>
          <w:tab w:leader="none" w:pos="18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purposes of this Article, (A) “</w:t>
      </w:r>
      <w:r>
        <w:rPr>
          <w:rFonts w:ascii="Arial" w:cs="Arial" w:eastAsia="Arial" w:hAnsi="Arial"/>
          <w:sz w:val="18"/>
          <w:szCs w:val="18"/>
          <w:b w:val="1"/>
          <w:bCs w:val="1"/>
          <w:color w:val="auto"/>
        </w:rPr>
        <w:t>Indemnitee</w:t>
      </w:r>
      <w:r>
        <w:rPr>
          <w:rFonts w:ascii="Arial" w:cs="Arial" w:eastAsia="Arial" w:hAnsi="Arial"/>
          <w:sz w:val="18"/>
          <w:szCs w:val="18"/>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threatened, pending or completed action,</w:t>
      </w:r>
    </w:p>
    <w:p>
      <w:pPr>
        <w:spacing w:after="0" w:line="3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20" w:top="341" w:right="259" w:bottom="1440" w:gutter="0" w:footer="0" w:header="0"/>
        </w:sectPr>
      </w:pPr>
    </w:p>
    <w:bookmarkStart w:id="30" w:name="page31"/>
    <w:bookmarkEnd w:id="30"/>
    <w:p>
      <w:pPr>
        <w:ind w:left="640" w:right="60"/>
        <w:spacing w:after="0" w:line="279" w:lineRule="auto"/>
        <w:rPr>
          <w:sz w:val="20"/>
          <w:szCs w:val="20"/>
          <w:color w:val="auto"/>
        </w:rPr>
      </w:pPr>
      <w:r>
        <w:rPr>
          <w:rFonts w:ascii="Arial" w:cs="Arial" w:eastAsia="Arial" w:hAnsi="Arial"/>
          <w:sz w:val="17"/>
          <w:szCs w:val="17"/>
          <w:color w:val="auto"/>
        </w:rPr>
        <w:t>suit, claim, counterclaim, cross claim, arbitration, alternate dispute resolution mechanism, investigation, inquiry, administrative hearing or any other actual, threatened or completed proceeding, whether civil, criminal, administrative or investigative, including any appeal therefrom, and whether instituted by or on behalf of the Corporation or any other party; and (C) service as a Director or officer of the Corporation or in any other capacity of the type referred to in clause (A) of this paragraph shall be deemed service in a “</w:t>
      </w:r>
      <w:r>
        <w:rPr>
          <w:rFonts w:ascii="Arial" w:cs="Arial" w:eastAsia="Arial" w:hAnsi="Arial"/>
          <w:sz w:val="17"/>
          <w:szCs w:val="17"/>
          <w:b w:val="1"/>
          <w:bCs w:val="1"/>
          <w:color w:val="auto"/>
        </w:rPr>
        <w:t>Covered Capacity</w:t>
      </w:r>
      <w:r>
        <w:rPr>
          <w:rFonts w:ascii="Arial" w:cs="Arial" w:eastAsia="Arial" w:hAnsi="Arial"/>
          <w:sz w:val="17"/>
          <w:szCs w:val="17"/>
          <w:color w:val="auto"/>
        </w:rPr>
        <w:t>”.</w:t>
      </w:r>
    </w:p>
    <w:p>
      <w:pPr>
        <w:spacing w:after="0" w:line="171" w:lineRule="exact"/>
        <w:rPr>
          <w:sz w:val="20"/>
          <w:szCs w:val="20"/>
          <w:color w:val="auto"/>
        </w:rPr>
      </w:pPr>
    </w:p>
    <w:p>
      <w:pPr>
        <w:ind w:left="640" w:right="260" w:firstLine="969"/>
        <w:spacing w:after="0" w:line="277" w:lineRule="auto"/>
        <w:tabs>
          <w:tab w:leader="none" w:pos="1917"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provisions of this Article shall inure to the benefit of and be enforceable by an Indemnitee’s heirs, executors, administrators and legal representatives.</w:t>
      </w:r>
    </w:p>
    <w:p>
      <w:pPr>
        <w:spacing w:after="0" w:line="170" w:lineRule="exact"/>
        <w:rPr>
          <w:rFonts w:ascii="Arial" w:cs="Arial" w:eastAsia="Arial" w:hAnsi="Arial"/>
          <w:sz w:val="18"/>
          <w:szCs w:val="18"/>
          <w:color w:val="auto"/>
        </w:rPr>
      </w:pPr>
    </w:p>
    <w:p>
      <w:pPr>
        <w:ind w:left="-20" w:firstLine="851"/>
        <w:spacing w:after="0" w:line="271" w:lineRule="auto"/>
        <w:tabs>
          <w:tab w:leader="none" w:pos="1077"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7.01(b).</w:t>
      </w:r>
    </w:p>
    <w:p>
      <w:pPr>
        <w:spacing w:after="0" w:line="178" w:lineRule="exact"/>
        <w:rPr>
          <w:rFonts w:ascii="Arial" w:cs="Arial" w:eastAsia="Arial" w:hAnsi="Arial"/>
          <w:sz w:val="17"/>
          <w:szCs w:val="17"/>
          <w:color w:val="auto"/>
        </w:rPr>
      </w:pPr>
    </w:p>
    <w:p>
      <w:pPr>
        <w:ind w:left="-20" w:right="160" w:firstLine="851"/>
        <w:spacing w:after="0" w:line="264" w:lineRule="auto"/>
        <w:tabs>
          <w:tab w:leader="none" w:pos="10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81" w:lineRule="exact"/>
        <w:rPr>
          <w:rFonts w:ascii="Arial" w:cs="Arial" w:eastAsia="Arial" w:hAnsi="Arial"/>
          <w:sz w:val="18"/>
          <w:szCs w:val="18"/>
          <w:color w:val="auto"/>
        </w:rPr>
      </w:pPr>
    </w:p>
    <w:p>
      <w:pPr>
        <w:jc w:val="both"/>
        <w:ind w:left="-20" w:right="60" w:firstLine="851"/>
        <w:spacing w:after="0" w:line="259" w:lineRule="auto"/>
        <w:tabs>
          <w:tab w:leader="none" w:pos="10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86" w:lineRule="exact"/>
        <w:rPr>
          <w:rFonts w:ascii="Arial" w:cs="Arial" w:eastAsia="Arial" w:hAnsi="Arial"/>
          <w:sz w:val="18"/>
          <w:szCs w:val="18"/>
          <w:color w:val="auto"/>
        </w:rPr>
      </w:pPr>
    </w:p>
    <w:p>
      <w:pPr>
        <w:ind w:left="-20" w:right="120" w:firstLine="851"/>
        <w:spacing w:after="0" w:line="264" w:lineRule="auto"/>
        <w:tabs>
          <w:tab w:leader="none" w:pos="10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31" w:name="page32"/>
    <w:bookmarkEnd w:id="31"/>
    <w:p>
      <w:pPr>
        <w:ind w:left="80" w:firstLine="648"/>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The provisions of this 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 amendment generally, any repeal or amendment of this Article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amendment shall have retroactive effect inconsistent with the preceding sentence.</w:t>
      </w:r>
    </w:p>
    <w:p>
      <w:pPr>
        <w:spacing w:after="0" w:line="182" w:lineRule="exact"/>
        <w:rPr>
          <w:sz w:val="20"/>
          <w:szCs w:val="20"/>
          <w:color w:val="auto"/>
        </w:rPr>
      </w:pPr>
    </w:p>
    <w:p>
      <w:pPr>
        <w:ind w:left="80" w:right="20" w:firstLine="648"/>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Changes in Pennsylvania Law</w:t>
      </w:r>
      <w:r>
        <w:rPr>
          <w:rFonts w:ascii="Arial" w:cs="Arial" w:eastAsia="Arial" w:hAnsi="Arial"/>
          <w:sz w:val="18"/>
          <w:szCs w:val="18"/>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ISCAL</w:t>
      </w:r>
      <w:r>
        <w:rPr>
          <w:rFonts w:ascii="Arial" w:cs="Arial" w:eastAsia="Arial" w:hAnsi="Arial"/>
          <w:sz w:val="18"/>
          <w:szCs w:val="18"/>
          <w:color w:val="auto"/>
        </w:rPr>
        <w:t xml:space="preserve"> Y</w:t>
      </w:r>
      <w:r>
        <w:rPr>
          <w:rFonts w:ascii="Arial" w:cs="Arial" w:eastAsia="Arial" w:hAnsi="Arial"/>
          <w:sz w:val="12"/>
          <w:szCs w:val="12"/>
          <w:color w:val="auto"/>
        </w:rPr>
        <w:t>EAR</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Determination of Fiscal Year</w:t>
      </w:r>
      <w:r>
        <w:rPr>
          <w:rFonts w:ascii="Arial" w:cs="Arial" w:eastAsia="Arial" w:hAnsi="Arial"/>
          <w:sz w:val="18"/>
          <w:szCs w:val="18"/>
          <w:color w:val="auto"/>
        </w:rPr>
        <w:t>. Determination of Fiscal Year. The Board of Directors shall have the power by resolution to fix the fiscal year of the Corporation. If the Board of Directors shall fail to do so, the Chief Executive Officer shall fix the fiscal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RTICLES OF</w:t>
      </w:r>
      <w:r>
        <w:rPr>
          <w:rFonts w:ascii="Arial" w:cs="Arial" w:eastAsia="Arial" w:hAnsi="Arial"/>
          <w:sz w:val="18"/>
          <w:szCs w:val="18"/>
          <w:color w:val="auto"/>
        </w:rPr>
        <w:t xml:space="preserve"> I</w:t>
      </w:r>
      <w:r>
        <w:rPr>
          <w:rFonts w:ascii="Arial" w:cs="Arial" w:eastAsia="Arial" w:hAnsi="Arial"/>
          <w:sz w:val="12"/>
          <w:szCs w:val="12"/>
          <w:color w:val="auto"/>
        </w:rPr>
        <w:t>NCORPORATION</w:t>
      </w:r>
    </w:p>
    <w:p>
      <w:pPr>
        <w:spacing w:after="0" w:line="211" w:lineRule="exact"/>
        <w:rPr>
          <w:sz w:val="20"/>
          <w:szCs w:val="20"/>
          <w:color w:val="auto"/>
        </w:rPr>
      </w:pPr>
    </w:p>
    <w:p>
      <w:pPr>
        <w:ind w:left="80" w:right="120" w:firstLine="648"/>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Inconsistent Provisions</w:t>
      </w:r>
      <w:r>
        <w:rPr>
          <w:rFonts w:ascii="Arial" w:cs="Arial" w:eastAsia="Arial" w:hAnsi="Arial"/>
          <w:sz w:val="18"/>
          <w:szCs w:val="18"/>
          <w:color w:val="auto"/>
        </w:rPr>
        <w:t>.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w:t>
      </w:r>
    </w:p>
    <w:p>
      <w:pPr>
        <w:spacing w:after="0" w:line="211" w:lineRule="exact"/>
        <w:rPr>
          <w:sz w:val="20"/>
          <w:szCs w:val="20"/>
          <w:color w:val="auto"/>
        </w:rPr>
      </w:pPr>
    </w:p>
    <w:p>
      <w:pPr>
        <w:ind w:left="60" w:right="200" w:firstLine="648"/>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Amendments</w:t>
      </w:r>
      <w:r>
        <w:rPr>
          <w:rFonts w:ascii="Arial" w:cs="Arial" w:eastAsia="Arial" w:hAnsi="Arial"/>
          <w:sz w:val="18"/>
          <w:szCs w:val="18"/>
          <w:color w:val="auto"/>
        </w:rPr>
        <w:t>. Except as otherwise provided in these By-Laws or in the Articles of Incorporation, including Article SIXTH, Article SEVENTH and Article TENTH of the Articles of Incorporation:</w:t>
      </w:r>
    </w:p>
    <w:p>
      <w:pPr>
        <w:spacing w:after="0" w:line="170" w:lineRule="exact"/>
        <w:rPr>
          <w:sz w:val="20"/>
          <w:szCs w:val="20"/>
          <w:color w:val="auto"/>
        </w:rPr>
      </w:pPr>
    </w:p>
    <w:p>
      <w:pPr>
        <w:jc w:val="both"/>
        <w:ind w:left="-20" w:firstLine="851"/>
        <w:spacing w:after="0" w:line="302" w:lineRule="auto"/>
        <w:tabs>
          <w:tab w:leader="none" w:pos="1067"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54" w:lineRule="exact"/>
        <w:rPr>
          <w:rFonts w:ascii="Arial" w:cs="Arial" w:eastAsia="Arial" w:hAnsi="Arial"/>
          <w:sz w:val="16"/>
          <w:szCs w:val="16"/>
          <w:color w:val="auto"/>
        </w:rPr>
      </w:pPr>
    </w:p>
    <w:p>
      <w:pPr>
        <w:ind w:left="-20" w:right="220" w:firstLine="851"/>
        <w:spacing w:after="0" w:line="259" w:lineRule="auto"/>
        <w:tabs>
          <w:tab w:leader="none" w:pos="10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shall not have the power to amend these By-Laws on any subject that is expressly committed to the shareholders by the express terms hereof, by the Pennsylvania BCL or otherwise.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NTERPRETATION OF</w:t>
      </w:r>
      <w:r>
        <w:rPr>
          <w:rFonts w:ascii="Arial" w:cs="Arial" w:eastAsia="Arial" w:hAnsi="Arial"/>
          <w:sz w:val="18"/>
          <w:szCs w:val="18"/>
          <w:color w:val="auto"/>
        </w:rPr>
        <w:t xml:space="preserve"> B</w:t>
      </w:r>
      <w:r>
        <w:rPr>
          <w:rFonts w:ascii="Arial" w:cs="Arial" w:eastAsia="Arial" w:hAnsi="Arial"/>
          <w:sz w:val="12"/>
          <w:szCs w:val="12"/>
          <w:color w:val="auto"/>
        </w:rPr>
        <w:t>Y</w:t>
      </w:r>
      <w:r>
        <w:rPr>
          <w:rFonts w:ascii="Arial" w:cs="Arial" w:eastAsia="Arial" w:hAnsi="Arial"/>
          <w:sz w:val="18"/>
          <w:szCs w:val="18"/>
          <w:color w:val="auto"/>
        </w:rPr>
        <w:t>-L</w:t>
      </w:r>
      <w:r>
        <w:rPr>
          <w:rFonts w:ascii="Arial" w:cs="Arial" w:eastAsia="Arial" w:hAnsi="Arial"/>
          <w:sz w:val="12"/>
          <w:szCs w:val="12"/>
          <w:color w:val="auto"/>
        </w:rPr>
        <w:t>AWS</w:t>
      </w:r>
      <w:r>
        <w:rPr>
          <w:rFonts w:ascii="Arial" w:cs="Arial" w:eastAsia="Arial" w:hAnsi="Arial"/>
          <w:sz w:val="18"/>
          <w:szCs w:val="18"/>
          <w:color w:val="auto"/>
        </w:rPr>
        <w:t>; S</w:t>
      </w:r>
      <w:r>
        <w:rPr>
          <w:rFonts w:ascii="Arial" w:cs="Arial" w:eastAsia="Arial" w:hAnsi="Arial"/>
          <w:sz w:val="12"/>
          <w:szCs w:val="12"/>
          <w:color w:val="auto"/>
        </w:rPr>
        <w:t>EPARABILITY</w:t>
      </w:r>
    </w:p>
    <w:p>
      <w:pPr>
        <w:spacing w:after="0" w:line="211" w:lineRule="exact"/>
        <w:rPr>
          <w:sz w:val="20"/>
          <w:szCs w:val="20"/>
          <w:color w:val="auto"/>
        </w:rPr>
      </w:pPr>
    </w:p>
    <w:p>
      <w:pPr>
        <w:ind w:left="60" w:right="380" w:firstLine="648"/>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Interpretation</w:t>
      </w:r>
      <w:r>
        <w:rPr>
          <w:rFonts w:ascii="Arial" w:cs="Arial" w:eastAsia="Arial" w:hAnsi="Arial"/>
          <w:sz w:val="18"/>
          <w:szCs w:val="18"/>
          <w:color w:val="auto"/>
        </w:rPr>
        <w:t>. All words, terms and provisions of these By-Laws shall be interpreted and defined by and in accordance with the Pennsylvania BCL.</w:t>
      </w:r>
    </w:p>
    <w:p>
      <w:pPr>
        <w:spacing w:after="0" w:line="170" w:lineRule="exact"/>
        <w:rPr>
          <w:sz w:val="20"/>
          <w:szCs w:val="20"/>
          <w:color w:val="auto"/>
        </w:rPr>
      </w:pPr>
    </w:p>
    <w:p>
      <w:pPr>
        <w:ind w:left="60" w:right="60" w:firstLine="648"/>
        <w:spacing w:after="0" w:line="342"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Separability</w:t>
      </w:r>
      <w:r>
        <w:rPr>
          <w:rFonts w:ascii="Arial" w:cs="Arial" w:eastAsia="Arial" w:hAnsi="Arial"/>
          <w:sz w:val="16"/>
          <w:szCs w:val="16"/>
          <w:color w:val="auto"/>
        </w:rPr>
        <w:t>.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ETERMINATIONS BY THE</w:t>
      </w:r>
      <w:r>
        <w:rPr>
          <w:rFonts w:ascii="Arial" w:cs="Arial" w:eastAsia="Arial" w:hAnsi="Arial"/>
          <w:sz w:val="18"/>
          <w:szCs w:val="18"/>
          <w:color w:val="auto"/>
        </w:rPr>
        <w:t xml:space="preserve"> B</w:t>
      </w:r>
      <w:r>
        <w:rPr>
          <w:rFonts w:ascii="Arial" w:cs="Arial" w:eastAsia="Arial" w:hAnsi="Arial"/>
          <w:sz w:val="12"/>
          <w:szCs w:val="12"/>
          <w:color w:val="auto"/>
        </w:rPr>
        <w:t>OARD</w:t>
      </w:r>
    </w:p>
    <w:p>
      <w:pPr>
        <w:spacing w:after="0" w:line="211" w:lineRule="exact"/>
        <w:rPr>
          <w:sz w:val="20"/>
          <w:szCs w:val="20"/>
          <w:color w:val="auto"/>
        </w:rPr>
      </w:pPr>
    </w:p>
    <w:p>
      <w:pPr>
        <w:ind w:left="60" w:right="180" w:firstLine="648"/>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Effect of Board Determinations</w:t>
      </w:r>
      <w:r>
        <w:rPr>
          <w:rFonts w:ascii="Arial" w:cs="Arial" w:eastAsia="Arial" w:hAnsi="Arial"/>
          <w:sz w:val="18"/>
          <w:szCs w:val="18"/>
          <w:color w:val="auto"/>
        </w:rPr>
        <w:t>. Any determination involving interpretation or application of these By-Laws made in good faith by the Board of Directors shall be final, binding and conclusive on all parties in interest.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33" w:name="page34"/>
    <w:bookmarkEnd w:id="33"/>
    <w:p>
      <w:pPr>
        <w:ind w:left="104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36195</wp:posOffset>
            </wp:positionV>
            <wp:extent cx="1440815" cy="53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8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400"/>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INCREASES DIVIDEND, ANNOUNCES TWO-FOR-ONE STOCK SPLIT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EXPECTS TO REPURCHASE $5 BILLION OF STOCK IN 2017</w:t>
      </w:r>
    </w:p>
    <w:p>
      <w:pPr>
        <w:spacing w:after="0" w:line="19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Dividend by 15%</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Share Repurchase Authorization to $12.0 Billion, with $5.0 Billion Expected to be Repurchased in 2017</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36"/>
          <w:szCs w:val="36"/>
          <w:color w:val="auto"/>
          <w:vertAlign w:val="superscript"/>
        </w:rPr>
      </w:pPr>
      <w:r>
        <w:rPr>
          <w:rFonts w:ascii="Arial" w:cs="Arial" w:eastAsia="Arial" w:hAnsi="Arial"/>
          <w:sz w:val="18"/>
          <w:szCs w:val="18"/>
          <w:color w:val="auto"/>
        </w:rPr>
        <w:t>Declared a Two-for-One Stock Split in the Form of a 100% Dividend Payable on February 17, 2017;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Split in Company History</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PHILADELPHIA – January 26, 2017 … Comcast Corporation (NASDAQ: CMCSA) announced today that it increased its dividend by 15% to $1.26 per share on an annualized, pre-split basis, or $0.63 per share on an annualized, post-split basis. In accordance with the increase, the Board of Directors declared a quarterly cash dividend of $0.1575 a share, on a post-split basis, on the company’s common stock, payable on April 26, 2017 to shareholders of record as of the close of business on April 5, 2017.</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addition, Comcast announced that its Board of Directors has increased its stock repurchase program authorization to $12.0 billion. Comcast expects to repurchase $5.0 billion of its common stock during 2017, subject to market conditions.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Comcast also announced that its Board of Directors declared a two-for-one stock split in the form of a 100% stock dividend payable on February 17, 2017 to shareholders of record as of the close of business on February 8, 2017. The stock dividend will be an additional one share for every share held and will be payable in shares of Class A common stock (CMCSA) on the existing CMCSA shares and Class B common shares. Comcast expects its CMCSA shares to begin trading ex-dividend on February 21, 2017.</w:t>
      </w:r>
    </w:p>
    <w:p>
      <w:pPr>
        <w:spacing w:after="0" w:line="18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December 31, 2016, Comcast had outstanding approximately 2.366 billion shares of CMCSA and 9 million shares of Class B Common Stock. Upon completion of the split, the outstanding shares of CMCSA will increase to approximately 4.742 billion.</w:t>
      </w:r>
    </w:p>
    <w:p>
      <w:pPr>
        <w:spacing w:after="0" w:line="183" w:lineRule="exact"/>
        <w:rPr>
          <w:sz w:val="20"/>
          <w:szCs w:val="20"/>
          <w:color w:val="auto"/>
        </w:rPr>
      </w:pPr>
    </w:p>
    <w:p>
      <w:pPr>
        <w:ind w:right="1900"/>
        <w:spacing w:after="0" w:line="469" w:lineRule="auto"/>
        <w:rPr>
          <w:sz w:val="20"/>
          <w:szCs w:val="20"/>
          <w:color w:val="auto"/>
        </w:rPr>
      </w:pPr>
      <w:r>
        <w:rPr>
          <w:rFonts w:ascii="Arial" w:cs="Arial" w:eastAsia="Arial" w:hAnsi="Arial"/>
          <w:sz w:val="18"/>
          <w:szCs w:val="18"/>
          <w:color w:val="auto"/>
        </w:rPr>
        <w:t xml:space="preserve">To automatically receive Comcast financial news by e-mail, please visit www.cmcsa.com and subscribe to E-mail Alerts. </w:t>
      </w:r>
      <w:r>
        <w:rPr>
          <w:rFonts w:ascii="Arial" w:cs="Arial" w:eastAsia="Arial" w:hAnsi="Arial"/>
          <w:sz w:val="18"/>
          <w:szCs w:val="18"/>
          <w:b w:val="1"/>
          <w:bCs w:val="1"/>
          <w:color w:val="auto"/>
        </w:rPr>
        <w:t>About Comcast Corporation</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0000FF"/>
        </w:rPr>
        <w:t>www.comcastcorporation.com</w:t>
      </w:r>
      <w:r>
        <w:rPr>
          <w:rFonts w:ascii="Arial" w:cs="Arial" w:eastAsia="Arial" w:hAnsi="Arial"/>
          <w:sz w:val="18"/>
          <w:szCs w:val="18"/>
          <w:color w:val="auto"/>
        </w:rPr>
        <w:t xml:space="preserve"> for more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Investor Contacts: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ind w:left="40"/>
              <w:spacing w:after="0"/>
              <w:rPr>
                <w:sz w:val="20"/>
                <w:szCs w:val="20"/>
                <w:color w:val="auto"/>
              </w:rPr>
            </w:pPr>
            <w:r>
              <w:rPr>
                <w:rFonts w:ascii="Arial" w:cs="Arial" w:eastAsia="Arial" w:hAnsi="Arial"/>
                <w:sz w:val="18"/>
                <w:szCs w:val="18"/>
                <w:color w:val="auto"/>
              </w:rPr>
              <w:t>Jason Armstrong</w:t>
            </w:r>
          </w:p>
        </w:tc>
        <w:tc>
          <w:tcPr>
            <w:tcW w:w="9920" w:type="dxa"/>
            <w:vAlign w:val="bottom"/>
          </w:tcPr>
          <w:p>
            <w:pPr>
              <w:jc w:val="right"/>
              <w:ind w:right="8510"/>
              <w:spacing w:after="0"/>
              <w:rPr>
                <w:sz w:val="20"/>
                <w:szCs w:val="20"/>
                <w:color w:val="auto"/>
              </w:rPr>
            </w:pPr>
            <w:r>
              <w:rPr>
                <w:rFonts w:ascii="Arial" w:cs="Arial" w:eastAsia="Arial" w:hAnsi="Arial"/>
                <w:sz w:val="18"/>
                <w:szCs w:val="18"/>
                <w:color w:val="auto"/>
              </w:rPr>
              <w:t>(215) 286-7972</w:t>
            </w:r>
          </w:p>
        </w:tc>
      </w:tr>
      <w:tr>
        <w:trPr>
          <w:trHeight w:val="217"/>
        </w:trPr>
        <w:tc>
          <w:tcPr>
            <w:tcW w:w="1500" w:type="dxa"/>
            <w:vAlign w:val="bottom"/>
          </w:tcPr>
          <w:p>
            <w:pPr>
              <w:ind w:left="40"/>
              <w:spacing w:after="0"/>
              <w:rPr>
                <w:sz w:val="20"/>
                <w:szCs w:val="20"/>
                <w:color w:val="auto"/>
              </w:rPr>
            </w:pPr>
            <w:r>
              <w:rPr>
                <w:rFonts w:ascii="Arial" w:cs="Arial" w:eastAsia="Arial" w:hAnsi="Arial"/>
                <w:sz w:val="18"/>
                <w:szCs w:val="18"/>
                <w:color w:val="auto"/>
              </w:rPr>
              <w:t>Jane Kearns</w:t>
            </w:r>
          </w:p>
        </w:tc>
        <w:tc>
          <w:tcPr>
            <w:tcW w:w="9920" w:type="dxa"/>
            <w:vAlign w:val="bottom"/>
          </w:tcPr>
          <w:p>
            <w:pPr>
              <w:jc w:val="right"/>
              <w:ind w:right="8510"/>
              <w:spacing w:after="0"/>
              <w:rPr>
                <w:sz w:val="20"/>
                <w:szCs w:val="20"/>
                <w:color w:val="auto"/>
              </w:rPr>
            </w:pPr>
            <w:r>
              <w:rPr>
                <w:rFonts w:ascii="Arial" w:cs="Arial" w:eastAsia="Arial" w:hAnsi="Arial"/>
                <w:sz w:val="18"/>
                <w:szCs w:val="18"/>
                <w:color w:val="auto"/>
              </w:rPr>
              <w:t>(215) 286-4794</w:t>
            </w:r>
          </w:p>
        </w:tc>
      </w:tr>
      <w:tr>
        <w:trPr>
          <w:trHeight w:val="378"/>
        </w:trPr>
        <w:tc>
          <w:tcPr>
            <w:tcW w:w="1500" w:type="dxa"/>
            <w:vAlign w:val="bottom"/>
            <w:tcBorders>
              <w:bottom w:val="single" w:sz="8" w:color="54301A"/>
            </w:tcBorders>
          </w:tcPr>
          <w:p>
            <w:pPr>
              <w:spacing w:after="0"/>
              <w:rPr>
                <w:sz w:val="24"/>
                <w:szCs w:val="24"/>
                <w:color w:val="auto"/>
              </w:rPr>
            </w:pPr>
          </w:p>
        </w:tc>
        <w:tc>
          <w:tcPr>
            <w:tcW w:w="9920" w:type="dxa"/>
            <w:vAlign w:val="bottom"/>
            <w:tcBorders>
              <w:bottom w:val="single" w:sz="8" w:color="54301A"/>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1"/>
    </w:lvl>
  </w:abstractNum>
  <w:abstractNum w:abstractNumId="2">
    <w:nsid w:val="721DA317"/>
    <w:multiLevelType w:val="hybridMultilevel"/>
    <w:lvl w:ilvl="0">
      <w:lvlJc w:val="left"/>
      <w:lvlText w:val="(%1)"/>
      <w:numFmt w:val="lowerLetter"/>
      <w:start w:val="2"/>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3"/>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2"/>
    </w:lvl>
  </w:abstractNum>
  <w:abstractNum w:abstractNumId="8">
    <w:nsid w:val="79838CB2"/>
    <w:multiLevelType w:val="hybridMultilevel"/>
    <w:lvl w:ilvl="0">
      <w:lvlJc w:val="left"/>
      <w:lvlText w:val="(%1)"/>
      <w:numFmt w:val="lowerLetter"/>
      <w:start w:val="5"/>
    </w:lvl>
  </w:abstractNum>
  <w:abstractNum w:abstractNumId="9">
    <w:nsid w:val="4353D0CD"/>
    <w:multiLevelType w:val="hybridMultilevel"/>
    <w:lvl w:ilvl="0">
      <w:lvlJc w:val="left"/>
      <w:lvlText w:val="(%1)"/>
      <w:numFmt w:val="lowerRoman"/>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4"/>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2"/>
    </w:lvl>
  </w:abstractNum>
  <w:abstractNum w:abstractNumId="15">
    <w:nsid w:val="836C40E"/>
    <w:multiLevelType w:val="hybridMultilevel"/>
    <w:lvl w:ilvl="0">
      <w:lvlJc w:val="left"/>
      <w:lvlText w:val="(%1)"/>
      <w:numFmt w:val="lowerLetter"/>
      <w:start w:val="1"/>
    </w:lvl>
    <w:lvl w:ilvl="1">
      <w:lvlJc w:val="left"/>
      <w:lvlText w:val="(%2)"/>
      <w:numFmt w:val="lowerRoman"/>
      <w:start w:val="1"/>
    </w:lvl>
  </w:abstractNum>
  <w:abstractNum w:abstractNumId="16">
    <w:nsid w:val="2901D82"/>
    <w:multiLevelType w:val="hybridMultilevel"/>
    <w:lvl w:ilvl="0">
      <w:lvlJc w:val="left"/>
      <w:lvlText w:val="(%1)"/>
      <w:numFmt w:val="lowerLetter"/>
      <w:start w:val="3"/>
    </w:lvl>
  </w:abstractNum>
  <w:abstractNum w:abstractNumId="17">
    <w:nsid w:val="3A95F874"/>
    <w:multiLevelType w:val="hybridMultilevel"/>
    <w:lvl w:ilvl="0">
      <w:lvlJc w:val="left"/>
      <w:lvlText w:val="(%1)"/>
      <w:numFmt w:val="lowerLetter"/>
      <w:start w:val="1"/>
    </w:lvl>
    <w:lvl w:ilvl="1">
      <w:lvlJc w:val="left"/>
      <w:lvlText w:val="(%2)"/>
      <w:numFmt w:val="lowerLetter"/>
      <w:start w:val="9"/>
    </w:lvl>
  </w:abstractNum>
  <w:abstractNum w:abstractNumId="18">
    <w:nsid w:val="8138641"/>
    <w:multiLevelType w:val="hybridMultilevel"/>
    <w:lvl w:ilvl="0">
      <w:lvlJc w:val="left"/>
      <w:lvlText w:val="%1"/>
      <w:numFmt w:val="lowerLetter"/>
      <w:start w:val="1"/>
    </w:lvl>
    <w:lvl w:ilvl="1">
      <w:lvlJc w:val="left"/>
      <w:lvlText w:val="(%2)"/>
      <w:numFmt w:val="lowerLetter"/>
      <w:start w:val="35"/>
    </w:lvl>
  </w:abstractNum>
  <w:abstractNum w:abstractNumId="19">
    <w:nsid w:val="1E7FF521"/>
    <w:multiLevelType w:val="hybridMultilevel"/>
    <w:lvl w:ilvl="0">
      <w:lvlJc w:val="left"/>
      <w:lvlText w:val="(%1)"/>
      <w:numFmt w:val="lowerLetter"/>
      <w:start w:val="2"/>
    </w:lvl>
    <w:lvl w:ilvl="1">
      <w:lvlJc w:val="left"/>
      <w:lvlText w:val="(%2)"/>
      <w:numFmt w:val="lowerLetter"/>
      <w:start w:val="9"/>
    </w:lvl>
  </w:abstractNum>
  <w:abstractNum w:abstractNumId="20">
    <w:nsid w:val="7C3DBD3D"/>
    <w:multiLevelType w:val="hybridMultilevel"/>
    <w:lvl w:ilvl="0">
      <w:lvlJc w:val="left"/>
      <w:lvlText w:val="(%1)"/>
      <w:numFmt w:val="lowerRoman"/>
      <w:start w:val="2"/>
    </w:lvl>
  </w:abstractNum>
  <w:abstractNum w:abstractNumId="21">
    <w:nsid w:val="737B8DDC"/>
    <w:multiLevelType w:val="hybridMultilevel"/>
    <w:lvl w:ilvl="0">
      <w:lvlJc w:val="left"/>
      <w:lvlText w:val="(%1)"/>
      <w:numFmt w:val="lowerLetter"/>
      <w:start w:val="3"/>
    </w:lvl>
    <w:lvl w:ilvl="1">
      <w:lvlJc w:val="left"/>
      <w:lvlText w:val="(%2)"/>
      <w:numFmt w:val="lowerRoman"/>
      <w:start w:val="1"/>
    </w:lvl>
  </w:abstractNum>
  <w:abstractNum w:abstractNumId="22">
    <w:nsid w:val="6CEAF087"/>
    <w:multiLevelType w:val="hybridMultilevel"/>
    <w:lvl w:ilvl="0">
      <w:lvlJc w:val="left"/>
      <w:lvlText w:val="(%1)"/>
      <w:numFmt w:val="lowerRoman"/>
      <w:start w:val="3"/>
    </w:lvl>
  </w:abstractNum>
  <w:abstractNum w:abstractNumId="23">
    <w:nsid w:val="22221A70"/>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24">
    <w:nsid w:val="4516DDE9"/>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25">
    <w:nsid w:val="3006C83E"/>
    <w:multiLevelType w:val="hybridMultilevel"/>
    <w:lvl w:ilvl="0">
      <w:lvlJc w:val="left"/>
      <w:lvlText w:val="%1"/>
      <w:numFmt w:val="decimal"/>
      <w:start w:val="1"/>
    </w:lvl>
    <w:lvl w:ilvl="1">
      <w:lvlJc w:val="left"/>
      <w:lvlText w:val="(%2)"/>
      <w:numFmt w:val="upperLetter"/>
      <w:start w:val="2"/>
    </w:lvl>
  </w:abstractNum>
  <w:abstractNum w:abstractNumId="26">
    <w:nsid w:val="614FD4A1"/>
    <w:multiLevelType w:val="hybridMultilevel"/>
    <w:lvl w:ilvl="0">
      <w:lvlJc w:val="left"/>
      <w:lvlText w:val="(%1)"/>
      <w:numFmt w:val="decimal"/>
      <w:start w:val="1"/>
    </w:lvl>
    <w:lvl w:ilvl="1">
      <w:lvlJc w:val="left"/>
      <w:lvlText w:val="%2"/>
      <w:numFmt w:val="upperLetter"/>
      <w:start w:val="1"/>
    </w:lvl>
  </w:abstractNum>
  <w:abstractNum w:abstractNumId="27">
    <w:nsid w:val="419AC241"/>
    <w:multiLevelType w:val="hybridMultilevel"/>
    <w:lvl w:ilvl="0">
      <w:lvlJc w:val="left"/>
      <w:lvlText w:val="(%1)"/>
      <w:numFmt w:val="decimal"/>
      <w:start w:val="7"/>
    </w:lvl>
    <w:lvl w:ilvl="1">
      <w:lvlJc w:val="left"/>
      <w:lvlText w:val="(%2)"/>
      <w:numFmt w:val="upperLetter"/>
      <w:start w:val="6"/>
    </w:lvl>
  </w:abstractNum>
  <w:abstractNum w:abstractNumId="28">
    <w:nsid w:val="5577F8E1"/>
    <w:multiLevelType w:val="hybridMultilevel"/>
    <w:lvl w:ilvl="0">
      <w:lvlJc w:val="left"/>
      <w:lvlText w:val="(%1)"/>
      <w:numFmt w:val="decimal"/>
      <w:start w:val="3"/>
    </w:lvl>
    <w:lvl w:ilvl="1">
      <w:lvlJc w:val="left"/>
      <w:lvlText w:val="(%2)"/>
      <w:numFmt w:val="upperLetter"/>
      <w:start w:val="7"/>
    </w:lvl>
  </w:abstractNum>
  <w:abstractNum w:abstractNumId="29">
    <w:nsid w:val="440BADFC"/>
    <w:multiLevelType w:val="hybridMultilevel"/>
    <w:lvl w:ilvl="0">
      <w:lvlJc w:val="left"/>
      <w:lvlText w:val="%1"/>
      <w:numFmt w:val="lowerLetter"/>
      <w:start w:val="1"/>
    </w:lvl>
    <w:lvl w:ilvl="1">
      <w:lvlJc w:val="left"/>
      <w:lvlText w:val="(%2)"/>
      <w:numFmt w:val="lowerLetter"/>
      <w:start w:val="35"/>
    </w:lvl>
  </w:abstractNum>
  <w:abstractNum w:abstractNumId="30">
    <w:nsid w:val="5072367"/>
    <w:multiLevelType w:val="hybridMultilevel"/>
    <w:lvl w:ilvl="0">
      <w:lvlJc w:val="left"/>
      <w:lvlText w:val="(%1)"/>
      <w:numFmt w:val="lowerLetter"/>
      <w:start w:val="5"/>
    </w:lvl>
    <w:lvl w:ilvl="1">
      <w:lvlJc w:val="left"/>
      <w:lvlText w:val="(%2)"/>
      <w:numFmt w:val="lowerLetter"/>
      <w:start w:val="9"/>
    </w:lvl>
  </w:abstractNum>
  <w:abstractNum w:abstractNumId="31">
    <w:nsid w:val="3804823E"/>
    <w:multiLevelType w:val="hybridMultilevel"/>
    <w:lvl w:ilvl="0">
      <w:lvlJc w:val="left"/>
      <w:lvlText w:val="(%1)"/>
      <w:numFmt w:val="lowerRoman"/>
      <w:start w:val="2"/>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2"/>
    </w:lvl>
    <w:lvl w:ilvl="1">
      <w:lvlJc w:val="left"/>
      <w:lvlText w:val="(%2)"/>
      <w:numFmt w:val="lowerRoman"/>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
    </w:lvl>
    <w:lvl w:ilvl="1">
      <w:lvlJc w:val="left"/>
      <w:lvlText w:val="(%2)"/>
      <w:numFmt w:val="lowerRoman"/>
      <w:start w:val="1"/>
    </w:lvl>
  </w:abstractNum>
  <w:abstractNum w:abstractNumId="37">
    <w:nsid w:val="51EAD36B"/>
    <w:multiLevelType w:val="hybridMultilevel"/>
    <w:lvl w:ilvl="0">
      <w:lvlJc w:val="left"/>
      <w:lvlText w:val="%1"/>
      <w:numFmt w:val="lowerLetter"/>
      <w:start w:val="1"/>
    </w:lvl>
    <w:lvl w:ilvl="1">
      <w:lvlJc w:val="left"/>
      <w:lvlText w:val="(%2)"/>
      <w:numFmt w:val="lowerRoman"/>
      <w:start w:val="4"/>
    </w:lvl>
  </w:abstractNum>
  <w:abstractNum w:abstractNumId="38">
    <w:nsid w:val="2D517796"/>
    <w:multiLevelType w:val="hybridMultilevel"/>
    <w:lvl w:ilvl="0">
      <w:lvlJc w:val="left"/>
      <w:lvlText w:val="(%1)"/>
      <w:numFmt w:val="lowerLetter"/>
      <w:start w:val="2"/>
    </w:lvl>
    <w:lvl w:ilvl="1">
      <w:lvlJc w:val="left"/>
      <w:lvlText w:val="%2"/>
      <w:numFmt w:val="lowerRoman"/>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2019-12-06T17:47:54Z</dcterms:created>
  <dcterms:modified xsi:type="dcterms:W3CDTF">2019-12-06T17:47:54Z</dcterms:modified>
</cp:coreProperties>
</file>