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980" w:right="3960" w:hanging="3740"/>
        <w:spacing w:after="0" w:line="311" w:lineRule="auto"/>
        <w:tabs>
          <w:tab w:leader="none" w:pos="59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219075</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2017, there were 4,703,928,010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580" w:type="dxa"/>
            <w:vAlign w:val="bottom"/>
            <w:gridSpan w:val="22"/>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6000" w:type="dxa"/>
            <w:vAlign w:val="bottom"/>
            <w:gridSpan w:val="10"/>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 as of June 30, 2017 and December 31, 2016 (Unaudited)</w:t>
              </w:r>
            </w:hyperlink>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Income for the Three and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Comprehensive Income for the Three and Six Months Ended June 30, 2017 and 2016</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8060" w:type="dxa"/>
            <w:vAlign w:val="bottom"/>
            <w:tcBorders>
              <w:top w:val="single" w:sz="8" w:color="0000EE"/>
            </w:tcBorders>
            <w:gridSpan w:val="17"/>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rFonts w:ascii="Arial" w:cs="Arial" w:eastAsia="Arial" w:hAnsi="Arial"/>
                <w:sz w:val="18"/>
                <w:szCs w:val="18"/>
                <w:color w:val="auto"/>
              </w:rPr>
            </w:pPr>
            <w:hyperlink w:anchor="page6">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 of Cash Flows for the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 of Changes in Equity for the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70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400" w:type="dxa"/>
            <w:vAlign w:val="bottom"/>
            <w:gridSpan w:val="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640" w:type="dxa"/>
            <w:vAlign w:val="bottom"/>
            <w:gridSpan w:val="6"/>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4740" w:type="dxa"/>
            <w:vAlign w:val="bottom"/>
            <w:gridSpan w:val="8"/>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320" w:type="dxa"/>
            <w:vAlign w:val="bottom"/>
            <w:gridSpan w:val="1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22"/>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760" w:type="dxa"/>
            <w:vAlign w:val="bottom"/>
            <w:gridSpan w:val="14"/>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91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6"/>
          </w:tcPr>
          <w:p>
            <w:pPr>
              <w:spacing w:after="0"/>
              <w:rPr>
                <w:sz w:val="21"/>
                <w:szCs w:val="21"/>
                <w:color w:val="auto"/>
              </w:rPr>
            </w:pPr>
          </w:p>
        </w:tc>
        <w:tc>
          <w:tcPr>
            <w:tcW w:w="4760" w:type="dxa"/>
            <w:vAlign w:val="bottom"/>
            <w:gridSpan w:val="9"/>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91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8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NBCUniversal Media, LLC Financial Statements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Quarterly Report on Form 10-Q (the “report”) was originally filed with the Securities and Exchange Commission (the “SEC”) on July 27, 2017, as a combined report by Comcast Corporation (“Comcast”) and NBCUniversal Media, LLC (“NBCUniversal”). Because the report only appeared on the SEC’s EDGAR System under the Central Index Key (“CIK”) for Comcast, NBCUniversal is resubmitting this report so that it also appears under NBCUniversal’s CIK. Other than this bolded paragraph, this report is identical to the original report and is current only as of and at July 27, 2017.</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Quarterly Report on Form 10-Q is for the three and six months ended June 30, 2017. This Quarterly Report on Form 10-Q modifies and supersedes documents filed before it. The Securities and Exchange Commission (“SEC”) allows us to “incorporate by reference” information that we file with it, which means that we can disclose important information to you by referring you</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308" w:lineRule="auto"/>
        <w:rPr>
          <w:sz w:val="20"/>
          <w:szCs w:val="20"/>
          <w:color w:val="auto"/>
        </w:rPr>
      </w:pPr>
      <w:r>
        <w:rPr>
          <w:rFonts w:ascii="Arial" w:cs="Arial" w:eastAsia="Arial" w:hAnsi="Arial"/>
          <w:sz w:val="17"/>
          <w:szCs w:val="17"/>
          <w:color w:val="auto"/>
        </w:rPr>
        <w:t>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and distribution platforms for viewing content may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including the launch of our wireless phone service,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2,693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3,301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7,849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7,955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1,633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2,657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3,855</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14,832</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16,361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6,595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6,521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5,247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$49,951 and $49,694</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37,171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36,253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59,364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36,742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35,980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$11,900 and $11,013</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18,907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17,274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2,899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2,769</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183,031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6,730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6,915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1,882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1,448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5,858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6,282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6,358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22,276</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21,535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57,210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55,566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35,409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10,837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10,925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1,451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5,576,719,038 and</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5,614,950,039; outstanding, 4,703,928,010 and 4,742,159,011</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37,478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38,230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24,560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23,076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4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55,005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53,943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843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2,231</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55,848</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56,174</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183,031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75"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21,165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19,269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41,628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38,059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6,341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5,492</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12,415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10,923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6,060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5,763</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11,887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11,289</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1,665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1,559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3,195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3,025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1,970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1,868</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3,885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3,653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571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521</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1,158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16,607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15,203</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32,540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29,904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4,558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4,066</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9,088</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8,155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(732)</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(1,513)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(659)</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(708)</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(1,284)</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3,899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3,358</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7,804</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6,893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(1,364)</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(1,278)</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(2,622)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2,535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2,080</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5,182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2,513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2,028</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5,079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4,162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0.53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0.42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0.86</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0.52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0.41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0.1575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0.1375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0.315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2,535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2,080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5,182</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$52, $—, $(9) and $(1)</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$(3), $35, $(7) and $53</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9"/>
              </w:rPr>
              <w:t>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deferred taxes of $—, $—, $— and $1</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$8, $(26), $8 and $(36)</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Employee benefit obligations, net of deferred taxes of $4, $—,</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$(33) and $(2)</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7"/>
              </w:rPr>
              <w:t>Currency translation adjustments, net of deferred taxes of $2,</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$(58), $(39) and $(116)</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249</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146</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2,422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2,315</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5,400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4,766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attributable to noncontrolling</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2,405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2,113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5,215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4,337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10,814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9,794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(4,405)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(836)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(1,825)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(7,487)</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(5,828)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(1,695)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8,963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(4,967)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(2,476)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(1,404)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(2,299)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Issuances of common stock</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(3,935)</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(608)</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3,301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2,693</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4,665</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88"/>
              </w:rPr>
              <w:t>Redeemable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color w:val="auto"/>
                <w:w w:val="98"/>
              </w:rPr>
              <w:t>Noncontrolling</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1"/>
              </w:rPr>
              <w:t>Interests and</w:t>
            </w: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4"/>
              </w:rPr>
              <w:t>Redeemable</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40"/>
              <w:spacing w:after="0" w:line="121" w:lineRule="exact"/>
              <w:rPr>
                <w:sz w:val="20"/>
                <w:szCs w:val="20"/>
                <w:color w:val="auto"/>
              </w:rPr>
            </w:pPr>
            <w:r>
              <w:rPr>
                <w:rFonts w:ascii="Arial" w:cs="Arial" w:eastAsia="Arial" w:hAnsi="Arial"/>
                <w:sz w:val="13"/>
                <w:szCs w:val="13"/>
                <w:color w:val="auto"/>
              </w:rPr>
              <w:t>Treasury</w:t>
            </w:r>
          </w:p>
        </w:tc>
        <w:tc>
          <w:tcPr>
            <w:tcW w:w="160" w:type="dxa"/>
            <w:vAlign w:val="bottom"/>
          </w:tcPr>
          <w:p>
            <w:pPr>
              <w:spacing w:after="0"/>
              <w:rPr>
                <w:sz w:val="10"/>
                <w:szCs w:val="10"/>
                <w:color w:val="auto"/>
              </w:rPr>
            </w:pPr>
          </w:p>
        </w:tc>
        <w:tc>
          <w:tcPr>
            <w:tcW w:w="11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8"/>
              </w:rPr>
              <w:t>Other</w:t>
            </w:r>
          </w:p>
        </w:tc>
        <w:tc>
          <w:tcPr>
            <w:tcW w:w="140" w:type="dxa"/>
            <w:vAlign w:val="bottom"/>
          </w:tcPr>
          <w:p>
            <w:pPr>
              <w:spacing w:after="0"/>
              <w:rPr>
                <w:sz w:val="10"/>
                <w:szCs w:val="10"/>
                <w:color w:val="auto"/>
              </w:rPr>
            </w:pPr>
          </w:p>
        </w:tc>
        <w:tc>
          <w:tcPr>
            <w:tcW w:w="760" w:type="dxa"/>
            <w:vAlign w:val="bottom"/>
          </w:tcPr>
          <w:p>
            <w:pPr>
              <w:jc w:val="center"/>
              <w:ind w:right="14"/>
              <w:spacing w:after="0" w:line="121" w:lineRule="exact"/>
              <w:rPr>
                <w:sz w:val="20"/>
                <w:szCs w:val="20"/>
                <w:color w:val="auto"/>
              </w:rPr>
            </w:pPr>
            <w:r>
              <w:rPr>
                <w:rFonts w:ascii="Arial" w:cs="Arial" w:eastAsia="Arial" w:hAnsi="Arial"/>
                <w:sz w:val="13"/>
                <w:szCs w:val="13"/>
                <w:color w:val="auto"/>
              </w:rPr>
              <w:t>Non-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line="157" w:lineRule="exact"/>
              <w:rPr>
                <w:sz w:val="20"/>
                <w:szCs w:val="20"/>
                <w:color w:val="auto"/>
              </w:rPr>
            </w:pPr>
            <w:r>
              <w:rPr>
                <w:rFonts w:ascii="Arial" w:cs="Arial" w:eastAsia="Arial" w:hAnsi="Arial"/>
                <w:sz w:val="14"/>
                <w:szCs w:val="14"/>
                <w:color w:val="auto"/>
                <w:w w:val="94"/>
              </w:rPr>
              <w:t>Subsidiary</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3"/>
                <w:szCs w:val="13"/>
                <w:color w:val="auto"/>
              </w:rPr>
            </w:pPr>
          </w:p>
        </w:tc>
        <w:tc>
          <w:tcPr>
            <w:tcW w:w="740" w:type="dxa"/>
            <w:vAlign w:val="bottom"/>
          </w:tcPr>
          <w:p>
            <w:pPr>
              <w:ind w:left="60"/>
              <w:spacing w:after="0" w:line="157" w:lineRule="exact"/>
              <w:rPr>
                <w:sz w:val="20"/>
                <w:szCs w:val="20"/>
                <w:color w:val="auto"/>
              </w:rPr>
            </w:pPr>
            <w:r>
              <w:rPr>
                <w:rFonts w:ascii="Arial" w:cs="Arial" w:eastAsia="Arial" w:hAnsi="Arial"/>
                <w:sz w:val="14"/>
                <w:szCs w:val="14"/>
                <w:color w:val="auto"/>
              </w:rPr>
              <w:t>Stock at</w:t>
            </w:r>
          </w:p>
        </w:tc>
        <w:tc>
          <w:tcPr>
            <w:tcW w:w="160" w:type="dxa"/>
            <w:vAlign w:val="bottom"/>
          </w:tcPr>
          <w:p>
            <w:pPr>
              <w:spacing w:after="0"/>
              <w:rPr>
                <w:sz w:val="13"/>
                <w:szCs w:val="13"/>
                <w:color w:val="auto"/>
              </w:rPr>
            </w:pPr>
          </w:p>
        </w:tc>
        <w:tc>
          <w:tcPr>
            <w:tcW w:w="110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3"/>
                <w:szCs w:val="13"/>
                <w:color w:val="auto"/>
              </w:rPr>
            </w:pPr>
          </w:p>
        </w:tc>
        <w:tc>
          <w:tcPr>
            <w:tcW w:w="760" w:type="dxa"/>
            <w:vAlign w:val="bottom"/>
          </w:tcPr>
          <w:p>
            <w:pPr>
              <w:jc w:val="center"/>
              <w:ind w:right="34"/>
              <w:spacing w:after="0" w:line="157"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3"/>
                <w:szCs w:val="13"/>
                <w:color w:val="auto"/>
              </w:rPr>
            </w:pPr>
          </w:p>
        </w:tc>
        <w:tc>
          <w:tcPr>
            <w:tcW w:w="720" w:type="dxa"/>
            <w:vAlign w:val="bottom"/>
          </w:tcPr>
          <w:p>
            <w:pPr>
              <w:jc w:val="right"/>
              <w:ind w:right="21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color w:val="auto"/>
                <w:w w:val="92"/>
              </w:rPr>
              <w:t>Preferred Stock</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4"/>
              </w:rPr>
              <w:t>Income (Loss)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53,978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4,162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June 30,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22,117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55,276</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23,076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2860" w:type="dxa"/>
            <w:vAlign w:val="bottom"/>
          </w:tcPr>
          <w:p>
            <w:pPr>
              <w:ind w:left="80"/>
              <w:spacing w:after="0"/>
              <w:rPr>
                <w:sz w:val="20"/>
                <w:szCs w:val="20"/>
                <w:color w:val="auto"/>
              </w:rPr>
            </w:pPr>
            <w:r>
              <w:rPr>
                <w:rFonts w:ascii="Arial" w:cs="Arial" w:eastAsia="Arial" w:hAnsi="Arial"/>
                <w:sz w:val="18"/>
                <w:szCs w:val="18"/>
                <w:color w:val="auto"/>
                <w:w w:val="93"/>
              </w:rPr>
              <w:t>Purchase of Universal Studios Japan</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5,079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24,560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428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55,848</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00" w:type="dxa"/>
            <w:vAlign w:val="bottom"/>
            <w:gridSpan w:val="3"/>
          </w:tcPr>
          <w:p>
            <w:pPr>
              <w:spacing w:after="0"/>
              <w:rPr>
                <w:sz w:val="20"/>
                <w:szCs w:val="20"/>
                <w:color w:val="auto"/>
              </w:rPr>
            </w:pPr>
            <w:r>
              <w:rPr>
                <w:rFonts w:ascii="Arial" w:cs="Arial" w:eastAsia="Arial" w:hAnsi="Arial"/>
                <w:sz w:val="14"/>
                <w:szCs w:val="14"/>
                <w:color w:val="auto"/>
                <w:w w:val="92"/>
              </w:rPr>
              <w:t>See accompanying notes to condensed consolidated financial statements.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2017, our Board of Directors approved a two-for-one stock split in the form of a 100% stock dividend that was distributed on February 17, 2017 to shareholders of record as of February 8, 2017. The stock split was in the form of one additional share for every share held and was payable in shares of Class A common stock on the existing Class A common stock and Class B common stock. All share-based data, including the number of shares outstanding and per share amounts, have been adjusted to reflect the stock split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2017.</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substantially completed the review of our revenue arrangements and do not currently expect that the adoption of the new standard will have a material impact on our financial position or results of operations. However, we do expect that the new standard will impact the timing of recognition for (1) our Cable Communications segment’s installation revenue and commission expenses, which will be recognized as revenue and costs over a period of time instead of immediately, and (2)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In addition, upon adoption, we anticipate implementing certain changes in the presentation of revenue and expenses, including changes related to the allocation of revenue among the cable services included in a bundle that our residential customers purchase at a discount. The updated guidance also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Comcast Corporation would have decreased for the three months ended June 30, 2017 by $88 million and increased for the six months ended June 30, 2017 by $16 million. We are currently in the process of determining the impact that the updated accounting guidance will have on our cost method investments.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were under the prior guidance. In addition, the updated guidance requires that, when an employer withholds shares upon exercise of options or the vesting of restricted stock for the purpose of meeting withholding tax requirements, the cash paid for withholding taxes be classified as a financing activity and we include these amounts in the caption “repurchases of common stock under repurchase program and employee plans” in our consolidated statement of cash flows. We previously recorded these amounts as operating activities.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the updated guidance as of January 1, 2017 and, as required, we prospectively adopted the provisions that relate to the recognition of the excess income tax benefits or deficiencies in our condensed consolidated statement of income. The excess tax benefits resulted in a decrease to income tax expense of $59 million and $198 million for the three and six months ended June 30, 2017, respectively. In addition, the excess tax benefits resulted in an increase to diluted earnings per common share attributable to Comcast Corporation shareholders of $0.01 and $0.03 for the three and six months ended June 30, 2017, respectively. As required by the updated guidance, the prior year periods in our condensed consolidated statement of income were not adjusted as a result of these provisions.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retrospectively adopted the provisions of this guidance related to changes to the statement of cash flows for all periods presented. This resulted in increases to net cash provided by operating activities and decreases to net cash provided by (used in) financing activities of $543 million and $411 million for the six months ended June 30, 2017 and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color w:val="auto"/>
              </w:rPr>
              <w:t>Three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2,513</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4,728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0.53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2,028</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4,839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0.42</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2,513</w:t>
            </w:r>
          </w:p>
        </w:tc>
        <w:tc>
          <w:tcPr>
            <w:tcW w:w="1160" w:type="dxa"/>
            <w:vAlign w:val="bottom"/>
          </w:tcPr>
          <w:p>
            <w:pPr>
              <w:jc w:val="right"/>
              <w:ind w:right="56"/>
              <w:spacing w:after="0"/>
              <w:rPr>
                <w:sz w:val="20"/>
                <w:szCs w:val="20"/>
                <w:color w:val="auto"/>
              </w:rPr>
            </w:pPr>
            <w:r>
              <w:rPr>
                <w:rFonts w:ascii="Arial" w:cs="Arial" w:eastAsia="Arial" w:hAnsi="Arial"/>
                <w:sz w:val="18"/>
                <w:szCs w:val="18"/>
                <w:b w:val="1"/>
                <w:bCs w:val="1"/>
                <w:color w:val="auto"/>
              </w:rPr>
              <w:t>4,809</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0.52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2,028</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4,891</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0.41</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5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56"/>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5,079</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4,738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4,162</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4,853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0.86</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5,079</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4,820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4,162</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4,908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0.85</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six months ended June 30, 2017 and 2016.</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NBC and Telemundo stations will share broadcast signals in these DMAs. In connection with the auction, we also acquired the rights to $1.7 billion of spectrum, which were recorded to other intangible assets, net in our condensed consolidated balance sheet as of June 30, 2017. We had previously made a deposit of $1.8 billion to participate in the auction in the third quarter of 2016 and received a refund for amounts in excess of the purchase price in the second quarter of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deferred income taxes based on our estimates of the tax basis of the acquired net assets and the valuation allowances based on the expected use of net operating loss carryforwards. The goodwill is not deductible for tax purposes. During the six months ended June 30, 2017, we updated the preliminary allocation of purchase price for DreamWorks Animation, which primarily resulted in increases to noncontrolling interests, intangible assets and goodwill and decreases to working capital and deferred income tax assets. The changes did not have a material impact on our condensed consolidated financial statements. We may adjust these amounts further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valuations are finalized and we obtain information necessary to complete the analyses, but no later than one year from the acquisition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6680" w:type="dxa"/>
            <w:vAlign w:val="bottom"/>
          </w:tcPr>
          <w:p>
            <w:pPr>
              <w:jc w:val="right"/>
              <w:ind w:right="3450"/>
              <w:spacing w:after="0"/>
              <w:rPr>
                <w:sz w:val="20"/>
                <w:szCs w:val="20"/>
                <w:color w:val="auto"/>
              </w:rPr>
            </w:pPr>
            <w:r>
              <w:rPr>
                <w:rFonts w:ascii="Arial" w:cs="Arial" w:eastAsia="Arial" w:hAnsi="Arial"/>
                <w:sz w:val="18"/>
                <w:szCs w:val="18"/>
                <w:b w:val="1"/>
                <w:bCs w:val="1"/>
                <w:color w:val="auto"/>
              </w:rPr>
              <w:t>Allocation of Purchase Price</w:t>
            </w:r>
          </w:p>
        </w:tc>
        <w:tc>
          <w:tcPr>
            <w:tcW w:w="940" w:type="dxa"/>
            <w:vAlign w:val="bottom"/>
          </w:tcPr>
          <w:p>
            <w:pPr>
              <w:spacing w:after="0"/>
              <w:rPr>
                <w:sz w:val="20"/>
                <w:szCs w:val="20"/>
                <w:color w:val="auto"/>
              </w:rPr>
            </w:pPr>
          </w:p>
        </w:tc>
      </w:tr>
      <w:tr>
        <w:trPr>
          <w:trHeight w:val="210"/>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6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Debt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Tax receivable agreement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Other noncurrent assets and liabilities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Identifiable net assets (liabilities) acquired</w:t>
            </w:r>
          </w:p>
        </w:tc>
        <w:tc>
          <w:tcPr>
            <w:tcW w:w="66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2,789</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Cash consideration transferred</w:t>
            </w:r>
          </w:p>
        </w:tc>
        <w:tc>
          <w:tcPr>
            <w:tcW w:w="6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3,773</w:t>
            </w:r>
          </w:p>
        </w:tc>
      </w:tr>
      <w:tr>
        <w:trPr>
          <w:trHeight w:val="34"/>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condensed consolidated statement of cash flows in the third quarter of 2016. We also repaid all of the assumed debt of DreamWorks Animation in the third quarter of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and six months ended June 30, 2017.</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1,949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2,855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1,888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2,639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2,734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2,586</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8,228</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8,502</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1,633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1,250</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0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6,595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7,252</w:t>
            </w:r>
          </w:p>
        </w:tc>
      </w:tr>
      <w:tr>
        <w:trPr>
          <w:trHeight w:val="34"/>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460" w:type="dxa"/>
            <w:vAlign w:val="bottom"/>
          </w:tcPr>
          <w:p>
            <w:pPr>
              <w:spacing w:after="0"/>
              <w:rPr>
                <w:sz w:val="24"/>
                <w:szCs w:val="24"/>
                <w:color w:val="auto"/>
              </w:rPr>
            </w:pPr>
          </w:p>
        </w:tc>
        <w:tc>
          <w:tcPr>
            <w:tcW w:w="4080" w:type="dxa"/>
            <w:vAlign w:val="bottom"/>
          </w:tcPr>
          <w:p>
            <w:pPr>
              <w:jc w:val="right"/>
              <w:ind w:right="269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94"/>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72"/>
              <w:spacing w:after="0"/>
              <w:rPr>
                <w:sz w:val="20"/>
                <w:szCs w:val="20"/>
                <w:color w:val="auto"/>
              </w:rPr>
            </w:pPr>
            <w:r>
              <w:rPr>
                <w:rFonts w:ascii="Arial" w:cs="Arial" w:eastAsia="Arial" w:hAnsi="Arial"/>
                <w:sz w:val="14"/>
                <w:szCs w:val="14"/>
                <w:color w:val="auto"/>
                <w:w w:val="95"/>
              </w:rPr>
              <w:t>December 31,</w:t>
            </w:r>
          </w:p>
        </w:tc>
      </w:tr>
      <w:tr>
        <w:trPr>
          <w:trHeight w:val="188"/>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Snap</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522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Atairos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Hulu</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653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550</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3,104</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AirTouch</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1,599</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BuzzFeed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2,770</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6,554</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5,344</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4"/>
              <w:spacing w:after="0"/>
              <w:rPr>
                <w:sz w:val="20"/>
                <w:szCs w:val="20"/>
                <w:color w:val="auto"/>
              </w:rPr>
            </w:pPr>
            <w:r>
              <w:rPr>
                <w:rFonts w:ascii="Arial" w:cs="Arial" w:eastAsia="Arial" w:hAnsi="Arial"/>
                <w:sz w:val="18"/>
                <w:szCs w:val="18"/>
                <w:b w:val="1"/>
                <w:bCs w:val="1"/>
                <w:color w:val="auto"/>
              </w:rPr>
              <w:t>6,521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5,247</w:t>
            </w: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73"/>
        </w:trPr>
        <w:tc>
          <w:tcPr>
            <w:tcW w:w="4300" w:type="dxa"/>
            <w:vAlign w:val="bottom"/>
          </w:tcPr>
          <w:p>
            <w:pPr>
              <w:spacing w:after="0"/>
              <w:rPr>
                <w:sz w:val="24"/>
                <w:szCs w:val="24"/>
                <w:color w:val="auto"/>
              </w:rPr>
            </w:pPr>
          </w:p>
        </w:tc>
        <w:tc>
          <w:tcPr>
            <w:tcW w:w="3520" w:type="dxa"/>
            <w:vAlign w:val="bottom"/>
            <w:gridSpan w:val="4"/>
          </w:tcPr>
          <w:p>
            <w:pPr>
              <w:jc w:val="right"/>
              <w:ind w:right="716"/>
              <w:spacing w:after="0"/>
              <w:rPr>
                <w:sz w:val="20"/>
                <w:szCs w:val="20"/>
                <w:color w:val="auto"/>
              </w:rPr>
            </w:pPr>
            <w:r>
              <w:rPr>
                <w:rFonts w:ascii="Arial" w:cs="Arial" w:eastAsia="Arial" w:hAnsi="Arial"/>
                <w:sz w:val="18"/>
                <w:szCs w:val="18"/>
                <w:b w:val="1"/>
                <w:bCs w:val="1"/>
                <w:color w:val="auto"/>
              </w:rPr>
              <w:t>Investment Income (Loss), Net</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2"/>
        </w:trPr>
        <w:tc>
          <w:tcPr>
            <w:tcW w:w="4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2"/>
          </w:tcPr>
          <w:p>
            <w:pPr>
              <w:jc w:val="right"/>
              <w:ind w:right="416"/>
              <w:spacing w:after="0"/>
              <w:rPr>
                <w:sz w:val="20"/>
                <w:szCs w:val="20"/>
                <w:color w:val="auto"/>
              </w:rPr>
            </w:pPr>
            <w:r>
              <w:rPr>
                <w:rFonts w:ascii="Arial" w:cs="Arial" w:eastAsia="Arial" w:hAnsi="Arial"/>
                <w:sz w:val="14"/>
                <w:szCs w:val="14"/>
                <w:color w:val="auto"/>
                <w:w w:val="93"/>
              </w:rPr>
              <w:t>Three Months Ended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188"/>
        </w:trPr>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22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w w:val="90"/>
              </w:rPr>
              <w:t>Gains (losses) on sales and exchanges of investments, net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Investment impairment losses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Investment income (loss), net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64</w:t>
            </w:r>
          </w:p>
        </w:tc>
        <w:tc>
          <w:tcPr>
            <w:tcW w:w="1120" w:type="dxa"/>
            <w:vAlign w:val="bottom"/>
          </w:tcPr>
          <w:p>
            <w:pPr>
              <w:jc w:val="right"/>
              <w:ind w:right="836"/>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auto"/>
              </w:rPr>
              <w:t>123</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88</w:t>
            </w: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an available-for-sale security. Snap is a camera company whose primary product is Snapchat, a camera app that was created to help people communicate through short videos and images.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six months ended June 30, 2017, we made cash capital contributions totaling $994 million to Atairos Group, Inc., which included amounts accrued as of December 31, 2016.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For the three and six months ended June 30, 2017, our share of Atairos income was $42 million and $99 million, respectively. For the three and six months ended June 30, 2016, our share of Atairos losses was $12 million and $27 million,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six months ended June 30, 2016.</w:t>
      </w: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hold two series of preferred stock of Verizon Americas, Inc., formerly known as AirTouch Communications, Inc. (“AirTouch”), a subsidiary of Verizon Communications Inc., which are redeemable in April 2020. As of June 30, 2017,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2017, our debt had a carrying value of $63.6 billion and an estimated fair value of $70.3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2017, NBCUniversal Enterprise issued $1.5 billion aggregate principal amount of senior floating rate notes due 2021. In March 2017, we issued $1.005 billion aggregate principal amount of 4.45% senior notes due 2047. In January 2017, we issued $1.25 billion aggregate principal amount of 3.00% senior notes due 2024 and $1.25 billion aggregate principal amount of 3.30% senior notes due 2027.</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we repaid at maturity $550 million aggregate principal amount of 8.875% senior notes due 2017. In January 2017, we repaid at maturity $1.0 billion aggregate principal amount of 6.50% senior notes due 2017.</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Universal Studios Japan entered into a new ¥450 billion ($3.9 billion at issuance) term loan with a final maturity of March 2022. We used the proceeds from this borrowing to repay in full $3.3 billion of Universal Studios Japan’s existing yen-denominated term loans and a portion of amounts outstanding under our commercial paper program.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2017, amounts available under our consolidated revolving credit facilities, net of amounts outstanding under our commercial paper programs and outstanding letters of credit, totaled $7.2 billion, which included $1.5 billion available under NBCUniversal Enterprise’s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we increased the Comcast and NBCUniversal Enterprise commercial paper programs to $7.0 billion and $1.5 billion, respectively, to coincide with the Comcast and NBCUniversal Enterprise revolving credit facilities’ commitments.</w:t>
      </w:r>
    </w:p>
    <w:p>
      <w:pPr>
        <w:spacing w:after="0" w:line="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2017, Comcast had $1.1 billion face amount of commercial paper outstanding and NBCUniversal Enterprise had no commercial paper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2017, we granted 10.6 million RSUs and 39.1 million stock options related to our annual management awards. The weighted-average fair values associated with these grants were $37.42 per RSU and $7.01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89</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145</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260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we had unrecognized pretax compensation expense of $915 million and $502 million related to nonvested RSUs and nonvested stock options, respectively.</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center"/>
              <w:ind w:left="65"/>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90"/>
              </w:rPr>
              <w:t>December 31,</w:t>
            </w: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8,459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8,622</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w w:val="91"/>
              </w:rPr>
              <w:t>Less: Allowance for returns and customer incentives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345</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417</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spacing w:after="0"/>
              <w:rPr>
                <w:sz w:val="20"/>
                <w:szCs w:val="20"/>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b w:val="1"/>
                <w:bCs w:val="1"/>
                <w:color w:val="auto"/>
                <w:w w:val="84"/>
              </w:rPr>
              <w:t>7,849</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7,955</w:t>
            </w:r>
          </w:p>
        </w:tc>
      </w:tr>
      <w:tr>
        <w:trPr>
          <w:trHeight w:val="34"/>
        </w:trPr>
        <w:tc>
          <w:tcPr>
            <w:tcW w:w="480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8240" w:type="dxa"/>
            <w:vAlign w:val="bottom"/>
            <w:gridSpan w:val="6"/>
          </w:tcPr>
          <w:p>
            <w:pPr>
              <w:jc w:val="center"/>
              <w:ind w:left="3092"/>
              <w:spacing w:after="0"/>
              <w:rPr>
                <w:sz w:val="20"/>
                <w:szCs w:val="20"/>
                <w:color w:val="auto"/>
              </w:rPr>
            </w:pPr>
            <w:r>
              <w:rPr>
                <w:rFonts w:ascii="Arial" w:cs="Arial" w:eastAsia="Arial" w:hAnsi="Arial"/>
                <w:sz w:val="18"/>
                <w:szCs w:val="18"/>
                <w:b w:val="1"/>
                <w:bCs w:val="1"/>
                <w:color w:val="auto"/>
              </w:rPr>
              <w:t>Accumulated Other Comprehensive Income (Loss)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9"/>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center"/>
              <w:ind w:left="65"/>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center"/>
              <w:ind w:right="413"/>
              <w:spacing w:after="0"/>
              <w:rPr>
                <w:sz w:val="20"/>
                <w:szCs w:val="20"/>
                <w:color w:val="auto"/>
              </w:rPr>
            </w:pPr>
            <w:r>
              <w:rPr>
                <w:rFonts w:ascii="Arial" w:cs="Arial" w:eastAsia="Arial" w:hAnsi="Arial"/>
                <w:sz w:val="14"/>
                <w:szCs w:val="14"/>
                <w:color w:val="auto"/>
                <w:w w:val="89"/>
              </w:rPr>
              <w:t>June 30,</w:t>
            </w: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w w:val="94"/>
              </w:rPr>
              <w:t>Unrealized gains (losses) on marketable securities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276</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48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Accumulated other comprehensive income (loss), net of deferred taxes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spacing w:after="0"/>
              <w:rPr>
                <w:sz w:val="20"/>
                <w:szCs w:val="20"/>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b w:val="1"/>
                <w:bCs w:val="1"/>
                <w:color w:val="auto"/>
              </w:rPr>
              <w:t>428</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r>
      <w:tr>
        <w:trPr>
          <w:trHeight w:val="34"/>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3860" w:type="dxa"/>
            <w:vAlign w:val="bottom"/>
          </w:tcPr>
          <w:p>
            <w:pPr>
              <w:spacing w:after="0"/>
              <w:rPr>
                <w:sz w:val="24"/>
                <w:szCs w:val="24"/>
                <w:color w:val="auto"/>
              </w:rPr>
            </w:pPr>
          </w:p>
        </w:tc>
        <w:tc>
          <w:tcPr>
            <w:tcW w:w="4380" w:type="dxa"/>
            <w:vAlign w:val="bottom"/>
            <w:gridSpan w:val="5"/>
          </w:tcPr>
          <w:p>
            <w:pPr>
              <w:jc w:val="center"/>
              <w:ind w:right="596"/>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9"/>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r>
      <w:tr>
        <w:trPr>
          <w:trHeight w:val="188"/>
        </w:trPr>
        <w:tc>
          <w:tcPr>
            <w:tcW w:w="3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5,182</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4,304</w:t>
            </w:r>
          </w:p>
        </w:tc>
      </w:tr>
      <w:tr>
        <w:trPr>
          <w:trHeight w:val="270"/>
        </w:trPr>
        <w:tc>
          <w:tcPr>
            <w:tcW w:w="6200" w:type="dxa"/>
            <w:vAlign w:val="bottom"/>
            <w:gridSpan w:val="4"/>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5,043</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4,667</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391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331</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122</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w w:val="94"/>
              </w:rPr>
              <w:t>Equity in net (income) losses of investees,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w w:val="92"/>
              </w:rPr>
              <w:t>Net (gain) loss on investment activity and other</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470</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618</w:t>
            </w:r>
          </w:p>
        </w:tc>
      </w:tr>
      <w:tr>
        <w:trPr>
          <w:trHeight w:val="270"/>
        </w:trPr>
        <w:tc>
          <w:tcPr>
            <w:tcW w:w="7100" w:type="dxa"/>
            <w:vAlign w:val="bottom"/>
            <w:gridSpan w:val="5"/>
          </w:tcPr>
          <w:p>
            <w:pPr>
              <w:ind w:left="40"/>
              <w:spacing w:after="0"/>
              <w:rPr>
                <w:sz w:val="20"/>
                <w:szCs w:val="20"/>
                <w:color w:val="auto"/>
              </w:rPr>
            </w:pPr>
            <w:r>
              <w:rPr>
                <w:rFonts w:ascii="Arial" w:cs="Arial" w:eastAsia="Arial" w:hAnsi="Arial"/>
                <w:sz w:val="18"/>
                <w:szCs w:val="18"/>
                <w:color w:val="auto"/>
                <w:w w:val="99"/>
              </w:rPr>
              <w:t>Changes in operating assets and liabilities, net of effects of acquisitions and divestitures:</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5400" w:type="dxa"/>
            <w:vAlign w:val="bottom"/>
            <w:gridSpan w:val="3"/>
          </w:tcPr>
          <w:p>
            <w:pPr>
              <w:ind w:left="380"/>
              <w:spacing w:after="0"/>
              <w:rPr>
                <w:sz w:val="20"/>
                <w:szCs w:val="20"/>
                <w:color w:val="auto"/>
              </w:rPr>
            </w:pPr>
            <w:r>
              <w:rPr>
                <w:rFonts w:ascii="Arial" w:cs="Arial" w:eastAsia="Arial" w:hAnsi="Arial"/>
                <w:sz w:val="18"/>
                <w:szCs w:val="18"/>
                <w:color w:val="auto"/>
                <w:w w:val="94"/>
              </w:rPr>
              <w:t>Accounts payable and accrued expenses related to trade creditors</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(144)</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(433)</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10,814</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9,794</w:t>
            </w:r>
          </w:p>
        </w:tc>
      </w:tr>
      <w:tr>
        <w:trPr>
          <w:trHeight w:val="34"/>
        </w:trPr>
        <w:tc>
          <w:tcPr>
            <w:tcW w:w="480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8240" w:type="dxa"/>
            <w:vAlign w:val="bottom"/>
            <w:gridSpan w:val="6"/>
          </w:tcPr>
          <w:p>
            <w:pPr>
              <w:jc w:val="center"/>
              <w:ind w:left="3072"/>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r>
      <w:tr>
        <w:trPr>
          <w:trHeight w:val="188"/>
        </w:trPr>
        <w:tc>
          <w:tcPr>
            <w:tcW w:w="3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89"/>
              </w:rPr>
              <w:t>2017</w:t>
            </w:r>
          </w:p>
        </w:tc>
        <w:tc>
          <w:tcPr>
            <w:tcW w:w="9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512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1,372</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1,235</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1,495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2,209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1,685</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w:t>
      </w:r>
    </w:p>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$742 million for a quarterly cash dividend of $0.1575 per common share to be paid in July 2017</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the fair value of the NBCUniversal Enterprise redeemable subsidiary preferred stock was $762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defendant in a lawsuit filed in December 2011 by Sprint Communications Company L.P. (“Sprint”) in the United States District Court for the District of Kansas. Sprint’s initial complaint alleged that Comcast Digital Voice and XFINITY Voice infringe twelve Sprint patents covering various aspects of a telecommunications system. In March 2015, Sprint withdrew its allegations of infringement for two of the patents. In December 2016, the Court granted summary judgment for us with respect to non-infringement on one of the patents and granted summary judgment for Sprint on one of the patents as to infringement with respect to some but not all of our accused telecommunications systems but not as to the patent’s validity. In January 2017, the Court entered judgment in favor of us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is set to begin in late October 2017. Sprint seeks approximately $950 million in damages, plus pre-judgment interest. In July 2017, Sprint filed a motion to amend the pre-trial order seeking to add an allegation that we willfully infringed Sprint’s patents and should be subject to increased damages, which could as much as triple the amount of any damages awarded. In July 2017, Sprint also filed a motion for partial summary judgment of certain of our defenses.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claims in the Sprint lawsuit are without merit and are defending the action vigorously. We cannot predict the outcome of the Sprint lawsuit, estimate a range of possible loss or determine how the final resolution of the action would affect our results of operations or cash flows for any one period or our consolidated financial position. In addition, as any action nears a trial, there is an increased possibility that the action may be settled by the parties. Nevertheless, we do not expect the final disposition of the Sprint lawsuit to have a material adverse effect on our consolidated financial position, but it could be material to our consolidated results of operations or cash flows for any one period.</w:t>
      </w:r>
    </w:p>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including the Sprint lawsuit above.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Comcast Corporation below Adjusted EBITDA are not separately evaluated. Our financial data by business segment is presented in the tables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Three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13,122</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327</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2,155</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8,331</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21,165</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7,099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4,558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420</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Three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12,444</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289</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7,103</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19,269</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6,455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4,066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2,271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359</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Six Months Ended June 30, 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26,034</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6,537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679</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2,171</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4,449</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16,199</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4,088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3,060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41,628</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14,131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9,088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836</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color w:val="auto"/>
              </w:rPr>
              <w:t>Six Months Ended June 30, 2016</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34"/>
              <w:spacing w:after="0" w:line="157"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3"/>
                <w:szCs w:val="13"/>
                <w:color w:val="auto"/>
              </w:rPr>
            </w:pPr>
          </w:p>
        </w:tc>
        <w:tc>
          <w:tcPr>
            <w:tcW w:w="1080" w:type="dxa"/>
            <w:vAlign w:val="bottom"/>
          </w:tcPr>
          <w:p>
            <w:pPr>
              <w:jc w:val="right"/>
              <w:ind w:right="253"/>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3"/>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24,648</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9,937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613</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13,964</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2,432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114</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38,059</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12,822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8,155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4,156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737</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2017 and 2016, Cable Communications segment revenue was derived from the following sources: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w:t>
            </w:r>
          </w:p>
        </w:tc>
        <w:tc>
          <w:tcPr>
            <w:tcW w:w="1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96"/>
              </w:rPr>
              <w:t>2016</w:t>
            </w:r>
          </w:p>
        </w:tc>
        <w:tc>
          <w:tcPr>
            <w:tcW w:w="198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color w:val="auto"/>
              </w:rPr>
              <w:t>Residential:</w:t>
            </w:r>
          </w:p>
        </w:tc>
        <w:tc>
          <w:tcPr>
            <w:tcW w:w="2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380"/>
              <w:spacing w:after="0"/>
              <w:rPr>
                <w:sz w:val="20"/>
                <w:szCs w:val="20"/>
                <w:color w:val="auto"/>
              </w:rPr>
            </w:pPr>
            <w:r>
              <w:rPr>
                <w:rFonts w:ascii="Arial" w:cs="Arial" w:eastAsia="Arial" w:hAnsi="Arial"/>
                <w:sz w:val="14"/>
                <w:szCs w:val="14"/>
                <w:color w:val="auto"/>
              </w:rPr>
              <w:t>Video</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44.2%</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44.9%</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44.4%</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80"/>
              <w:spacing w:after="0"/>
              <w:rPr>
                <w:sz w:val="20"/>
                <w:szCs w:val="20"/>
                <w:color w:val="auto"/>
              </w:rPr>
            </w:pPr>
            <w:r>
              <w:rPr>
                <w:rFonts w:ascii="Arial" w:cs="Arial" w:eastAsia="Arial" w:hAnsi="Arial"/>
                <w:sz w:val="14"/>
                <w:szCs w:val="14"/>
                <w:color w:val="auto"/>
              </w:rPr>
              <w:t>High-speed Internet</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28.0%</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27.1%</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28.0%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80"/>
              <w:spacing w:after="0"/>
              <w:rPr>
                <w:sz w:val="20"/>
                <w:szCs w:val="20"/>
                <w:color w:val="auto"/>
              </w:rPr>
            </w:pPr>
            <w:r>
              <w:rPr>
                <w:rFonts w:ascii="Arial" w:cs="Arial" w:eastAsia="Arial" w:hAnsi="Arial"/>
                <w:sz w:val="14"/>
                <w:szCs w:val="14"/>
                <w:color w:val="auto"/>
              </w:rPr>
              <w:t>Voice</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6.5%</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7.2%</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6.6%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Business services</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11.7%</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10.9%</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11.6%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4.4%</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4.7%</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4.2%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Other</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5.2%</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5.2%</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5.2%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37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9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color w:val="auto"/>
              </w:rPr>
              <w:t>Total</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100.0%</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100.0%</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100.0%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7"/>
        </w:trPr>
        <w:tc>
          <w:tcPr>
            <w:tcW w:w="374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98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Subscription revenue received from residential customers who purchase bundled services at a discounted rate is allocated proportionally to each cable service based on the individual service’s price on a stand-alone basis.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three and six months ended June 30, 2017 and 2016, 2.8% of Cable Communications segment revenue was derived from franchise and other regulatory fees.</w:t>
      </w:r>
    </w:p>
    <w:p>
      <w:pPr>
        <w:spacing w:after="0" w:line="6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from the licensing of film and television content to our Cable Networks segment</w:t>
      </w:r>
    </w:p>
    <w:p>
      <w:pPr>
        <w:spacing w:after="0" w:line="68" w:lineRule="exact"/>
        <w:rPr>
          <w:rFonts w:ascii="Arial" w:cs="Arial" w:eastAsia="Arial" w:hAnsi="Arial"/>
          <w:sz w:val="14"/>
          <w:szCs w:val="14"/>
          <w:color w:val="auto"/>
        </w:rPr>
      </w:pPr>
    </w:p>
    <w:p>
      <w:pPr>
        <w:ind w:left="340" w:hanging="332"/>
        <w:spacing w:after="0" w:line="312"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Corporate and Other activities include costs associated with overhead and personnel, the costs of other business initiatives, including our new wireless phone service, and the operations of Comcast Spectacor, which owns the Philadelphia Flyers and the Wells Fargo Center arena in Philadelphia, Pennsylvania and operates arena management-related businesses.</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Comcast Corporation,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7,099</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6,455</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14,131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12,822</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(1,970)</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(1,868)</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(3,885)</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(3,653)</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(571)</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(521)</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(1,158)</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(1,014)</w:t>
            </w:r>
          </w:p>
        </w:tc>
      </w:tr>
      <w:tr>
        <w:trPr>
          <w:trHeight w:val="27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(659)</w:t>
            </w: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(708)</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(1,284)</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r>
      <w:tr>
        <w:trPr>
          <w:trHeight w:val="27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3,899</w:t>
            </w:r>
          </w:p>
        </w:tc>
        <w:tc>
          <w:tcPr>
            <w:tcW w:w="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3,358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7,804</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6,893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$4.8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Comcast Parent also provides an unconditional guarantee of the Universal Studios Japan ¥450 billion term loan with a final maturity of March 2022. Neither CCCL Parent nor NBCUniversal Media Parent guarantee the Comcast Holdings’ ZONES due October 2029. None of Comcast Parent, CCCL Parent nor NBCUniversal Media Parent guarantee the $62 million principal amount currently outstanding of Comcast Holdings’ ZONES due November 2029.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2,693</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7,849</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1,633</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2,657</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14,434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14,832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6,595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6,521</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rPr>
              <w:t>Investments in and amounts due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w w:val="93"/>
              </w:rPr>
              <w:t>from subsidiaries eliminated upon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101,430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126,187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124,549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49,038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110,545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36,737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37,171</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36,742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36,742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18,907</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103,187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126,846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124,564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291,067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(512,775)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183,031</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Accounts payable and accrued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6,730</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1,882</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7,306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w w:val="96"/>
              </w:rPr>
              <w:t>Current portion of long-term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6,358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22,276</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w w:val="93"/>
              </w:rPr>
              <w:t>Long-term debt, less current portion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57,210</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35,886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35,409</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10,837</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w w:val="91"/>
              </w:rPr>
              <w:t>Redeemable noncontrolling interests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and redeemable subsidiary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1,451</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223,009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54,949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223,009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55,005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223,852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55,848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103,187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126,846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124,564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291,067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(512,775)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183,031</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3,855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16,361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5,247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120,071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117,696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47,393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36,253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35,980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17,274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6,915</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1,726</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5,480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21,535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55,566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34,854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10,925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53,887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53,887</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53,943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209,813</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56,174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21,165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21,165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21,165</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6,341</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6,341</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5,880</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6,060</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1,970</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571</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16,419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16,607</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4,746</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4,558</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w:t>
            </w:r>
          </w:p>
        </w:tc>
      </w:tr>
      <w:tr>
        <w:trPr>
          <w:trHeight w:val="256"/>
        </w:trPr>
        <w:tc>
          <w:tcPr>
            <w:tcW w:w="3280" w:type="dxa"/>
            <w:vAlign w:val="bottom"/>
          </w:tcPr>
          <w:p>
            <w:pPr>
              <w:ind w:left="160"/>
              <w:spacing w:after="0"/>
              <w:rPr>
                <w:sz w:val="20"/>
                <w:szCs w:val="20"/>
                <w:color w:val="auto"/>
              </w:rPr>
            </w:pPr>
            <w:r>
              <w:rPr>
                <w:rFonts w:ascii="Arial" w:cs="Arial" w:eastAsia="Arial" w:hAnsi="Arial"/>
                <w:sz w:val="18"/>
                <w:szCs w:val="18"/>
                <w:color w:val="auto"/>
              </w:rPr>
              <w:t>Equity in net income (losses) of</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280" w:type="dxa"/>
            <w:vAlign w:val="bottom"/>
          </w:tcPr>
          <w:p>
            <w:pPr>
              <w:ind w:left="320"/>
              <w:spacing w:after="0"/>
              <w:rPr>
                <w:sz w:val="20"/>
                <w:szCs w:val="20"/>
                <w:color w:val="auto"/>
              </w:rPr>
            </w:pPr>
            <w:r>
              <w:rPr>
                <w:rFonts w:ascii="Arial" w:cs="Arial" w:eastAsia="Arial" w:hAnsi="Arial"/>
                <w:sz w:val="18"/>
                <w:szCs w:val="18"/>
                <w:color w:val="auto"/>
              </w:rPr>
              <w:t>investees, net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1,659</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3,899</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2,513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2,627</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2,535</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2,513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2,627</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1,276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4,489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2,513</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2,405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2,591</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4,246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(10,226)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2,405</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19,269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19,269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19,269</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5,492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5,492</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5,522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5,763</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1,868</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521</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14,954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15,203</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4,066</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w:t>
            </w:r>
          </w:p>
        </w:tc>
      </w:tr>
      <w:tr>
        <w:trPr>
          <w:trHeight w:val="256"/>
        </w:trPr>
        <w:tc>
          <w:tcPr>
            <w:tcW w:w="3280" w:type="dxa"/>
            <w:vAlign w:val="bottom"/>
          </w:tcPr>
          <w:p>
            <w:pPr>
              <w:ind w:left="160"/>
              <w:spacing w:after="0"/>
              <w:rPr>
                <w:sz w:val="20"/>
                <w:szCs w:val="20"/>
                <w:color w:val="auto"/>
              </w:rPr>
            </w:pPr>
            <w:r>
              <w:rPr>
                <w:rFonts w:ascii="Arial" w:cs="Arial" w:eastAsia="Arial" w:hAnsi="Arial"/>
                <w:sz w:val="18"/>
                <w:szCs w:val="18"/>
                <w:color w:val="auto"/>
                <w:w w:val="92"/>
              </w:rPr>
              <w:t>Equity in net income (losses) of investees,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280" w:type="dxa"/>
            <w:vAlign w:val="bottom"/>
          </w:tcPr>
          <w:p>
            <w:pPr>
              <w:ind w:left="3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2,354</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1,852</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3,358</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3,735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2,080</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2,028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2,274</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3,683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2,028</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2,113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2,321</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1,096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(9,698)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2,113</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41,628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41,628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41,628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41,628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12,415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12,415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11,506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11,887</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3,195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3,871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32,142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32,540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9,486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9,088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4,603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2,506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4,772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7,804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5,079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2,476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9,051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5,182</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5,079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5,293</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2,476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(21,266)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5,079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5,215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5,307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2,526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(21,333)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5,215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38,059</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38,059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38,059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10,923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10,856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11,289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3,025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3,025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3,639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3,653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29,454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29,904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8,605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8,155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2,585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6,893</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4,162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4,162</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4,536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7,386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(18,020)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4,162</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4,337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4,627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4,165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2,242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7,899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(18,933)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4,337</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10,814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8,963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9"/>
              </w:rPr>
              <w:t>Purchase of Universal Studios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w w:val="93"/>
              </w:rPr>
              <w:t>Japan noncontrolling interests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2,383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2,693</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9,794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4,753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2,370</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2,295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4,395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4,665</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June 30, 2017, our cable systems had 29.0 million total customer relationships, including 26.9 million residential and 2.1 million business customer relationships, and passed more than 56 million homes and businesses. Our Cable Communications segment generates revenue primarily from residential and business customers that subscribe to our cable services, which we market individually and as bundled services, and from the sale of advertising. During the six months ended June 30, 2017, our Cable Communications segment generated 61% of our consolidated revenue and 70% of the aggregate Adjusted EBITDA for our reportable business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related digital media properties. Our Cable Networks segment generates revenue primarily from the distribution of our cable network programming to traditional and virtual multichannel video providers, from the sale of advertising on our cable networks and related digital media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Filmed Entertainment segment primarily produces, acquires, markets and distributes filmed entertainment worldwide, and it also develops, produces and licenses live stage plays. Our films are produced primarily under the Universal Pictures, Illumination, Focus Features and DreamWorks Animation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China. Our Theme Parks segment generates revenue primarily from ticket sales and guest spending at our Universal theme parks.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pursuing other business initiatives, such as our wireless phone service that we launched in the second quarter of 2017 on a small scale to our residential cable customers using our virtual network operator rights to provide the service over Verizon’s wireless network and our existing network of in-home and outdoor Wi-Fi hotspots. We offer the wireless phone service only as part of our bundled service offerings to residential customers subscribing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For additional information on the competition our businesses face, see Item 1: Business included in our 2016 Annual Report on Form 10-K and refer to the “Competition” discussion within that section and see Item 1A: Risk Factors included in our 2016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new technologies and distribution platforms for viewing content may adversely affect our businesses and challenge existing business models.”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affects our Broadcast Television segment. Our advertising revenue increases in the period of these broadcasts due to increased demand for advertising time, and our operating costs and expenses also increase as a result of our production costs and the amortization of the related rights fees.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500" w:type="dxa"/>
            <w:vAlign w:val="bottom"/>
            <w:gridSpan w:val="3"/>
          </w:tcPr>
          <w:p>
            <w:pPr>
              <w:jc w:val="right"/>
              <w:ind w:right="871"/>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right"/>
              <w:ind w:right="332"/>
              <w:spacing w:after="0"/>
              <w:rPr>
                <w:sz w:val="20"/>
                <w:szCs w:val="20"/>
                <w:color w:val="auto"/>
              </w:rPr>
            </w:pPr>
            <w:r>
              <w:rPr>
                <w:rFonts w:ascii="Arial" w:cs="Arial" w:eastAsia="Arial" w:hAnsi="Arial"/>
                <w:sz w:val="14"/>
                <w:szCs w:val="14"/>
                <w:color w:val="auto"/>
              </w:rPr>
              <w:t>Increase/</w:t>
            </w:r>
          </w:p>
        </w:tc>
      </w:tr>
      <w:tr>
        <w:trPr>
          <w:trHeight w:val="188"/>
        </w:trPr>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spacing w:after="0"/>
              <w:rPr>
                <w:sz w:val="22"/>
                <w:szCs w:val="22"/>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21,165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19,269</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9.8 %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41,628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38,059</w:t>
            </w:r>
          </w:p>
        </w:tc>
        <w:tc>
          <w:tcPr>
            <w:tcW w:w="12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6,341</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5,492</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12,415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10,923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13.7</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6,060</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5,763</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11,887</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11,289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5.3</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w w:val="94"/>
              </w:rPr>
              <w:t>Advertising, marketing and promotion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1,665</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1,559</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3,195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3,025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5.6</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1,970</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1,868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3,885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3,653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521</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1,158</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1,014</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14.1</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4,558</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4,066</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9,088</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8,155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11.4</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income (expense) items, net</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(708)</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(1,284)</w:t>
            </w:r>
          </w:p>
        </w:tc>
        <w:tc>
          <w:tcPr>
            <w:tcW w:w="400" w:type="dxa"/>
            <w:vAlign w:val="bottom"/>
          </w:tcPr>
          <w:p>
            <w:pPr>
              <w:spacing w:after="0"/>
              <w:rPr>
                <w:sz w:val="23"/>
                <w:szCs w:val="23"/>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(1,262)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3,899</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3,358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7,804</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6,893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13.2</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(1,364)</w:t>
            </w:r>
          </w:p>
        </w:tc>
        <w:tc>
          <w:tcPr>
            <w:tcW w:w="38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(1,278)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(2,622)</w:t>
            </w:r>
          </w:p>
        </w:tc>
        <w:tc>
          <w:tcPr>
            <w:tcW w:w="400" w:type="dxa"/>
            <w:vAlign w:val="bottom"/>
          </w:tcPr>
          <w:p>
            <w:pPr>
              <w:spacing w:after="0"/>
              <w:rPr>
                <w:sz w:val="23"/>
                <w:szCs w:val="23"/>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(2,589)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2,535</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2,080</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5,182</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4,304</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20.4</w:t>
            </w:r>
          </w:p>
        </w:tc>
      </w:tr>
      <w:tr>
        <w:trPr>
          <w:trHeight w:val="256"/>
        </w:trPr>
        <w:tc>
          <w:tcPr>
            <w:tcW w:w="322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0"/>
                <w:szCs w:val="20"/>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(142)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(27.9)</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2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2,513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2,028</w:t>
            </w: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rPr>
              <w:t>23.9 %</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5,079</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51"/>
              <w:spacing w:after="0"/>
              <w:rPr>
                <w:sz w:val="20"/>
                <w:szCs w:val="20"/>
                <w:color w:val="auto"/>
              </w:rPr>
            </w:pPr>
            <w:r>
              <w:rPr>
                <w:rFonts w:ascii="Arial" w:cs="Arial" w:eastAsia="Arial" w:hAnsi="Arial"/>
                <w:sz w:val="18"/>
                <w:szCs w:val="18"/>
                <w:b w:val="1"/>
                <w:bCs w:val="1"/>
                <w:color w:val="auto"/>
              </w:rPr>
              <w:t>4,162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our reportable business segments accounted for the increases in consolidated revenue for the three and six months ended June 30, 2017.</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Cable Communications, Broadcast Television, Filmed Entertainment and Theme Parks segments accounted for substantially all of the increases in consolidated operating costs and expenses for the three and six months ended June 30, 2017.</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costs and expenses for our segments are discussed separately below under the heading “Segment Operating Results.” Operating costs and expenses for our corporate and other businesses and initiatives are discussed separately below under the heading “Corporate and Other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1460" w:type="dxa"/>
            <w:vAlign w:val="bottom"/>
          </w:tcPr>
          <w:p>
            <w:pPr>
              <w:jc w:val="right"/>
              <w:ind w:right="456"/>
              <w:spacing w:after="0"/>
              <w:rPr>
                <w:sz w:val="20"/>
                <w:szCs w:val="20"/>
                <w:color w:val="auto"/>
              </w:rPr>
            </w:pPr>
            <w:r>
              <w:rPr>
                <w:rFonts w:ascii="Arial" w:cs="Arial" w:eastAsia="Arial" w:hAnsi="Arial"/>
                <w:sz w:val="14"/>
                <w:szCs w:val="14"/>
                <w:color w:val="auto"/>
              </w:rPr>
              <w:t>Increase/</w:t>
            </w:r>
          </w:p>
        </w:tc>
        <w:tc>
          <w:tcPr>
            <w:tcW w:w="4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14"/>
                <w:szCs w:val="14"/>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color w:val="auto"/>
              </w:rPr>
              <w:t>Increase/</w:t>
            </w:r>
          </w:p>
        </w:tc>
      </w:tr>
      <w:tr>
        <w:trPr>
          <w:trHeight w:val="188"/>
        </w:trPr>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w w:val="88"/>
              </w:rPr>
              <w:t>June 30</w:t>
            </w: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(Decrease)</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(Decrease)</w:t>
            </w:r>
          </w:p>
        </w:tc>
      </w:tr>
      <w:tr>
        <w:trPr>
          <w:trHeight w:val="26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2016</w:t>
            </w:r>
          </w:p>
        </w:tc>
        <w:tc>
          <w:tcPr>
            <w:tcW w:w="1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2017</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w w:val="89"/>
              </w:rPr>
              <w:t>2016</w:t>
            </w:r>
          </w:p>
        </w:tc>
        <w:tc>
          <w:tcPr>
            <w:tcW w:w="1360" w:type="dxa"/>
            <w:vAlign w:val="bottom"/>
            <w:tcBorders>
              <w:bottom w:val="single" w:sz="8" w:color="auto"/>
            </w:tcBorders>
          </w:tcPr>
          <w:p>
            <w:pPr>
              <w:spacing w:after="0"/>
              <w:rPr>
                <w:sz w:val="22"/>
                <w:szCs w:val="22"/>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2,001</w:t>
            </w: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1,904</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5.1 %</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3,981</w:t>
            </w: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3,747</w:t>
            </w:r>
          </w:p>
        </w:tc>
        <w:tc>
          <w:tcPr>
            <w:tcW w:w="136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w:t>
            </w:r>
          </w:p>
        </w:tc>
        <w:tc>
          <w:tcPr>
            <w:tcW w:w="620" w:type="dxa"/>
            <w:vAlign w:val="bottom"/>
          </w:tcPr>
          <w:p>
            <w:pPr>
              <w:spacing w:after="0"/>
              <w:rPr>
                <w:sz w:val="23"/>
                <w:szCs w:val="23"/>
                <w:color w:val="auto"/>
              </w:rPr>
            </w:pP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465</w:t>
            </w:r>
          </w:p>
        </w:tc>
        <w:tc>
          <w:tcPr>
            <w:tcW w:w="1460" w:type="dxa"/>
            <w:vAlign w:val="bottom"/>
          </w:tcPr>
          <w:p>
            <w:pPr>
              <w:jc w:val="right"/>
              <w:ind w:right="276"/>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w:t>
            </w:r>
          </w:p>
        </w:tc>
        <w:tc>
          <w:tcPr>
            <w:tcW w:w="780" w:type="dxa"/>
            <w:vAlign w:val="bottom"/>
          </w:tcPr>
          <w:p>
            <w:pPr>
              <w:spacing w:after="0"/>
              <w:rPr>
                <w:sz w:val="23"/>
                <w:szCs w:val="23"/>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879</w:t>
            </w: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17.0</w:t>
            </w: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3"/>
                <w:szCs w:val="23"/>
                <w:color w:val="auto"/>
              </w:rPr>
            </w:pP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20</w:t>
            </w:r>
          </w:p>
        </w:tc>
        <w:tc>
          <w:tcPr>
            <w:tcW w:w="1460" w:type="dxa"/>
            <w:vAlign w:val="bottom"/>
          </w:tcPr>
          <w:p>
            <w:pPr>
              <w:jc w:val="right"/>
              <w:ind w:right="21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3"/>
                <w:szCs w:val="23"/>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41</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(18.6)</w:t>
            </w:r>
          </w:p>
        </w:tc>
      </w:tr>
      <w:tr>
        <w:trPr>
          <w:trHeight w:val="27"/>
        </w:trPr>
        <w:tc>
          <w:tcPr>
            <w:tcW w:w="2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6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74"/>
              <w:spacing w:after="0"/>
              <w:rPr>
                <w:sz w:val="20"/>
                <w:szCs w:val="20"/>
                <w:color w:val="auto"/>
              </w:rPr>
            </w:pPr>
            <w:r>
              <w:rPr>
                <w:rFonts w:ascii="Arial" w:cs="Arial" w:eastAsia="Arial" w:hAnsi="Arial"/>
                <w:sz w:val="18"/>
                <w:szCs w:val="18"/>
                <w:b w:val="1"/>
                <w:bCs w:val="1"/>
                <w:color w:val="auto"/>
              </w:rPr>
              <w:t>2,389</w:t>
            </w:r>
          </w:p>
        </w:tc>
        <w:tc>
          <w:tcPr>
            <w:tcW w:w="1460" w:type="dxa"/>
            <w:vAlign w:val="bottom"/>
          </w:tcPr>
          <w:p>
            <w:pPr>
              <w:jc w:val="right"/>
              <w:ind w:right="56"/>
              <w:spacing w:after="0"/>
              <w:rPr>
                <w:sz w:val="20"/>
                <w:szCs w:val="20"/>
                <w:color w:val="auto"/>
              </w:rPr>
            </w:pPr>
            <w:r>
              <w:rPr>
                <w:rFonts w:ascii="Arial" w:cs="Arial" w:eastAsia="Arial" w:hAnsi="Arial"/>
                <w:sz w:val="18"/>
                <w:szCs w:val="18"/>
                <w:b w:val="1"/>
                <w:bCs w:val="1"/>
                <w:color w:val="auto"/>
              </w:rPr>
              <w:t>6.4 %</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5,043</w:t>
            </w:r>
          </w:p>
        </w:tc>
        <w:tc>
          <w:tcPr>
            <w:tcW w:w="7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54"/>
              <w:spacing w:after="0"/>
              <w:rPr>
                <w:sz w:val="20"/>
                <w:szCs w:val="20"/>
                <w:color w:val="auto"/>
              </w:rPr>
            </w:pPr>
            <w:r>
              <w:rPr>
                <w:rFonts w:ascii="Arial" w:cs="Arial" w:eastAsia="Arial" w:hAnsi="Arial"/>
                <w:sz w:val="18"/>
                <w:szCs w:val="18"/>
                <w:b w:val="1"/>
                <w:bCs w:val="1"/>
                <w:color w:val="auto"/>
              </w:rPr>
              <w:t>4,667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8.1 %</w:t>
            </w:r>
          </w:p>
        </w:tc>
      </w:tr>
      <w:tr>
        <w:trPr>
          <w:trHeight w:val="34"/>
        </w:trPr>
        <w:tc>
          <w:tcPr>
            <w:tcW w:w="2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depreciation and amortization expense increased for the three and six months ended June 30, 2017 primarily due to increases in capital expenditures, as well as expenditures for software in our Cable Communications segment in recent years. We continue to invest to increase our network capacity and in customer premise equipment, primarily for our X1 platform, cloud DVR technology and wireless gateways. These assets generally have shorter estimated useful lives, which is also a contributor to our increase in depreciation expense for the three and six months ended June 30, 2017. NBCUniversal depreciation and amortization expense also increased for the three and six months ended June 30, 2017 due to our investments in new attractions in our Theme Parks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Adjusted EBITDA (formerly referred to as operating income before depreciation and amortization)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We reconcile the aggregate amount of Adjusted EBITDA for our reportable segments to consolidated income before income taxes in the business segment footnote to our condensed consolidated financial statements (see Note 11 to Comcast’s condensed consolidated financial statements and Note 10 to NBCUniversal’s condensed consolidated financial statements). This measure should not be considered a substitute for operating income (loss), net income (loss), net income (loss) attributable to Comcast Corporation or NBCUniversal, net cash provided by operating activities, or other measures of performance or liquidity we have reported in accordance with generally accepted accounting principles in the United States.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2016 operating results were reclassified within the Cable Communications segment.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17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89"/>
              </w:rPr>
              <w:t>2016</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5,797</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5,581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216</w:t>
            </w: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3,679</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3,369</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310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9.2</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856</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(37)</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1,531</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1,360</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171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12.6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574</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685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5.0</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13,122</w:t>
            </w:r>
          </w:p>
        </w:tc>
        <w:tc>
          <w:tcPr>
            <w:tcW w:w="6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12,444</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678</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5.5</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3,206</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2,863</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343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12.0</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1,585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607</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895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2.1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382</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3.3</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1,127</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1,117</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7,802</w:t>
            </w:r>
          </w:p>
        </w:tc>
        <w:tc>
          <w:tcPr>
            <w:tcW w:w="6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7,396</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406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5.5</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5,320</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5,048</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272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5.4 %</w:t>
            </w:r>
          </w:p>
        </w:tc>
      </w:tr>
      <w:tr>
        <w:trPr>
          <w:trHeight w:val="34"/>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959"/>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ind w:right="172"/>
              <w:spacing w:after="0"/>
              <w:rPr>
                <w:sz w:val="20"/>
                <w:szCs w:val="20"/>
                <w:color w:val="auto"/>
              </w:rPr>
            </w:pPr>
            <w:r>
              <w:rPr>
                <w:rFonts w:ascii="Arial" w:cs="Arial" w:eastAsia="Arial" w:hAnsi="Arial"/>
                <w:sz w:val="14"/>
                <w:szCs w:val="14"/>
                <w:color w:val="auto"/>
              </w:rPr>
              <w:t>Six Months Ended</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2"/>
          </w:tcPr>
          <w:p>
            <w:pPr>
              <w:jc w:val="right"/>
              <w:ind w:right="574"/>
              <w:spacing w:after="0"/>
              <w:rPr>
                <w:sz w:val="20"/>
                <w:szCs w:val="20"/>
                <w:color w:val="auto"/>
              </w:rPr>
            </w:pPr>
            <w:r>
              <w:rPr>
                <w:rFonts w:ascii="Arial" w:cs="Arial" w:eastAsia="Arial" w:hAnsi="Arial"/>
                <w:sz w:val="14"/>
                <w:szCs w:val="14"/>
                <w:color w:val="auto"/>
              </w:rPr>
              <w:t>Increase/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color w:val="auto"/>
                <w:w w:val="96"/>
              </w:rPr>
              <w:t>June 30</w:t>
            </w: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(Decrease)</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Video</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11,571</w:t>
            </w:r>
          </w:p>
        </w:tc>
        <w:tc>
          <w:tcPr>
            <w:tcW w:w="7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11,119</w:t>
            </w:r>
          </w:p>
        </w:tc>
        <w:tc>
          <w:tcPr>
            <w:tcW w:w="6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452</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4.1 %</w:t>
            </w: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7,285</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641</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Voice</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1,719</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1,789</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3,021</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2,671</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350</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1,086</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1,352</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26,034</w:t>
            </w:r>
          </w:p>
        </w:tc>
        <w:tc>
          <w:tcPr>
            <w:tcW w:w="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24,648</w:t>
            </w:r>
          </w:p>
        </w:tc>
        <w:tc>
          <w:tcPr>
            <w:tcW w:w="6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1,386</w:t>
            </w:r>
          </w:p>
        </w:tc>
        <w:tc>
          <w:tcPr>
            <w:tcW w:w="10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20"/>
                <w:szCs w:val="20"/>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6,434</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3,145</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1,228</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1,242</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1,754</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763</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735</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2,192</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15,516</w:t>
            </w:r>
          </w:p>
        </w:tc>
        <w:tc>
          <w:tcPr>
            <w:tcW w:w="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14,711</w:t>
            </w:r>
          </w:p>
        </w:tc>
        <w:tc>
          <w:tcPr>
            <w:tcW w:w="6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805</w:t>
            </w:r>
          </w:p>
        </w:tc>
        <w:tc>
          <w:tcPr>
            <w:tcW w:w="10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10,518</w:t>
            </w:r>
          </w:p>
        </w:tc>
        <w:tc>
          <w:tcPr>
            <w:tcW w:w="7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9,937</w:t>
            </w:r>
          </w:p>
        </w:tc>
        <w:tc>
          <w:tcPr>
            <w:tcW w:w="660" w:type="dxa"/>
            <w:vAlign w:val="bottom"/>
          </w:tcPr>
          <w:p>
            <w:pPr>
              <w:jc w:val="right"/>
              <w:ind w:right="2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581</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60" w:type="dxa"/>
            <w:vAlign w:val="bottom"/>
          </w:tcPr>
          <w:p>
            <w:pPr>
              <w:spacing w:after="0"/>
              <w:rPr>
                <w:sz w:val="20"/>
                <w:szCs w:val="20"/>
                <w:color w:val="auto"/>
              </w:rPr>
            </w:pPr>
          </w:p>
        </w:tc>
      </w:tr>
      <w:tr>
        <w:trPr>
          <w:trHeight w:val="34"/>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24"/>
        </w:trPr>
        <w:tc>
          <w:tcPr>
            <w:tcW w:w="4540" w:type="dxa"/>
            <w:vAlign w:val="bottom"/>
          </w:tcPr>
          <w:p>
            <w:pPr>
              <w:spacing w:after="0"/>
              <w:rPr>
                <w:sz w:val="24"/>
                <w:szCs w:val="24"/>
                <w:color w:val="auto"/>
              </w:rPr>
            </w:pPr>
          </w:p>
        </w:tc>
        <w:tc>
          <w:tcPr>
            <w:tcW w:w="2040" w:type="dxa"/>
            <w:vAlign w:val="bottom"/>
            <w:gridSpan w:val="5"/>
          </w:tcPr>
          <w:p>
            <w:pPr>
              <w:jc w:val="right"/>
              <w:ind w:right="19"/>
              <w:spacing w:after="0"/>
              <w:rPr>
                <w:sz w:val="20"/>
                <w:szCs w:val="20"/>
                <w:color w:val="auto"/>
              </w:rPr>
            </w:pPr>
            <w:r>
              <w:rPr>
                <w:rFonts w:ascii="Arial" w:cs="Arial" w:eastAsia="Arial" w:hAnsi="Arial"/>
                <w:sz w:val="18"/>
                <w:szCs w:val="18"/>
                <w:b w:val="1"/>
                <w:bCs w:val="1"/>
                <w:color w:val="auto"/>
              </w:rPr>
              <w:t>Customer Metrics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2"/>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color w:val="auto"/>
              </w:rPr>
              <w:t>Total Customers</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color w:val="auto"/>
                <w:w w:val="94"/>
              </w:rPr>
              <w:t>Net Additional Customers</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56"/>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20" w:type="dxa"/>
            <w:vAlign w:val="bottom"/>
            <w:gridSpan w:val="3"/>
          </w:tcPr>
          <w:p>
            <w:pPr>
              <w:jc w:val="right"/>
              <w:ind w:right="592"/>
              <w:spacing w:after="0" w:line="157" w:lineRule="exact"/>
              <w:rPr>
                <w:sz w:val="20"/>
                <w:szCs w:val="20"/>
                <w:color w:val="auto"/>
              </w:rPr>
            </w:pPr>
            <w:r>
              <w:rPr>
                <w:rFonts w:ascii="Arial" w:cs="Arial" w:eastAsia="Arial" w:hAnsi="Arial"/>
                <w:sz w:val="14"/>
                <w:szCs w:val="14"/>
                <w:color w:val="auto"/>
              </w:rPr>
              <w:t>Three Months Ended</w:t>
            </w:r>
          </w:p>
        </w:tc>
        <w:tc>
          <w:tcPr>
            <w:tcW w:w="1680" w:type="dxa"/>
            <w:vAlign w:val="bottom"/>
            <w:gridSpan w:val="2"/>
          </w:tcPr>
          <w:p>
            <w:pPr>
              <w:jc w:val="right"/>
              <w:ind w:right="311"/>
              <w:spacing w:after="0" w:line="157" w:lineRule="exact"/>
              <w:rPr>
                <w:sz w:val="20"/>
                <w:szCs w:val="20"/>
                <w:color w:val="auto"/>
              </w:rPr>
            </w:pPr>
            <w:r>
              <w:rPr>
                <w:rFonts w:ascii="Arial" w:cs="Arial" w:eastAsia="Arial" w:hAnsi="Arial"/>
                <w:sz w:val="14"/>
                <w:szCs w:val="14"/>
                <w:color w:val="auto"/>
              </w:rPr>
              <w:t>Six Months Ended</w:t>
            </w:r>
          </w:p>
        </w:tc>
        <w:tc>
          <w:tcPr>
            <w:tcW w:w="60" w:type="dxa"/>
            <w:vAlign w:val="bottom"/>
          </w:tcPr>
          <w:p>
            <w:pPr>
              <w:spacing w:after="0"/>
              <w:rPr>
                <w:sz w:val="13"/>
                <w:szCs w:val="13"/>
                <w:color w:val="auto"/>
              </w:rPr>
            </w:pPr>
          </w:p>
        </w:tc>
      </w:tr>
      <w:tr>
        <w:trPr>
          <w:trHeight w:val="188"/>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4"/>
                <w:szCs w:val="14"/>
                <w:color w:val="auto"/>
              </w:rPr>
              <w:t>2017</w:t>
            </w: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2016</w:t>
            </w: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auto"/>
            </w:tcBorders>
          </w:tcPr>
          <w:p>
            <w:pPr>
              <w:spacing w:after="0"/>
              <w:rPr>
                <w:sz w:val="17"/>
                <w:szCs w:val="17"/>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Video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21,475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21,401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(13)</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Video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21</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22,516</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22,396</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(34)</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High-speed Internet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23,364</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22,189</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140</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176</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537</w:t>
            </w:r>
          </w:p>
        </w:tc>
        <w:tc>
          <w:tcPr>
            <w:tcW w:w="66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High-speed Internet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1,797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35</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67</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25,306</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23,987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175</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220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604</w:t>
            </w: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Voice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10,470</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10,551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(76)</w:t>
            </w: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Voice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1,090</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27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49</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11,641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64</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71</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137</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45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26,874</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26,138</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341</w:t>
            </w: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1,964</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71</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28,101</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114</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116</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412</w:t>
            </w: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Residential customer relationships mix</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7,931</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7,671</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174</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8,585</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148</w:t>
            </w: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9,998</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9,882</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18</w:t>
            </w: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w w:val="99"/>
              </w:rPr>
              <w:t>Average monthly total revenue per customer relationship</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151.19</w:t>
            </w:r>
          </w:p>
        </w:tc>
        <w:tc>
          <w:tcPr>
            <w:tcW w:w="3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147.90</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Beginning in 2017, we include prepaid customers, which are customers who prepay for at least 30 days of service, in our customer metrics. Residential video and high-speed Internet customers as of June 30, 2017 included prepaid customers totaling approximately 2,000 and 30,000, respectively.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Beginning in 2017, we include customers subscribing to our security and automation services in customer relationship information. All periods presented have been adjusted for the inclusion of security and automation customers.</w:t>
      </w:r>
    </w:p>
    <w:p>
      <w:pPr>
        <w:sectPr>
          <w:pgSz w:w="11900" w:h="16838" w:orient="portrait"/>
          <w:cols w:equalWidth="0" w:num="1">
            <w:col w:w="11420"/>
          </w:cols>
          <w:pgMar w:left="240" w:top="175" w:right="239" w:bottom="474"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75" w:right="239" w:bottom="474"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Video revenue increased 3.9% and 4.1% for the three and six months ended June 30, 2017, respectively, compared to the same periods in 2016. The primary contributors to revenue growth were rate adjustments and increases in the number of residential customers subscribing to additional services such as premium channels and advanced services. These contributors accounted for increases in revenue of 3.5% and 3.6% for the three and six months ended June 30, 2017, respectively. We have in the past, and may in the future, experience declines in the number of residential video customers due to competitive pressures and the impact of rate adjustments. Competition is intense, both from traditional multichannel video providers and from new technologies and distribution platforms for viewing content. We have responded to this competition, and have attempted to mitigate industry-wide declines in residential video customers at traditional multichannel video providers, through our X1 platform and sales and marketing programs, such as promotions, bundled service offerings and service offerings targeted at market segments.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High-speed Internet revenue increased 9.2% and 9.6% for the three and six months ended June 30, 2017, respectively, compared to the same periods in 2016. Increases in the number of residential customers receiving our high-speed Internet services accounted for increases in revenue of 5.4% and 5.5% for the three and six months ended June 30, 2017, respectively. The remaining increases in revenue for the three and six months ended June 30, 2017 were primarily due to increases in the number of customers receiving higher levels of service and the impact of rate adjustments. Our customer base continues to grow as consumers choose our high-speed Internet services and seek higher-speed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Voice revenue decreased 4.1% and 3.9% for the three and six months ended June 30, 2017, respectively, compared to the same periods in 2016. The decreases were primarily due to the allocation of voice revenue for our customers who received bundled services. The amount allocated to voice revenue in the rate charged for bundled services decreased for the three and six months ended June 30, 2017 because video and high-speed Internet rates increased while voice rates remained relatively flat.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services revenue increased 12.6% and 13.1% for the three and six months ended June 30, 2017, respectively, compared to the same periods in 2016. The increases were primarily due to increases in the number of customers receiving our small and medium-sized business services offerings. We believe the increases in the number of business customers are primarily the result of our efforts to gain market share from competitors by offering competitive services and pricing, although the rate of growth in the number of our small business customers may slow as the business matures.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2.1% and 4.1% for the three and six months ended June 30, 2017, respectively, compared to the same periods in 2016 primarily due to decreases in revenue from core linear advertising markets across several categories and political advertising revenue, which were partially offset by increases in revenue from interactive advertising. Excluding political advertising revenue, advertising revenue decreased 1.0% and 1.6% for the three and six months ended June 30, 2017, respectively, compared to the same periods in 2016.</w:t>
      </w:r>
    </w:p>
    <w:p>
      <w:pPr>
        <w:spacing w:after="0" w:line="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both the three and six months ended June 30, 2017, 4% of our Cable Communications segment advertising revenue was generated from our NBCUniversal segments. For the three and six months ended June 30, 2016, 4% and 5%,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revenue increased 5.0% and 4.7% for the three and six months ended June 30, 2017, respectively, compared to the same periods in 2016 primarily due to increases in revenue from our security and automation services and increases in cable franchise and other regulatory fees.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Programming expenses increased for the three and six months ended June 30, 2017 compared to the same periods in 2016 primarily due to the timing of contract renewals and other increases in programming license fees, including retransmission consent fees and sports programming costs.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Technical and product support expenses increased for the three and six months ended June 30, 2017 compared to the same periods in 2016 primarily due to expenses related to the development, delivery and support of our X1 platform, cloud DVR technology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wireless gateways, and the continued growth in business services and security and automation services. The increases were also due to expenses related to investments to improve the customer experience.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service expenses decreased for the three and six months ended June 30, 2017 compared to the same periods in 2016 primarily due to reduced call volumes.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Advertising, marketing and promotion expenses increased for the three and six months ended June 30, 2017 compared to the same periods in 2016 primarily due to increases in spending associated with attracting new customers and encouraging existing customers to add additional or higher-tier services.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and six months ended June 30, 2017 compared to the same periods in 2016 primarily due to increases in the revenue to which the fees apply.</w:t>
      </w:r>
    </w:p>
    <w:p>
      <w:pPr>
        <w:spacing w:after="0" w:line="103" w:lineRule="exact"/>
        <w:rPr>
          <w:sz w:val="20"/>
          <w:szCs w:val="20"/>
          <w:color w:val="auto"/>
        </w:rPr>
      </w:pPr>
    </w:p>
    <w:p>
      <w:pPr>
        <w:ind w:right="1460"/>
        <w:spacing w:after="0" w:line="360" w:lineRule="auto"/>
        <w:rPr>
          <w:sz w:val="20"/>
          <w:szCs w:val="20"/>
          <w:color w:val="auto"/>
        </w:rPr>
      </w:pPr>
      <w:r>
        <w:rPr>
          <w:rFonts w:ascii="Arial" w:cs="Arial" w:eastAsia="Arial" w:hAnsi="Arial"/>
          <w:sz w:val="18"/>
          <w:szCs w:val="18"/>
          <w:color w:val="auto"/>
        </w:rPr>
        <w:t xml:space="preserve">Other costs and expenses remained relatively flat for the three and six months ended June 30, 2017 compared to the same periods in 2016. </w:t>
      </w:r>
      <w:r>
        <w:rPr>
          <w:rFonts w:ascii="Arial" w:cs="Arial" w:eastAsia="Arial" w:hAnsi="Arial"/>
          <w:sz w:val="18"/>
          <w:szCs w:val="18"/>
          <w:b w:val="1"/>
          <w:bCs w:val="1"/>
          <w:color w:val="auto"/>
        </w:rPr>
        <w:t>Cable Communications Segment—Operating Margin</w:t>
      </w:r>
    </w:p>
    <w:p>
      <w:pPr>
        <w:jc w:val="both"/>
        <w:spacing w:after="0" w:line="302" w:lineRule="auto"/>
        <w:rPr>
          <w:sz w:val="20"/>
          <w:szCs w:val="20"/>
          <w:color w:val="auto"/>
        </w:rPr>
      </w:pPr>
      <w:r>
        <w:rPr>
          <w:rFonts w:ascii="Arial" w:cs="Arial" w:eastAsia="Arial" w:hAnsi="Arial"/>
          <w:sz w:val="16"/>
          <w:szCs w:val="16"/>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 and through cost management.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margin for the three months ended June 30, 2017 and 2016 was 40.5% and 40.6%, respectively. Our operating margin for the six months ended June 30, 2017 and 2016 was 40.4% and 40.3%,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96"/>
              </w:rPr>
              <w:t>2016</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2,696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2,566</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130</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2,241</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2,128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113</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2,155</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1,351</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804</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59.6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1,314</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1,136</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178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15.6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8,331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7,103</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1,228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1,055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944</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111</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416</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229</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407.4</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551</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469</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(62)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2,071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1,689</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382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22.6%</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21"/>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673"/>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5,337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5,019</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318</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4,449</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4,212</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237</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4,136</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2,734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1,402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51.3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2,432</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2,162</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270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12.5</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16,199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13,964</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2,235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2,171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1,900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271</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738</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60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8.8</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653</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430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192.7</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948</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844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(422)</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4,088</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3,311</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777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1"/>
        </w:trPr>
        <w:tc>
          <w:tcPr>
            <w:tcW w:w="5000" w:type="dxa"/>
            <w:vAlign w:val="bottom"/>
          </w:tcPr>
          <w:p>
            <w:pPr>
              <w:spacing w:after="0"/>
              <w:rPr>
                <w:sz w:val="20"/>
                <w:szCs w:val="20"/>
                <w:color w:val="auto"/>
              </w:rPr>
            </w:pPr>
            <w:r>
              <w:rPr>
                <w:rFonts w:ascii="Arial" w:cs="Arial" w:eastAsia="Arial" w:hAnsi="Arial"/>
                <w:sz w:val="14"/>
                <w:szCs w:val="14"/>
                <w:color w:val="auto"/>
              </w:rPr>
              <w:t>Percentage changes that are considered not meaningful are denoted with NM.</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1,550</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1,434</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116</w:t>
            </w:r>
          </w:p>
        </w:tc>
        <w:tc>
          <w:tcPr>
            <w:tcW w:w="104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906</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914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10.5</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2,696</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2,566</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130</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1,197</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1,194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3.6</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1,641</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1,622</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1,055</w:t>
            </w:r>
          </w:p>
        </w:tc>
        <w:tc>
          <w:tcPr>
            <w:tcW w:w="6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944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111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11.7 %</w:t>
            </w: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89"/>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3,112</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2,872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240</w:t>
            </w:r>
          </w:p>
        </w:tc>
        <w:tc>
          <w:tcPr>
            <w:tcW w:w="10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1,732</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1,765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493</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382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29.2</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5,337</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5,019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318</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6.3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2,280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2,252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646</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240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3,166</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3,119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2,171</w:t>
            </w: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1,900</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271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14.2 %</w:t>
            </w: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Networks revenue increased for the three and six months ended June 30, 2017 compared to the same periods in 2016 due to increases in distribution revenue and content licensing and other revenue, which were partially offset by decreases in advertising revenue. The increases in distribution revenue were primarily due to increases in the contractual rates charged under distribution agreements and the timing of contract renewals, which were partially offset by a decline in the number of subscribers at our cable networks. The increases in content licensing and other revenue were primarily due to the timing of content provided under our</w:t>
      </w:r>
    </w:p>
    <w:p>
      <w:pPr>
        <w:sectPr>
          <w:pgSz w:w="11900" w:h="16838" w:orient="portrait"/>
          <w:cols w:equalWidth="0" w:num="1">
            <w:col w:w="11420"/>
          </w:cols>
          <w:pgMar w:left="240" w:top="175" w:right="239" w:bottom="393"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75" w:right="239" w:bottom="393"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licensing agreements. The decreases in advertising revenue were primarily due to the impact of continued declines in audience ratings at our networks, which were partially offset by higher prices for advertising units sold.</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both the three and six months ended June 30, 2017, 15% of our Cable Networks segment revenue was generated from our Cable Communications segment. For both the three and six months ended June 30, 2016, 14% of our Cable Networks segment revenue was generated from our Cable Communications segment. These amounts are eliminated in our condensed consolidated financial statements but are included in the amounts presented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slightly for the three months ended June 30, 2017 compared to the same period in 2016 primarily due to an increase in other operating and administrative expenses, which was primarily due to an increase in employee-related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slightly for the six months ended June 30, 2017 compared to the same period in 2016 primarily due to increases in programming and production costs and other operating and administrative expenses. The increase in programming and production costs was primarily due to higher studio production costs and an increase in sports programming rights costs. The increase in other operating and administrative expenses was primarily due to an increase in employee-related costs.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1,270</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1,285</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36.1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2,241</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2,128</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113</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1,734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91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394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4"/>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2,549</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2,560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34.7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4,449</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4,212</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237</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5.6</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2,667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3,711</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3,534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177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678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60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21"/>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Broadcast Television revenue increased for the three and six months ended June 30, 2017 compared to the same periods in 2016 primarily due to increases in distribution and other revenue. The increases in distribution and other revenue were primarily due to increases in fees recognized under our retransmission consent agreements. Content licensing revenue increased for the three and six months ended June 30, 2017 compared to the same periods in 2016 due to the timing of content provided under our licensing agreements. Advertising revenue decreased for the three and six months ended June 30, 2017 compared to the same periods in 2016 primarily due to the impact of declines in audience ratings, which were partially offset by higher prices for advertising units sold. The decrease in advertising revenue for the six months ended June 30, 2017 was also due to a decrease in the volume of advertising units sold.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increased for the three months ended June 30, 2017 compared to the same period in 2016 primarily due to increases in programming and production costs and advertising, marketing and promotion expenses. The increase in programming and production costs was primarily due to an increase in sports programming rights costs and higher studio production costs. The increase in advertising, marketing and promotion expenses was primarily due to increases in marketing spend related to our entertainment and news programming.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six months ended June 30, 2017 compared to the same period in 2016 primarily due to increases in programming and production costs and other operating and administrative expenses. The increase in programming and production costs was primarily due to an increase in sports programming rights costs and higher studio production costs. The increase in other operating and administrative expenses was primarily due to an increase in employee-related costs.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297</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540</w:t>
            </w:r>
          </w:p>
        </w:tc>
        <w:tc>
          <w:tcPr>
            <w:tcW w:w="102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598</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14.1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42.6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76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37.1</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1,351</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804</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59.6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628</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460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73.2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227</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48.0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2.0</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1,295</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575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44.6</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229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407.4%</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533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955</w:t>
            </w:r>
          </w:p>
        </w:tc>
        <w:tc>
          <w:tcPr>
            <w:tcW w:w="102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1,250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164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127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24.6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435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156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36.5</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4,136</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2,734</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1,402</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51.3</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1,250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713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57.0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436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52.4</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825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2,511</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972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38.8</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223</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430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192.7%</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75"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Filmed Entertainment revenue increased for the three and six months ended June 30, 2017 compared to the same periods in 2016 primarily due to increases in theatrical revenue, as well as increases in content licensing revenue, other revenue and home entertainment revenue. The increases in theatrical revenue were primarily due to the strong performance of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in the current year periods</w:t>
      </w:r>
      <w:r>
        <w:rPr>
          <w:rFonts w:ascii="Arial" w:cs="Arial" w:eastAsia="Arial" w:hAnsi="Arial"/>
          <w:sz w:val="17"/>
          <w:szCs w:val="17"/>
          <w:i w:val="1"/>
          <w:iCs w:val="1"/>
          <w:color w:val="auto"/>
        </w:rPr>
        <w:t>.</w:t>
      </w:r>
      <w:r>
        <w:rPr>
          <w:rFonts w:ascii="Arial" w:cs="Arial" w:eastAsia="Arial" w:hAnsi="Arial"/>
          <w:sz w:val="17"/>
          <w:szCs w:val="17"/>
          <w:color w:val="auto"/>
        </w:rPr>
        <w:t xml:space="preserve"> Theatrical revenue also increased for the six months ended June 30, 2017 due to the strong performances of </w:t>
      </w:r>
      <w:r>
        <w:rPr>
          <w:rFonts w:ascii="Arial" w:cs="Arial" w:eastAsia="Arial" w:hAnsi="Arial"/>
          <w:sz w:val="17"/>
          <w:szCs w:val="17"/>
          <w:i w:val="1"/>
          <w:iCs w:val="1"/>
          <w:color w:val="auto"/>
        </w:rPr>
        <w:t>Fifty Shades Darker</w:t>
      </w:r>
      <w:r>
        <w:rPr>
          <w:rFonts w:ascii="Arial" w:cs="Arial" w:eastAsia="Arial" w:hAnsi="Arial"/>
          <w:sz w:val="17"/>
          <w:szCs w:val="17"/>
          <w:color w:val="auto"/>
        </w:rPr>
        <w:t xml:space="preserve">, </w:t>
      </w:r>
      <w:r>
        <w:rPr>
          <w:rFonts w:ascii="Arial" w:cs="Arial" w:eastAsia="Arial" w:hAnsi="Arial"/>
          <w:sz w:val="17"/>
          <w:szCs w:val="17"/>
          <w:i w:val="1"/>
          <w:iCs w:val="1"/>
          <w:color w:val="auto"/>
        </w:rPr>
        <w:t>Sing</w:t>
      </w:r>
      <w:r>
        <w:rPr>
          <w:rFonts w:ascii="Arial" w:cs="Arial" w:eastAsia="Arial" w:hAnsi="Arial"/>
          <w:sz w:val="17"/>
          <w:szCs w:val="17"/>
          <w:color w:val="auto"/>
        </w:rPr>
        <w:t xml:space="preserve">, </w:t>
      </w:r>
      <w:r>
        <w:rPr>
          <w:rFonts w:ascii="Arial" w:cs="Arial" w:eastAsia="Arial" w:hAnsi="Arial"/>
          <w:sz w:val="17"/>
          <w:szCs w:val="17"/>
          <w:i w:val="1"/>
          <w:iCs w:val="1"/>
          <w:color w:val="auto"/>
        </w:rPr>
        <w:t>Split</w:t>
      </w:r>
      <w:r>
        <w:rPr>
          <w:rFonts w:ascii="Arial" w:cs="Arial" w:eastAsia="Arial" w:hAnsi="Arial"/>
          <w:sz w:val="17"/>
          <w:szCs w:val="17"/>
          <w:color w:val="auto"/>
        </w:rPr>
        <w:t xml:space="preserve"> and </w:t>
      </w:r>
      <w:r>
        <w:rPr>
          <w:rFonts w:ascii="Arial" w:cs="Arial" w:eastAsia="Arial" w:hAnsi="Arial"/>
          <w:sz w:val="17"/>
          <w:szCs w:val="17"/>
          <w:i w:val="1"/>
          <w:iCs w:val="1"/>
          <w:color w:val="auto"/>
        </w:rPr>
        <w:t>Get Out</w:t>
      </w:r>
      <w:r>
        <w:rPr>
          <w:rFonts w:ascii="Arial" w:cs="Arial" w:eastAsia="Arial" w:hAnsi="Arial"/>
          <w:sz w:val="17"/>
          <w:szCs w:val="17"/>
          <w:color w:val="auto"/>
        </w:rPr>
        <w:t xml:space="preserve"> in the current year period. Content licensing revenue increased primarily due to the inclusion of DreamWorks Animation in the current year periods. Other revenue increased due to increases in revenue from consumer products, including from DreamWorks Animation, in the current year periods. Home entertainment revenue increased primarily due to strong sales of several 2017 releases, including </w:t>
      </w:r>
      <w:r>
        <w:rPr>
          <w:rFonts w:ascii="Arial" w:cs="Arial" w:eastAsia="Arial" w:hAnsi="Arial"/>
          <w:sz w:val="17"/>
          <w:szCs w:val="17"/>
          <w:i w:val="1"/>
          <w:iCs w:val="1"/>
          <w:color w:val="auto"/>
        </w:rPr>
        <w:t>Fifty Shades Darker</w:t>
      </w:r>
      <w:r>
        <w:rPr>
          <w:rFonts w:ascii="Arial" w:cs="Arial" w:eastAsia="Arial" w:hAnsi="Arial"/>
          <w:sz w:val="17"/>
          <w:szCs w:val="17"/>
          <w:color w:val="auto"/>
        </w:rPr>
        <w:t xml:space="preserve"> and </w:t>
      </w:r>
      <w:r>
        <w:rPr>
          <w:rFonts w:ascii="Arial" w:cs="Arial" w:eastAsia="Arial" w:hAnsi="Arial"/>
          <w:sz w:val="17"/>
          <w:szCs w:val="17"/>
          <w:i w:val="1"/>
          <w:iCs w:val="1"/>
          <w:color w:val="auto"/>
        </w:rPr>
        <w:t>Sing</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three and six months ended June 30, 2017 compared to the same periods in 2016 primarily due to increases in programming and production costs, as well as increases in other operating and administrative expenses. The increases in programming and production costs were primarily due to higher amortization of film production costs for our 2017 releases, as well as the inclusion of costs associated with DreamWorks Animation. The increases in other operating and administrative expenses were primarily due to the inclusion of expenses associated with DreamWorks Animation.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7"/>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1,136</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178</w:t>
            </w:r>
          </w:p>
        </w:tc>
        <w:tc>
          <w:tcPr>
            <w:tcW w:w="1020" w:type="dxa"/>
            <w:vAlign w:val="bottom"/>
          </w:tcPr>
          <w:p>
            <w:pPr>
              <w:ind w:left="480"/>
              <w:spacing w:after="0"/>
              <w:rPr>
                <w:sz w:val="20"/>
                <w:szCs w:val="20"/>
                <w:color w:val="auto"/>
              </w:rPr>
            </w:pPr>
            <w:r>
              <w:rPr>
                <w:rFonts w:ascii="Arial" w:cs="Arial" w:eastAsia="Arial" w:hAnsi="Arial"/>
                <w:sz w:val="18"/>
                <w:szCs w:val="18"/>
                <w:color w:val="auto"/>
              </w:rPr>
              <w:t>15.6%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667</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96</w:t>
            </w:r>
          </w:p>
        </w:tc>
        <w:tc>
          <w:tcPr>
            <w:tcW w:w="1020" w:type="dxa"/>
            <w:vAlign w:val="bottom"/>
          </w:tcPr>
          <w:p>
            <w:pPr>
              <w:ind w:left="480"/>
              <w:spacing w:after="0"/>
              <w:rPr>
                <w:sz w:val="20"/>
                <w:szCs w:val="20"/>
                <w:color w:val="auto"/>
              </w:rPr>
            </w:pPr>
            <w:r>
              <w:rPr>
                <w:rFonts w:ascii="Arial" w:cs="Arial" w:eastAsia="Arial" w:hAnsi="Arial"/>
                <w:sz w:val="18"/>
                <w:szCs w:val="18"/>
                <w:color w:val="auto"/>
              </w:rPr>
              <w:t>14.4</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469</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82</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17.3%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7"/>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2,162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270</w:t>
            </w:r>
          </w:p>
        </w:tc>
        <w:tc>
          <w:tcPr>
            <w:tcW w:w="1020" w:type="dxa"/>
            <w:vAlign w:val="bottom"/>
          </w:tcPr>
          <w:p>
            <w:pPr>
              <w:ind w:left="480"/>
              <w:spacing w:after="0"/>
              <w:rPr>
                <w:sz w:val="20"/>
                <w:szCs w:val="20"/>
                <w:color w:val="auto"/>
              </w:rPr>
            </w:pPr>
            <w:r>
              <w:rPr>
                <w:rFonts w:ascii="Arial" w:cs="Arial" w:eastAsia="Arial" w:hAnsi="Arial"/>
                <w:sz w:val="18"/>
                <w:szCs w:val="18"/>
                <w:color w:val="auto"/>
              </w:rPr>
              <w:t>12.5%</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1,318</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166</w:t>
            </w:r>
          </w:p>
        </w:tc>
        <w:tc>
          <w:tcPr>
            <w:tcW w:w="1020" w:type="dxa"/>
            <w:vAlign w:val="bottom"/>
          </w:tcPr>
          <w:p>
            <w:pPr>
              <w:ind w:left="480"/>
              <w:spacing w:after="0"/>
              <w:rPr>
                <w:sz w:val="20"/>
                <w:szCs w:val="20"/>
                <w:color w:val="auto"/>
              </w:rPr>
            </w:pPr>
            <w:r>
              <w:rPr>
                <w:rFonts w:ascii="Arial" w:cs="Arial" w:eastAsia="Arial" w:hAnsi="Arial"/>
                <w:sz w:val="18"/>
                <w:szCs w:val="18"/>
                <w:color w:val="auto"/>
              </w:rPr>
              <w:t>12.6</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844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104</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12.3%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Theme Parks revenue increased for the three and six months ended June 30, 2017 compared to the same periods in 2016 primarily due to higher guest attendance and increases in guest spending, including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which opened in April 2016, and the openings of </w:t>
      </w:r>
      <w:r>
        <w:rPr>
          <w:rFonts w:ascii="Arial" w:cs="Arial" w:eastAsia="Arial" w:hAnsi="Arial"/>
          <w:sz w:val="18"/>
          <w:szCs w:val="18"/>
          <w:i w:val="1"/>
          <w:iCs w:val="1"/>
          <w:color w:val="auto"/>
        </w:rPr>
        <w:t>Minion Park</w:t>
      </w:r>
      <w:r>
        <w:rPr>
          <w:rFonts w:ascii="Arial" w:cs="Arial" w:eastAsia="Arial" w:hAnsi="Arial"/>
          <w:sz w:val="18"/>
          <w:szCs w:val="18"/>
          <w:color w:val="auto"/>
        </w:rPr>
        <w:t xml:space="preserve">™ in Japan in April 2017 and </w:t>
      </w:r>
      <w:r>
        <w:rPr>
          <w:rFonts w:ascii="Arial" w:cs="Arial" w:eastAsia="Arial" w:hAnsi="Arial"/>
          <w:sz w:val="18"/>
          <w:szCs w:val="18"/>
          <w:i w:val="1"/>
          <w:iCs w:val="1"/>
          <w:color w:val="auto"/>
        </w:rPr>
        <w:t>Volcano Bay</w:t>
      </w:r>
      <w:r>
        <w:rPr>
          <w:rFonts w:ascii="Arial" w:cs="Arial" w:eastAsia="Arial" w:hAnsi="Arial"/>
          <w:sz w:val="18"/>
          <w:szCs w:val="18"/>
          <w:color w:val="auto"/>
        </w:rPr>
        <w:t>™ in Orlando in May 2017. The increase for the three months ended June 30, 2017 was also due to the timing of spring holidays compared to the prior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Operating costs and expenses increased for the three and six months ended June 30, 2017 compared to the same periods in 2016 primarily due to higher operating costs related to higher guest attendance and new attractions, as well as additional marketing costs associated with our domestic theme parks.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center"/>
              <w:ind w:right="256"/>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left="7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color w:val="auto"/>
                <w:w w:val="88"/>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205</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25</w:t>
            </w:r>
          </w:p>
        </w:tc>
        <w:tc>
          <w:tcPr>
            <w:tcW w:w="102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23"/>
                <w:szCs w:val="23"/>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507</w:t>
            </w:r>
          </w:p>
        </w:tc>
        <w:tc>
          <w:tcPr>
            <w:tcW w:w="100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471</w:t>
            </w:r>
          </w:p>
        </w:tc>
        <w:tc>
          <w:tcPr>
            <w:tcW w:w="1000" w:type="dxa"/>
            <w:vAlign w:val="bottom"/>
          </w:tcPr>
          <w:p>
            <w:pPr>
              <w:spacing w:after="0"/>
              <w:rPr>
                <w:sz w:val="23"/>
                <w:szCs w:val="23"/>
                <w:color w:val="auto"/>
              </w:rPr>
            </w:pP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36</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7.8</w:t>
            </w:r>
          </w:p>
        </w:tc>
      </w:tr>
      <w:tr>
        <w:trPr>
          <w:trHeight w:val="27"/>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b w:val="1"/>
                <w:bCs w:val="1"/>
                <w:color w:val="auto"/>
              </w:rPr>
              <w:t>(302)</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(291)</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7"/>
              <w:spacing w:after="0"/>
              <w:rPr>
                <w:sz w:val="20"/>
                <w:szCs w:val="20"/>
                <w:color w:val="auto"/>
              </w:rPr>
            </w:pPr>
            <w:r>
              <w:rPr>
                <w:rFonts w:ascii="Arial" w:cs="Arial" w:eastAsia="Arial" w:hAnsi="Arial"/>
                <w:sz w:val="18"/>
                <w:szCs w:val="18"/>
                <w:b w:val="1"/>
                <w:bCs w:val="1"/>
                <w:color w:val="auto"/>
              </w:rPr>
              <w:t>(11)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4"/>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27"/>
        </w:trPr>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2"/>
          </w:tcPr>
          <w:p>
            <w:pPr>
              <w:jc w:val="center"/>
              <w:ind w:right="256"/>
              <w:spacing w:after="0"/>
              <w:rPr>
                <w:sz w:val="20"/>
                <w:szCs w:val="20"/>
                <w:color w:val="auto"/>
              </w:rPr>
            </w:pPr>
            <w:r>
              <w:rPr>
                <w:rFonts w:ascii="Arial" w:cs="Arial" w:eastAsia="Arial" w:hAnsi="Arial"/>
                <w:sz w:val="14"/>
                <w:szCs w:val="14"/>
                <w:color w:val="auto"/>
                <w:w w:val="93"/>
              </w:rPr>
              <w:t>Six Months Ended</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center"/>
              <w:ind w:left="7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color w:val="auto"/>
                <w:w w:val="88"/>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413</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379</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34</w:t>
            </w: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23"/>
                <w:szCs w:val="23"/>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909</w:t>
            </w:r>
          </w:p>
        </w:tc>
        <w:tc>
          <w:tcPr>
            <w:tcW w:w="100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824</w:t>
            </w:r>
          </w:p>
        </w:tc>
        <w:tc>
          <w:tcPr>
            <w:tcW w:w="1000" w:type="dxa"/>
            <w:vAlign w:val="bottom"/>
          </w:tcPr>
          <w:p>
            <w:pPr>
              <w:spacing w:after="0"/>
              <w:rPr>
                <w:sz w:val="23"/>
                <w:szCs w:val="23"/>
                <w:color w:val="auto"/>
              </w:rPr>
            </w:pP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85</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10.4</w:t>
            </w:r>
          </w:p>
        </w:tc>
      </w:tr>
      <w:tr>
        <w:trPr>
          <w:trHeight w:val="27"/>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b w:val="1"/>
                <w:bCs w:val="1"/>
                <w:color w:val="auto"/>
              </w:rPr>
              <w:t>(496)</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(445)</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7"/>
              <w:spacing w:after="0"/>
              <w:rPr>
                <w:sz w:val="20"/>
                <w:szCs w:val="20"/>
                <w:color w:val="auto"/>
              </w:rPr>
            </w:pPr>
            <w:r>
              <w:rPr>
                <w:rFonts w:ascii="Arial" w:cs="Arial" w:eastAsia="Arial" w:hAnsi="Arial"/>
                <w:sz w:val="18"/>
                <w:szCs w:val="18"/>
                <w:b w:val="1"/>
                <w:bCs w:val="1"/>
                <w:color w:val="auto"/>
              </w:rPr>
              <w:t>(51)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34"/>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 as well as revenue from other business initiatives, such as our wireless phone service. Other revenue increased for the three and six months ended June 30, 2017 compared to the same periods in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initiatives, and operating costs and expenses associated with Comcast Spectacor.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increased for the three and six months ended June 30, 2017 primarily due to expenses associated with our new wireless phone service.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316"/>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696"/>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(758)</w:t>
            </w: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9"/>
              </w:rPr>
              <w:t>(732)</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w w:val="91"/>
              </w:rPr>
              <w:t>(1,513)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Investment income (loss),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64</w:t>
            </w:r>
          </w:p>
        </w:tc>
        <w:tc>
          <w:tcPr>
            <w:tcW w:w="10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(659)</w:t>
            </w:r>
          </w:p>
        </w:tc>
        <w:tc>
          <w:tcPr>
            <w:tcW w:w="1020" w:type="dxa"/>
            <w:vAlign w:val="bottom"/>
          </w:tcPr>
          <w:p>
            <w:pPr>
              <w:jc w:val="right"/>
              <w:ind w:right="69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(708)</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5"/>
              <w:spacing w:after="0"/>
              <w:rPr>
                <w:sz w:val="20"/>
                <w:szCs w:val="20"/>
                <w:color w:val="auto"/>
              </w:rPr>
            </w:pPr>
            <w:r>
              <w:rPr>
                <w:rFonts w:ascii="Arial" w:cs="Arial" w:eastAsia="Arial" w:hAnsi="Arial"/>
                <w:sz w:val="18"/>
                <w:szCs w:val="18"/>
                <w:b w:val="1"/>
                <w:bCs w:val="1"/>
                <w:color w:val="auto"/>
                <w:w w:val="91"/>
              </w:rPr>
              <w:t>(1,284)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(1,262)</w:t>
            </w:r>
          </w:p>
        </w:tc>
      </w:tr>
      <w:tr>
        <w:trPr>
          <w:trHeight w:val="34"/>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and six months ended June 30, 2017 compared to the same periods in 2016 primarily due to increases in our debt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investment income (loss), net for the three and six months ended June 30, 2017 and 2016 are presented in a table in Note 6 to Comcast’s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changes in equity in net income (losses) of investees, net for the three and six months ended June 30, 2017 compared to the same periods in 2016 were primarily related to our equity method investments in Atairos Group, Inc. and Hulu, LLC.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losses at Hulu were driven by its higher programming and marketing costs. The equity in net income (losses) of Atairos and Hulu for the three and six months ended June 30, 2017 and 2016 are presented in the table below.</w:t>
      </w:r>
    </w:p>
    <w:p>
      <w:pPr>
        <w:sectPr>
          <w:pgSz w:w="11900" w:h="16838" w:orient="portrait"/>
          <w:cols w:equalWidth="0" w:num="1">
            <w:col w:w="11420"/>
          </w:cols>
          <w:pgMar w:left="240" w:top="175"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7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right"/>
              <w:ind w:right="336"/>
              <w:spacing w:after="0"/>
              <w:rPr>
                <w:sz w:val="20"/>
                <w:szCs w:val="20"/>
                <w:color w:val="auto"/>
              </w:rPr>
            </w:pPr>
            <w:r>
              <w:rPr>
                <w:rFonts w:ascii="Arial" w:cs="Arial" w:eastAsia="Arial" w:hAnsi="Arial"/>
                <w:sz w:val="14"/>
                <w:szCs w:val="14"/>
                <w:color w:val="auto"/>
                <w:w w:val="93"/>
              </w:rPr>
              <w:t>Three Months Ended</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Atairos</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9"/>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9"/>
              <w:spacing w:after="0"/>
              <w:rPr>
                <w:sz w:val="20"/>
                <w:szCs w:val="20"/>
                <w:color w:val="auto"/>
              </w:rPr>
            </w:pPr>
            <w:r>
              <w:rPr>
                <w:rFonts w:ascii="Arial" w:cs="Arial" w:eastAsia="Arial" w:hAnsi="Arial"/>
                <w:sz w:val="18"/>
                <w:szCs w:val="18"/>
                <w:color w:val="auto"/>
              </w:rPr>
              <w:t>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Hulu</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(52)</w:t>
            </w:r>
          </w:p>
        </w:tc>
        <w:tc>
          <w:tcPr>
            <w:tcW w:w="104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(106)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six months ended June 30, 2016 included a gain of $108 million related to the sale of our investment in The Weather Channel’s product and technology businesses.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for the three and six months ended June 30, 2017 and 2016 reflects an effective income tax rate that differs from the federal statutory rate primarily due to state income taxes and adjustments associated with uncertain tax positions. In 2017, we prospectively adopted the new accounting guidance related to share-based compensation, which resulted in decreases in income tax expense of $59 million and $198 million for the three and six months ended June 30, 2017, respectively. We expect our 2017 annual effective tax rate to be in the range of 35% to 37%, absent changes in tax laws or significant changes in uncertain tax positions. The expected annual effective tax rate includes the impact of the adoption of the new accounting guidance related to share-based compensation (see Note 2 to Comcast’s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13, 2017, the Federal Communications Commission announced the results of its spectrum auction. In the auction, NBCUniversal relinquished its spectrum rights in the New York, Philadelphia and Chicago designated market areas where NBC and Telemundo had overlapping spectrum. NBCUniversal received proceeds of $482 million in July 2017. In connection with the auction, we also acquired the rights to $1.7 billion of spectrum, which were recorded to other intangible assets, net in our condensed consolidated balance sheet as of June 30, 2017. We had previously made a deposit of $1.8 billion to participate in the auction in the third quarter of 2016 and received a refund for amounts in excess of the purchase price in the second quarter of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9,088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5,043</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4,667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391</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(243)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(1,372)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(2,209)</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10,814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9,794</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six months ended June 30, 2017 compared to the same period in 2016 was primarily due to the timing of film and television spending, which was partially offset by the timing of collections on our receivables related to theatrical releases in the current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2017 consisted primarily of capital expenditures, purchases of investments, cash paid for intangible assets and acquisitions. Capital expenditures increased for the six months ended June 30, 2017 compared to the same period in 2016 primarily due to increased spending in our Cable Communications segment on continued</w:t>
      </w:r>
    </w:p>
    <w:p>
      <w:pPr>
        <w:sectPr>
          <w:pgSz w:w="11900" w:h="16838" w:orient="portrait"/>
          <w:cols w:equalWidth="0" w:num="1">
            <w:col w:w="11420"/>
          </w:cols>
          <w:pgMar w:left="240" w:top="17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75"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 in scalable infrastructure to increase network capacity and increased investment in line extensions primarily for the expansion of business services. NBCUniversal capital expenditures decreased for the six months ended June 30, 2017 compared to the same period in 2016 primarily due to the timing of real estate and infrastructure spending offset by continued investment at our Theme Parks segment. Purchases of investments for the six months ended June 30, 2017 consisted primarily of our cash capital contributions to Atairos of $994 million and our investment in Snap Inc. of $500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six months ended June 30, 2017 consisted primarily of repayments of debt, repurchases of common stock under our repurchase program and employee plans, the purchase of the remaining 49% noncontrolling interests in Universal Studios Japan, and dividend payments, which were partially offset by proceeds from borrowings.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2017, amounts available under our consolidated revolving credit facilities, net of amounts outstanding under our commercial paper programs and outstanding letters of credit, totaled $7.2 billion, which included $1.5 billion available under the NBCUniversal Enterprise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six months ended June 30, 2017, we repurchased a total of 56 million shares of our Class A common stock for $2.1 billion. We expect to make $2.9 billion more in repurchases under this authorization during the remainder of 2017, subject to market conditions.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paid $345 million for the six months ended June 30, 2017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our Board of Directors approved a 15% increase in our dividend to $0.63 per share on an annualized basis. In May 2017, our Board of Directors approved our second quarter dividend of $0.1575 per share to be paid in July 2017.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2016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2016 Annual Report on Form 10-K and there have been no significant changes to this information.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10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June 30, 2017.</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5"/>
              </w:rPr>
              <w:t>Under the Publicly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April 1-30,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11,250,000,006</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May 1-31,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16,575,436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38.07</w:t>
            </w:r>
          </w:p>
        </w:tc>
        <w:tc>
          <w:tcPr>
            <w:tcW w:w="1960" w:type="dxa"/>
            <w:vAlign w:val="bottom"/>
          </w:tcPr>
          <w:p>
            <w:pPr>
              <w:jc w:val="right"/>
              <w:spacing w:after="0"/>
              <w:rPr>
                <w:sz w:val="20"/>
                <w:szCs w:val="20"/>
                <w:color w:val="auto"/>
              </w:rPr>
            </w:pPr>
            <w:r>
              <w:rPr>
                <w:rFonts w:ascii="Arial" w:cs="Arial" w:eastAsia="Arial" w:hAnsi="Arial"/>
                <w:sz w:val="18"/>
                <w:szCs w:val="18"/>
                <w:color w:val="auto"/>
              </w:rPr>
              <w:t>16,575,436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631,090,407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10,618,909,599</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June 1-30,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18,575,005</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40.38</w:t>
            </w:r>
          </w:p>
        </w:tc>
        <w:tc>
          <w:tcPr>
            <w:tcW w:w="1960" w:type="dxa"/>
            <w:vAlign w:val="bottom"/>
          </w:tcPr>
          <w:p>
            <w:pPr>
              <w:jc w:val="right"/>
              <w:spacing w:after="0"/>
              <w:rPr>
                <w:sz w:val="20"/>
                <w:szCs w:val="20"/>
                <w:color w:val="auto"/>
              </w:rPr>
            </w:pPr>
            <w:r>
              <w:rPr>
                <w:rFonts w:ascii="Arial" w:cs="Arial" w:eastAsia="Arial" w:hAnsi="Arial"/>
                <w:sz w:val="18"/>
                <w:szCs w:val="18"/>
                <w:color w:val="auto"/>
              </w:rPr>
              <w:t>18,575,005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9,868,909,599</w:t>
            </w:r>
          </w:p>
        </w:tc>
      </w:tr>
      <w:tr>
        <w:trPr>
          <w:trHeight w:val="27"/>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jc w:val="right"/>
              <w:ind w:right="159"/>
              <w:spacing w:after="0"/>
              <w:rPr>
                <w:sz w:val="20"/>
                <w:szCs w:val="20"/>
                <w:color w:val="auto"/>
              </w:rPr>
            </w:pPr>
            <w:r>
              <w:rPr>
                <w:rFonts w:ascii="Arial" w:cs="Arial" w:eastAsia="Arial" w:hAnsi="Arial"/>
                <w:sz w:val="18"/>
                <w:szCs w:val="18"/>
                <w:b w:val="1"/>
                <w:bCs w:val="1"/>
                <w:color w:val="auto"/>
              </w:rPr>
              <w:t>35,150,441</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39.29</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35,150,441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1,381,090,407</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9,868,909,599</w:t>
            </w:r>
          </w:p>
        </w:tc>
      </w:tr>
      <w:tr>
        <w:trPr>
          <w:trHeight w:val="34"/>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 We expect to make $2.9 billion more in repurchases under this authorization during the remainder of 2017, subject to market conditions.</w:t>
      </w:r>
    </w:p>
    <w:p>
      <w:pPr>
        <w:spacing w:after="0" w:line="13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total number of shares purchased during the three months ended June 30, 2017 does not include any shares received in the administration of employee share-based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June 30, 2017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26, 2017, Comcast Corporation entered into a new employment agreement with Brian L. Roberts, Chairman of the Board of Directors, President and Chief Executive Officer of Comcast Corporation, effective as of August 1, 2017. The new employment agreement provides for an initial term of employment through July 31, 2020, which term will be extended automatically so that the term of the agreement will always be three years, unless otherwise terminated by either party in accordance with the employment agreement. The new employment agreement does not change Mr. Roberts’ base salary or target bonus opportunity, in each case as provided under Mr. Roberts’ prior employment agreement. The new employment agreement sets forth the annual crediting contributions to Mr. Roberts’ deferred compensation plan account, with annual contributions increasing by 5% each year during the term of the agreement. The new employment agreement also provides for certain changes with respect to Mr. Roberts’ compensation following a termination of employment as a result of his disability, by Comcast Corporation without cause or by Mr. Roberts for good reason, in each case as set forth in the new employment agreement, a copy of which is attached hereto as Exhibit 10.2.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above summary is qualified in its entirety by the terms and conditions set forth in the new employment agreement, attached hereto as Exhibit 10.2.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920" w:right="20" w:hanging="631"/>
        <w:spacing w:after="0" w:line="277" w:lineRule="auto"/>
        <w:tabs>
          <w:tab w:leader="none" w:pos="900" w:val="left"/>
        </w:tabs>
        <w:rPr>
          <w:rFonts w:ascii="Arial" w:cs="Arial" w:eastAsia="Arial" w:hAnsi="Arial"/>
          <w:sz w:val="18"/>
          <w:szCs w:val="18"/>
          <w:color w:val="0000FF"/>
        </w:rPr>
      </w:pPr>
      <w:hyperlink r:id="rId19">
        <w:r>
          <w:rPr>
            <w:rFonts w:ascii="Arial" w:cs="Arial" w:eastAsia="Arial" w:hAnsi="Arial"/>
            <w:sz w:val="18"/>
            <w:szCs w:val="18"/>
            <w:u w:val="single" w:color="auto"/>
            <w:color w:val="0000FF"/>
          </w:rPr>
          <w:t>3.1</w:t>
        </w:r>
      </w:hyperlink>
      <w:r>
        <w:rPr>
          <w:rFonts w:ascii="Arial" w:cs="Arial" w:eastAsia="Arial" w:hAnsi="Arial"/>
          <w:sz w:val="18"/>
          <w:szCs w:val="18"/>
          <w:color w:val="0000FF"/>
        </w:rPr>
        <w:tab/>
        <w:t>Amended and restated By-Laws of Comcast Corporation, effective May 10, 2017 (incorporated by reference to Exhibit 3.1 to the Current Report on Form 8-K filed on May 12, 2017).</w:t>
      </w:r>
    </w:p>
    <w:p>
      <w:pPr>
        <w:spacing w:after="0" w:line="8" w:lineRule="exact"/>
        <w:rPr>
          <w:sz w:val="20"/>
          <w:szCs w:val="20"/>
          <w:color w:val="auto"/>
        </w:rPr>
      </w:pPr>
    </w:p>
    <w:p>
      <w:pPr>
        <w:ind w:left="200"/>
        <w:spacing w:after="0"/>
        <w:tabs>
          <w:tab w:leader="none" w:pos="900" w:val="left"/>
        </w:tabs>
        <w:rPr>
          <w:rFonts w:ascii="Arial" w:cs="Arial" w:eastAsia="Arial" w:hAnsi="Arial"/>
          <w:sz w:val="18"/>
          <w:szCs w:val="18"/>
          <w:color w:val="0000FF"/>
        </w:rPr>
      </w:pPr>
      <w:hyperlink w:anchor="page59">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Brian L. Roberts, dated as of June 30, 2017.</w:t>
      </w:r>
    </w:p>
    <w:p>
      <w:pPr>
        <w:spacing w:after="0" w:line="63" w:lineRule="exact"/>
        <w:rPr>
          <w:sz w:val="20"/>
          <w:szCs w:val="20"/>
          <w:color w:val="auto"/>
        </w:rPr>
      </w:pPr>
    </w:p>
    <w:p>
      <w:pPr>
        <w:ind w:left="200"/>
        <w:spacing w:after="0"/>
        <w:tabs>
          <w:tab w:leader="none" w:pos="900" w:val="left"/>
        </w:tabs>
        <w:rPr>
          <w:rFonts w:ascii="Arial" w:cs="Arial" w:eastAsia="Arial" w:hAnsi="Arial"/>
          <w:sz w:val="18"/>
          <w:szCs w:val="18"/>
          <w:color w:val="0000FF"/>
        </w:rPr>
      </w:pPr>
      <w:hyperlink w:anchor="page60">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Amendment No. 18 to Employment Agreement between Comcast Corporation and Brian L. Roberts, dated as of July 26, 2017.</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r:id="rId20">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Wireless Operational Cooperation Agreement dated as of May 5, 2017 between Comcast Corporation and Charter Communications,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 by reference to Exhibit 10.1 to the Current Report on Form 8-K filed on May 8, 2017).</w:t>
      </w:r>
    </w:p>
    <w:p>
      <w:pPr>
        <w:spacing w:after="0" w:line="49"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4">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78">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right="20" w:hanging="662"/>
        <w:spacing w:after="0" w:line="276"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six months ended June 30, 2017, filed with the Securities and Exchange Commission on July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3"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 xml:space="preserve">* </w:t>
      </w:r>
      <w:r>
        <w:rPr>
          <w:rFonts w:ascii="Arial" w:cs="Arial" w:eastAsia="Arial" w:hAnsi="Arial"/>
          <w:sz w:val="14"/>
          <w:szCs w:val="14"/>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right="20" w:hanging="609"/>
        <w:spacing w:after="0" w:line="264" w:lineRule="auto"/>
        <w:tabs>
          <w:tab w:leader="none" w:pos="900" w:val="left"/>
        </w:tabs>
        <w:rPr>
          <w:rFonts w:ascii="Arial" w:cs="Arial" w:eastAsia="Arial" w:hAnsi="Arial"/>
          <w:sz w:val="18"/>
          <w:szCs w:val="18"/>
          <w:color w:val="0000FF"/>
        </w:rPr>
      </w:pPr>
      <w:hyperlink r:id="rId23">
        <w:r>
          <w:rPr>
            <w:rFonts w:ascii="Arial" w:cs="Arial" w:eastAsia="Arial" w:hAnsi="Arial"/>
            <w:sz w:val="18"/>
            <w:szCs w:val="18"/>
            <w:u w:val="single" w:color="auto"/>
            <w:color w:val="0000FF"/>
          </w:rPr>
          <w:t>10.1</w:t>
        </w:r>
      </w:hyperlink>
      <w:r>
        <w:rPr>
          <w:rFonts w:ascii="Arial" w:cs="Arial" w:eastAsia="Arial" w:hAnsi="Arial"/>
          <w:sz w:val="18"/>
          <w:szCs w:val="18"/>
          <w:color w:val="0000FF"/>
        </w:rPr>
        <w:tab/>
        <w:t>Loan Agreement dated as of May 1, 2017, among USJ Co., Ltd., the financial institutions party thereto (the “lenders”) and Sumitomo Mitusi Banking Corporation, as agent (incorporated by reference to Exhibit 10.1 to the Current Report on Form 8-K filed on May 3, 2017).</w:t>
      </w:r>
    </w:p>
    <w:p>
      <w:pPr>
        <w:spacing w:after="0" w:line="19"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302 of the Sarbanes-Oxley Act of 2002.</w:t>
      </w:r>
    </w:p>
    <w:p>
      <w:pPr>
        <w:spacing w:after="0" w:line="63"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79">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right="20" w:hanging="595"/>
        <w:spacing w:after="0" w:line="297"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six months ended June 30, 2017, filed with the Securities and Exchange Commission on July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60"/>
          </w:cols>
          <w:pgMar w:left="240" w:top="175" w:right="7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Index</w:t>
            </w:r>
          </w:p>
        </w:tc>
        <w:tc>
          <w:tcPr>
            <w:tcW w:w="3780" w:type="dxa"/>
            <w:vAlign w:val="bottom"/>
          </w:tcPr>
          <w:p>
            <w:pPr>
              <w:jc w:val="center"/>
              <w:ind w:left="267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8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Condensed Consolidated Balance Sheet</w:t>
              </w:r>
            </w:hyperlink>
          </w:p>
        </w:tc>
        <w:tc>
          <w:tcPr>
            <w:tcW w:w="4740" w:type="dxa"/>
            <w:vAlign w:val="bottom"/>
            <w:gridSpan w:val="6"/>
          </w:tcPr>
          <w:p>
            <w:pPr>
              <w:spacing w:after="0"/>
              <w:rPr>
                <w:sz w:val="17"/>
                <w:szCs w:val="17"/>
                <w:color w:val="auto"/>
              </w:rPr>
            </w:pPr>
          </w:p>
        </w:tc>
        <w:tc>
          <w:tcPr>
            <w:tcW w:w="3780" w:type="dxa"/>
            <w:vAlign w:val="bottom"/>
          </w:tcPr>
          <w:p>
            <w:pPr>
              <w:jc w:val="center"/>
              <w:ind w:left="2670"/>
              <w:spacing w:after="0" w:line="196" w:lineRule="exact"/>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Condensed Consolidated Statement of Income</w:t>
              </w:r>
            </w:hyperlink>
          </w:p>
        </w:tc>
        <w:tc>
          <w:tcPr>
            <w:tcW w:w="4260" w:type="dxa"/>
            <w:vAlign w:val="bottom"/>
            <w:gridSpan w:val="5"/>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45</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Condensed Consolidated Statement of Comprehensive Income</w:t>
              </w:r>
            </w:hyperlink>
          </w:p>
        </w:tc>
        <w:tc>
          <w:tcPr>
            <w:tcW w:w="3780" w:type="dxa"/>
            <w:vAlign w:val="bottom"/>
          </w:tcPr>
          <w:p>
            <w:pPr>
              <w:jc w:val="center"/>
              <w:ind w:left="2670"/>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46</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47</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Condensed Consolidated Statement of Changes in Equity</w:t>
              </w:r>
            </w:hyperlink>
          </w:p>
        </w:tc>
        <w:tc>
          <w:tcPr>
            <w:tcW w:w="3780" w:type="dxa"/>
            <w:vAlign w:val="bottom"/>
          </w:tcPr>
          <w:p>
            <w:pPr>
              <w:jc w:val="center"/>
              <w:ind w:left="2670"/>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48</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49</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6,319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6,302</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1,625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1,496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11,284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10,447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6,590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7,245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1,890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$3,773 and $3,350</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10,845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10,511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23,946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$7,105 and $6,568</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13,555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13,777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1,697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1,688</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69,807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1,882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1,914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2,981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10,418</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9,914</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12,149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11,461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4,117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4,130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512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40,411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39,036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40,467</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38,901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41,415</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69,807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44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8,331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7,103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16,199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13,964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3,587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3,037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6,900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6,002</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1,895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1,652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3,727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3,247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778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725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1,484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265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532</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6,780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5,879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13,139</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11,532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1,551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1,224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3,060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(292)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48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(308)</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1,387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1,049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2,752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2,229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1,288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975</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2,561</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1,276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933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2,476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1,935</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1,288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975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2,561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189</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1,127</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1,288</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2,693</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2,651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attributable to noncontrolling</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1,120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1,096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2,526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2,242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3,526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2,478</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Acquisitions of real estate properties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(982)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3,948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(3,402)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w w:val="98"/>
              </w:rPr>
              <w:t>Proceeds from (repayments of) borrowings from Comcast, net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(1,141)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w w:val="99"/>
              </w:rPr>
              <w:t>Purchase of Universal Studios Japan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(2,299)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(2,666)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1,966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1,410</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1,844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1,155</w:t>
            </w:r>
          </w:p>
        </w:tc>
      </w:tr>
      <w:tr>
        <w:trPr>
          <w:trHeight w:val="34"/>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957"/>
        </w:trPr>
        <w:tc>
          <w:tcPr>
            <w:tcW w:w="5240" w:type="dxa"/>
            <w:vAlign w:val="bottom"/>
          </w:tcPr>
          <w:p>
            <w:pPr>
              <w:spacing w:after="0"/>
              <w:rPr>
                <w:sz w:val="24"/>
                <w:szCs w:val="24"/>
                <w:color w:val="auto"/>
              </w:rPr>
            </w:pPr>
          </w:p>
        </w:tc>
        <w:tc>
          <w:tcPr>
            <w:tcW w:w="3000" w:type="dxa"/>
            <w:vAlign w:val="bottom"/>
          </w:tcPr>
          <w:p>
            <w:pPr>
              <w:jc w:val="right"/>
              <w:ind w:right="235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372</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32,834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1,681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34,303</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287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594</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2,033</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2016</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367</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33,921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95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2,146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36,162</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39,036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w w:val="96"/>
              </w:rPr>
              <w:t>Purchase of Universal Studios Japan</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20"/>
                <w:szCs w:val="20"/>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2,476</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2,543</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512</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40,411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56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948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41,415</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substantially completed the review of our revenue arrangements and do not currently expect that the adoption of the new standard will have a material impact on our financial position or results of operations. However, we do expect that the new standard will impact the timing of recognition for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The updated guidance also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NBCUniversal would have decreased for the three and six months ended June 30, 2017 by $140 million and $139 million, respectively. We are currently in the process of determining the impact that the updated accounting guidance will have on our cost method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NBC and Telemundo stations will share broadcast signals in these DMAs.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 were recorded to additional paid-in capital.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During the six months ended June 30, 2017, we updated the preliminary allocation of purchase price for DreamWorks Animation, which primarily resulted in increases to noncontrolling interests, intangible assets and goodwill and a decrease to working capital. The changes did not have a material impact on our condensed consolidated financial statements. We may adjust these amounts further as valuations are finalized and we obtain information necessary to complete the analyses, but no later than one year from the acquisition date.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6080" w:type="dxa"/>
            <w:vAlign w:val="bottom"/>
          </w:tcPr>
          <w:p>
            <w:pPr>
              <w:jc w:val="right"/>
              <w:ind w:right="3130"/>
              <w:spacing w:after="0"/>
              <w:rPr>
                <w:sz w:val="20"/>
                <w:szCs w:val="20"/>
                <w:color w:val="auto"/>
              </w:rPr>
            </w:pPr>
            <w:r>
              <w:rPr>
                <w:rFonts w:ascii="Arial" w:cs="Arial" w:eastAsia="Arial" w:hAnsi="Arial"/>
                <w:sz w:val="18"/>
                <w:szCs w:val="18"/>
                <w:b w:val="1"/>
                <w:bCs w:val="1"/>
                <w:color w:val="auto"/>
              </w:rPr>
              <w:t>Allocation of Purchase Price</w:t>
            </w:r>
          </w:p>
        </w:tc>
        <w:tc>
          <w:tcPr>
            <w:tcW w:w="1240" w:type="dxa"/>
            <w:vAlign w:val="bottom"/>
          </w:tcPr>
          <w:p>
            <w:pPr>
              <w:spacing w:after="0"/>
              <w:rPr>
                <w:sz w:val="20"/>
                <w:szCs w:val="20"/>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60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854</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Debt</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310"/>
        </w:trPr>
        <w:tc>
          <w:tcPr>
            <w:tcW w:w="4040" w:type="dxa"/>
            <w:vAlign w:val="bottom"/>
          </w:tcPr>
          <w:p>
            <w:pPr>
              <w:ind w:left="20"/>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25"/>
                <w:szCs w:val="25"/>
                <w:color w:val="auto"/>
                <w:vertAlign w:val="superscript"/>
              </w:rPr>
              <w:t>(a)</w:t>
            </w:r>
          </w:p>
        </w:tc>
        <w:tc>
          <w:tcPr>
            <w:tcW w:w="60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404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w w:val="99"/>
              </w:rPr>
              <w:t>Other noncurrent assets and liabilities and other</w:t>
            </w:r>
            <w:r>
              <w:rPr>
                <w:rFonts w:ascii="Arial" w:cs="Arial" w:eastAsia="Arial" w:hAnsi="Arial"/>
                <w:sz w:val="25"/>
                <w:szCs w:val="25"/>
                <w:color w:val="auto"/>
                <w:w w:val="99"/>
                <w:vertAlign w:val="superscript"/>
              </w:rPr>
              <w:t>(b)</w:t>
            </w:r>
          </w:p>
        </w:tc>
        <w:tc>
          <w:tcPr>
            <w:tcW w:w="6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Identifiable net assets (liabilities) acquired</w:t>
            </w:r>
          </w:p>
        </w:tc>
        <w:tc>
          <w:tcPr>
            <w:tcW w:w="60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1,321</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2,789</w:t>
            </w:r>
          </w:p>
        </w:tc>
      </w:tr>
      <w:tr>
        <w:trPr>
          <w:trHeight w:val="27"/>
        </w:trPr>
        <w:tc>
          <w:tcPr>
            <w:tcW w:w="404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Cash consideration transferred</w:t>
            </w:r>
          </w:p>
        </w:tc>
        <w:tc>
          <w:tcPr>
            <w:tcW w:w="6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7203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69" w:lineRule="exact"/>
        <w:rPr>
          <w:sz w:val="20"/>
          <w:szCs w:val="20"/>
          <w:color w:val="auto"/>
        </w:rPr>
      </w:pPr>
    </w:p>
    <w:p>
      <w:pPr>
        <w:jc w:val="both"/>
        <w:ind w:left="260" w:hanging="252"/>
        <w:spacing w:after="0" w:line="257"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tax receivable agreement was settled immediately following the acquisition and the payment was recorded as an operating activity in our condensed consolidated statement of cash flows in the third quarter of 2016. Comcast made a separate cash capital contribution of $146 million to fund the settlement which was recorded as a financing activity in our condensed consolidated statement of cash flows in the third quarter of 2016.</w:t>
      </w:r>
    </w:p>
    <w:p>
      <w:pPr>
        <w:spacing w:after="0" w:line="131"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included $289 million recorded to member’s capital that represented deferred income tax assets and other tax-related items recorded by Comcast but excluded from the net assets contributed to 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and six months ended June 30, 2017.</w:t>
      </w:r>
    </w:p>
    <w:p>
      <w:pPr>
        <w:sectPr>
          <w:pgSz w:w="11900" w:h="16838" w:orient="portrait"/>
          <w:cols w:equalWidth="0" w:num="1">
            <w:col w:w="11420"/>
          </w:cols>
          <w:pgMar w:left="240" w:top="121"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June 30, 2017, the carrying value of the liability associated with this contractual obligation was $383 million.</w:t>
      </w:r>
    </w:p>
    <w:p>
      <w:pPr>
        <w:spacing w:after="0" w:line="22" w:lineRule="exact"/>
        <w:rPr>
          <w:sz w:val="20"/>
          <w:szCs w:val="20"/>
          <w:color w:val="auto"/>
        </w:rPr>
      </w:pPr>
    </w:p>
    <w:p>
      <w:pPr>
        <w:jc w:val="center"/>
        <w:ind w:right="40"/>
        <w:spacing w:after="0" w:line="356"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300" w:type="dxa"/>
            <w:vAlign w:val="bottom"/>
            <w:gridSpan w:val="2"/>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w w:val="89"/>
              </w:rPr>
              <w:t>2017</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285</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2,981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2,703</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389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80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7"/>
        </w:trPr>
        <w:tc>
          <w:tcPr>
            <w:tcW w:w="8040" w:type="dxa"/>
            <w:vAlign w:val="bottom"/>
            <w:gridSpan w:val="4"/>
          </w:tcPr>
          <w:p>
            <w:pPr>
              <w:ind w:left="3720"/>
              <w:spacing w:after="0"/>
              <w:rPr>
                <w:sz w:val="20"/>
                <w:szCs w:val="20"/>
                <w:color w:val="auto"/>
              </w:rPr>
            </w:pPr>
            <w:r>
              <w:rPr>
                <w:rFonts w:ascii="Arial" w:cs="Arial" w:eastAsia="Arial" w:hAnsi="Arial"/>
                <w:sz w:val="18"/>
                <w:szCs w:val="18"/>
                <w:b w:val="1"/>
                <w:bCs w:val="1"/>
                <w:color w:val="auto"/>
              </w:rPr>
              <w:t>Condensed Consolidated Statement of Income</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2"/>
        </w:trPr>
        <w:tc>
          <w:tcPr>
            <w:tcW w:w="5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gridSpan w:val="2"/>
          </w:tcPr>
          <w:p>
            <w:pPr>
              <w:jc w:val="right"/>
              <w:ind w:right="234"/>
              <w:spacing w:after="0"/>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734"/>
              <w:spacing w:after="0"/>
              <w:rPr>
                <w:sz w:val="20"/>
                <w:szCs w:val="20"/>
                <w:color w:val="auto"/>
              </w:rPr>
            </w:pPr>
            <w:r>
              <w:rPr>
                <w:rFonts w:ascii="Arial" w:cs="Arial" w:eastAsia="Arial" w:hAnsi="Arial"/>
                <w:sz w:val="14"/>
                <w:szCs w:val="14"/>
                <w:color w:val="auto"/>
              </w:rPr>
              <w:t>Six Months Ended</w:t>
            </w:r>
          </w:p>
        </w:tc>
      </w:tr>
      <w:tr>
        <w:trPr>
          <w:trHeight w:val="188"/>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460</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406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813</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(49)</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1,949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2,855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1,888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2,639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2,721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2,570</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8,215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8,486</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1,625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1,241</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6,590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7,245</w:t>
            </w:r>
          </w:p>
        </w:tc>
      </w:tr>
      <w:tr>
        <w:trPr>
          <w:trHeight w:val="34"/>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440" w:type="dxa"/>
            <w:vAlign w:val="bottom"/>
          </w:tcPr>
          <w:p>
            <w:pPr>
              <w:spacing w:after="0"/>
              <w:rPr>
                <w:sz w:val="24"/>
                <w:szCs w:val="24"/>
                <w:color w:val="auto"/>
              </w:rPr>
            </w:pPr>
          </w:p>
        </w:tc>
        <w:tc>
          <w:tcPr>
            <w:tcW w:w="4100" w:type="dxa"/>
            <w:vAlign w:val="bottom"/>
          </w:tcPr>
          <w:p>
            <w:pPr>
              <w:jc w:val="right"/>
              <w:ind w:right="265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3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Snap</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Hulu</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225</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633</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3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BuzzFeed</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400</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696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1,909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1,263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34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1,890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1,263</w:t>
            </w:r>
          </w:p>
        </w:tc>
      </w:tr>
      <w:tr>
        <w:trPr>
          <w:trHeight w:val="34"/>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an available-for-sale security. Snap is a camera company whose primary product is Snapchat, a camera app that was created to help people communicate through short videos and images.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six months ended June 30, 2016.</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2017, our debt, excluding the note payable to Comcast, had a carrying value of $12.3 billion and an estimated fair value of $13.5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Universal Studios Japan entered into a new ¥450 billion ($3.9 billion at issuance) term loan with a final maturity of March 2022. We used the proceeds from this borrowing to repay in full $3.3 billion of Universal Studios Japan’s existing yen-denominated term loans and a portion of amounts outstanding under our revolving credit agreement with Comcast.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June 30, 2017, outstanding debt securities of $46.1 billion of Comcast and CCCL Parent were subject to the guarantee structure.</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however, guarantee the obligations of NBCUniversal Enterprise with respect to its $4.8 billion aggregate principal amount of senior notes, $1.5 billion revolving credit facility, commercial paper program, or $725 million liquidation preference of Series A cumulative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Universal Studios Japan term loan is not subject to the cross-guarantee structure, however it has a separate guarantee from Comcast.</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54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tcPr>
          <w:p>
            <w:pPr>
              <w:jc w:val="center"/>
              <w:ind w:left="378"/>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color w:val="auto"/>
                <w:w w:val="90"/>
              </w:rPr>
              <w:t>December 31,</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6,738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6,799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6,319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6,302</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824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8240" w:type="dxa"/>
            <w:vAlign w:val="bottom"/>
          </w:tcPr>
          <w:p>
            <w:pPr>
              <w:spacing w:after="0"/>
              <w:rPr>
                <w:sz w:val="24"/>
                <w:szCs w:val="24"/>
                <w:color w:val="auto"/>
              </w:rPr>
            </w:pPr>
          </w:p>
        </w:tc>
        <w:tc>
          <w:tcPr>
            <w:tcW w:w="980" w:type="dxa"/>
            <w:vAlign w:val="bottom"/>
          </w:tcPr>
          <w:p>
            <w:pPr>
              <w:jc w:val="center"/>
              <w:ind w:left="378"/>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color w:val="auto"/>
                <w:w w:val="89"/>
              </w:rPr>
              <w:t>June 30,</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rPr>
              <w:t>56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95</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38"/>
        </w:trPr>
        <w:tc>
          <w:tcPr>
            <w:tcW w:w="8240" w:type="dxa"/>
            <w:vAlign w:val="bottom"/>
          </w:tcPr>
          <w:p>
            <w:pPr>
              <w:ind w:left="390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8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gridSpan w:val="3"/>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88"/>
        </w:trPr>
        <w:tc>
          <w:tcPr>
            <w:tcW w:w="8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2,561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2,057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3,526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2,478</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219</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63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w:t>
      </w:r>
    </w:p>
    <w:p>
      <w:pPr>
        <w:spacing w:after="0" w:line="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$294 million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contributed its investment in Snap to us at its fair value as of March 31, 2017, which was a noncash transaction (see Note 6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ind w:left="660" w:hanging="328"/>
        <w:spacing w:after="0" w:line="282"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NBCUniversal below Adjusted EBITDA are not separately evaluated. Our financial data by business segment is presented in the tables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w w:val="96"/>
              </w:rPr>
              <w:t>Three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2,155</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8,331</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2,071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1,551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73</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w w:val="96"/>
              </w:rPr>
              <w:t>Three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7,103</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1,689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1,224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62</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color w:val="auto"/>
              </w:rPr>
              <w:t>Six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4,449</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4,136</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16,199</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4,088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3,060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128</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5"/>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color w:val="auto"/>
              </w:rPr>
              <w:t>Six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13,964</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3,311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2,432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114</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25"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NBCUniversal before net (income) loss attributable to noncontrolling interests,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amortization expense that results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NBCUniversal,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2,071</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1,689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4,088</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3,311</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(496)</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(532)</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(464)</w:t>
            </w:r>
          </w:p>
        </w:tc>
      </w:tr>
      <w:tr>
        <w:trPr>
          <w:trHeight w:val="27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7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1,387</w:t>
            </w:r>
          </w:p>
        </w:tc>
        <w:tc>
          <w:tcPr>
            <w:tcW w:w="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2,752</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2,229</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18 TO EMPLOYMENT AGREEMENT</w:t>
      </w:r>
    </w:p>
    <w:p>
      <w:pPr>
        <w:spacing w:after="0" w:line="201" w:lineRule="exact"/>
        <w:rPr>
          <w:sz w:val="20"/>
          <w:szCs w:val="20"/>
          <w:color w:val="auto"/>
        </w:rPr>
      </w:pPr>
    </w:p>
    <w:p>
      <w:pPr>
        <w:ind w:right="340" w:firstLine="1297"/>
        <w:spacing w:after="0" w:line="231" w:lineRule="auto"/>
        <w:rPr>
          <w:sz w:val="20"/>
          <w:szCs w:val="20"/>
          <w:color w:val="auto"/>
        </w:rPr>
      </w:pPr>
      <w:r>
        <w:rPr>
          <w:rFonts w:ascii="Arial" w:cs="Arial" w:eastAsia="Arial" w:hAnsi="Arial"/>
          <w:sz w:val="22"/>
          <w:szCs w:val="22"/>
          <w:color w:val="auto"/>
        </w:rPr>
        <w:t>This AMENDMENT NO. 18 TO EMPLOYMENT AGREEMENT is entered as of 5:00 p.m.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2017, between COMCAST CORPORATION, a Pennsylvania corporation (together with its subsidiaries, the “Company”), and BRIAN L. ROBERTS (“Employee”).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ind w:right="900" w:firstLine="1297"/>
        <w:spacing w:after="0" w:line="343" w:lineRule="auto"/>
        <w:rPr>
          <w:sz w:val="20"/>
          <w:szCs w:val="20"/>
          <w:color w:val="auto"/>
        </w:rPr>
      </w:pPr>
      <w:r>
        <w:rPr>
          <w:rFonts w:ascii="Arial" w:cs="Arial" w:eastAsia="Arial" w:hAnsi="Arial"/>
          <w:sz w:val="19"/>
          <w:szCs w:val="19"/>
          <w:color w:val="auto"/>
        </w:rPr>
        <w:t>WHEREAS, the parties entered into an Employment Agreement dated as of June 1, 2005, as amended (the “Agreement”), that sets forth the terms and conditions of Employee’s employment with the Company,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parties desire to amend the Agreement on the terms and conditions contained herein.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  Subparagraph 2(ii) of the Agreement is hereby deleted and replaced in its entirety by the following: “(ii) July 31,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  Except as modified hereby, the Agreement shall continue unmodified and in full force and effect.</w:t>
      </w:r>
    </w:p>
    <w:p>
      <w:pPr>
        <w:spacing w:after="0" w:line="220"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IN WITNESS WHEREOF, the parties hereto have executed and delivered this Amendment No. 18 as of the time and date first-above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97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June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EMPLOYEE: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631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L. Roberts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June 30, 2017</w:t>
      </w:r>
    </w:p>
    <w:p>
      <w:pPr>
        <w:sectPr>
          <w:pgSz w:w="11900" w:h="16838" w:orient="portrait"/>
          <w:cols w:equalWidth="0" w:num="1">
            <w:col w:w="11420"/>
          </w:cols>
          <w:pgMar w:left="240" w:top="12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10.2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74" w:lineRule="exact"/>
        <w:rPr>
          <w:sz w:val="20"/>
          <w:szCs w:val="20"/>
          <w:color w:val="auto"/>
        </w:rPr>
      </w:pPr>
    </w:p>
    <w:p>
      <w:pPr>
        <w:ind w:right="260" w:firstLine="648"/>
        <w:spacing w:after="0" w:line="343" w:lineRule="auto"/>
        <w:rPr>
          <w:sz w:val="20"/>
          <w:szCs w:val="20"/>
          <w:color w:val="auto"/>
        </w:rPr>
      </w:pPr>
      <w:r>
        <w:rPr>
          <w:rFonts w:ascii="Arial" w:cs="Arial" w:eastAsia="Arial" w:hAnsi="Arial"/>
          <w:sz w:val="19"/>
          <w:szCs w:val="19"/>
          <w:color w:val="auto"/>
        </w:rPr>
        <w:t>This EMPLOYMENT AGREEMENT is made as of the 26th day of July, 2017, between COMCAST CORPORATION, a Pennsylvania corporation (together with its subsidiaries, the "Company"), and BRIAN L. ROBERTS ("Employee").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374"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The Company and Employee are parties to an Employment Agreement dated as of June 1, 2005, as amended (the “2005 Agreement”). Employee desires to have Employee’s employment relationship with the Company continue and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368"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Position and Duties; Company Property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160" w:firstLine="1305"/>
        <w:spacing w:after="0" w:line="265" w:lineRule="auto"/>
        <w:tabs>
          <w:tab w:leader="none" w:pos="1752" w:val="left"/>
        </w:tabs>
        <w:numPr>
          <w:ilvl w:val="1"/>
          <w:numId w:val="15"/>
        </w:numPr>
        <w:rPr>
          <w:rFonts w:ascii="Arial" w:cs="Arial" w:eastAsia="Arial" w:hAnsi="Arial"/>
          <w:sz w:val="21"/>
          <w:szCs w:val="21"/>
          <w:color w:val="auto"/>
        </w:rPr>
      </w:pPr>
      <w:r>
        <w:rPr>
          <w:rFonts w:ascii="Arial" w:cs="Arial" w:eastAsia="Arial" w:hAnsi="Arial"/>
          <w:sz w:val="21"/>
          <w:szCs w:val="21"/>
          <w:color w:val="auto"/>
        </w:rPr>
        <w:t>Employee shall continue to serve and the Company shall continue to employ Employee in the positions of Chairman of the Board of Directors, President and Chief Executive Officer. The duties of Employee from time to time hereunder will be those assigned by the Board of Directors commensurate with Employee’s education, skills and experience. Employee shall be based at the Company’s principal executive offices in Philadelphia, Pennsylvania.</w:t>
      </w:r>
    </w:p>
    <w:p>
      <w:pPr>
        <w:spacing w:after="0" w:line="283" w:lineRule="exact"/>
        <w:rPr>
          <w:rFonts w:ascii="Arial" w:cs="Arial" w:eastAsia="Arial" w:hAnsi="Arial"/>
          <w:sz w:val="21"/>
          <w:szCs w:val="21"/>
          <w:color w:val="auto"/>
        </w:rPr>
      </w:pPr>
    </w:p>
    <w:p>
      <w:pPr>
        <w:ind w:right="20" w:firstLine="1305"/>
        <w:spacing w:after="0" w:line="259" w:lineRule="auto"/>
        <w:tabs>
          <w:tab w:leader="none" w:pos="1765" w:val="left"/>
        </w:tabs>
        <w:numPr>
          <w:ilvl w:val="1"/>
          <w:numId w:val="15"/>
        </w:numPr>
        <w:rPr>
          <w:rFonts w:ascii="Arial" w:cs="Arial" w:eastAsia="Arial" w:hAnsi="Arial"/>
          <w:sz w:val="21"/>
          <w:szCs w:val="21"/>
          <w:color w:val="auto"/>
        </w:rPr>
      </w:pPr>
      <w:r>
        <w:rPr>
          <w:rFonts w:ascii="Arial" w:cs="Arial" w:eastAsia="Arial" w:hAnsi="Arial"/>
          <w:sz w:val="21"/>
          <w:szCs w:val="21"/>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 In this connection, the Company recognizes that it may be in the best interests of the Company for Employee to serve as a director on the board of directors of other companies or serve in various capacities for civic and charitable organizations, and that Employee may (subject to the foregoing consent requirements) devote a reasonable amount of time to such activities.</w:t>
      </w:r>
    </w:p>
    <w:p>
      <w:pPr>
        <w:spacing w:after="0" w:line="332" w:lineRule="exact"/>
        <w:rPr>
          <w:rFonts w:ascii="Arial" w:cs="Arial" w:eastAsia="Arial" w:hAnsi="Arial"/>
          <w:sz w:val="21"/>
          <w:szCs w:val="21"/>
          <w:color w:val="auto"/>
        </w:rPr>
      </w:pPr>
    </w:p>
    <w:p>
      <w:pPr>
        <w:ind w:firstLine="1305"/>
        <w:spacing w:after="0" w:line="265" w:lineRule="auto"/>
        <w:tabs>
          <w:tab w:leader="none" w:pos="1803"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relates to the Company’s businesses, whether produced or created during employment or within one year following termination of employment; or (ii) relates to any business, if produced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60" w:name="page61"/>
    <w:bookmarkEnd w:id="60"/>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color w:val="auto"/>
        </w:rPr>
        <w:t>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316" w:lineRule="exact"/>
        <w:rPr>
          <w:sz w:val="20"/>
          <w:szCs w:val="20"/>
          <w:color w:val="auto"/>
        </w:rPr>
      </w:pPr>
    </w:p>
    <w:p>
      <w:pPr>
        <w:ind w:right="160" w:firstLine="8"/>
        <w:spacing w:after="0" w:line="290" w:lineRule="auto"/>
        <w:tabs>
          <w:tab w:leader="none" w:pos="37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August 1, 2017 (the “Commencement Date”) through July 31, 2020 (the “Last Day”), provided that the Last Day shall be extended automatically for one (1) additional day for each day that elapses after August 1, 2017 (so that the Term is always three (3) years), unless, either party gives the other party written notice (a “Non-Renewal Notice”) that the Term shall end (</w:t>
      </w:r>
      <w:r>
        <w:rPr>
          <w:rFonts w:ascii="Arial" w:cs="Arial" w:eastAsia="Arial" w:hAnsi="Arial"/>
          <w:sz w:val="19"/>
          <w:szCs w:val="19"/>
          <w:i w:val="1"/>
          <w:iCs w:val="1"/>
          <w:u w:val="single" w:color="auto"/>
          <w:color w:val="auto"/>
        </w:rPr>
        <w:t>i.e.</w:t>
      </w:r>
      <w:r>
        <w:rPr>
          <w:rFonts w:ascii="Arial" w:cs="Arial" w:eastAsia="Arial" w:hAnsi="Arial"/>
          <w:sz w:val="19"/>
          <w:szCs w:val="19"/>
          <w:color w:val="auto"/>
        </w:rPr>
        <w:t>, shall no longer be extended) on a date (the “Non-Renewal Date”) that is at least ninety (90) days following the date of the Non-Renewal Notice. Notwithstanding the foregoing, the Term shall be earlier terminated on the date, if any, that Employee’s employment is terminated in accordance with Paragraph 10. Notwithstanding the end of the Term, certain provisions of this Agreement, including, but not limited to, any payments to be made after the Term and the covenants contained in Paragraphs 12 and 13, shall be enforceable after the end of the Term.</w:t>
      </w:r>
    </w:p>
    <w:p>
      <w:pPr>
        <w:spacing w:after="0" w:line="305" w:lineRule="exact"/>
        <w:rPr>
          <w:rFonts w:ascii="Arial" w:cs="Arial" w:eastAsia="Arial" w:hAnsi="Arial"/>
          <w:sz w:val="19"/>
          <w:szCs w:val="19"/>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60" w:firstLine="1305"/>
        <w:spacing w:after="0" w:line="297" w:lineRule="auto"/>
        <w:tabs>
          <w:tab w:leader="none" w:pos="175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from the Commencement Date through February 28, 2018 shall be at Employee’s current annual rate (“Base Salary”). Base Salary, less normal deductions, shall be paid to Employee in accordance with the Company’s regular payroll practices in effect from time to time. Base Salary shall be reviewed for increase for each subsequent calendar year (or portion thereof) in the Term. Once established at an increased annual rate, Base Salary shall not thereafter be reduced unless such reduction is pursuant to an overall plan to reduce the salaries of all senior executive officers of the Company.</w:t>
      </w:r>
    </w:p>
    <w:p>
      <w:pPr>
        <w:spacing w:after="0" w:line="295" w:lineRule="exact"/>
        <w:rPr>
          <w:rFonts w:ascii="Arial" w:cs="Arial" w:eastAsia="Arial" w:hAnsi="Arial"/>
          <w:sz w:val="19"/>
          <w:szCs w:val="19"/>
          <w:color w:val="auto"/>
        </w:rPr>
      </w:pPr>
    </w:p>
    <w:p>
      <w:pPr>
        <w:ind w:right="60" w:firstLine="1305"/>
        <w:spacing w:after="0" w:line="297" w:lineRule="auto"/>
        <w:tabs>
          <w:tab w:leader="none" w:pos="1765"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Cash Bonuses</w:t>
      </w:r>
      <w:r>
        <w:rPr>
          <w:rFonts w:ascii="Arial" w:cs="Arial" w:eastAsia="Arial" w:hAnsi="Arial"/>
          <w:sz w:val="19"/>
          <w:szCs w:val="19"/>
          <w:color w:val="auto"/>
        </w:rPr>
        <w:t>. Employee shall be entitled to participate in the Company’s cash bonus plans with respect to 2017 and each subsequent calendar year in the Term, with a target bonus potential (assuming achievement of 100% of performance goals) expressed as a percentage of Base Salary, as may be determined by the Compensation Committee of the Company’s Board of Directors, provided that in no event will such percentage be less than 300%. The performance goals applicable to such cash bonus will be the same as those applicable to other senior executive officers, taking into account Employee’s positions and duties.</w:t>
      </w:r>
    </w:p>
    <w:p>
      <w:pPr>
        <w:spacing w:after="0" w:line="295" w:lineRule="exact"/>
        <w:rPr>
          <w:rFonts w:ascii="Arial" w:cs="Arial" w:eastAsia="Arial" w:hAnsi="Arial"/>
          <w:sz w:val="19"/>
          <w:szCs w:val="19"/>
          <w:color w:val="auto"/>
        </w:rPr>
      </w:pPr>
    </w:p>
    <w:p>
      <w:pPr>
        <w:ind w:left="1760" w:hanging="455"/>
        <w:spacing w:after="0"/>
        <w:tabs>
          <w:tab w:leader="none" w:pos="176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compensation under this Agreement is subject to applicable tax withholding requirements.</w:t>
      </w:r>
    </w:p>
    <w:p>
      <w:pPr>
        <w:spacing w:after="0" w:line="146" w:lineRule="exact"/>
        <w:rPr>
          <w:rFonts w:ascii="Arial" w:cs="Arial" w:eastAsia="Arial" w:hAnsi="Arial"/>
          <w:sz w:val="19"/>
          <w:szCs w:val="19"/>
          <w:color w:val="auto"/>
        </w:rPr>
      </w:pPr>
    </w:p>
    <w:p>
      <w:pPr>
        <w:ind w:right="200" w:firstLine="8"/>
        <w:spacing w:after="0" w:line="271" w:lineRule="auto"/>
        <w:tabs>
          <w:tab w:leader="none" w:pos="378"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Stock Option/Restricted Stock Grants</w:t>
      </w:r>
      <w:r>
        <w:rPr>
          <w:rFonts w:ascii="Arial" w:cs="Arial" w:eastAsia="Arial" w:hAnsi="Arial"/>
          <w:sz w:val="21"/>
          <w:szCs w:val="21"/>
          <w:color w:val="auto"/>
        </w:rPr>
        <w:t>. Employee shall be entitled to participate in any annual (or other) broad-based grant programs under the Company’s Stock Option Plans and/or Restricted Stock Plan on the same basis as is applicable to other senior executive officers, taking into account Employee’s positions, duties and performance.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Deferred Compensation</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240" w:firstLine="1305"/>
        <w:spacing w:after="0" w:line="263" w:lineRule="auto"/>
        <w:tabs>
          <w:tab w:leader="none" w:pos="1752" w:val="left"/>
        </w:tabs>
        <w:numPr>
          <w:ilvl w:val="1"/>
          <w:numId w:val="17"/>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deferred compensation plans and programs on the same terms as the Company’s other senior executive officers.</w:t>
      </w:r>
    </w:p>
    <w:p>
      <w:pPr>
        <w:spacing w:after="0" w:line="323" w:lineRule="exact"/>
        <w:rPr>
          <w:rFonts w:ascii="Arial" w:cs="Arial" w:eastAsia="Arial" w:hAnsi="Arial"/>
          <w:sz w:val="22"/>
          <w:szCs w:val="22"/>
          <w:color w:val="auto"/>
        </w:rPr>
      </w:pPr>
    </w:p>
    <w:p>
      <w:pPr>
        <w:ind w:right="40" w:firstLine="1305"/>
        <w:spacing w:after="0" w:line="259" w:lineRule="auto"/>
        <w:tabs>
          <w:tab w:leader="none" w:pos="1765" w:val="left"/>
        </w:tabs>
        <w:numPr>
          <w:ilvl w:val="1"/>
          <w:numId w:val="17"/>
        </w:numPr>
        <w:rPr>
          <w:rFonts w:ascii="Arial" w:cs="Arial" w:eastAsia="Arial" w:hAnsi="Arial"/>
          <w:sz w:val="20"/>
          <w:szCs w:val="20"/>
          <w:color w:val="auto"/>
        </w:rPr>
      </w:pPr>
      <w:r>
        <w:rPr>
          <w:rFonts w:ascii="Arial" w:cs="Arial" w:eastAsia="Arial" w:hAnsi="Arial"/>
          <w:sz w:val="20"/>
          <w:szCs w:val="20"/>
          <w:color w:val="auto"/>
        </w:rPr>
        <w:t>In addition, the Company shall credit to Employee’s account under, and pursuant to the terms and conditions of, the Company’s 2005 Deferred Compensation Plan (or any successor plan) (the “Deferred Compensation Plan”), as of January 1, 2018, the following amount: $4,432,366. The Company shall also credit to such account on each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calendar year in the Term following 2018 an amount equal to the prior year’s credit amount multiplied by 1.05.</w:t>
      </w:r>
    </w:p>
    <w:p>
      <w:pPr>
        <w:spacing w:after="0" w:line="323" w:lineRule="exact"/>
        <w:rPr>
          <w:rFonts w:ascii="Arial" w:cs="Arial" w:eastAsia="Arial" w:hAnsi="Arial"/>
          <w:sz w:val="20"/>
          <w:szCs w:val="20"/>
          <w:color w:val="auto"/>
        </w:rPr>
      </w:pPr>
    </w:p>
    <w:p>
      <w:pPr>
        <w:ind w:right="40" w:firstLine="8"/>
        <w:spacing w:after="0" w:line="253"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Vacation and Other Paid Time Off</w:t>
      </w:r>
      <w:r>
        <w:rPr>
          <w:rFonts w:ascii="Arial" w:cs="Arial" w:eastAsia="Arial" w:hAnsi="Arial"/>
          <w:sz w:val="22"/>
          <w:szCs w:val="22"/>
          <w:color w:val="auto"/>
        </w:rPr>
        <w:t>. Employee shall be entitled to not fewer than the same number of paid vacation days in each calendar year as he is currently entitled. Employee shall also be entitled to all paid time off given by the Company to its senior executive officers.</w:t>
      </w:r>
    </w:p>
    <w:p>
      <w:pPr>
        <w:spacing w:after="0" w:line="293" w:lineRule="exact"/>
        <w:rPr>
          <w:rFonts w:ascii="Arial" w:cs="Arial" w:eastAsia="Arial" w:hAnsi="Arial"/>
          <w:sz w:val="22"/>
          <w:szCs w:val="22"/>
          <w:color w:val="auto"/>
        </w:rPr>
      </w:pPr>
    </w:p>
    <w:p>
      <w:pPr>
        <w:ind w:right="60" w:firstLine="8"/>
        <w:spacing w:after="0" w:line="253"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Perquisites</w:t>
      </w:r>
      <w:r>
        <w:rPr>
          <w:rFonts w:ascii="Arial" w:cs="Arial" w:eastAsia="Arial" w:hAnsi="Arial"/>
          <w:sz w:val="22"/>
          <w:szCs w:val="22"/>
          <w:color w:val="auto"/>
        </w:rPr>
        <w:t>. Employee shall be entitled to continue to receive not less than the perquisites and other fringe benefits he currently receives in accordance with the Company’s present policies and practices, including without limitation the Company’s Aviation Policy.</w:t>
      </w:r>
    </w:p>
    <w:p>
      <w:pPr>
        <w:spacing w:after="0" w:line="334" w:lineRule="exact"/>
        <w:rPr>
          <w:rFonts w:ascii="Arial" w:cs="Arial" w:eastAsia="Arial" w:hAnsi="Arial"/>
          <w:sz w:val="22"/>
          <w:szCs w:val="22"/>
          <w:color w:val="auto"/>
        </w:rPr>
      </w:pPr>
    </w:p>
    <w:p>
      <w:pPr>
        <w:ind w:right="20" w:firstLine="8"/>
        <w:spacing w:after="0" w:line="288" w:lineRule="auto"/>
        <w:tabs>
          <w:tab w:leader="none" w:pos="37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Employee shall be entitled to receive and participate in all of the Company’s existing and future compensation and benefit plans and programs and employment agreement provisions (including group insurance programs, vacation benefits, acceleration of vesting provisions, tax gross-up benefits, and applicable directors and officers liability insurance and indemnification and advancement of expenses provisions relating to claims made by third parties against Employee in Employee’s role as an employee, officer or director of the Company), in each case on the same terms and at the same cost to the Company and Employee as are made available to the Company’s other senior executive officers, in accordance with the terms of such plans, programs and agreements. Nothing in this Agreement shall limit the Company’s right to modify or discontinue any plans or programs at any time, provided no such action may adversely affect any vested rights of Employee thereunder or disproportionately affect Employee as compared to other senior executive officers. The provisions of this Paragraph 8 shall not apply to compensation and benefits (including, without limitation, salary and cash bonus continuation) addressed in this Agreement, in which case the applicable terms of this Agreement shall apply.</w:t>
      </w: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right="100" w:firstLine="8"/>
        <w:spacing w:after="0" w:line="250"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procedures and practices in effect from time to time for its senior executive officers.</w:t>
      </w:r>
    </w:p>
    <w:p>
      <w:pPr>
        <w:spacing w:after="0" w:line="337" w:lineRule="exact"/>
        <w:rPr>
          <w:rFonts w:ascii="Arial" w:cs="Arial" w:eastAsia="Arial" w:hAnsi="Arial"/>
          <w:sz w:val="22"/>
          <w:szCs w:val="22"/>
          <w:color w:val="auto"/>
        </w:rPr>
      </w:pPr>
    </w:p>
    <w:p>
      <w:pPr>
        <w:ind w:right="240" w:firstLine="8"/>
        <w:spacing w:after="0" w:line="263" w:lineRule="auto"/>
        <w:tabs>
          <w:tab w:leader="none" w:pos="48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and the Company's obligations under this Agreement (excluding any obligations the Company may have under Paragraph 11, any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62" w:name="page63"/>
    <w:bookmarkEnd w:id="62"/>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obligations expressly set forth herein as surviving termination of employment, and any obligations with respect to any vested benefits of Employee), shall or may be terminated in the circumstances set forth below.</w:t>
      </w:r>
    </w:p>
    <w:p>
      <w:pPr>
        <w:spacing w:after="0" w:line="323" w:lineRule="exact"/>
        <w:rPr>
          <w:sz w:val="20"/>
          <w:szCs w:val="20"/>
          <w:color w:val="auto"/>
        </w:rPr>
      </w:pPr>
    </w:p>
    <w:p>
      <w:pPr>
        <w:ind w:left="1760" w:hanging="455"/>
        <w:spacing w:after="0"/>
        <w:tabs>
          <w:tab w:leader="none" w:pos="17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368" w:lineRule="exact"/>
        <w:rPr>
          <w:rFonts w:ascii="Arial" w:cs="Arial" w:eastAsia="Arial" w:hAnsi="Arial"/>
          <w:sz w:val="22"/>
          <w:szCs w:val="22"/>
          <w:color w:val="auto"/>
        </w:rPr>
      </w:pPr>
    </w:p>
    <w:p>
      <w:pPr>
        <w:ind w:right="80" w:firstLine="1305"/>
        <w:spacing w:after="0" w:line="265" w:lineRule="auto"/>
        <w:tabs>
          <w:tab w:leader="none" w:pos="1765"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283" w:lineRule="exact"/>
        <w:rPr>
          <w:rFonts w:ascii="Arial" w:cs="Arial" w:eastAsia="Arial" w:hAnsi="Arial"/>
          <w:sz w:val="21"/>
          <w:szCs w:val="21"/>
          <w:color w:val="auto"/>
        </w:rPr>
      </w:pPr>
    </w:p>
    <w:p>
      <w:pPr>
        <w:ind w:left="1760" w:hanging="455"/>
        <w:spacing w:after="0"/>
        <w:tabs>
          <w:tab w:leader="none" w:pos="17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Discharge With Cause by the Company or Termination by Employee Without Good Reason</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20" w:firstLine="1953"/>
        <w:spacing w:after="0" w:line="286" w:lineRule="auto"/>
        <w:tabs>
          <w:tab w:leader="none" w:pos="2365"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Subject to the last sentence of this subparagraph, the Company may terminate Employee’s employment in any of the following events (“Discharge With Cause”): Employee’s willful engagement in misconduct that is materially injurious to the Company, monetarily or otherwise (including without limitation Employee’s fraud, misappropriation, embezzlement, self-dealing, dishonesty, misrepresentation and conviction of a crime of a felony); Employee’s willful material violation of any material Company policy; Employee’s willful material violation of the Company’s Code of Conduct; or Employee’s willful material breach of any provision of this Agreement (which, as to the last three items, if capable of being cured, shall remain uncured following thirty (30) days after written notice thereof). For purposes of this subparagraph, no act, or failure to act, on Employee’s part shall be considered “willful” unless done, or omitted to be done, by him not in good faith and without reasonable belief that his action or omission was in the best interests of the Company. Notwithstanding the foregoing, Employee shall not be deemed to have been Discharged With Cause unless and until there shall have been delivered to Employee a copy of a resolution, duly adopted by the affirmative vote of at least 75% of the Board of Directors at a meeting of the Board called and held for such purpose (after reasonable notice to Employee and an opportunity for him, together with his counsel, to be heard before the Board), finding that in the good faith opinion of the Board the Employee was guilty of the acts or failures to act that are the basis for the Discharge With Cause, and specifying the particulars thereof in detail.</w:t>
      </w:r>
    </w:p>
    <w:p>
      <w:pPr>
        <w:spacing w:after="0" w:line="261" w:lineRule="exact"/>
        <w:rPr>
          <w:rFonts w:ascii="Arial" w:cs="Arial" w:eastAsia="Arial" w:hAnsi="Arial"/>
          <w:sz w:val="19"/>
          <w:szCs w:val="19"/>
          <w:color w:val="auto"/>
        </w:rPr>
      </w:pPr>
    </w:p>
    <w:p>
      <w:pPr>
        <w:ind w:right="420" w:firstLine="1953"/>
        <w:spacing w:after="0" w:line="263" w:lineRule="auto"/>
        <w:tabs>
          <w:tab w:leader="none" w:pos="2425" w:val="left"/>
        </w:tabs>
        <w:numPr>
          <w:ilvl w:val="1"/>
          <w:numId w:val="18"/>
        </w:numPr>
        <w:rPr>
          <w:rFonts w:ascii="Arial" w:cs="Arial" w:eastAsia="Arial" w:hAnsi="Arial"/>
          <w:sz w:val="22"/>
          <w:szCs w:val="22"/>
          <w:color w:val="auto"/>
        </w:rPr>
      </w:pPr>
      <w:r>
        <w:rPr>
          <w:rFonts w:ascii="Arial" w:cs="Arial" w:eastAsia="Arial" w:hAnsi="Arial"/>
          <w:sz w:val="22"/>
          <w:szCs w:val="22"/>
          <w:color w:val="auto"/>
        </w:rPr>
        <w:t>Employee may terminate his employment without Good Reason (as defined in subparagraph (d)(ii) below) at any time during the Term (“Without Good Reason”).</w:t>
      </w:r>
    </w:p>
    <w:p>
      <w:pPr>
        <w:spacing w:after="0" w:line="323" w:lineRule="exact"/>
        <w:rPr>
          <w:rFonts w:ascii="Arial" w:cs="Arial" w:eastAsia="Arial" w:hAnsi="Arial"/>
          <w:sz w:val="22"/>
          <w:szCs w:val="22"/>
          <w:color w:val="auto"/>
        </w:rPr>
      </w:pPr>
    </w:p>
    <w:p>
      <w:pPr>
        <w:ind w:right="860" w:firstLine="1305"/>
        <w:spacing w:after="0" w:line="263" w:lineRule="auto"/>
        <w:tabs>
          <w:tab w:leader="none" w:pos="176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Discharge Without Cause or Deemed Termination Without Cause by the Company, or Termination by Employee With Good Reason</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right="20" w:firstLine="1953"/>
        <w:spacing w:after="0" w:line="263" w:lineRule="auto"/>
        <w:tabs>
          <w:tab w:leader="none" w:pos="2361"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may terminate Employee’s employment other than on account of a Discharge With Cause at any time during or after the Term (“Discharge Without Cause”).</w:t>
      </w:r>
    </w:p>
    <w:p>
      <w:pPr>
        <w:spacing w:after="0" w:line="323" w:lineRule="exact"/>
        <w:rPr>
          <w:rFonts w:ascii="Arial" w:cs="Arial" w:eastAsia="Arial" w:hAnsi="Arial"/>
          <w:sz w:val="22"/>
          <w:szCs w:val="22"/>
          <w:color w:val="auto"/>
        </w:rPr>
      </w:pPr>
    </w:p>
    <w:p>
      <w:pPr>
        <w:ind w:right="420" w:firstLine="1953"/>
        <w:spacing w:after="0" w:line="263" w:lineRule="auto"/>
        <w:tabs>
          <w:tab w:leader="none" w:pos="2425" w:val="left"/>
        </w:tabs>
        <w:numPr>
          <w:ilvl w:val="1"/>
          <w:numId w:val="19"/>
        </w:numPr>
        <w:rPr>
          <w:rFonts w:ascii="Arial" w:cs="Arial" w:eastAsia="Arial" w:hAnsi="Arial"/>
          <w:sz w:val="22"/>
          <w:szCs w:val="22"/>
          <w:color w:val="auto"/>
        </w:rPr>
      </w:pPr>
      <w:r>
        <w:rPr>
          <w:rFonts w:ascii="Arial" w:cs="Arial" w:eastAsia="Arial" w:hAnsi="Arial"/>
          <w:sz w:val="22"/>
          <w:szCs w:val="22"/>
          <w:color w:val="auto"/>
        </w:rPr>
        <w:t>In the event the Company gives Employee a Non-Renewal Notice, Employee will automatically be terminated (a “Deemed Termination Without Cause”) on the Non-Renewal Date.</w:t>
      </w:r>
    </w:p>
    <w:p>
      <w:pPr>
        <w:spacing w:after="0" w:line="26" w:lineRule="exact"/>
        <w:rPr>
          <w:rFonts w:ascii="Arial" w:cs="Arial" w:eastAsia="Arial" w:hAnsi="Arial"/>
          <w:sz w:val="22"/>
          <w:szCs w:val="22"/>
          <w:color w:val="auto"/>
        </w:rPr>
      </w:pPr>
    </w:p>
    <w:p>
      <w:pPr>
        <w:ind w:right="120" w:firstLine="1953"/>
        <w:spacing w:after="0" w:line="292" w:lineRule="auto"/>
        <w:tabs>
          <w:tab w:leader="none" w:pos="2485"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may terminate this Agreement in any of the following events during or after the Term (“With Good Reason”), provided Employee has provided Company written notice thereof within sixty (60) days of the occurrence thereof: (A) the failure of Employee to be elected Chairman of the Board or retained as Chief Executive Officer and President; (B) assignment to Employee of any duties inconsistent in any material respect with Employee’s positions, education, skills and experience, or any other action by the Company that results in substantial diminution in Employee’s duties; or (C) the Company’s material breach of any provision of this Agreement (which, as to any such items, if capable of being cured, shall remain uncured following thirty (30) days after written notice thereof) (“Good Reason”).</w:t>
      </w:r>
    </w:p>
    <w:p>
      <w:pPr>
        <w:spacing w:after="0" w:line="259" w:lineRule="exact"/>
        <w:rPr>
          <w:rFonts w:ascii="Arial" w:cs="Arial" w:eastAsia="Arial" w:hAnsi="Arial"/>
          <w:sz w:val="19"/>
          <w:szCs w:val="19"/>
          <w:color w:val="auto"/>
        </w:rPr>
      </w:pPr>
    </w:p>
    <w:p>
      <w:pPr>
        <w:ind w:right="100" w:firstLine="1305"/>
        <w:spacing w:after="0" w:line="263" w:lineRule="auto"/>
        <w:tabs>
          <w:tab w:leader="none" w:pos="1752"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Other than as a result of Employee’s death or by Deemed Termination Without Cause, any termination of Employee’s employment shall be communicated by written “Notice of Termination.” For purposes of this Agreement, a “Notice of Termination” shall mean a notice which indicates the specific termination provision in this Agreement relied upon and shall set forth in reasonable detail the facts and circumstances claimed by the party giving notice to provide a basis for termination of Employee’s employment under the provision so indicated.</w:t>
      </w:r>
    </w:p>
    <w:p>
      <w:pPr>
        <w:spacing w:after="0" w:line="324" w:lineRule="exact"/>
        <w:rPr>
          <w:rFonts w:ascii="Arial" w:cs="Arial" w:eastAsia="Arial" w:hAnsi="Arial"/>
          <w:sz w:val="21"/>
          <w:szCs w:val="21"/>
          <w:color w:val="auto"/>
        </w:rPr>
      </w:pPr>
    </w:p>
    <w:p>
      <w:pPr>
        <w:ind w:right="40" w:firstLine="1305"/>
        <w:spacing w:after="0" w:line="286"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Employee’s employment is terminated by his death, the date of his death; (ii) if Employee’s employment is terminated as a result of his Disability, thirty (30) days after Notice of Termination is given (provided that Employee shall not have returned to the performance of his duties on the basis provided for in subparagraph 1(a) during such thirty (30) day period); (iii) if Employee’s employment is terminated by Discharge With Cause or Without Good Reason, the date specified in the Notice of Termination; provided that if within thirty (30) days after a Notice of Termination is given by the Company (in the event of a termination by Discharge With Cause), Employee notifies the Company that a dispute exists concerning the termination, the Date of Termination shall be the date on which the dispute is finally determined, either by mutual written agreement of the parties, by an arbitration award (pursuant to the provisions set forth below) or by a final judgment, order or decree of a court of competent jurisdiction (the time of appeal therefrom having expired and no appeal having been perfected); (iv) if the Employee’s employment is terminated by Discharge Without Cause or for Good Reason, the date specified in the Notice of Termination; provided that if within thirty (30) days after a Notice of Termination is given by Employee (in the event of a termination for Good Reason) Company notifies Employee that a dispute exists concerning the termination, the Date of Termination shall be the date on which the dispute is finally determined, either by mutual written agreement of the parties, by an arbitration award or by a final judgment, order or decree of a court of competent jurisdiction (the time of appeal therefrom having expired and no appeal having been perfected);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32" w:right="239" w:bottom="1440" w:gutter="0" w:footer="0" w:header="0"/>
        </w:sectPr>
      </w:pPr>
    </w:p>
    <w:bookmarkStart w:id="64" w:name="page65"/>
    <w:bookmarkEnd w:id="64"/>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or (v) if the Employee’s employment is terminated by Deemed Termination Without Cause, the Non-Renewal Date. Either party may elect arbitration with respect to such dispute. Such arbitration shall be conducted by the American Arbitration Association (“AAA”) in Philadelphia, Pennsylvania, and shall be initiated and conducted in accordance with the Commercial Arbitration Rules of the AAA, as such rules shall be in effect on the date of the Notice of Termination, except to the extent that such rules are inconsistent with the provisions set forth in this Agreement.</w:t>
      </w:r>
    </w:p>
    <w:p>
      <w:pPr>
        <w:spacing w:after="0" w:line="341"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Payments Prior to and Upon Termination</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left="1760" w:hanging="455"/>
        <w:spacing w:after="0"/>
        <w:tabs>
          <w:tab w:leader="none" w:pos="176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300" w:firstLine="1953"/>
        <w:spacing w:after="0" w:line="253" w:lineRule="auto"/>
        <w:tabs>
          <w:tab w:leader="none" w:pos="2365" w:val="left"/>
        </w:tabs>
        <w:numPr>
          <w:ilvl w:val="2"/>
          <w:numId w:val="21"/>
        </w:numPr>
        <w:rPr>
          <w:rFonts w:ascii="Arial" w:cs="Arial" w:eastAsia="Arial" w:hAnsi="Arial"/>
          <w:sz w:val="22"/>
          <w:szCs w:val="22"/>
          <w:color w:val="auto"/>
        </w:rPr>
      </w:pPr>
      <w:r>
        <w:rPr>
          <w:rFonts w:ascii="Arial" w:cs="Arial" w:eastAsia="Arial" w:hAnsi="Arial"/>
          <w:sz w:val="22"/>
          <w:szCs w:val="22"/>
          <w:color w:val="auto"/>
        </w:rPr>
        <w:t>Following termination due to death, the Company shall continue, at its expense, for the benefit of Employee’s spouse during her lifetime, all health and welfare benefits and benefit plans which are available from time to time to the Company’s highest paid employee.</w:t>
      </w:r>
    </w:p>
    <w:p>
      <w:pPr>
        <w:spacing w:after="0" w:line="293" w:lineRule="exact"/>
        <w:rPr>
          <w:rFonts w:ascii="Arial" w:cs="Arial" w:eastAsia="Arial" w:hAnsi="Arial"/>
          <w:sz w:val="22"/>
          <w:szCs w:val="22"/>
          <w:color w:val="auto"/>
        </w:rPr>
      </w:pPr>
    </w:p>
    <w:p>
      <w:pPr>
        <w:ind w:right="40" w:firstLine="1953"/>
        <w:spacing w:after="0" w:line="248" w:lineRule="auto"/>
        <w:tabs>
          <w:tab w:leader="none" w:pos="2421"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This death benefit shall be in addition to any other payments Employee’s spouse, beneficiaries or estate may be entitled to receive pursuant to this Agreement and any benefit plans and programs (including, but not limited to, Employee’s cash bonuses with respect to the portion of the calendar year during which Employee had lived prior to his death, amounts accrued and payable under any benefit plans and programs, any accrued but unused vacation time, and amounts payable on account of any unreimbursed business expenses).</w:t>
      </w:r>
    </w:p>
    <w:p>
      <w:pPr>
        <w:spacing w:after="0" w:line="300" w:lineRule="exact"/>
        <w:rPr>
          <w:rFonts w:ascii="Arial" w:cs="Arial" w:eastAsia="Arial" w:hAnsi="Arial"/>
          <w:sz w:val="22"/>
          <w:szCs w:val="22"/>
          <w:color w:val="auto"/>
        </w:rPr>
      </w:pPr>
    </w:p>
    <w:p>
      <w:pPr>
        <w:ind w:left="1780" w:hanging="475"/>
        <w:spacing w:after="0"/>
        <w:tabs>
          <w:tab w:leader="none" w:pos="178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firstLine="1953"/>
        <w:spacing w:after="0" w:line="247" w:lineRule="auto"/>
        <w:tabs>
          <w:tab w:leader="none" w:pos="2365" w:val="left"/>
        </w:tabs>
        <w:numPr>
          <w:ilvl w:val="2"/>
          <w:numId w:val="21"/>
        </w:numPr>
        <w:rPr>
          <w:rFonts w:ascii="Arial" w:cs="Arial" w:eastAsia="Arial" w:hAnsi="Arial"/>
          <w:sz w:val="22"/>
          <w:szCs w:val="22"/>
          <w:color w:val="auto"/>
        </w:rPr>
      </w:pPr>
      <w:r>
        <w:rPr>
          <w:rFonts w:ascii="Arial" w:cs="Arial" w:eastAsia="Arial" w:hAnsi="Arial"/>
          <w:sz w:val="22"/>
          <w:szCs w:val="22"/>
          <w:color w:val="auto"/>
        </w:rPr>
        <w:t>During any period that Employee is unable to perform his duties hereunder as a result of disability or incapacity due to mental or physical illness prior to a termination due to Disability: Employee shall: (A) continue to receive Base Salary until his employment is terminated due to Disability; (B) receive his cash bonuses with respect to the portion of the calendar year prior to the Date of Termination; (C) continue to participate in all health and welfare benefit plans and programs maintained by the Company; and (D) continue to have his Deferred Compensation Plan account credited with the amounts as and on the dates specified in subparagraph 5(b).</w:t>
      </w:r>
    </w:p>
    <w:p>
      <w:pPr>
        <w:spacing w:after="0" w:line="342" w:lineRule="exact"/>
        <w:rPr>
          <w:rFonts w:ascii="Arial" w:cs="Arial" w:eastAsia="Arial" w:hAnsi="Arial"/>
          <w:sz w:val="22"/>
          <w:szCs w:val="22"/>
          <w:color w:val="auto"/>
        </w:rPr>
      </w:pPr>
    </w:p>
    <w:p>
      <w:pPr>
        <w:ind w:right="20" w:firstLine="1953"/>
        <w:spacing w:after="0" w:line="259" w:lineRule="auto"/>
        <w:tabs>
          <w:tab w:leader="none" w:pos="2425" w:val="left"/>
        </w:tabs>
        <w:numPr>
          <w:ilvl w:val="2"/>
          <w:numId w:val="21"/>
        </w:numPr>
        <w:rPr>
          <w:rFonts w:ascii="Arial" w:cs="Arial" w:eastAsia="Arial" w:hAnsi="Arial"/>
          <w:sz w:val="21"/>
          <w:szCs w:val="21"/>
          <w:color w:val="auto"/>
        </w:rPr>
      </w:pPr>
      <w:r>
        <w:rPr>
          <w:rFonts w:ascii="Arial" w:cs="Arial" w:eastAsia="Arial" w:hAnsi="Arial"/>
          <w:sz w:val="21"/>
          <w:szCs w:val="21"/>
          <w:color w:val="auto"/>
        </w:rPr>
        <w:t>Following termination due to Disability: (A) Employee shall be paid for three (3) years: (1) on a monthly basis, Employee’s Base Salary at the time the Notice of Termination is given; and (2) on an annual basis (appropriately pro-rated for partial calendar years), Employee’s cash bonuses (assuming 100% achievement of performance goals, as if Employee’s employment had continued during this time period, and based on Employee’s participation levels therein at the time of his Disability); (B) the Company shall continue to credit Employee’s Deferred Compensation Plan account with the amounts as and on the dates specified in subparagraph 5(b) through the date on which the Term would have expired, without any further automatic extensions, had no termination occurred on the Date of Termination (the “End Date”); and (C) Employee shall be entitled to receive amounts accrued and payable under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32" w:right="239" w:bottom="1440" w:gutter="0" w:footer="0" w:header="0"/>
        </w:sectPr>
      </w:pPr>
    </w:p>
    <w:bookmarkStart w:id="65" w:name="page66"/>
    <w:bookmarkEnd w:id="65"/>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any benefit plans and programs, any accrued but unused vacation time, and amounts payable on account of any unreimbursed business expenses. In the event Employee dies before the end of such three (3) year period, the remaining payments and credits under subparagraph (A) and (B) of this subparagraph (ii) shall not be made.</w:t>
      </w:r>
    </w:p>
    <w:p>
      <w:pPr>
        <w:spacing w:after="0" w:line="294" w:lineRule="exact"/>
        <w:rPr>
          <w:sz w:val="20"/>
          <w:szCs w:val="20"/>
          <w:color w:val="auto"/>
        </w:rPr>
      </w:pPr>
    </w:p>
    <w:p>
      <w:pPr>
        <w:ind w:right="40" w:firstLine="1305"/>
        <w:spacing w:after="0" w:line="302" w:lineRule="auto"/>
        <w:tabs>
          <w:tab w:leader="none" w:pos="175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Discharge With Cause by the Company or Termination by Employee Without Good Reason</w:t>
      </w:r>
      <w:r>
        <w:rPr>
          <w:rFonts w:ascii="Arial" w:cs="Arial" w:eastAsia="Arial" w:hAnsi="Arial"/>
          <w:sz w:val="19"/>
          <w:szCs w:val="19"/>
          <w:color w:val="auto"/>
        </w:rPr>
        <w:t>. If Employee is Discharged With Cause or Employee terminates Without Good Reason, Employee will be entitled only to payment of Employee’s then-current Base Salary through the Date of Termination, amounts accrued and payable under any benefit plans and programs, any accrued but unused vacation time, and amounts payable on account of any unreimbursed business expenses.</w:t>
      </w:r>
    </w:p>
    <w:p>
      <w:pPr>
        <w:spacing w:after="0" w:line="291" w:lineRule="exact"/>
        <w:rPr>
          <w:rFonts w:ascii="Arial" w:cs="Arial" w:eastAsia="Arial" w:hAnsi="Arial"/>
          <w:sz w:val="19"/>
          <w:szCs w:val="19"/>
          <w:color w:val="auto"/>
        </w:rPr>
      </w:pPr>
    </w:p>
    <w:p>
      <w:pPr>
        <w:jc w:val="both"/>
        <w:ind w:right="860" w:firstLine="1305"/>
        <w:spacing w:after="0" w:line="253" w:lineRule="auto"/>
        <w:tabs>
          <w:tab w:leader="none" w:pos="176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Discharge Without Cause or Deemed Termination Without Cause by the Company, or Termination by Employee With Good Reason</w:t>
      </w:r>
      <w:r>
        <w:rPr>
          <w:rFonts w:ascii="Arial" w:cs="Arial" w:eastAsia="Arial" w:hAnsi="Arial"/>
          <w:sz w:val="22"/>
          <w:szCs w:val="22"/>
          <w:color w:val="auto"/>
        </w:rPr>
        <w:t>. If Employee is Discharged Without Cause or is Deemed Terminated Without Cause by the Company, or Employee terminates With Good Reason:</w:t>
      </w:r>
    </w:p>
    <w:p>
      <w:pPr>
        <w:spacing w:after="0" w:line="334" w:lineRule="exact"/>
        <w:rPr>
          <w:rFonts w:ascii="Arial" w:cs="Arial" w:eastAsia="Arial" w:hAnsi="Arial"/>
          <w:sz w:val="22"/>
          <w:szCs w:val="22"/>
          <w:color w:val="auto"/>
        </w:rPr>
      </w:pPr>
    </w:p>
    <w:p>
      <w:pPr>
        <w:jc w:val="both"/>
        <w:ind w:firstLine="1953"/>
        <w:spacing w:after="0" w:line="253" w:lineRule="auto"/>
        <w:tabs>
          <w:tab w:leader="none" w:pos="2361"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Company shall pay Employee his Base Salary through the Date of Termination and (within 30 days of the Date of Termination) his cash bonuses with respect to the portion of the calendar year period through the Date of Termination (assuming 100% achievement of performance goals).</w:t>
      </w:r>
    </w:p>
    <w:p>
      <w:pPr>
        <w:spacing w:after="0" w:line="200" w:lineRule="exact"/>
        <w:rPr>
          <w:rFonts w:ascii="Arial" w:cs="Arial" w:eastAsia="Arial" w:hAnsi="Arial"/>
          <w:sz w:val="22"/>
          <w:szCs w:val="22"/>
          <w:color w:val="auto"/>
        </w:rPr>
      </w:pPr>
    </w:p>
    <w:p>
      <w:pPr>
        <w:spacing w:after="0" w:line="364" w:lineRule="exact"/>
        <w:rPr>
          <w:rFonts w:ascii="Arial" w:cs="Arial" w:eastAsia="Arial" w:hAnsi="Arial"/>
          <w:sz w:val="22"/>
          <w:szCs w:val="22"/>
          <w:color w:val="auto"/>
        </w:rPr>
      </w:pPr>
    </w:p>
    <w:p>
      <w:pPr>
        <w:ind w:right="60" w:firstLine="1953"/>
        <w:spacing w:after="0" w:line="258" w:lineRule="auto"/>
        <w:tabs>
          <w:tab w:leader="none" w:pos="2479" w:val="left"/>
        </w:tabs>
        <w:numPr>
          <w:ilvl w:val="1"/>
          <w:numId w:val="22"/>
        </w:numPr>
        <w:rPr>
          <w:rFonts w:ascii="Arial" w:cs="Arial" w:eastAsia="Arial" w:hAnsi="Arial"/>
          <w:sz w:val="21"/>
          <w:szCs w:val="21"/>
          <w:color w:val="auto"/>
        </w:rPr>
      </w:pPr>
      <w:r>
        <w:rPr>
          <w:rFonts w:ascii="Arial" w:cs="Arial" w:eastAsia="Arial" w:hAnsi="Arial"/>
          <w:sz w:val="21"/>
          <w:szCs w:val="21"/>
          <w:color w:val="auto"/>
        </w:rPr>
        <w:t>Following the Date of Termination, in exchange for Employee’s entering into the Company’s standard agreement containing mutual releases with respect to matters relating to Employee’s employment (other than with respect to Employee’s rights under this Agreement and vested benefits under benefit plans and programs): (A) the Company shall pay to Employee: (1) for the period through the End Date, on a monthly basis, Employee’s Base Salary at the highest annual rate in effect at any time during the Term; and (2) for the period through the End Date, on an annual basis (appropriately pro-rated for partial calendar years), Employee’s cash bonuses (assuming 100% achievement of performance goals, as if Employee’s employment had continued through the End Date, and based on Employee’s highest participation levels therein at any time during the Term); (B) the Company shall continue to credit Employee’s Deferred Compensation Plan account with the amounts as and on the dates specified in subparagraph 5(b) through the End Date; and (C) Employee shall be entitled to receive amounts accrued and payable under any benefit plans and programs, any accrued but unused vacation time, and amounts payable on account of any unreimbursed business expenses.</w:t>
      </w:r>
    </w:p>
    <w:p>
      <w:pPr>
        <w:spacing w:after="0" w:line="331" w:lineRule="exact"/>
        <w:rPr>
          <w:rFonts w:ascii="Arial" w:cs="Arial" w:eastAsia="Arial" w:hAnsi="Arial"/>
          <w:sz w:val="21"/>
          <w:szCs w:val="21"/>
          <w:color w:val="auto"/>
        </w:rPr>
      </w:pPr>
    </w:p>
    <w:p>
      <w:pPr>
        <w:ind w:right="260" w:firstLine="1953"/>
        <w:spacing w:after="0" w:line="253" w:lineRule="auto"/>
        <w:tabs>
          <w:tab w:leader="none" w:pos="2481"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Company shall continue through the End Date (at the same cost to Employee as is paid by other employees), for the benefit of Employee, all health and welfare benefit plans and programs available from time to time to the Company’s highest paid employee.</w:t>
      </w:r>
    </w:p>
    <w:p>
      <w:pPr>
        <w:spacing w:after="0" w:line="334" w:lineRule="exact"/>
        <w:rPr>
          <w:rFonts w:ascii="Arial" w:cs="Arial" w:eastAsia="Arial" w:hAnsi="Arial"/>
          <w:sz w:val="22"/>
          <w:szCs w:val="22"/>
          <w:color w:val="auto"/>
        </w:rPr>
      </w:pPr>
    </w:p>
    <w:p>
      <w:pPr>
        <w:ind w:right="540" w:firstLine="1953"/>
        <w:spacing w:after="0" w:line="263" w:lineRule="auto"/>
        <w:tabs>
          <w:tab w:leader="none" w:pos="2461"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of Employee’s unvested stock options shall continue to vest pursuant to their terms, and all of Employee’s vested stock options shall remain exercisable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32" w:right="239" w:bottom="1440" w:gutter="0" w:footer="0" w:header="0"/>
        </w:sectPr>
      </w:pPr>
    </w:p>
    <w:bookmarkStart w:id="66" w:name="page67"/>
    <w:bookmarkEnd w:id="66"/>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pursuant to their terms, in each case as if Employee’s employment had continued. All of Employee’s unvested restricted stock units shall continue to vest pursuant to their terms, as if Employee’s employment had continued.</w:t>
      </w:r>
    </w:p>
    <w:p>
      <w:pPr>
        <w:spacing w:after="0" w:line="13" w:lineRule="exact"/>
        <w:rPr>
          <w:sz w:val="20"/>
          <w:szCs w:val="20"/>
          <w:color w:val="auto"/>
        </w:rPr>
      </w:pPr>
    </w:p>
    <w:p>
      <w:pPr>
        <w:ind w:right="180" w:firstLine="1305"/>
        <w:spacing w:after="0" w:line="301" w:lineRule="auto"/>
        <w:tabs>
          <w:tab w:leader="none" w:pos="1752"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Employee shall not be required to mitigate the amount of any payment provided for in this Paragraph 11 by seeking other employment or otherwise, nor shall the amount of any payment provided for in this Paragraph 11 be reduced by any compensation earned by Employee as a result of employment by another employer after the Date of Termination, or otherwise.</w:t>
      </w:r>
    </w:p>
    <w:p>
      <w:pPr>
        <w:spacing w:after="0" w:line="1" w:lineRule="exact"/>
        <w:rPr>
          <w:rFonts w:ascii="Arial" w:cs="Arial" w:eastAsia="Arial" w:hAnsi="Arial"/>
          <w:sz w:val="19"/>
          <w:szCs w:val="19"/>
          <w:color w:val="auto"/>
        </w:rPr>
      </w:pPr>
    </w:p>
    <w:p>
      <w:pPr>
        <w:ind w:right="20" w:firstLine="1305"/>
        <w:spacing w:after="0" w:line="250" w:lineRule="auto"/>
        <w:tabs>
          <w:tab w:leader="none" w:pos="1728" w:val="left"/>
        </w:tabs>
        <w:numPr>
          <w:ilvl w:val="1"/>
          <w:numId w:val="23"/>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Employee’s employment is terminated by the Company on or after the occurrence of a change of control (as the term “control” is defined in Rule 405 under the Securities Act of 1933), such termination shall be treated as a Discharge Without Cause, and Employee shall be entitled to the benefits payable under the provisions of subparagraph (d) above.</w:t>
      </w:r>
    </w:p>
    <w:p>
      <w:pPr>
        <w:spacing w:after="0" w:line="337" w:lineRule="exact"/>
        <w:rPr>
          <w:rFonts w:ascii="Arial" w:cs="Arial" w:eastAsia="Arial" w:hAnsi="Arial"/>
          <w:sz w:val="22"/>
          <w:szCs w:val="22"/>
          <w:color w:val="auto"/>
        </w:rPr>
      </w:pPr>
    </w:p>
    <w:p>
      <w:pPr>
        <w:ind w:right="160" w:firstLine="1305"/>
        <w:spacing w:after="0" w:line="263" w:lineRule="auto"/>
        <w:tabs>
          <w:tab w:leader="none" w:pos="1819"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COBRA Rights</w:t>
      </w:r>
      <w:r>
        <w:rPr>
          <w:rFonts w:ascii="Arial" w:cs="Arial" w:eastAsia="Arial" w:hAnsi="Arial"/>
          <w:sz w:val="22"/>
          <w:szCs w:val="22"/>
          <w:color w:val="auto"/>
        </w:rPr>
        <w:t>. Nothing herein shall constitute a waiver by Employee of "COBRA" rights under federal law in connection with termination of employment.</w:t>
      </w:r>
    </w:p>
    <w:p>
      <w:pPr>
        <w:spacing w:after="0" w:line="323"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and Confidentiality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firstLine="1305"/>
        <w:spacing w:after="0" w:line="248" w:lineRule="auto"/>
        <w:tabs>
          <w:tab w:leader="none" w:pos="1752" w:val="left"/>
        </w:tabs>
        <w:numPr>
          <w:ilvl w:val="1"/>
          <w:numId w:val="24"/>
        </w:numPr>
        <w:rPr>
          <w:rFonts w:ascii="Arial" w:cs="Arial" w:eastAsia="Arial" w:hAnsi="Arial"/>
          <w:sz w:val="22"/>
          <w:szCs w:val="22"/>
          <w:color w:val="auto"/>
        </w:rPr>
      </w:pPr>
      <w:r>
        <w:rPr>
          <w:rFonts w:ascii="Arial" w:cs="Arial" w:eastAsia="Arial" w:hAnsi="Arial"/>
          <w:sz w:val="22"/>
          <w:szCs w:val="22"/>
          <w:color w:val="auto"/>
        </w:rPr>
        <w:t>During the Term and Employee’s continued employment by the Company, and for a period of one (1) year after termination of Employee’s employment by the Company for any reason (whether during or after the Term),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340" w:lineRule="exact"/>
        <w:rPr>
          <w:rFonts w:ascii="Arial" w:cs="Arial" w:eastAsia="Arial" w:hAnsi="Arial"/>
          <w:sz w:val="22"/>
          <w:szCs w:val="22"/>
          <w:color w:val="auto"/>
        </w:rPr>
      </w:pPr>
    </w:p>
    <w:p>
      <w:pPr>
        <w:ind w:right="100" w:firstLine="1305"/>
        <w:spacing w:after="0" w:line="257" w:lineRule="auto"/>
        <w:tabs>
          <w:tab w:leader="none" w:pos="1765" w:val="left"/>
        </w:tabs>
        <w:numPr>
          <w:ilvl w:val="1"/>
          <w:numId w:val="24"/>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(1) YEAR AFTER TERMINATION OF EMPLOYEE’S EMPLOYMENT DURING OR AFTER THE TERM FOR ANY REASON (OTHER THAN (A) AS A RESULT OF A DISCHARGE WITHOUT CAUSE OR (B) AS A RESULT OF TERMINATION BY EMPLOYEE WITH GOOD REASON,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ANY DIVISION OR OTHER BUSINESS UNIT OF THE COMPANY, OR BEING PLANNED BY THE COMPANY OR SUCH BUSINESS UNIT (AS THE CASE MAY BE) WITH EMPLOYEE’S KNOWLEDGE AT THE TIME OF EMPLOYEE’S TERMINATION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3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OF EMPLOYMENT.</w:t>
      </w:r>
    </w:p>
    <w:p>
      <w:pPr>
        <w:spacing w:after="0" w:line="58" w:lineRule="exact"/>
        <w:rPr>
          <w:sz w:val="20"/>
          <w:szCs w:val="20"/>
          <w:color w:val="auto"/>
        </w:rPr>
      </w:pPr>
    </w:p>
    <w:p>
      <w:pPr>
        <w:ind w:right="480" w:firstLine="1953"/>
        <w:spacing w:after="0" w:line="265" w:lineRule="auto"/>
        <w:tabs>
          <w:tab w:leader="none" w:pos="2421"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THIS RESTRICTION SHALL APPLY IN ANY GEOGRAPHICAL AREA OF THE WORLD IN WHICH THE COMPANY CARRIES OUT BUSINESS ACTIVITIES. EMPLOYEE AGREES THAT THE LACK OF ANY MORE SPECIFIC GEOGRAPHICAL LIMITATION HEREIN IS REASONABLE IN LIGHT OF THE BROAD GEOGRAPHICAL SCOPE OF THE ACTIVITIES CARRIED OUT BY THE COMPANY IN THE WORLD.</w:t>
      </w:r>
    </w:p>
    <w:p>
      <w:pPr>
        <w:spacing w:after="0" w:line="27" w:lineRule="exact"/>
        <w:rPr>
          <w:rFonts w:ascii="Arial" w:cs="Arial" w:eastAsia="Arial" w:hAnsi="Arial"/>
          <w:sz w:val="21"/>
          <w:szCs w:val="21"/>
          <w:color w:val="auto"/>
        </w:rPr>
      </w:pPr>
    </w:p>
    <w:p>
      <w:pPr>
        <w:ind w:right="20" w:firstLine="1953"/>
        <w:spacing w:after="0" w:line="290" w:lineRule="auto"/>
        <w:tabs>
          <w:tab w:leader="none" w:pos="2527" w:val="left"/>
        </w:tabs>
        <w:numPr>
          <w:ilvl w:val="1"/>
          <w:numId w:val="25"/>
        </w:numPr>
        <w:rPr>
          <w:rFonts w:ascii="Arial" w:cs="Arial" w:eastAsia="Arial" w:hAnsi="Arial"/>
          <w:sz w:val="19"/>
          <w:szCs w:val="19"/>
          <w:color w:val="auto"/>
        </w:rPr>
      </w:pPr>
      <w:r>
        <w:rPr>
          <w:rFonts w:ascii="Arial" w:cs="Arial" w:eastAsia="Arial" w:hAnsi="Arial"/>
          <w:sz w:val="19"/>
          <w:szCs w:val="19"/>
          <w:color w:val="auto"/>
        </w:rPr>
        <w:t>As a limited exception to the foregoing, Employee shall not be prohibited from engaging in activities for a Competitive Business if all of the following conditions are met: (A) Employee is engaged to perform activities which are materially inferior as to skill level and scope of responsibility to the skill level and scope of responsibility involved in the Employee’s employment hereunder; (B) the activities engaged in by Employee are not directly competitive with the activities engaged in by the Company or such division or business unit (as the case may be); (C) Employee provides the Company with at least thirty (30) days written notice prior to commencing performance of activities for the Competitive Business; and (D) Employee provides the Competitive Business with a copy of this Paragraph 12, and the Competitive Business gives the Company written assurance that it will not allow Employee to engage in any activities which would cause Employee to violate this Agreement.</w:t>
      </w:r>
    </w:p>
    <w:p>
      <w:pPr>
        <w:spacing w:after="0" w:line="305" w:lineRule="exact"/>
        <w:rPr>
          <w:rFonts w:ascii="Arial" w:cs="Arial" w:eastAsia="Arial" w:hAnsi="Arial"/>
          <w:sz w:val="19"/>
          <w:szCs w:val="19"/>
          <w:color w:val="auto"/>
        </w:rPr>
      </w:pPr>
    </w:p>
    <w:p>
      <w:pPr>
        <w:ind w:right="340" w:firstLine="1953"/>
        <w:spacing w:after="0" w:line="287" w:lineRule="auto"/>
        <w:tabs>
          <w:tab w:leader="none" w:pos="2527" w:val="left"/>
        </w:tabs>
        <w:numPr>
          <w:ilvl w:val="1"/>
          <w:numId w:val="25"/>
        </w:numPr>
        <w:rPr>
          <w:rFonts w:ascii="Arial" w:cs="Arial" w:eastAsia="Arial" w:hAnsi="Arial"/>
          <w:sz w:val="21"/>
          <w:szCs w:val="21"/>
          <w:color w:val="auto"/>
        </w:rPr>
      </w:pPr>
      <w:r>
        <w:rPr>
          <w:rFonts w:ascii="Arial" w:cs="Arial" w:eastAsia="Arial" w:hAnsi="Arial"/>
          <w:sz w:val="21"/>
          <w:szCs w:val="21"/>
          <w:color w:val="auto"/>
        </w:rPr>
        <w:t>Nothing herein shall prevent Employee from owning for investment up to five percent (5%) of any class of equity security of an entity whose securities are traded on a national securities exchange or market.</w:t>
      </w:r>
    </w:p>
    <w:p>
      <w:pPr>
        <w:spacing w:after="0" w:line="259" w:lineRule="exact"/>
        <w:rPr>
          <w:rFonts w:ascii="Arial" w:cs="Arial" w:eastAsia="Arial" w:hAnsi="Arial"/>
          <w:sz w:val="21"/>
          <w:szCs w:val="21"/>
          <w:color w:val="auto"/>
        </w:rPr>
      </w:pPr>
    </w:p>
    <w:p>
      <w:pPr>
        <w:ind w:right="40" w:firstLine="1305"/>
        <w:spacing w:after="0" w:line="260" w:lineRule="auto"/>
        <w:tabs>
          <w:tab w:leader="none" w:pos="1752"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Nothing contained in this Agreement (including, without limitation, subparagraph 12(d) and Paragraph 13)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275" w:lineRule="exact"/>
        <w:rPr>
          <w:rFonts w:ascii="Arial" w:cs="Arial" w:eastAsia="Arial" w:hAnsi="Arial"/>
          <w:sz w:val="21"/>
          <w:szCs w:val="21"/>
          <w:color w:val="auto"/>
        </w:rPr>
      </w:pPr>
    </w:p>
    <w:p>
      <w:pPr>
        <w:ind w:right="60" w:firstLine="1305"/>
        <w:spacing w:after="0" w:line="259" w:lineRule="auto"/>
        <w:tabs>
          <w:tab w:leader="none" w:pos="1765" w:val="left"/>
        </w:tabs>
        <w:numPr>
          <w:ilvl w:val="0"/>
          <w:numId w:val="26"/>
        </w:numPr>
        <w:rPr>
          <w:rFonts w:ascii="Arial" w:cs="Arial" w:eastAsia="Arial" w:hAnsi="Arial"/>
          <w:sz w:val="21"/>
          <w:szCs w:val="21"/>
          <w:color w:val="auto"/>
        </w:rPr>
      </w:pPr>
      <w:r>
        <w:rPr>
          <w:rFonts w:ascii="Arial" w:cs="Arial" w:eastAsia="Arial" w:hAnsi="Arial"/>
          <w:sz w:val="21"/>
          <w:szCs w:val="21"/>
          <w:color w:val="auto"/>
        </w:rPr>
        <w:t>Except as provided in subparagraph 12(c),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32" w:right="239" w:bottom="1440" w:gutter="0" w:footer="0" w:header="0"/>
        </w:sectPr>
      </w:pPr>
    </w:p>
    <w:bookmarkStart w:id="68" w:name="page69"/>
    <w:bookmarkEnd w:id="68"/>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and except as provided in subparagraph 12(c),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(i) complying with a valid subpoena or other legal requirement for disclosure of confidential information, provided that, except as provided in subparagraph 12(c), Employee shall use good faith efforts to notify the Company promptly and in advance of disclosure if Employee believes Employee is under a legal requirement to disclose confidential information otherwise protected from disclosure under this subparagraph; or (ii)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305"/>
        <w:spacing w:after="0" w:line="259" w:lineRule="auto"/>
        <w:tabs>
          <w:tab w:leader="none" w:pos="1752" w:val="left"/>
        </w:tabs>
        <w:numPr>
          <w:ilvl w:val="0"/>
          <w:numId w:val="27"/>
        </w:numPr>
        <w:rPr>
          <w:rFonts w:ascii="Arial" w:cs="Arial" w:eastAsia="Arial" w:hAnsi="Arial"/>
          <w:sz w:val="21"/>
          <w:szCs w:val="21"/>
          <w:color w:val="auto"/>
        </w:rPr>
      </w:pPr>
      <w:r>
        <w:rPr>
          <w:rFonts w:ascii="Arial" w:cs="Arial" w:eastAsia="Arial" w:hAnsi="Arial"/>
          <w:sz w:val="21"/>
          <w:szCs w:val="21"/>
          <w:color w:val="auto"/>
        </w:rPr>
        <w:t>Employee acknowledges that the restrictions contained in this Paragraph 12,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firstLine="1305"/>
        <w:spacing w:after="0" w:line="261" w:lineRule="auto"/>
        <w:tabs>
          <w:tab w:leader="none" w:pos="1728" w:val="left"/>
        </w:tabs>
        <w:numPr>
          <w:ilvl w:val="1"/>
          <w:numId w:val="28"/>
        </w:numPr>
        <w:rPr>
          <w:rFonts w:ascii="Arial" w:cs="Arial" w:eastAsia="Arial" w:hAnsi="Arial"/>
          <w:sz w:val="21"/>
          <w:szCs w:val="21"/>
          <w:color w:val="auto"/>
        </w:rPr>
      </w:pPr>
      <w:r>
        <w:rPr>
          <w:rFonts w:ascii="Arial" w:cs="Arial" w:eastAsia="Arial" w:hAnsi="Arial"/>
          <w:sz w:val="21"/>
          <w:szCs w:val="21"/>
          <w:color w:val="auto"/>
        </w:rPr>
        <w:t>Employee agrees that if any portion of the restrictions contained in this Paragraph 12,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 w:lineRule="exact"/>
        <w:rPr>
          <w:rFonts w:ascii="Arial" w:cs="Arial" w:eastAsia="Arial" w:hAnsi="Arial"/>
          <w:sz w:val="21"/>
          <w:szCs w:val="21"/>
          <w:color w:val="auto"/>
        </w:rPr>
      </w:pPr>
    </w:p>
    <w:p>
      <w:pPr>
        <w:ind w:right="200" w:firstLine="1305"/>
        <w:spacing w:after="0" w:line="253" w:lineRule="auto"/>
        <w:tabs>
          <w:tab w:leader="none" w:pos="1765" w:val="left"/>
        </w:tabs>
        <w:numPr>
          <w:ilvl w:val="1"/>
          <w:numId w:val="28"/>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334" w:lineRule="exact"/>
        <w:rPr>
          <w:rFonts w:ascii="Arial" w:cs="Arial" w:eastAsia="Arial" w:hAnsi="Arial"/>
          <w:sz w:val="22"/>
          <w:szCs w:val="22"/>
          <w:color w:val="auto"/>
        </w:rPr>
      </w:pPr>
    </w:p>
    <w:p>
      <w:pPr>
        <w:ind w:left="540" w:hanging="532"/>
        <w:spacing w:after="0"/>
        <w:tabs>
          <w:tab w:leader="none" w:pos="5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Prohibited Public Statements</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60" w:firstLine="1305"/>
        <w:spacing w:after="0" w:line="250" w:lineRule="auto"/>
        <w:tabs>
          <w:tab w:leader="none" w:pos="1752"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provided in subparagraph 12(c), Employee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Employee’s employment he may be required to make in the ordinary course of his employment.</w:t>
      </w:r>
    </w:p>
    <w:p>
      <w:pPr>
        <w:spacing w:after="0" w:line="26" w:lineRule="exact"/>
        <w:rPr>
          <w:rFonts w:ascii="Arial" w:cs="Arial" w:eastAsia="Arial" w:hAnsi="Arial"/>
          <w:sz w:val="22"/>
          <w:szCs w:val="22"/>
          <w:color w:val="auto"/>
        </w:rPr>
      </w:pPr>
    </w:p>
    <w:p>
      <w:pPr>
        <w:ind w:right="140" w:firstLine="1305"/>
        <w:spacing w:after="0" w:line="253" w:lineRule="auto"/>
        <w:tabs>
          <w:tab w:leader="none" w:pos="1761"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shall not, either during or at any time after the termination of his employment, make any public statement (including a private statement reasonably likely to be repeated publicly) reflecting adversely on Employee, except for truthful statements which the Company is required to make by law.</w:t>
      </w:r>
    </w:p>
    <w:p>
      <w:pPr>
        <w:spacing w:after="0" w:line="334" w:lineRule="exact"/>
        <w:rPr>
          <w:rFonts w:ascii="Arial" w:cs="Arial" w:eastAsia="Arial" w:hAnsi="Arial"/>
          <w:sz w:val="22"/>
          <w:szCs w:val="22"/>
          <w:color w:val="auto"/>
        </w:rPr>
      </w:pPr>
    </w:p>
    <w:p>
      <w:pPr>
        <w:ind w:left="500" w:hanging="492"/>
        <w:spacing w:after="0"/>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left="1760" w:hanging="455"/>
        <w:spacing w:after="0"/>
        <w:tabs>
          <w:tab w:leader="none" w:pos="17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368" w:lineRule="exact"/>
        <w:rPr>
          <w:rFonts w:ascii="Arial" w:cs="Arial" w:eastAsia="Arial" w:hAnsi="Arial"/>
          <w:sz w:val="22"/>
          <w:szCs w:val="22"/>
          <w:color w:val="auto"/>
        </w:rPr>
      </w:pPr>
    </w:p>
    <w:p>
      <w:pPr>
        <w:ind w:right="960" w:firstLine="1953"/>
        <w:spacing w:after="0" w:line="263" w:lineRule="auto"/>
        <w:tabs>
          <w:tab w:leader="none" w:pos="2365" w:val="left"/>
        </w:tabs>
        <w:numPr>
          <w:ilvl w:val="2"/>
          <w:numId w:val="29"/>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12" w:lineRule="exact"/>
        <w:rPr>
          <w:rFonts w:ascii="Arial" w:cs="Arial" w:eastAsia="Arial" w:hAnsi="Arial"/>
          <w:sz w:val="22"/>
          <w:szCs w:val="22"/>
          <w:color w:val="auto"/>
        </w:rPr>
      </w:pPr>
    </w:p>
    <w:p>
      <w:pPr>
        <w:ind w:left="2440" w:hanging="487"/>
        <w:spacing w:after="0"/>
        <w:tabs>
          <w:tab w:leader="none" w:pos="2440" w:val="left"/>
        </w:tabs>
        <w:numPr>
          <w:ilvl w:val="2"/>
          <w:numId w:val="29"/>
        </w:numPr>
        <w:rPr>
          <w:rFonts w:ascii="Arial" w:cs="Arial" w:eastAsia="Arial" w:hAnsi="Arial"/>
          <w:sz w:val="19"/>
          <w:szCs w:val="19"/>
          <w:color w:val="auto"/>
        </w:rPr>
      </w:pPr>
      <w:r>
        <w:rPr>
          <w:rFonts w:ascii="Arial" w:cs="Arial" w:eastAsia="Arial" w:hAnsi="Arial"/>
          <w:sz w:val="19"/>
          <w:szCs w:val="19"/>
          <w:color w:val="auto"/>
        </w:rPr>
        <w:t>Subject to equitable principles, this Agreement is enforceable against Employee in accordance with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53" w:lineRule="exact"/>
        <w:rPr>
          <w:rFonts w:ascii="Arial" w:cs="Arial" w:eastAsia="Arial" w:hAnsi="Arial"/>
          <w:sz w:val="19"/>
          <w:szCs w:val="19"/>
          <w:color w:val="auto"/>
        </w:rPr>
      </w:pPr>
    </w:p>
    <w:p>
      <w:pPr>
        <w:ind w:right="460" w:firstLine="1953"/>
        <w:spacing w:after="0" w:line="263" w:lineRule="auto"/>
        <w:tabs>
          <w:tab w:leader="none" w:pos="2481"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This Agreement does not conflict with, violate or give rise to any rights of third parties under, any agreement, order, decree or judgment to which Employee is a party or by which Employee is bound.</w:t>
      </w:r>
    </w:p>
    <w:p>
      <w:pPr>
        <w:spacing w:after="0" w:line="12" w:lineRule="exact"/>
        <w:rPr>
          <w:rFonts w:ascii="Arial" w:cs="Arial" w:eastAsia="Arial" w:hAnsi="Arial"/>
          <w:sz w:val="22"/>
          <w:szCs w:val="22"/>
          <w:color w:val="auto"/>
        </w:rPr>
      </w:pPr>
    </w:p>
    <w:p>
      <w:pPr>
        <w:ind w:left="1760" w:hanging="455"/>
        <w:spacing w:after="0"/>
        <w:tabs>
          <w:tab w:leader="none" w:pos="17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368" w:lineRule="exact"/>
        <w:rPr>
          <w:rFonts w:ascii="Arial" w:cs="Arial" w:eastAsia="Arial" w:hAnsi="Arial"/>
          <w:sz w:val="22"/>
          <w:szCs w:val="22"/>
          <w:color w:val="auto"/>
        </w:rPr>
      </w:pPr>
    </w:p>
    <w:p>
      <w:pPr>
        <w:ind w:left="2380" w:hanging="427"/>
        <w:spacing w:after="0"/>
        <w:tabs>
          <w:tab w:leader="none" w:pos="2380" w:val="left"/>
        </w:tabs>
        <w:numPr>
          <w:ilvl w:val="2"/>
          <w:numId w:val="29"/>
        </w:numPr>
        <w:rPr>
          <w:rFonts w:ascii="Arial" w:cs="Arial" w:eastAsia="Arial" w:hAnsi="Arial"/>
          <w:sz w:val="19"/>
          <w:szCs w:val="19"/>
          <w:color w:val="auto"/>
        </w:rPr>
      </w:pPr>
      <w:r>
        <w:rPr>
          <w:rFonts w:ascii="Arial" w:cs="Arial" w:eastAsia="Arial" w:hAnsi="Arial"/>
          <w:sz w:val="19"/>
          <w:szCs w:val="19"/>
          <w:color w:val="auto"/>
        </w:rPr>
        <w:t>Subject to equitable principles, this Agreement is enforceable against the Company in accordance with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terms.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3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10.2</w:t>
      </w:r>
    </w:p>
    <w:p>
      <w:pPr>
        <w:spacing w:after="0" w:line="368" w:lineRule="exact"/>
        <w:rPr>
          <w:sz w:val="20"/>
          <w:szCs w:val="20"/>
          <w:color w:val="auto"/>
        </w:rPr>
      </w:pPr>
    </w:p>
    <w:p>
      <w:pPr>
        <w:ind w:right="540" w:firstLine="1953"/>
        <w:spacing w:after="0" w:line="263" w:lineRule="auto"/>
        <w:tabs>
          <w:tab w:leader="none" w:pos="2421"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This Agreement does not conflict with, violate or give rise to any rights to third parties under, any agreement, order, decree or judgment to which the Company is a party or by which it is bound.</w:t>
      </w:r>
    </w:p>
    <w:p>
      <w:pPr>
        <w:spacing w:after="0" w:line="80" w:lineRule="exact"/>
        <w:rPr>
          <w:rFonts w:ascii="Arial" w:cs="Arial" w:eastAsia="Arial" w:hAnsi="Arial"/>
          <w:sz w:val="22"/>
          <w:szCs w:val="22"/>
          <w:color w:val="auto"/>
        </w:rPr>
      </w:pPr>
    </w:p>
    <w:p>
      <w:pPr>
        <w:ind w:right="180" w:firstLine="8"/>
        <w:spacing w:after="0" w:line="297" w:lineRule="auto"/>
        <w:tabs>
          <w:tab w:leader="none" w:pos="48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Law</w:t>
      </w:r>
      <w:r>
        <w:rPr>
          <w:rFonts w:ascii="Arial" w:cs="Arial" w:eastAsia="Arial" w:hAnsi="Arial"/>
          <w:sz w:val="19"/>
          <w:szCs w:val="19"/>
          <w:color w:val="auto"/>
        </w:rPr>
        <w:t>. Notwithstanding any provision of this Agreement to the contrary, the parties agree that in the event of a change in law, or the issuance by the Internal Revenue Service or other governmental agency of any guidance, regulation or other interpretation, that would require this Agreement or any deferred compensation plan or arrangement of the Company in which the Employee participates be changed to remain in compliance with Internal Revenue Code 409A, the parties agree to make such changes to this Agreement or such plans or arrangements as are necessary or required to effect such changes.</w:t>
      </w:r>
    </w:p>
    <w:p>
      <w:pPr>
        <w:spacing w:after="0" w:line="52" w:lineRule="exact"/>
        <w:rPr>
          <w:rFonts w:ascii="Arial" w:cs="Arial" w:eastAsia="Arial" w:hAnsi="Arial"/>
          <w:sz w:val="19"/>
          <w:szCs w:val="19"/>
          <w:color w:val="auto"/>
        </w:rPr>
      </w:pPr>
    </w:p>
    <w:p>
      <w:pPr>
        <w:ind w:left="500" w:hanging="492"/>
        <w:spacing w:after="0"/>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right="80" w:firstLine="1305"/>
        <w:spacing w:after="0" w:line="288" w:lineRule="auto"/>
        <w:tabs>
          <w:tab w:leader="none" w:pos="1749"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Company will require any successor (whether direct or indirect, by purchase, merger, consolidation or otherwise) to all or substantially all of the businesses and/or assets of the Company, by agreement in form and substance satisfactory to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Employee to compensation from the Company in the same amount and on the same terms as he would be entitled to hereunder pursuant to subparagraph 11(d), except that for purposes of implementing the foregoing the date on which any such succession becomes effective shall be deemed the Date of Termination. As used in this Agreement, “Company” shall mean the Company and any successor to its businesses and/or assets which executes and delivers the agreement provided for in this Paragraph 16 or which otherwise becomes bound by all the terms and provisions of this Agreement by operation of law.</w:t>
      </w:r>
    </w:p>
    <w:p>
      <w:pPr>
        <w:spacing w:after="0" w:line="65" w:lineRule="exact"/>
        <w:rPr>
          <w:rFonts w:ascii="Arial" w:cs="Arial" w:eastAsia="Arial" w:hAnsi="Arial"/>
          <w:sz w:val="19"/>
          <w:szCs w:val="19"/>
          <w:color w:val="auto"/>
        </w:rPr>
      </w:pPr>
    </w:p>
    <w:p>
      <w:pPr>
        <w:ind w:right="160" w:firstLine="1305"/>
        <w:spacing w:after="0" w:line="263" w:lineRule="auto"/>
        <w:tabs>
          <w:tab w:leader="none" w:pos="1819"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This Agreement and all rights of Employee hereunder shall inure to the benefit of and shall be binding upon Employee’s personal or legal representatives, executors, administrators, successors, heirs, distributees, devisees and legatees. If Employee should die while any amounts would still be payable to him hereunder if he had continued to live, all such amounts, unless otherwise provided herein, shall be paid in accordance with the terms of this Agreement to Employee’s designee or, if there be no such designee, to Employee’s estate.</w:t>
      </w:r>
    </w:p>
    <w:p>
      <w:pPr>
        <w:spacing w:after="0" w:line="81" w:lineRule="exact"/>
        <w:rPr>
          <w:rFonts w:ascii="Arial" w:cs="Arial" w:eastAsia="Arial" w:hAnsi="Arial"/>
          <w:sz w:val="21"/>
          <w:szCs w:val="21"/>
          <w:color w:val="auto"/>
        </w:rPr>
      </w:pPr>
    </w:p>
    <w:p>
      <w:pPr>
        <w:ind w:firstLine="8"/>
        <w:spacing w:after="0" w:line="260" w:lineRule="auto"/>
        <w:tabs>
          <w:tab w:leader="none" w:pos="48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Jurisdiction</w:t>
      </w:r>
      <w:r>
        <w:rPr>
          <w:rFonts w:ascii="Arial" w:cs="Arial" w:eastAsia="Arial" w:hAnsi="Arial"/>
          <w:sz w:val="21"/>
          <w:szCs w:val="21"/>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10.2</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constitutes proper legal service of process under applicable law in any such action or proceeding.</w:t>
      </w:r>
    </w:p>
    <w:p>
      <w:pPr>
        <w:spacing w:after="0" w:line="125" w:lineRule="exact"/>
        <w:rPr>
          <w:sz w:val="20"/>
          <w:szCs w:val="20"/>
          <w:color w:val="auto"/>
        </w:rPr>
      </w:pPr>
    </w:p>
    <w:p>
      <w:pPr>
        <w:ind w:right="40" w:firstLine="8"/>
        <w:spacing w:after="0" w:line="250" w:lineRule="auto"/>
        <w:tabs>
          <w:tab w:leader="none" w:pos="48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Governing Law; Litigation Costs</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maintaining such action, including reasonable attorneys’ fees.</w:t>
      </w:r>
    </w:p>
    <w:p>
      <w:pPr>
        <w:spacing w:after="0" w:line="350" w:lineRule="exact"/>
        <w:rPr>
          <w:rFonts w:ascii="Arial" w:cs="Arial" w:eastAsia="Arial" w:hAnsi="Arial"/>
          <w:sz w:val="22"/>
          <w:szCs w:val="22"/>
          <w:color w:val="auto"/>
        </w:rPr>
      </w:pPr>
    </w:p>
    <w:p>
      <w:pPr>
        <w:ind w:right="360" w:firstLine="8"/>
        <w:spacing w:after="0" w:line="253" w:lineRule="auto"/>
        <w:tabs>
          <w:tab w:leader="none" w:pos="48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referred to in this Agreement shall be given in writing and shall be effective: (a) if given by fax, when transmitted to the number below and an appropriate facsimile confirmation is received; or (b) if given by registered or certified mail, when received at the following address (with an appropriate receipt received):</w:t>
      </w:r>
    </w:p>
    <w:p>
      <w:pPr>
        <w:spacing w:after="0" w:line="3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 to:</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c/o Comcast Corporation</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(215) 286-7794; and</w:t>
      </w:r>
    </w:p>
    <w:p>
      <w:pPr>
        <w:spacing w:after="0" w:line="368" w:lineRule="exact"/>
        <w:rPr>
          <w:sz w:val="20"/>
          <w:szCs w:val="20"/>
          <w:color w:val="auto"/>
        </w:rPr>
      </w:pPr>
    </w:p>
    <w:p>
      <w:pPr>
        <w:ind w:left="440" w:right="3740" w:firstLine="864"/>
        <w:spacing w:after="0" w:line="448" w:lineRule="auto"/>
        <w:rPr>
          <w:sz w:val="20"/>
          <w:szCs w:val="20"/>
          <w:color w:val="auto"/>
        </w:rPr>
      </w:pPr>
      <w:r>
        <w:rPr>
          <w:rFonts w:ascii="Arial" w:cs="Arial" w:eastAsia="Arial" w:hAnsi="Arial"/>
          <w:sz w:val="22"/>
          <w:szCs w:val="22"/>
          <w:color w:val="auto"/>
        </w:rPr>
        <w:t>if to Employee to: Employee’s address and fax number as indicated in the Company’s records from time to time.</w:t>
      </w:r>
    </w:p>
    <w:p>
      <w:pPr>
        <w:spacing w:after="0" w:line="1" w:lineRule="exact"/>
        <w:rPr>
          <w:sz w:val="20"/>
          <w:szCs w:val="20"/>
          <w:color w:val="auto"/>
        </w:rPr>
      </w:pPr>
    </w:p>
    <w:p>
      <w:pPr>
        <w:ind w:right="60" w:firstLine="8"/>
        <w:spacing w:after="0" w:line="248" w:lineRule="auto"/>
        <w:tabs>
          <w:tab w:leader="none" w:pos="48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with respect to the subject matter hereof. This Agreement supersedes and replaces in its entirety the 2005 Agreement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92" w:lineRule="exact"/>
        <w:rPr>
          <w:rFonts w:ascii="Arial" w:cs="Arial" w:eastAsia="Arial" w:hAnsi="Arial"/>
          <w:sz w:val="22"/>
          <w:szCs w:val="22"/>
          <w:color w:val="auto"/>
        </w:rPr>
      </w:pPr>
    </w:p>
    <w:p>
      <w:pPr>
        <w:ind w:right="60" w:firstLine="8"/>
        <w:spacing w:after="0" w:line="302" w:lineRule="auto"/>
        <w:tabs>
          <w:tab w:leader="none" w:pos="4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contained in this Agreement. Moreover, the failure of either party to exercise any right hereunder shall not bar the later exercise thereof.</w:t>
      </w:r>
    </w:p>
    <w:p>
      <w:pPr>
        <w:spacing w:after="0" w:line="142" w:lineRule="exact"/>
        <w:rPr>
          <w:rFonts w:ascii="Arial" w:cs="Arial" w:eastAsia="Arial" w:hAnsi="Arial"/>
          <w:sz w:val="19"/>
          <w:szCs w:val="19"/>
          <w:color w:val="auto"/>
        </w:rPr>
      </w:pPr>
    </w:p>
    <w:p>
      <w:pPr>
        <w:ind w:right="140" w:firstLine="8"/>
        <w:spacing w:after="0" w:line="312" w:lineRule="auto"/>
        <w:tabs>
          <w:tab w:leader="none" w:pos="4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Nonalienation</w:t>
      </w:r>
      <w:r>
        <w:rPr>
          <w:rFonts w:ascii="Arial" w:cs="Arial" w:eastAsia="Arial" w:hAnsi="Arial"/>
          <w:sz w:val="19"/>
          <w:szCs w:val="19"/>
          <w:color w:val="auto"/>
        </w:rPr>
        <w:t>. Employee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Agreement shall preclude Employee from designating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3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6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beneficiary to receive any benefit payable hereunder upon his death, or the executors, administrators or other legal representatives of Employee or his estate from assigning any rights hereunder to which they become entitled to the person or persons entitled thereto.</w:t>
      </w:r>
    </w:p>
    <w:p>
      <w:pPr>
        <w:spacing w:after="0" w:line="186" w:lineRule="exact"/>
        <w:rPr>
          <w:sz w:val="20"/>
          <w:szCs w:val="20"/>
          <w:color w:val="auto"/>
        </w:rPr>
      </w:pPr>
    </w:p>
    <w:p>
      <w:pPr>
        <w:ind w:right="320" w:firstLine="8"/>
        <w:spacing w:after="0" w:line="253" w:lineRule="auto"/>
        <w:tabs>
          <w:tab w:leader="none" w:pos="48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Continuation of Covenants</w:t>
      </w:r>
      <w:r>
        <w:rPr>
          <w:rFonts w:ascii="Arial" w:cs="Arial" w:eastAsia="Arial" w:hAnsi="Arial"/>
          <w:sz w:val="22"/>
          <w:szCs w:val="22"/>
          <w:color w:val="auto"/>
        </w:rPr>
        <w:t>. The covenants and agreements of the parties set forth in Paragraphs 10, 11, 12 and 13 shall survive the Term and any termination of employment, shall continue thereafter, and shall not expire unless and except as may be expressly set forth therein</w:t>
      </w:r>
    </w:p>
    <w:p>
      <w:pPr>
        <w:spacing w:after="0" w:line="200" w:lineRule="exact"/>
        <w:rPr>
          <w:rFonts w:ascii="Arial" w:cs="Arial" w:eastAsia="Arial" w:hAnsi="Arial"/>
          <w:sz w:val="22"/>
          <w:szCs w:val="22"/>
          <w:color w:val="auto"/>
        </w:rPr>
      </w:pPr>
    </w:p>
    <w:p>
      <w:pPr>
        <w:spacing w:after="0" w:line="255" w:lineRule="exact"/>
        <w:rPr>
          <w:rFonts w:ascii="Arial" w:cs="Arial" w:eastAsia="Arial" w:hAnsi="Arial"/>
          <w:sz w:val="22"/>
          <w:szCs w:val="22"/>
          <w:color w:val="auto"/>
        </w:rPr>
      </w:pPr>
    </w:p>
    <w:p>
      <w:pPr>
        <w:ind w:right="40" w:firstLine="8"/>
        <w:spacing w:after="0" w:line="250" w:lineRule="auto"/>
        <w:tabs>
          <w:tab w:leader="none" w:pos="48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3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63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3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EMPLOYEE:</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356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3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368"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571"/>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368" w:right="359" w:bottom="1440" w:gutter="0" w:footer="0" w:header="0"/>
        </w:sectPr>
      </w:pPr>
    </w:p>
    <w:bookmarkStart w:id="77" w:name="page78"/>
    <w:bookmarkEnd w:id="7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78" w:name="page79"/>
    <w:bookmarkEnd w:id="78"/>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c"/>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2"/>
    </w:lvl>
    <w:lvl w:ilvl="1">
      <w:lvlJc w:val="left"/>
      <w:lvlText w:val="•"/>
      <w:numFmt w:val="bullet"/>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
      <w:numFmt w:val="bullet"/>
      <w:start w:val="1"/>
    </w:lvl>
    <w:lvl w:ilvl="1">
      <w:lvlJc w:val="left"/>
      <w:lvlText w:val="%2"/>
      <w:numFmt w:val="decimal"/>
      <w:start w:val="101"/>
    </w:lvl>
  </w:abstractNum>
  <w:abstractNum w:abstractNumId="9">
    <w:nsid w:val="79838CB2"/>
    <w:multiLevelType w:val="hybridMultilevel"/>
    <w:lvl w:ilvl="0">
      <w:lvlJc w:val="left"/>
      <w:lvlText w:val="%1"/>
      <w:numFmt w:val="decimal"/>
      <w:start w:val="10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decimal"/>
      <w:start w:val="1"/>
    </w:lvl>
    <w:lvl w:ilvl="1">
      <w:lvlJc w:val="left"/>
      <w:lvlText w:val="(%2)"/>
      <w:numFmt w:val="lowerLetter"/>
      <w:start w:val="1"/>
    </w:lvl>
  </w:abstractNum>
  <w:abstractNum w:abstractNumId="15">
    <w:nsid w:val="2CA88611"/>
    <w:multiLevelType w:val="hybridMultilevel"/>
    <w:lvl w:ilvl="0">
      <w:lvlJc w:val="left"/>
      <w:lvlText w:val="%1."/>
      <w:numFmt w:val="decimal"/>
      <w:start w:val="2"/>
    </w:lvl>
    <w:lvl w:ilvl="1">
      <w:lvlJc w:val="left"/>
      <w:lvlText w:val="(%2)"/>
      <w:numFmt w:val="lowerLetter"/>
      <w:start w:val="1"/>
    </w:lvl>
  </w:abstractNum>
  <w:abstractNum w:abstractNumId="16">
    <w:nsid w:val="836C40E"/>
    <w:multiLevelType w:val="hybridMultilevel"/>
    <w:lvl w:ilvl="0">
      <w:lvlJc w:val="left"/>
      <w:lvlText w:val="%1."/>
      <w:numFmt w:val="decimal"/>
      <w:start w:val="5"/>
    </w:lvl>
    <w:lvl w:ilvl="1">
      <w:lvlJc w:val="left"/>
      <w:lvlText w:val="(%2)"/>
      <w:numFmt w:val="lowerLetter"/>
      <w:start w:val="1"/>
    </w:lvl>
  </w:abstractNum>
  <w:abstractNum w:abstractNumId="17">
    <w:nsid w:val="2901D82"/>
    <w:multiLevelType w:val="hybridMultilevel"/>
    <w:lvl w:ilvl="0">
      <w:lvlJc w:val="left"/>
      <w:lvlText w:val="(%1)"/>
      <w:numFmt w:val="lowerLetter"/>
      <w:start w:val="1"/>
    </w:lvl>
    <w:lvl w:ilvl="1">
      <w:lvlJc w:val="left"/>
      <w:lvlText w:val="(%2)"/>
      <w:numFmt w:val="lowerRoman"/>
      <w:start w:val="1"/>
    </w:lvl>
  </w:abstractNum>
  <w:abstractNum w:abstractNumId="18">
    <w:nsid w:val="3A95F874"/>
    <w:multiLevelType w:val="hybridMultilevel"/>
    <w:lvl w:ilvl="0">
      <w:lvlJc w:val="left"/>
      <w:lvlText w:val="%1"/>
      <w:numFmt w:val="lowerLetter"/>
      <w:start w:val="1"/>
    </w:lvl>
    <w:lvl w:ilvl="1">
      <w:lvlJc w:val="left"/>
      <w:lvlText w:val="(%2)"/>
      <w:numFmt w:val="lowerRoman"/>
      <w:start w:val="1"/>
    </w:lvl>
  </w:abstractNum>
  <w:abstractNum w:abstractNumId="19">
    <w:nsid w:val="8138641"/>
    <w:multiLevelType w:val="hybridMultilevel"/>
    <w:lvl w:ilvl="0">
      <w:lvlJc w:val="left"/>
      <w:lvlText w:val="(%1)"/>
      <w:numFmt w:val="lowerLetter"/>
      <w:start w:val="5"/>
    </w:lvl>
    <w:lvl w:ilvl="1">
      <w:lvlJc w:val="left"/>
      <w:lvlText w:val="%2"/>
      <w:numFmt w:val="lowerRoman"/>
      <w:start w:val="1"/>
    </w:lvl>
  </w:abstractNum>
  <w:abstractNum w:abstractNumId="20">
    <w:nsid w:val="1E7FF52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
    <w:nsid w:val="7C3DBD3D"/>
    <w:multiLevelType w:val="hybridMultilevel"/>
    <w:lvl w:ilvl="0">
      <w:lvlJc w:val="left"/>
      <w:lvlText w:val="(%1)"/>
      <w:numFmt w:val="lowerLetter"/>
      <w:start w:val="3"/>
    </w:lvl>
    <w:lvl w:ilvl="1">
      <w:lvlJc w:val="left"/>
      <w:lvlText w:val="(%2)"/>
      <w:numFmt w:val="lowerRoman"/>
      <w:start w:val="1"/>
    </w:lvl>
  </w:abstractNum>
  <w:abstractNum w:abstractNumId="22">
    <w:nsid w:val="737B8DDC"/>
    <w:multiLevelType w:val="hybridMultilevel"/>
    <w:lvl w:ilvl="0">
      <w:lvlJc w:val="left"/>
      <w:lvlText w:val="%1"/>
      <w:numFmt w:val="decimal"/>
      <w:start w:val="1"/>
    </w:lvl>
    <w:lvl w:ilvl="1">
      <w:lvlJc w:val="left"/>
      <w:lvlText w:val="(%2)"/>
      <w:numFmt w:val="lowerLetter"/>
      <w:start w:val="5"/>
    </w:lvl>
  </w:abstractNum>
  <w:abstractNum w:abstractNumId="23">
    <w:nsid w:val="6CEAF087"/>
    <w:multiLevelType w:val="hybridMultilevel"/>
    <w:lvl w:ilvl="0">
      <w:lvlJc w:val="left"/>
      <w:lvlText w:val="%1."/>
      <w:numFmt w:val="decimal"/>
      <w:start w:val="12"/>
    </w:lvl>
    <w:lvl w:ilvl="1">
      <w:lvlJc w:val="left"/>
      <w:lvlText w:val="(%2)"/>
      <w:numFmt w:val="lowerLetter"/>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2"/>
    </w:lvl>
  </w:abstractNum>
  <w:abstractNum w:abstractNumId="25">
    <w:nsid w:val="4516DDE9"/>
    <w:multiLevelType w:val="hybridMultilevel"/>
    <w:lvl w:ilvl="0">
      <w:lvlJc w:val="left"/>
      <w:lvlText w:val="(%1)"/>
      <w:numFmt w:val="lowerLetter"/>
      <w:start w:val="3"/>
    </w:lvl>
    <w:lvl w:ilvl="1">
      <w:lvlJc w:val="left"/>
      <w:lvlText w:val="%2"/>
      <w:numFmt w:val="lowerRoman"/>
      <w:start w:val="1"/>
    </w:lvl>
  </w:abstractNum>
  <w:abstractNum w:abstractNumId="26">
    <w:nsid w:val="3006C83E"/>
    <w:multiLevelType w:val="hybridMultilevel"/>
    <w:lvl w:ilvl="0">
      <w:lvlJc w:val="left"/>
      <w:lvlText w:val="(%1)"/>
      <w:numFmt w:val="lowerLetter"/>
      <w:start w:val="5"/>
    </w:lvl>
  </w:abstractNum>
  <w:abstractNum w:abstractNumId="27">
    <w:nsid w:val="614FD4A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8">
    <w:nsid w:val="419AC24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
    <w:nsid w:val="440BADFC"/>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31">
    <w:nsid w:val="5072367"/>
    <w:multiLevelType w:val="hybridMultilevel"/>
    <w:lvl w:ilvl="0">
      <w:lvlJc w:val="left"/>
      <w:lvlText w:val="%1."/>
      <w:numFmt w:val="decimal"/>
      <w:start w:val="18"/>
    </w:lvl>
  </w:abstractNum>
  <w:abstractNum w:abstractNumId="32">
    <w:nsid w:val="3804823E"/>
    <w:multiLevelType w:val="hybridMultilevel"/>
    <w:lvl w:ilvl="0">
      <w:lvlJc w:val="left"/>
      <w:lvlText w:val="%1."/>
      <w:numFmt w:val="decimal"/>
      <w:start w:val="20"/>
    </w:lvl>
  </w:abstractNum>
  <w:abstractNum w:abstractNumId="33">
    <w:nsid w:val="77465F01"/>
    <w:multiLevelType w:val="hybridMultilevel"/>
    <w:lvl w:ilvl="0">
      <w:lvlJc w:val="left"/>
      <w:lvlText w:val="%1."/>
      <w:numFmt w:val="decimal"/>
      <w:start w:val="23"/>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19" Type="http://schemas.openxmlformats.org/officeDocument/2006/relationships/hyperlink" Target="http://www.sec.gov/Archives/edgar/data/1166691/000116669117000013/a464312_12.htm" TargetMode="External"/><Relationship Id="rId20" Type="http://schemas.openxmlformats.org/officeDocument/2006/relationships/hyperlink" Target="http://www.sec.gov/Archives/edgar/data/1166691/000095010317004369/ex75970_ex1001.htm" TargetMode="External"/><Relationship Id="rId23" Type="http://schemas.openxmlformats.org/officeDocument/2006/relationships/hyperlink" Target="http://www.sec.gov/Archives/edgar/data/902739/000095010317004290/dp7583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2019-12-29T04:09:15Z</dcterms:created>
  <dcterms:modified xsi:type="dcterms:W3CDTF">2019-12-29T04:09:15Z</dcterms:modified>
</cp:coreProperties>
</file>