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0"/>
          <w:szCs w:val="40"/>
          <w:b w:val="1"/>
          <w:bCs w:val="1"/>
          <w:color w:val="auto"/>
        </w:rPr>
        <w:t>COMCAST CORPORATION</w:t>
      </w:r>
    </w:p>
    <w:p>
      <w:pPr>
        <w:spacing w:after="0" w:line="6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940" w:type="dxa"/>
        <w:tblCellMar>
          <w:top w:w="0" w:type="dxa"/>
          <w:left w:w="0" w:type="dxa"/>
          <w:bottom w:w="0" w:type="dxa"/>
          <w:right w:w="0" w:type="dxa"/>
        </w:tblCellMar>
      </w:tblPr>
      <w:tr>
        <w:trPr>
          <w:trHeight w:val="190"/>
        </w:trPr>
        <w:tc>
          <w:tcPr>
            <w:tcW w:w="314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001-32871</w:t>
            </w:r>
          </w:p>
        </w:tc>
        <w:tc>
          <w:tcPr>
            <w:tcW w:w="24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27-0000798</w:t>
            </w:r>
          </w:p>
        </w:tc>
      </w:tr>
      <w:tr>
        <w:trPr>
          <w:trHeight w:val="257"/>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00" w:type="dxa"/>
        <w:tblCellMar>
          <w:top w:w="0" w:type="dxa"/>
          <w:left w:w="0" w:type="dxa"/>
          <w:bottom w:w="0" w:type="dxa"/>
          <w:right w:w="0" w:type="dxa"/>
        </w:tblCellMar>
      </w:tblPr>
      <w:tr>
        <w:trPr>
          <w:trHeight w:val="175"/>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4880" w:type="dxa"/>
            <w:vAlign w:val="bottom"/>
          </w:tcPr>
          <w:p>
            <w:pPr>
              <w:spacing w:after="0"/>
              <w:rPr>
                <w:sz w:val="15"/>
                <w:szCs w:val="15"/>
                <w:color w:val="auto"/>
              </w:rPr>
            </w:pPr>
          </w:p>
        </w:tc>
      </w:tr>
      <w:tr>
        <w:trPr>
          <w:trHeight w:val="204"/>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Philadelphia, PA</w:t>
            </w:r>
          </w:p>
        </w:tc>
        <w:tc>
          <w:tcPr>
            <w:tcW w:w="4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19103-2838</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80" w:type="dxa"/>
            <w:vAlign w:val="bottom"/>
          </w:tcPr>
          <w:p>
            <w:pPr>
              <w:jc w:val="center"/>
              <w:ind w:left="4088"/>
              <w:spacing w:after="0"/>
              <w:rPr>
                <w:sz w:val="20"/>
                <w:szCs w:val="20"/>
                <w:color w:val="auto"/>
              </w:rPr>
            </w:pPr>
            <w:r>
              <w:rPr>
                <w:rFonts w:ascii="Times New Roman" w:cs="Times New Roman" w:eastAsia="Times New Roman" w:hAnsi="Times New Roman"/>
                <w:sz w:val="14"/>
                <w:szCs w:val="14"/>
                <w:color w:val="auto"/>
              </w:rPr>
              <w:t>(Zip code)</w:t>
            </w:r>
          </w:p>
        </w:tc>
      </w:tr>
      <w:tr>
        <w:trPr>
          <w:trHeight w:val="525"/>
        </w:trPr>
        <w:tc>
          <w:tcPr>
            <w:tcW w:w="2300" w:type="dxa"/>
            <w:vAlign w:val="bottom"/>
          </w:tcPr>
          <w:p>
            <w:pPr>
              <w:spacing w:after="0"/>
              <w:rPr>
                <w:sz w:val="24"/>
                <w:szCs w:val="24"/>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Thomas J. Reid</w:t>
            </w:r>
          </w:p>
        </w:tc>
      </w:tr>
      <w:tr>
        <w:trPr>
          <w:trHeight w:val="175"/>
        </w:trPr>
        <w:tc>
          <w:tcPr>
            <w:tcW w:w="2300" w:type="dxa"/>
            <w:vAlign w:val="bottom"/>
          </w:tcPr>
          <w:p>
            <w:pPr>
              <w:spacing w:after="0"/>
              <w:rPr>
                <w:sz w:val="15"/>
                <w:szCs w:val="15"/>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b w:val="1"/>
                <w:bCs w:val="1"/>
                <w:color w:val="auto"/>
              </w:rPr>
              <w:t>Chief Legal Officer and Secretary</w:t>
            </w:r>
          </w:p>
        </w:tc>
      </w:tr>
      <w:tr>
        <w:trPr>
          <w:trHeight w:val="190"/>
        </w:trPr>
        <w:tc>
          <w:tcPr>
            <w:tcW w:w="2300" w:type="dxa"/>
            <w:vAlign w:val="bottom"/>
          </w:tcPr>
          <w:p>
            <w:pPr>
              <w:spacing w:after="0"/>
              <w:rPr>
                <w:sz w:val="16"/>
                <w:szCs w:val="16"/>
                <w:color w:val="auto"/>
              </w:rPr>
            </w:pPr>
          </w:p>
        </w:tc>
        <w:tc>
          <w:tcPr>
            <w:tcW w:w="4880" w:type="dxa"/>
            <w:vAlign w:val="bottom"/>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rPr>
              <w:t>(215) 286-1700</w:t>
            </w:r>
          </w:p>
        </w:tc>
      </w:tr>
      <w:tr>
        <w:trPr>
          <w:trHeight w:val="230"/>
        </w:trPr>
        <w:tc>
          <w:tcPr>
            <w:tcW w:w="2300" w:type="dxa"/>
            <w:vAlign w:val="bottom"/>
          </w:tcPr>
          <w:p>
            <w:pPr>
              <w:spacing w:after="0"/>
              <w:rPr>
                <w:sz w:val="19"/>
                <w:szCs w:val="19"/>
                <w:color w:val="auto"/>
              </w:rPr>
            </w:pPr>
          </w:p>
        </w:tc>
        <w:tc>
          <w:tcPr>
            <w:tcW w:w="4880" w:type="dxa"/>
            <w:vAlign w:val="bottom"/>
          </w:tcPr>
          <w:p>
            <w:pPr>
              <w:jc w:val="center"/>
              <w:ind w:right="1548"/>
              <w:spacing w:after="0"/>
              <w:rPr>
                <w:sz w:val="20"/>
                <w:szCs w:val="20"/>
                <w:color w:val="auto"/>
              </w:rPr>
            </w:pPr>
            <w:r>
              <w:rPr>
                <w:rFonts w:ascii="Times New Roman" w:cs="Times New Roman" w:eastAsia="Times New Roman" w:hAnsi="Times New Roman"/>
                <w:sz w:val="14"/>
                <w:szCs w:val="14"/>
                <w:color w:val="auto"/>
              </w:rPr>
              <w:t>(Name and telephone number, including area code,</w:t>
            </w:r>
          </w:p>
        </w:tc>
      </w:tr>
      <w:tr>
        <w:trPr>
          <w:trHeight w:val="189"/>
        </w:trPr>
        <w:tc>
          <w:tcPr>
            <w:tcW w:w="2300" w:type="dxa"/>
            <w:vAlign w:val="bottom"/>
          </w:tcPr>
          <w:p>
            <w:pPr>
              <w:spacing w:after="0"/>
              <w:rPr>
                <w:sz w:val="16"/>
                <w:szCs w:val="16"/>
                <w:color w:val="auto"/>
              </w:rPr>
            </w:pPr>
          </w:p>
        </w:tc>
        <w:tc>
          <w:tcPr>
            <w:tcW w:w="4880" w:type="dxa"/>
            <w:vAlign w:val="bottom"/>
          </w:tcPr>
          <w:p>
            <w:pPr>
              <w:jc w:val="center"/>
              <w:ind w:right="1568"/>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35" w:lineRule="exact"/>
        <w:rPr>
          <w:sz w:val="24"/>
          <w:szCs w:val="24"/>
          <w:color w:val="auto"/>
        </w:rPr>
      </w:pPr>
    </w:p>
    <w:p>
      <w:pPr>
        <w:ind w:left="20" w:right="860" w:firstLine="6"/>
        <w:spacing w:after="0" w:line="273" w:lineRule="exact"/>
        <w:tabs>
          <w:tab w:leader="none" w:pos="4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Comcast Corporation (“Comcast”) has issued a Conflict Minerals Report for the period from January 1, 2024 to December 31, 2024. A copy of the Conflict Minerals Report is filed as Exhibit 1.01 hereto and is available at </w:t>
      </w:r>
      <w:r>
        <w:rPr>
          <w:rFonts w:ascii="Times New Roman" w:cs="Times New Roman" w:eastAsia="Times New Roman" w:hAnsi="Times New Roman"/>
          <w:sz w:val="18"/>
          <w:szCs w:val="18"/>
          <w:i w:val="1"/>
          <w:iCs w:val="1"/>
          <w:color w:val="auto"/>
        </w:rPr>
        <w:t>https://www.cmcsa.com/financials/sec-filings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as required by Items 1.01 and 1.02 of this Form.</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33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2025</w:t>
            </w: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J. Reid</w:t>
            </w:r>
          </w:p>
        </w:tc>
      </w:tr>
      <w:tr>
        <w:trPr>
          <w:trHeight w:val="41"/>
        </w:trPr>
        <w:tc>
          <w:tcPr>
            <w:tcW w:w="3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r>
      <w:tr>
        <w:trPr>
          <w:trHeight w:val="237"/>
        </w:trPr>
        <w:tc>
          <w:tcPr>
            <w:tcW w:w="3120" w:type="dxa"/>
            <w:vAlign w:val="bottom"/>
          </w:tcPr>
          <w:p>
            <w:pPr>
              <w:spacing w:after="0"/>
              <w:rPr>
                <w:sz w:val="20"/>
                <w:szCs w:val="20"/>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Reid</w:t>
            </w:r>
          </w:p>
        </w:tc>
      </w:tr>
      <w:tr>
        <w:trPr>
          <w:trHeight w:val="283"/>
        </w:trPr>
        <w:tc>
          <w:tcPr>
            <w:tcW w:w="3120" w:type="dxa"/>
            <w:vAlign w:val="bottom"/>
          </w:tcPr>
          <w:p>
            <w:pPr>
              <w:spacing w:after="0"/>
              <w:rPr>
                <w:sz w:val="24"/>
                <w:szCs w:val="24"/>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Conflict Minerals Report (this “Report”) of Comcast Corporation ( “Comcast”, the “Company,” “we,” “us,” or “our”) for calendar year 2024 has been prepared in accordance with Rule 13p-1 under the Securities Exchange Act of 1934 (“Rule 13p-1”), as modified by guidance of the U.S. Securities and Exchange Commission (“SEC”) (the “Conflict Minerals Rule”).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Conflict Minerals Rule requires issuers to annually file a Form SD with the SEC to disclose information regarding the use and origin of “Conflict Minerals” necessary for the functionality or production of products manufactured or contracted to be manufactured by such issuer. Under the Conflict Minerals Rule, “Conflict Minerals” currently include columbite-tantalite (coltan), cassiterite, gold, wolframite, and also their derivatives, tantalum, tin and tungsten. We refer to gold, tantalum, tin and tungsten collectively as “3TG.” The purpose of the Conflict Minerals Rule is to discover if issuers’ use of 3TG may have directly or indirectly financed or benefited armed groups in the Democratic Republic of Congo and its adjoining countries (the “Covered Countries”).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Report describes the Company’s compliance program for products covered by the Conflict Minerals Rule, as well as steps taken to implement the compliance program, conduct in good faith an investigation as to the country of origin of the minerals used in the products that are within the scope of the Conflict Minerals Rule and perform due diligence on the source and chain of custody of such minerals (see “Product Description and Determination” below).</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Report is based on information available at the time of filing. This Report may contain forward-looking statements regarding steps to be taken in the future, and those statements are subject to risks and uncertainties. References to any website in this Form SD or Report do not incorporate information from that website into this filing.</w:t>
      </w:r>
    </w:p>
    <w:p>
      <w:pPr>
        <w:spacing w:after="0" w:line="20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Forward-looking statements are subject to risks and uncertainties that could cause actual actions or performance to differ materially from those expressed in the forward-looking statements. These risks and uncertainties include, but are not limited to, (1) the implementation of satisfactory traceability and other compliance measures by our direct and indirect suppliers on a timely basis or at all, (2) whether smelters and refiners and other market participants responsibly source conflict minerals, (3) internal and external resource constraints and (4) political and regulatory developments, whether in the Covered Countries, the United States or elsewhere. You are cautioned not to place undue reliance on these forward-looking statements, which speak only as of the date of filing of this Report. We do not intend, and undertake no obligation, to publish revised forward-looking statements to reflect events or circumstances after the date of filing of this Report or to reflect the occurrence of unanticipated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Description and Determination</w:t>
      </w:r>
    </w:p>
    <w:p>
      <w:pPr>
        <w:spacing w:after="0" w:line="26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due diligence measures set forth below were undertaken with respect to suppliers of the following products that the Company contracts to manufacture certain televisions, streaming devices and lighting fixtures (collectively, the “Covered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0" w:right="339" w:bottom="1440" w:gutter="0" w:footer="0" w:header="0"/>
        </w:sectPr>
      </w:pPr>
    </w:p>
    <w:bookmarkStart w:id="4" w:name="page5"/>
    <w:bookmarkEnd w:id="4"/>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After taking the due diligence measures described below, we are not able to determine whether the 3TG smelter/refiner facilities used in our supply chain sourced 3TG from the Covered Countries and, if so, whether that 3TG was sourced from recycled, scrap or other conflict-free sources.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24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In accordance with the Conflict Minerals Rule, our compliance process includes a Reasonable Country of Origin Inquiry (“RCOI”) seeking the location of the smelter/refiner facilities used to refine or process the 3TG used in the Covered Products.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the smelters and refiners that produce 3TG metals, and the mines from which the minerals are originally sourced, are many steps away from the Company in the supply chain, we rely on our suppliers to provide information to support our due diligence efforts. We have requested that the direct suppliers involved in our Covered Products conduct due diligence to identify the origin of the 3TG metals in the components or products they sell to us in seeking to ensure that the 3TG metals are sourced responsibly.</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conducted our RCOI based on the smelter information received from these suppliers. We then compared this information with the RCOI database compiled by the Responsible Minerals Initiative (“RMI”), an industry initiative of which we are a member. The RMI supports the collection of information, increased transparency, and smelter audits for due diligence over the mineral supply chain. Their RCOI database contains aggregated data on the origins of 3TG metals from smelters that conform with the RMI’s Responsible Minerals Assurance Process (“RMAP”). In some cases, information provided by our direct suppliers is incomplete, and suppliers are unable to confirm the country of origin information for 3TG metals. Based on data collected from the suppliers for the year ended December 31, 2024, we have reason to believe that 3TG metals contained in the Covered Products may have originated from one or more of the Covered Countries and were not from recycled or scrap sources.</w:t>
      </w:r>
    </w:p>
    <w:p>
      <w:pPr>
        <w:spacing w:after="0" w:line="2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Conflict Minerals Reporting Templates (“CMRT”) submitted by suppliers for the Covered Products and the smelter’s geographic location.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Comcast’s Due Diligence Framework</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have designed our due diligence measures with respect to the source and chain of custody of conflict minerals in the Covered Products to conform, in all material respects, with the internationally recognized five-step framework recommended by the Organization for Economic Cooperation and Development (“OECD”) in its </w:t>
      </w:r>
      <w:r>
        <w:rPr>
          <w:rFonts w:ascii="Times New Roman" w:cs="Times New Roman" w:eastAsia="Times New Roman" w:hAnsi="Times New Roman"/>
          <w:sz w:val="20"/>
          <w:szCs w:val="20"/>
          <w:i w:val="1"/>
          <w:iCs w:val="1"/>
          <w:color w:val="auto"/>
        </w:rPr>
        <w:t>Due Diligence Guidance for Responsible Supply Chains of Minerals from Conflict-Affected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High-Risk Areas</w:t>
      </w:r>
      <w:r>
        <w:rPr>
          <w:rFonts w:ascii="Times New Roman" w:cs="Times New Roman" w:eastAsia="Times New Roman" w:hAnsi="Times New Roman"/>
          <w:sz w:val="20"/>
          <w:szCs w:val="20"/>
          <w:color w:val="auto"/>
        </w:rPr>
        <w:t>, Third Edition (OECD, 2016) (the “OECD Framework”). These five steps are as follows: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1: Establish Strong Company Management Systems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date, we have taken the following steps to strengthen our company management systems with respect to Conflicts Minerals matters:</w:t>
      </w:r>
    </w:p>
    <w:p>
      <w:pPr>
        <w:spacing w:after="0" w:line="252" w:lineRule="exact"/>
        <w:rPr>
          <w:sz w:val="20"/>
          <w:szCs w:val="20"/>
          <w:color w:val="auto"/>
        </w:rPr>
      </w:pPr>
    </w:p>
    <w:p>
      <w:pPr>
        <w:jc w:val="both"/>
        <w:ind w:left="660" w:hanging="328"/>
        <w:spacing w:after="0" w:line="260"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Instituted a Conflicts Minerals Policy</w:t>
      </w:r>
      <w:r>
        <w:rPr>
          <w:rFonts w:ascii="Times New Roman" w:cs="Times New Roman" w:eastAsia="Times New Roman" w:hAnsi="Times New Roman"/>
          <w:sz w:val="20"/>
          <w:szCs w:val="20"/>
          <w:color w:val="auto"/>
        </w:rPr>
        <w:t>. We maintain a Conflict Minerals Policy (the “Conflict Minerals Policy”) with respect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Covered Products that sets forth (i) our support for sourcing conflict-free materials from the Covered Countries in accordance with the OECD Framework and (ii) our expectations of suppliers in support of our compliance activities. The Conflict Minerals Policy is publicly available at </w:t>
      </w:r>
      <w:r>
        <w:rPr>
          <w:rFonts w:ascii="Times New Roman" w:cs="Times New Roman" w:eastAsia="Times New Roman" w:hAnsi="Times New Roman"/>
          <w:sz w:val="20"/>
          <w:szCs w:val="20"/>
          <w:i w:val="1"/>
          <w:iCs w:val="1"/>
          <w:color w:val="auto"/>
        </w:rPr>
        <w:t>https://www.cmcsa.com/corporate-responsibility-reporting</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Created a Cross-Functional Working Group to Support Conflict Minerals Due Diligence</w:t>
      </w:r>
      <w:r>
        <w:rPr>
          <w:rFonts w:ascii="Times New Roman" w:cs="Times New Roman" w:eastAsia="Times New Roman" w:hAnsi="Times New Roman"/>
          <w:sz w:val="20"/>
          <w:szCs w:val="20"/>
          <w:color w:val="auto"/>
        </w:rPr>
        <w:t>. The implementation of our RCOI,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conducting due diligence on the source and chain of custody of conflict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6" w:right="339" w:bottom="1440" w:gutter="0" w:footer="0" w:header="0"/>
        </w:sectPr>
      </w:pPr>
    </w:p>
    <w:bookmarkStart w:id="5" w:name="page6"/>
    <w:bookmarkEnd w:id="5"/>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minerals in the Covered Products and identifying Covered Products are managed by a cross-functional working group that includes representatives across our primary business units from procurement, compliance, sustainability, accounting and legal departments (the “Conflict Minerals Working Group”). We have in the past also worked with specialist consultancy service providers to assist in tracking data, assessing risks and preparing our reporting information.</w:t>
      </w:r>
    </w:p>
    <w:p>
      <w:pPr>
        <w:spacing w:after="0" w:line="195" w:lineRule="exact"/>
        <w:rPr>
          <w:sz w:val="20"/>
          <w:szCs w:val="20"/>
          <w:color w:val="auto"/>
        </w:rPr>
      </w:pPr>
    </w:p>
    <w:p>
      <w:pPr>
        <w:jc w:val="both"/>
        <w:ind w:left="660" w:hanging="328"/>
        <w:spacing w:after="0" w:line="254"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Established a Conflict Minerals Supply Chain Due Diligence Process</w:t>
      </w:r>
      <w:r>
        <w:rPr>
          <w:rFonts w:ascii="Times New Roman" w:cs="Times New Roman" w:eastAsia="Times New Roman" w:hAnsi="Times New Roman"/>
          <w:sz w:val="20"/>
          <w:szCs w:val="20"/>
          <w:color w:val="auto"/>
        </w:rPr>
        <w:t>. We have requested that the direct suppliers involved in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Covered Products conduct due diligence to identify the origin of the 3TG metals in the components or products they sell to us in seeking to ensure that the 3TG metals are sourced responsibly. These suppliers are expected to extend a similar identification process to their own suppliers and cascade them down the supply chain until the origin of 3TG metals contained in the products supplied to us can be identified. These suppliers report their progress through the RMI’s CMRT. The CMRT is designed to identify the smelters from which any 3TG metals in each of the Covered Products are sourced.</w:t>
      </w:r>
    </w:p>
    <w:p>
      <w:pPr>
        <w:spacing w:after="0" w:line="213"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 a Company-level Grievance Mechanism for Reporting Concerns</w:t>
      </w:r>
      <w:r>
        <w:rPr>
          <w:rFonts w:ascii="Times New Roman" w:cs="Times New Roman" w:eastAsia="Times New Roman" w:hAnsi="Times New Roman"/>
          <w:sz w:val="20"/>
          <w:szCs w:val="20"/>
          <w:color w:val="auto"/>
        </w:rPr>
        <w:t>. Our Comcast NBCUniversal Listens and Sky Listens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programs outlined in our Code of Conduct (available at </w:t>
      </w:r>
      <w:r>
        <w:rPr>
          <w:rFonts w:ascii="Times New Roman" w:cs="Times New Roman" w:eastAsia="Times New Roman" w:hAnsi="Times New Roman"/>
          <w:sz w:val="20"/>
          <w:szCs w:val="20"/>
          <w:i w:val="1"/>
          <w:iCs w:val="1"/>
          <w:color w:val="auto"/>
        </w:rPr>
        <w:t>https://corporate.comcast.com/impact/values-integrity/integrity/code-of-conduct</w:t>
      </w:r>
      <w:r>
        <w:rPr>
          <w:rFonts w:ascii="Times New Roman" w:cs="Times New Roman" w:eastAsia="Times New Roman" w:hAnsi="Times New Roman"/>
          <w:sz w:val="20"/>
          <w:szCs w:val="20"/>
          <w:color w:val="auto"/>
        </w:rPr>
        <w:t>) provides a company-level grievance mechanism for reporting any concerns related to allegations of illegal or unethical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conduct or violations of Comcast’s Code of Conduct and policies, including those related to conflict minerals. It can be used by employees, contractors, suppliers’ employees or contractors, business partners or any other individual or organization to report concerns, anonymously if they prefer. Information on our Code of Conduct for Suppliers and Business Partners, which we communicate to our largest suppliers annually along with a note encouraging those suppliers to contact the Company directly or report through the grievance mechanism described above any concerns or reports of unethical conduct, is available on our website at </w:t>
      </w:r>
      <w:r>
        <w:rPr>
          <w:rFonts w:ascii="Times New Roman" w:cs="Times New Roman" w:eastAsia="Times New Roman" w:hAnsi="Times New Roman"/>
          <w:sz w:val="20"/>
          <w:szCs w:val="20"/>
          <w:i w:val="1"/>
          <w:iCs w:val="1"/>
          <w:color w:val="auto"/>
        </w:rPr>
        <w:t>https://corporate.comcast.com/impact/values-integrity/integrity/our-suppliers-and-business-partners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Collaboration with industry coalitions in support of our due diligence efforts</w:t>
      </w:r>
      <w:r>
        <w:rPr>
          <w:rFonts w:ascii="Times New Roman" w:cs="Times New Roman" w:eastAsia="Times New Roman" w:hAnsi="Times New Roman"/>
          <w:sz w:val="20"/>
          <w:szCs w:val="20"/>
          <w:color w:val="auto"/>
        </w:rPr>
        <w:t>. Comcast is a member of the Responsible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Alliance and the RMI and engages with these organizations to better understand best practices and help improve due diligence.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2: Identify and Assess Risks in the Supply Chain</w:t>
      </w:r>
    </w:p>
    <w:p>
      <w:pPr>
        <w:spacing w:after="0" w:line="26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To help identify and assess conflict minerals risks in our supply chain, we requested that the suppliers of Covered Products complete the CMRT. We then analyzed their responses, and if we identified disclosure-related risks, we followed up with such supplier to further assess.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individuals within the Conflict Minerals Working Group:</w:t>
      </w:r>
    </w:p>
    <w:p>
      <w:pPr>
        <w:spacing w:after="0" w:line="2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managed the collection of information reported on the CMRT;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coordinated follow-up communications with suppliers as needed;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additional information that may be available from other sources to evaluate for potential red flags and other risks.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also compared the smelters identified in our supplier responses with the RMI List of All Operational 3TG Smelters, the RMI Smelter Revision History List, the RMI List of Conformant Smelters and the RMI List of Active Smelters. These lists are maintained online by the RMI and are frequently updated to reflect changes in the reporting status of various smelters.</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CMRT submitted by suppliers for the Covered Products and the smelter’s geographic location.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3: Design and Implement a Strategy to Respond to Identified Risks</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Our strategy to respond to material identified risks in the supply chain includes a range of measures that form part of our due diligence process.</w:t>
      </w:r>
    </w:p>
    <w:p>
      <w:pPr>
        <w:spacing w:after="0" w:line="187" w:lineRule="exact"/>
        <w:rPr>
          <w:sz w:val="20"/>
          <w:szCs w:val="20"/>
          <w:color w:val="auto"/>
        </w:rPr>
      </w:pPr>
    </w:p>
    <w:p>
      <w:pPr>
        <w:ind w:left="66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 supplier responses to the CMRT and follow up with suppliers to request clarification or more complete responses where necessary.</w:t>
      </w:r>
    </w:p>
    <w:p>
      <w:pPr>
        <w:spacing w:after="0" w:line="19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potentially material risks are identified, we have communication processes to notify relevant management and engage with suppliers and request their commitment to corrective actions to manage these risks, including to improve data quality.</w:t>
      </w:r>
    </w:p>
    <w:p>
      <w:pPr>
        <w:spacing w:after="0" w:line="19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ask that, when suppliers of Covered Products identify smelters within the supply chain that are RMAP Non-Conformant, suppliers encourage the smelters to participate in the RMAP process or consider alternate sourcing arrangements.</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request CMRT data from any new direct suppliers of Covered Products as part of their onboarding process and qualification criteria.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4: Carry Out Independent Third-Party Audit of Smelter/Refiner’s Due Diligence Practices</w:t>
      </w:r>
    </w:p>
    <w:p>
      <w:pPr>
        <w:spacing w:after="0" w:line="26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We are a downstream consumer of 3TG and are many steps removed from the smelters that provide minerals and ores. Because we do not have a direct relationship with any smelter/refiner facilities for minerals contained in the Covered Products, we are unable to conduct audits of these entities. Instead, as recommended by the OECD Framework, we participate in industry initiatives for the development and implementation of a smelter/refiner audit program through our membership with the RMI, which administers the RMAP, which includes an audit.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5: Report Annually on Supply Chain Due Diligence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Report and the related Form SD are publicly available online at </w:t>
      </w:r>
      <w:r>
        <w:rPr>
          <w:rFonts w:ascii="Times New Roman" w:cs="Times New Roman" w:eastAsia="Times New Roman" w:hAnsi="Times New Roman"/>
          <w:sz w:val="20"/>
          <w:szCs w:val="20"/>
          <w:i w:val="1"/>
          <w:iCs w:val="1"/>
          <w:color w:val="auto"/>
        </w:rPr>
        <w:t>https://www.cmcsa.com/financials/sec-filings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Performed and Results</w:t>
      </w:r>
    </w:p>
    <w:p>
      <w:pPr>
        <w:spacing w:after="0" w:line="260"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With respect to the 2024 calendar year reporting period, we performed the following due diligence measures with respect to Covered Products:</w:t>
      </w:r>
    </w:p>
    <w:p>
      <w:pPr>
        <w:spacing w:after="0" w:line="200" w:lineRule="exact"/>
        <w:rPr>
          <w:sz w:val="20"/>
          <w:szCs w:val="20"/>
          <w:color w:val="auto"/>
        </w:rPr>
      </w:pPr>
    </w:p>
    <w:p>
      <w:pPr>
        <w:ind w:left="660" w:right="14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Collected information through the CMRT from suppliers on the smelters and refiners of conflict minerals that were reported to be in the supply chain during 2024;</w:t>
      </w:r>
    </w:p>
    <w:p>
      <w:pPr>
        <w:spacing w:after="0" w:line="199" w:lineRule="exact"/>
        <w:rPr>
          <w:rFonts w:ascii="Times New Roman" w:cs="Times New Roman" w:eastAsia="Times New Roman" w:hAnsi="Times New Roman"/>
          <w:sz w:val="20"/>
          <w:szCs w:val="20"/>
          <w:color w:val="auto"/>
        </w:rPr>
      </w:pPr>
    </w:p>
    <w:p>
      <w:pPr>
        <w:ind w:left="660" w:right="10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reported smelters and refiners to the list of smelters and refiners found by RMI to be conformant (or actively pursuing conformity) with the RMAP standards;</w:t>
      </w:r>
    </w:p>
    <w:p>
      <w:pPr>
        <w:spacing w:after="0" w:line="173" w:lineRule="exact"/>
        <w:rPr>
          <w:rFonts w:ascii="Times New Roman" w:cs="Times New Roman" w:eastAsia="Times New Roman" w:hAnsi="Times New Roman"/>
          <w:sz w:val="20"/>
          <w:szCs w:val="20"/>
          <w:color w:val="auto"/>
        </w:rPr>
      </w:pPr>
    </w:p>
    <w:p>
      <w:pPr>
        <w:ind w:left="660" w:right="72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available information from certain additional resources on the sourcing and due diligence practices of the reported smelters and refiners; and</w:t>
      </w:r>
    </w:p>
    <w:p>
      <w:pPr>
        <w:spacing w:after="0" w:line="173"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the RMI’s programs and initiatives, such as the RMAP, and attended RMI working group meetings and the RMI annual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20"/>
          <w:szCs w:val="20"/>
          <w:color w:val="auto"/>
        </w:rPr>
        <w:t>Our efforts to determine the mine or location of origin consisted of the due diligence measures described in this Report. As a downstream consumer of 3TG, we do not have a direct relationship with any of the reported smelters and refiners, and we relied upon our suppliers and third-party organizations such as RMI to review upstream information, including the mine or location of origin of necessary conflict minerals. We believe that seeking information about 3TG smelter/refiner facilities in our supply chain and otherwise participating in the RMI’s assessment program as described above represents a reasonable effort to determine the mines or locations of origin of 3TG in our supply chain.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received responses from 100% of the suppliers surveyed. The survey included 95 suppliers identified as potentially incorporating 3TG into Covered Products supplied to the Company. The relevant suppliers declared a total of 259 unique smelter names as the source of 3TG in the Covered Products. Of those smelters, 217 were designated as conformant under the RMAP as of December 31, 2024. However, we are unable to link specific smelters to our applicable products.</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Annex 1 contains a list of the unique smelter names disclosed to us by suppliers of the Covered Products and the smelter’s geographic location. Based on the information provided by the suppliers, from the RMAP and from other sources, we believe that the countries of origin of the conflict minerals contained in some of our Covered Products might include Covered Countries, as well as recycled and scrap sources.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Annex 2 contains the aggregated list of countries of origin of the conflict minerals used by the smelter facilities listed in Annex 1 based on input from RMI and our suppliers.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Continuous Improvement Efforts to Mitigate Risk</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recognize that efforts to reduce violence associated with conflict minerals are ongoing and require us to adapt to changing situations. We are committed to improving our compliance processes and engaging with suppliers of Covered Products.</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will continue to improve our compliance processes including, but not limited to, taking the following steps for the 2025 reporting year with respect to Covered Products:</w:t>
      </w:r>
    </w:p>
    <w:p>
      <w:pPr>
        <w:spacing w:after="0" w:line="187" w:lineRule="exact"/>
        <w:rPr>
          <w:sz w:val="20"/>
          <w:szCs w:val="20"/>
          <w:color w:val="auto"/>
        </w:rPr>
      </w:pPr>
    </w:p>
    <w:p>
      <w:pPr>
        <w:ind w:left="66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engage with our in-scope suppliers to gain better visibility of the country of origin and chain of custody of the 3TG used in our in-scope products.</w:t>
      </w:r>
    </w:p>
    <w:p>
      <w:pPr>
        <w:spacing w:after="0" w:line="19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use and encourage our in-scope suppliers to use publicly available tools from the RMI and to source from conflict-free smelters that are listed as conformant by the RMI.</w:t>
      </w:r>
    </w:p>
    <w:p>
      <w:pPr>
        <w:spacing w:after="0" w:line="19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work with our in-scope suppliers and engage with our supply chain to increase the quality of the data provided to us.</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be a member of the RMI and contribute to their various initiatives.</w:t>
      </w:r>
    </w:p>
    <w:p>
      <w:pPr>
        <w:spacing w:after="0" w:line="25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require our in-scope suppliers to adhere to applicable laws and regulations and support our due diligence efforts if their products do contain conflict minerals.</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review our policy and enhance our strategy with regards to conflict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5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Identified Smelters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259 identified Smelters, 217 were RMAP “Conformant” as of December 31, 2024)</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shd w:val="clear" w:color="auto" w:fill="203764"/>
          </w:tcPr>
          <w:p>
            <w:pPr>
              <w:ind w:left="40"/>
              <w:spacing w:after="0"/>
              <w:rPr>
                <w:sz w:val="20"/>
                <w:szCs w:val="20"/>
                <w:color w:val="auto"/>
              </w:rPr>
            </w:pPr>
            <w:r>
              <w:rPr>
                <w:rFonts w:ascii="Times New Roman" w:cs="Times New Roman" w:eastAsia="Times New Roman" w:hAnsi="Times New Roman"/>
                <w:sz w:val="20"/>
                <w:szCs w:val="20"/>
                <w:b w:val="1"/>
                <w:bCs w:val="1"/>
                <w:color w:val="FFFFFF"/>
              </w:rPr>
              <w:t>Metal</w:t>
            </w:r>
          </w:p>
        </w:tc>
        <w:tc>
          <w:tcPr>
            <w:tcW w:w="7320" w:type="dxa"/>
            <w:vAlign w:val="bottom"/>
            <w:tcBorders>
              <w:top w:val="single" w:sz="8" w:color="auto"/>
              <w:bottom w:val="single" w:sz="8" w:color="auto"/>
              <w:right w:val="single" w:sz="8" w:color="auto"/>
            </w:tcBorders>
            <w:shd w:val="clear" w:color="auto" w:fill="203764"/>
          </w:tcPr>
          <w:p>
            <w:pPr>
              <w:spacing w:after="0"/>
              <w:rPr>
                <w:sz w:val="20"/>
                <w:szCs w:val="20"/>
                <w:color w:val="auto"/>
              </w:rPr>
            </w:pPr>
            <w:r>
              <w:rPr>
                <w:rFonts w:ascii="Times New Roman" w:cs="Times New Roman" w:eastAsia="Times New Roman" w:hAnsi="Times New Roman"/>
                <w:sz w:val="20"/>
                <w:szCs w:val="20"/>
                <w:b w:val="1"/>
                <w:bCs w:val="1"/>
                <w:color w:val="FFFFFF"/>
              </w:rPr>
              <w:t>Smelter Name</w:t>
            </w:r>
          </w:p>
        </w:tc>
        <w:tc>
          <w:tcPr>
            <w:tcW w:w="1760" w:type="dxa"/>
            <w:vAlign w:val="bottom"/>
            <w:tcBorders>
              <w:top w:val="single" w:sz="8" w:color="auto"/>
              <w:bottom w:val="single" w:sz="8" w:color="auto"/>
              <w:right w:val="single" w:sz="8" w:color="auto"/>
            </w:tcBorders>
            <w:shd w:val="clear" w:color="auto" w:fill="203764"/>
          </w:tcPr>
          <w:p>
            <w:pPr>
              <w:ind w:left="20"/>
              <w:spacing w:after="0"/>
              <w:rPr>
                <w:sz w:val="20"/>
                <w:szCs w:val="20"/>
                <w:color w:val="auto"/>
              </w:rPr>
            </w:pPr>
            <w:r>
              <w:rPr>
                <w:rFonts w:ascii="Times New Roman" w:cs="Times New Roman" w:eastAsia="Times New Roman" w:hAnsi="Times New Roman"/>
                <w:sz w:val="20"/>
                <w:szCs w:val="20"/>
                <w:b w:val="1"/>
                <w:bCs w:val="1"/>
                <w:color w:val="FFFFFF"/>
              </w:rPr>
              <w:t>Country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Advanced Chemical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Agosi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Albino Mountinho Lda.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Argor-Heraeus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METALFINE,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Refining Canada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Refining USA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Asaka Riken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Bangalore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Boliden Ronnskar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 Hafner GmbH +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Caridad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CGR Metalloys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Chimet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Chugai Mining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Coimpa Industrial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Dongwu Gold Group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DSC (Do Sung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Gold by Gold Colombia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Jinding Gold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Hangzhou Fuchunjiang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Heimerle + Meule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Heraeus Germany GmbH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Hunan Guiyang yinxing Nonferrous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HwaSeong CJ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bl>
    <w:p>
      <w:pPr>
        <w:spacing w:after="0" w:line="200" w:lineRule="exact"/>
        <w:rPr>
          <w:sz w:val="20"/>
          <w:szCs w:val="20"/>
          <w:color w:val="auto"/>
        </w:rPr>
      </w:pPr>
    </w:p>
    <w:p>
      <w:pPr>
        <w:sectPr>
          <w:pgSz w:w="11900" w:h="16838" w:orient="portrait"/>
          <w:cols w:equalWidth="0" w:num="1">
            <w:col w:w="11260"/>
          </w:cols>
          <w:pgMar w:left="320" w:top="14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60"/>
          </w:cols>
          <w:pgMar w:left="320" w:top="1418" w:right="319" w:bottom="1440" w:gutter="0" w:footer="0" w:header="0"/>
          <w:type w:val="continuous"/>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Istanbul Gold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Italpreziosi</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Japan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Copper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JX Advanced Metals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Kazakhmys Smelting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Kazzinc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Kennecott Utah Copper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Kojima Chemicals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Korea Zinc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Lingbao Jinyuan Tonghui Refinery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L’Orfebre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LS MnM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LT Metal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Materion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Matsuda Sangyo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MD Overseas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Metallix Refining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SG</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MKS PAMP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MMTC-PAMP India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Morris and Watson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NH Recytech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Nihon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Ogussa Osterreichische Gold- und Silber-Scheideanstalt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Pease &amp; Curren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PX Precinox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QG Refining,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Rand Refinery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260"/>
          </w:cols>
          <w:pgMar w:left="320" w:top="1440" w:right="319" w:bottom="1440" w:gutter="0" w:footer="0" w:header="0"/>
          <w:type w:val="continuous"/>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Refinery of Seemine Gold Co.,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REMONDIS PMR B.V.</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Royal Canadian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Sabin Metal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SAFINA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Sai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Samwon Metals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Shandong Gold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Shandong Humon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Shenzhen CuiLu Gold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Shenzhen Zhonghenglong Real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Sovereign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SungEel HiMetal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Super Dragon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T.C.A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Tanaka Kikinzoku Kogyo K.K.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Tokuriki Honten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Tongling Nonferrous Metals Group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TOO Tau-Ken-Altyn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Torecom</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Valcambi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WEEEREFINING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WIELAND Edelmetalle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Yamakin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Yokohama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Zijin Mining Group Gold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AMG Brasil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 Block Metals,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60"/>
          </w:cols>
          <w:pgMar w:left="320" w:top="1440" w:right="319" w:bottom="1440" w:gutter="0" w:footer="0" w:header="0"/>
          <w:type w:val="continuous"/>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Tanbre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KEMET de Mexico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Materion Newton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NPM Silmet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PowerX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QuantumClean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RFH Yancheng Jinye New Material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Taki Chemical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Japan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Telex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Beerse</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Berango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 Tin Group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CRM Fundicao De Metais E Comercio De Equipamentos Eletronicos Do Brasil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CRM Synergies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CV Ayi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CV Venus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DS Myanmar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MM</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 Vinto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Estanho de Rondonia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Feinhutte Halsbrucke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Fenix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Gejiu City Fuxiang Industry and Trade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1260"/>
          </w:cols>
          <w:pgMar w:left="320" w:top="1440" w:right="319" w:bottom="1440" w:gutter="0" w:footer="0" w:header="0"/>
          <w:type w:val="continuous"/>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HuiChang Hill Tin Industry Co.,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Luna Smelter,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Malaysia Smelting Corporation (MSC)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Metallic Resources,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Mining Minerals Resources SARL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Minsur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Nghe Tinh Non-Ferrous Metals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Artha Cipta Langgeng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Babel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Babel Surya Alam Lestari</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Prima Tin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Serumpun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Tin Industry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Belitung Industri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Bukit Timah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Cipta Persada Mulia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Menara Cipta Mulia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Mitra Stania Prima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Panca Mega Persada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Premium Tin Indonesia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Prima Timah Utama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Rajawali Rimba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Rajehan Ariq</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Refined Bangka Tin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Sariwiguna Binasentosa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Stanindo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Sukses Inti Makmur (SIM)</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Nusantara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Tbk Kundur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Tbk Mentok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Tinindo Inter Nusa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Tirus Putra Mandiri</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Tommy Utama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60"/>
          </w:cols>
          <w:pgMar w:left="320" w:top="1440" w:right="319" w:bottom="1440" w:gutter="0" w:footer="0" w:header="0"/>
          <w:type w:val="continuous"/>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Rui Da Hung</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Soft Metais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Super Ligas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Thaisarco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Tuyen Quang Non-Ferrous Metals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VQB Mineral and Trading Group JSC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A.L.M.T.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Cronimet Brasil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Fujian Xinlu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Tungsten &amp; Powders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H.C. Starck Tungsten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Hunan Shizhuyuan Nonferrous Metals Co., Ltd. Chenzhou Tungsten Products Branch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Japan New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Tonggu Non-ferrous Metallurgical &amp; Chemical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Kennametal Fallon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Kennametal Huntsville</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Lianyou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Masan High-Tech Materials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Niagara Refining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Philippine Chuangxin Industrial Co.,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Xiamen Tungsten (H.C.)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Xiamen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A-6</w:t>
      </w:r>
    </w:p>
    <w:p>
      <w:pPr>
        <w:sectPr>
          <w:pgSz w:w="11900" w:h="16838" w:orient="portrait"/>
          <w:cols w:equalWidth="0" w:num="1">
            <w:col w:w="11260"/>
          </w:cols>
          <w:pgMar w:left="320" w:top="1440" w:right="319" w:bottom="1440" w:gutter="0" w:footer="0" w:header="0"/>
          <w:type w:val="continuous"/>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2</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Countries of Origin of 3TG</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Based on RMI March 28, 2025 Data</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Argentina</w:t>
            </w:r>
          </w:p>
        </w:tc>
        <w:tc>
          <w:tcPr>
            <w:tcW w:w="3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Ghana</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Panama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Australia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Greece</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Papua New Guinea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Austria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Guinea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Azerbaijan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Guyana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Belgium</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Honduras</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Portugal</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Benin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Hong Kong</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Bolivia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Indonesia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Rwanda*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Bosnia and Herzegovina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Italy</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Botswana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Ivory Coast</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Senegal</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Japan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Sierra Leone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Bulgaria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Kazakhstan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Solomon Islands</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Burkina Faso</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Kenya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Slovakia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Burundi*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Kyrgyzstan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Cambodia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Laos</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 Korea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Liberia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Chile</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Madagascar</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Sudan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China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Malaysia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Suriname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Colombia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Mali</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Sweden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Congo, Democratic Republic of the*</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Mauritania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Tajikistan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Dominican Republic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Mexico</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Tanzania*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Ecuador</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Mongolia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Egypt</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Morocco</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Turkey</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Eswatini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Mozambique</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Uganda*</w:t>
            </w:r>
          </w:p>
        </w:tc>
      </w:tr>
      <w:tr>
        <w:trPr>
          <w:trHeight w:val="187"/>
        </w:trPr>
        <w:tc>
          <w:tcPr>
            <w:tcW w:w="4220" w:type="dxa"/>
            <w:vAlign w:val="bottom"/>
            <w:tcBorders>
              <w:left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Ethiopia</w:t>
            </w:r>
          </w:p>
        </w:tc>
        <w:tc>
          <w:tcPr>
            <w:tcW w:w="328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Myanmar</w:t>
            </w:r>
          </w:p>
        </w:tc>
        <w:tc>
          <w:tcPr>
            <w:tcW w:w="376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United Kingdom of Great Britain and</w:t>
            </w:r>
          </w:p>
        </w:tc>
      </w:tr>
      <w:tr>
        <w:trPr>
          <w:trHeight w:val="252"/>
        </w:trPr>
        <w:tc>
          <w:tcPr>
            <w:tcW w:w="4220" w:type="dxa"/>
            <w:vAlign w:val="bottom"/>
            <w:tcBorders>
              <w:left w:val="single" w:sz="8" w:color="auto"/>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Northern Ireland</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Fiji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Namibia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Finland</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Zealand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Uzbekistan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France</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Nicaragua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Vietnam</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French Guiana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Niger</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Zambia*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Georgia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Nigeria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Zimbabwe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Germany</w:t>
            </w:r>
          </w:p>
        </w:tc>
        <w:tc>
          <w:tcPr>
            <w:tcW w:w="32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472"/>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*Covered Country</w:t>
            </w:r>
          </w:p>
        </w:tc>
        <w:tc>
          <w:tcPr>
            <w:tcW w:w="32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14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2025-05-23T09:14:26Z</dcterms:created>
  <dcterms:modified xsi:type="dcterms:W3CDTF">2025-05-23T09:14:26Z</dcterms:modified>
</cp:coreProperties>
</file>