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20,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580" w:type="dxa"/>
            <w:vAlign w:val="bottom"/>
          </w:tcPr>
          <w:p>
            <w:pPr>
              <w:jc w:val="center"/>
              <w:ind w:right="257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2660" w:type="dxa"/>
            <w:vAlign w:val="bottom"/>
          </w:tcPr>
          <w:p>
            <w:pPr>
              <w:spacing w:after="0"/>
              <w:rPr>
                <w:sz w:val="18"/>
                <w:szCs w:val="18"/>
                <w:color w:val="auto"/>
              </w:rPr>
            </w:pPr>
          </w:p>
        </w:tc>
        <w:tc>
          <w:tcPr>
            <w:tcW w:w="8580" w:type="dxa"/>
            <w:vAlign w:val="bottom"/>
          </w:tcPr>
          <w:p>
            <w:pPr>
              <w:jc w:val="center"/>
              <w:ind w:right="2570"/>
              <w:spacing w:after="0"/>
              <w:rPr>
                <w:sz w:val="20"/>
                <w:szCs w:val="20"/>
                <w:color w:val="auto"/>
              </w:rPr>
            </w:pPr>
            <w:r>
              <w:rPr>
                <w:rFonts w:ascii="Arial" w:cs="Arial" w:eastAsia="Arial" w:hAnsi="Arial"/>
                <w:sz w:val="18"/>
                <w:szCs w:val="18"/>
                <w:b w:val="1"/>
                <w:bCs w:val="1"/>
                <w:color w:val="auto"/>
                <w:w w:val="93"/>
              </w:rPr>
              <w:t>$1,500,000,000 1.950% NOTES DUE 2031</w:t>
            </w:r>
          </w:p>
        </w:tc>
      </w:tr>
      <w:tr>
        <w:trPr>
          <w:trHeight w:val="216"/>
        </w:trPr>
        <w:tc>
          <w:tcPr>
            <w:tcW w:w="2660" w:type="dxa"/>
            <w:vAlign w:val="bottom"/>
          </w:tcPr>
          <w:p>
            <w:pPr>
              <w:spacing w:after="0"/>
              <w:rPr>
                <w:sz w:val="18"/>
                <w:szCs w:val="18"/>
                <w:color w:val="auto"/>
              </w:rPr>
            </w:pPr>
          </w:p>
        </w:tc>
        <w:tc>
          <w:tcPr>
            <w:tcW w:w="8580" w:type="dxa"/>
            <w:vAlign w:val="bottom"/>
          </w:tcPr>
          <w:p>
            <w:pPr>
              <w:jc w:val="center"/>
              <w:ind w:right="2550"/>
              <w:spacing w:after="0"/>
              <w:rPr>
                <w:sz w:val="20"/>
                <w:szCs w:val="20"/>
                <w:color w:val="auto"/>
              </w:rPr>
            </w:pPr>
            <w:r>
              <w:rPr>
                <w:rFonts w:ascii="Arial" w:cs="Arial" w:eastAsia="Arial" w:hAnsi="Arial"/>
                <w:sz w:val="18"/>
                <w:szCs w:val="18"/>
                <w:b w:val="1"/>
                <w:bCs w:val="1"/>
                <w:color w:val="auto"/>
                <w:w w:val="93"/>
              </w:rPr>
              <w:t>$800,000,000 3.750% NOTES DUE 2040</w:t>
            </w:r>
          </w:p>
        </w:tc>
      </w:tr>
      <w:tr>
        <w:trPr>
          <w:trHeight w:val="234"/>
        </w:trPr>
        <w:tc>
          <w:tcPr>
            <w:tcW w:w="2660" w:type="dxa"/>
            <w:vAlign w:val="bottom"/>
          </w:tcPr>
          <w:p>
            <w:pPr>
              <w:spacing w:after="0"/>
              <w:rPr>
                <w:sz w:val="20"/>
                <w:szCs w:val="20"/>
                <w:color w:val="auto"/>
              </w:rPr>
            </w:pPr>
          </w:p>
        </w:tc>
        <w:tc>
          <w:tcPr>
            <w:tcW w:w="8580" w:type="dxa"/>
            <w:vAlign w:val="bottom"/>
          </w:tcPr>
          <w:p>
            <w:pPr>
              <w:jc w:val="center"/>
              <w:ind w:right="2570"/>
              <w:spacing w:after="0"/>
              <w:rPr>
                <w:sz w:val="20"/>
                <w:szCs w:val="20"/>
                <w:color w:val="auto"/>
              </w:rPr>
            </w:pPr>
            <w:r>
              <w:rPr>
                <w:rFonts w:ascii="Arial" w:cs="Arial" w:eastAsia="Arial" w:hAnsi="Arial"/>
                <w:sz w:val="18"/>
                <w:szCs w:val="18"/>
                <w:b w:val="1"/>
                <w:bCs w:val="1"/>
                <w:color w:val="auto"/>
                <w:w w:val="93"/>
              </w:rPr>
              <w:t>$1,700,000,000 2.800% NOTES DUE 2051</w:t>
            </w:r>
          </w:p>
        </w:tc>
      </w:tr>
      <w:tr>
        <w:trPr>
          <w:trHeight w:val="648"/>
        </w:trPr>
        <w:tc>
          <w:tcPr>
            <w:tcW w:w="2660" w:type="dxa"/>
            <w:vAlign w:val="bottom"/>
          </w:tcPr>
          <w:p>
            <w:pPr>
              <w:spacing w:after="0"/>
              <w:rPr>
                <w:sz w:val="24"/>
                <w:szCs w:val="24"/>
                <w:color w:val="auto"/>
              </w:rPr>
            </w:pPr>
          </w:p>
        </w:tc>
        <w:tc>
          <w:tcPr>
            <w:tcW w:w="8580" w:type="dxa"/>
            <w:vAlign w:val="bottom"/>
          </w:tcPr>
          <w:p>
            <w:pPr>
              <w:jc w:val="center"/>
              <w:ind w:right="2570"/>
              <w:spacing w:after="0"/>
              <w:rPr>
                <w:sz w:val="20"/>
                <w:szCs w:val="20"/>
                <w:color w:val="auto"/>
              </w:rPr>
            </w:pPr>
            <w:r>
              <w:rPr>
                <w:rFonts w:ascii="Arial" w:cs="Arial" w:eastAsia="Arial" w:hAnsi="Arial"/>
                <w:sz w:val="18"/>
                <w:szCs w:val="18"/>
                <w:b w:val="1"/>
                <w:bCs w:val="1"/>
                <w:color w:val="auto"/>
                <w:w w:val="90"/>
              </w:rPr>
              <w:t>Final Term Sheet</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Issuer</w:t>
            </w:r>
          </w:p>
        </w:tc>
        <w:tc>
          <w:tcPr>
            <w:tcW w:w="8580" w:type="dxa"/>
            <w:vAlign w:val="bottom"/>
          </w:tcPr>
          <w:p>
            <w:pPr>
              <w:ind w:left="308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Guarantors</w:t>
            </w:r>
          </w:p>
        </w:tc>
        <w:tc>
          <w:tcPr>
            <w:tcW w:w="8580" w:type="dxa"/>
            <w:vAlign w:val="bottom"/>
          </w:tcPr>
          <w:p>
            <w:pPr>
              <w:ind w:left="3080"/>
              <w:spacing w:after="0"/>
              <w:rPr>
                <w:sz w:val="20"/>
                <w:szCs w:val="20"/>
                <w:color w:val="auto"/>
              </w:rPr>
            </w:pPr>
            <w:r>
              <w:rPr>
                <w:rFonts w:ascii="Arial" w:cs="Arial" w:eastAsia="Arial" w:hAnsi="Arial"/>
                <w:sz w:val="18"/>
                <w:szCs w:val="18"/>
                <w:color w:val="auto"/>
                <w:w w:val="98"/>
              </w:rPr>
              <w:t>Comcast Cable Communications, LLC and NBCUniversal Media, LLC</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Issue of Securities</w:t>
            </w:r>
          </w:p>
        </w:tc>
        <w:tc>
          <w:tcPr>
            <w:tcW w:w="8580" w:type="dxa"/>
            <w:vAlign w:val="bottom"/>
          </w:tcPr>
          <w:p>
            <w:pPr>
              <w:ind w:left="3080"/>
              <w:spacing w:after="0"/>
              <w:rPr>
                <w:sz w:val="20"/>
                <w:szCs w:val="20"/>
                <w:color w:val="auto"/>
              </w:rPr>
            </w:pPr>
            <w:r>
              <w:rPr>
                <w:rFonts w:ascii="Arial" w:cs="Arial" w:eastAsia="Arial" w:hAnsi="Arial"/>
                <w:sz w:val="18"/>
                <w:szCs w:val="18"/>
                <w:color w:val="auto"/>
              </w:rPr>
              <w:t>1.950% Notes due 2031</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rPr>
              <w:t>3.750% Notes due 2040</w:t>
            </w:r>
          </w:p>
        </w:tc>
      </w:tr>
      <w:tr>
        <w:trPr>
          <w:trHeight w:val="230"/>
        </w:trPr>
        <w:tc>
          <w:tcPr>
            <w:tcW w:w="2660" w:type="dxa"/>
            <w:vAlign w:val="bottom"/>
          </w:tcPr>
          <w:p>
            <w:pPr>
              <w:spacing w:after="0"/>
              <w:rPr>
                <w:sz w:val="20"/>
                <w:szCs w:val="20"/>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rPr>
              <w:t>2.800% Notes due 2051</w:t>
            </w:r>
          </w:p>
        </w:tc>
      </w:tr>
      <w:tr>
        <w:trPr>
          <w:trHeight w:val="418"/>
        </w:trPr>
        <w:tc>
          <w:tcPr>
            <w:tcW w:w="2660" w:type="dxa"/>
            <w:vAlign w:val="bottom"/>
          </w:tcPr>
          <w:p>
            <w:pPr>
              <w:spacing w:after="0"/>
              <w:rPr>
                <w:sz w:val="24"/>
                <w:szCs w:val="24"/>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5"/>
              </w:rPr>
              <w:t>The 3.750% Notes due 2040 offered hereby (the “</w:t>
            </w:r>
            <w:r>
              <w:rPr>
                <w:rFonts w:ascii="Arial" w:cs="Arial" w:eastAsia="Arial" w:hAnsi="Arial"/>
                <w:sz w:val="18"/>
                <w:szCs w:val="18"/>
                <w:b w:val="1"/>
                <w:bCs w:val="1"/>
                <w:color w:val="auto"/>
                <w:w w:val="95"/>
              </w:rPr>
              <w:t>New 2040 Notes</w:t>
            </w:r>
            <w:r>
              <w:rPr>
                <w:rFonts w:ascii="Arial" w:cs="Arial" w:eastAsia="Arial" w:hAnsi="Arial"/>
                <w:sz w:val="18"/>
                <w:szCs w:val="18"/>
                <w:color w:val="auto"/>
                <w:w w:val="95"/>
              </w:rPr>
              <w:t>”) will</w:t>
            </w:r>
          </w:p>
        </w:tc>
      </w:tr>
      <w:tr>
        <w:trPr>
          <w:trHeight w:val="212"/>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5"/>
              </w:rPr>
              <w:t>form a part of the series of the Company’s currently outstanding 3.750%</w:t>
            </w:r>
          </w:p>
        </w:tc>
      </w:tr>
      <w:tr>
        <w:trPr>
          <w:trHeight w:val="220"/>
        </w:trPr>
        <w:tc>
          <w:tcPr>
            <w:tcW w:w="2660" w:type="dxa"/>
            <w:vAlign w:val="bottom"/>
          </w:tcPr>
          <w:p>
            <w:pPr>
              <w:spacing w:after="0"/>
              <w:rPr>
                <w:sz w:val="19"/>
                <w:szCs w:val="19"/>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0"/>
              </w:rPr>
              <w:t>Notes due 2040 issued on March 27, 2020 (the “</w:t>
            </w:r>
            <w:r>
              <w:rPr>
                <w:rFonts w:ascii="Arial" w:cs="Arial" w:eastAsia="Arial" w:hAnsi="Arial"/>
                <w:sz w:val="18"/>
                <w:szCs w:val="18"/>
                <w:b w:val="1"/>
                <w:bCs w:val="1"/>
                <w:color w:val="auto"/>
                <w:w w:val="90"/>
              </w:rPr>
              <w:t>Existing 2040 Notes</w:t>
            </w:r>
            <w:r>
              <w:rPr>
                <w:rFonts w:ascii="Arial" w:cs="Arial" w:eastAsia="Arial" w:hAnsi="Arial"/>
                <w:sz w:val="18"/>
                <w:szCs w:val="18"/>
                <w:color w:val="auto"/>
                <w:w w:val="90"/>
              </w:rPr>
              <w:t>”), and</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1"/>
              </w:rPr>
              <w:t>will have the same terms as the Existing 2040 Notes, except the issue date</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7"/>
              </w:rPr>
              <w:t>and the offering price. The New 2040 Notes will have the same CUSIP</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1"/>
              </w:rPr>
              <w:t>number and ISIN as the Existing 2040 Notes and will trade interchangeably</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3"/>
              </w:rPr>
              <w:t>with the Existing 2040 Notes immediately upon settlement. The New 2040</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2"/>
              </w:rPr>
              <w:t>Notes and the Existing 2040 Notes will constitute a single series under the</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4"/>
              </w:rPr>
              <w:t>Indenture for all purposes and will be fungible for U.S. federal income tax</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3"/>
              </w:rPr>
              <w:t>purposes. Upon issuance of the New 2040 Notes, the aggregate principal</w:t>
            </w:r>
          </w:p>
        </w:tc>
      </w:tr>
      <w:tr>
        <w:trPr>
          <w:trHeight w:val="230"/>
        </w:trPr>
        <w:tc>
          <w:tcPr>
            <w:tcW w:w="2660" w:type="dxa"/>
            <w:vAlign w:val="bottom"/>
          </w:tcPr>
          <w:p>
            <w:pPr>
              <w:spacing w:after="0"/>
              <w:rPr>
                <w:sz w:val="20"/>
                <w:szCs w:val="20"/>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1"/>
              </w:rPr>
              <w:t>amount outstanding of the 3.750% Notes due 2040 will be $1,600,000,000.</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Denominations</w:t>
            </w:r>
          </w:p>
        </w:tc>
        <w:tc>
          <w:tcPr>
            <w:tcW w:w="8580" w:type="dxa"/>
            <w:vAlign w:val="bottom"/>
          </w:tcPr>
          <w:p>
            <w:pPr>
              <w:ind w:left="308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Use of Proceeds</w:t>
            </w:r>
          </w:p>
        </w:tc>
        <w:tc>
          <w:tcPr>
            <w:tcW w:w="8580" w:type="dxa"/>
            <w:vAlign w:val="bottom"/>
          </w:tcPr>
          <w:p>
            <w:pPr>
              <w:ind w:left="3080"/>
              <w:spacing w:after="0"/>
              <w:rPr>
                <w:sz w:val="20"/>
                <w:szCs w:val="20"/>
                <w:color w:val="auto"/>
              </w:rPr>
            </w:pPr>
            <w:r>
              <w:rPr>
                <w:rFonts w:ascii="Arial" w:cs="Arial" w:eastAsia="Arial" w:hAnsi="Arial"/>
                <w:sz w:val="18"/>
                <w:szCs w:val="18"/>
                <w:color w:val="auto"/>
                <w:w w:val="92"/>
              </w:rPr>
              <w:t>The Company intends to use the net proceeds from the offering entirely for</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1"/>
              </w:rPr>
              <w:t>the refinancing of outstanding debt, including its 1.625% notes due January</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2"/>
              </w:rPr>
              <w:t>15, 2022 ($700 million principal amount outstanding as of the date hereof),</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rPr>
              <w:t>its 4.05% notes due August 1, 2046 ($1.43 billion principal amount</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5"/>
              </w:rPr>
              <w:t>outstanding as of the date hereof) and certain of its other debt securities</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5"/>
              </w:rPr>
              <w:t>with near term maturities. Affiliates of certain of the underwriters may be</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4"/>
              </w:rPr>
              <w:t>holders of the 1.625% notes due January 15, 2022 and 4.05% notes due</w:t>
            </w:r>
          </w:p>
        </w:tc>
      </w:tr>
      <w:tr>
        <w:trPr>
          <w:trHeight w:val="216"/>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1"/>
              </w:rPr>
              <w:t>August 1, 2046 and, accordingly, may receive a portion of the net proceeds</w:t>
            </w:r>
          </w:p>
        </w:tc>
      </w:tr>
      <w:tr>
        <w:trPr>
          <w:trHeight w:val="230"/>
        </w:trPr>
        <w:tc>
          <w:tcPr>
            <w:tcW w:w="2660" w:type="dxa"/>
            <w:vAlign w:val="bottom"/>
          </w:tcPr>
          <w:p>
            <w:pPr>
              <w:spacing w:after="0"/>
              <w:rPr>
                <w:sz w:val="20"/>
                <w:szCs w:val="20"/>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rPr>
              <w:t>from this offering.</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Indenture</w:t>
            </w:r>
          </w:p>
        </w:tc>
        <w:tc>
          <w:tcPr>
            <w:tcW w:w="8580" w:type="dxa"/>
            <w:vAlign w:val="bottom"/>
          </w:tcPr>
          <w:p>
            <w:pPr>
              <w:ind w:left="3080"/>
              <w:spacing w:after="0"/>
              <w:rPr>
                <w:sz w:val="20"/>
                <w:szCs w:val="20"/>
                <w:color w:val="auto"/>
              </w:rPr>
            </w:pPr>
            <w:r>
              <w:rPr>
                <w:rFonts w:ascii="Arial" w:cs="Arial" w:eastAsia="Arial" w:hAnsi="Arial"/>
                <w:sz w:val="18"/>
                <w:szCs w:val="18"/>
                <w:color w:val="auto"/>
                <w:w w:val="90"/>
              </w:rPr>
              <w:t>Indenture dated as of September 18, 2013 by and among the Company, the</w:t>
            </w:r>
          </w:p>
        </w:tc>
      </w:tr>
      <w:tr>
        <w:trPr>
          <w:trHeight w:val="212"/>
        </w:trPr>
        <w:tc>
          <w:tcPr>
            <w:tcW w:w="2660" w:type="dxa"/>
            <w:vAlign w:val="bottom"/>
          </w:tcPr>
          <w:p>
            <w:pPr>
              <w:spacing w:after="0"/>
              <w:rPr>
                <w:sz w:val="18"/>
                <w:szCs w:val="18"/>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5"/>
              </w:rPr>
              <w:t>guarantors named therein and The Bank of New York Mellon, as trustee</w:t>
            </w:r>
          </w:p>
        </w:tc>
      </w:tr>
      <w:tr>
        <w:trPr>
          <w:trHeight w:val="220"/>
        </w:trPr>
        <w:tc>
          <w:tcPr>
            <w:tcW w:w="2660" w:type="dxa"/>
            <w:vAlign w:val="bottom"/>
          </w:tcPr>
          <w:p>
            <w:pPr>
              <w:spacing w:after="0"/>
              <w:rPr>
                <w:sz w:val="19"/>
                <w:szCs w:val="19"/>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Trustee</w:t>
            </w:r>
            <w:r>
              <w:rPr>
                <w:rFonts w:ascii="Arial" w:cs="Arial" w:eastAsia="Arial" w:hAnsi="Arial"/>
                <w:sz w:val="18"/>
                <w:szCs w:val="18"/>
                <w:color w:val="auto"/>
                <w:w w:val="92"/>
              </w:rPr>
              <w:t>”), as amended by the First Supplemental Indenture dated as</w:t>
            </w:r>
          </w:p>
        </w:tc>
      </w:tr>
      <w:tr>
        <w:trPr>
          <w:trHeight w:val="230"/>
        </w:trPr>
        <w:tc>
          <w:tcPr>
            <w:tcW w:w="2660" w:type="dxa"/>
            <w:vAlign w:val="bottom"/>
          </w:tcPr>
          <w:p>
            <w:pPr>
              <w:spacing w:after="0"/>
              <w:rPr>
                <w:sz w:val="20"/>
                <w:szCs w:val="20"/>
                <w:color w:val="auto"/>
              </w:rPr>
            </w:pPr>
          </w:p>
        </w:tc>
        <w:tc>
          <w:tcPr>
            <w:tcW w:w="8580" w:type="dxa"/>
            <w:vAlign w:val="bottom"/>
          </w:tcPr>
          <w:p>
            <w:pPr>
              <w:ind w:left="3080"/>
              <w:spacing w:after="0"/>
              <w:rPr>
                <w:sz w:val="20"/>
                <w:szCs w:val="20"/>
                <w:color w:val="auto"/>
              </w:rPr>
            </w:pPr>
            <w:r>
              <w:rPr>
                <w:rFonts w:ascii="Arial" w:cs="Arial" w:eastAsia="Arial" w:hAnsi="Arial"/>
                <w:sz w:val="18"/>
                <w:szCs w:val="18"/>
                <w:color w:val="auto"/>
              </w:rPr>
              <w:t>of November 17, 2015 by and among the Company, the</w:t>
            </w:r>
          </w:p>
        </w:tc>
      </w:tr>
      <w:tr>
        <w:trPr>
          <w:trHeight w:val="351"/>
        </w:trPr>
        <w:tc>
          <w:tcPr>
            <w:tcW w:w="26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Expected Ratings</w:t>
      </w:r>
      <w:r>
        <w:rPr>
          <w:rFonts w:ascii="Arial" w:cs="Arial" w:eastAsia="Arial" w:hAnsi="Arial"/>
          <w:sz w:val="29"/>
          <w:szCs w:val="29"/>
          <w:color w:val="auto"/>
          <w:vertAlign w:val="superscript"/>
        </w:rPr>
        <w:t>1</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guarantors named therein and the Trustee.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Moody’s: A3; S&amp;P: A-; Fitch: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ectPr>
          <w:pgSz w:w="11900" w:h="16838" w:orient="portrait"/>
          <w:cols w:equalWidth="0" w:num="2">
            <w:col w:w="5020" w:space="720"/>
            <w:col w:w="5480"/>
          </w:cols>
          <w:pgMar w:left="320" w:top="584" w:right="359" w:bottom="1440" w:gutter="0" w:footer="0" w:header="0"/>
        </w:sectPr>
      </w:pPr>
    </w:p>
    <w:p>
      <w:pPr>
        <w:spacing w:after="0" w:line="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BofA Securities,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Santander Investment Securities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Blaylock Van,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Multi-Bank Securities,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Samuel A. Ramirez &amp; Company,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Siebert Williams Shank &amp; Co., LLC</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6"/>
          <w:szCs w:val="16"/>
          <w:color w:val="auto"/>
        </w:rPr>
        <w:t>May 20, 2020</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May 28, 2020 (T+5)</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the notes involves certain risks. See “Item 1A-Risk Factors”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beginning on page 20 of the Company’s Annual Report on Form 10-K for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year ended December 31, 2019. Please also read carefully the risk factor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COVID-19 pandemic could have a material adverse effect on our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businesses and results of operations” on page 35 of the Company’s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Quarterly Report on Form 10-Q for the quarter ended March 31, 2020.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34" w:lineRule="exact"/>
        <w:rPr>
          <w:sz w:val="20"/>
          <w:szCs w:val="20"/>
          <w:color w:val="auto"/>
        </w:rPr>
      </w:pPr>
    </w:p>
    <w:p>
      <w:pPr>
        <w:jc w:val="center"/>
        <w:ind w:left="5560" w:right="740" w:hanging="5228"/>
        <w:spacing w:after="0" w:line="497" w:lineRule="auto"/>
        <w:tabs>
          <w:tab w:leader="none" w:pos="455"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1.950% Notes Due 2031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$1,500,000,000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15, 2031</w:t>
      </w:r>
    </w:p>
    <w:p>
      <w:pPr>
        <w:spacing w:after="0" w:line="225"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color w:val="auto"/>
        </w:rPr>
        <w:t>1.950% per annum, accruing from May 28, 2020 (calculated on the basis of a 360-day year consisting of twelve 30-day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15 and July 15, commencing July 15,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UST 0.625% due May 15, 2030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99-14 / 0.683%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+130 bps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1.983%</w:t>
      </w:r>
    </w:p>
    <w:p>
      <w:pPr>
        <w:spacing w:after="0" w:line="225"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The 1.950% Notes due 2031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1.950% Notes due 2031, at any time prior to October 15, 2030 (three months prior to the maturity of the 1.950% Notes due 2031) (the “</w:t>
      </w:r>
      <w:r>
        <w:rPr>
          <w:rFonts w:ascii="Arial" w:cs="Arial" w:eastAsia="Arial" w:hAnsi="Arial"/>
          <w:sz w:val="16"/>
          <w:szCs w:val="16"/>
          <w:b w:val="1"/>
          <w:bCs w:val="1"/>
          <w:color w:val="auto"/>
        </w:rPr>
        <w:t>2031 Par Call Date</w:t>
      </w:r>
      <w:r>
        <w:rPr>
          <w:rFonts w:ascii="Arial" w:cs="Arial" w:eastAsia="Arial" w:hAnsi="Arial"/>
          <w:sz w:val="16"/>
          <w:szCs w:val="16"/>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2031 Par Call Date, in each case discounted to the redemption date on a semiannual basis at the Treasury Rate plus 20 basis points, provided that, if the 1.950% Notes due 2031 are redeemed on or after the 2031 Par Call Date, the Redemption Price will equal 100% of the principal amount of such notes; plus, in each case, accrued and unpaid interest thereon to the date of redemption.</w:t>
      </w:r>
    </w:p>
    <w:p>
      <w:pPr>
        <w:spacing w:after="0" w:line="17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An unlimited amount of additional 1.950% Notes due 2031 may be issued. The 1.950% Notes due 2031 and any additional 1.950% Notes due 2031 that may be issued may be treated as a single series for all purposes under the Indenture.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20030N DM0 / US20030NDM02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99.686% plus accrued interest, if any, from May 28,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0.400%</w:t>
      </w:r>
    </w:p>
    <w:p>
      <w:pPr>
        <w:spacing w:after="0" w:line="225" w:lineRule="exact"/>
        <w:rPr>
          <w:sz w:val="20"/>
          <w:szCs w:val="20"/>
          <w:color w:val="auto"/>
        </w:rPr>
      </w:pPr>
    </w:p>
    <w:p>
      <w:pPr>
        <w:ind w:left="180" w:right="720"/>
        <w:spacing w:after="0" w:line="277" w:lineRule="auto"/>
        <w:rPr>
          <w:sz w:val="20"/>
          <w:szCs w:val="20"/>
          <w:color w:val="auto"/>
        </w:rPr>
      </w:pPr>
      <w:r>
        <w:rPr>
          <w:rFonts w:ascii="Arial" w:cs="Arial" w:eastAsia="Arial" w:hAnsi="Arial"/>
          <w:sz w:val="18"/>
          <w:szCs w:val="18"/>
          <w:color w:val="auto"/>
        </w:rPr>
        <w:t>99.286% per $1,000 principal amount of 1.950% Notes due 2031; $1,489,290,000 total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40" w:space="720"/>
            <w:col w:w="5660"/>
          </w:cols>
          <w:pgMar w:left="320" w:top="58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3.750% Notes Due 2040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$800,000,000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1, 2040</w:t>
      </w:r>
    </w:p>
    <w:p>
      <w:pPr>
        <w:spacing w:after="0" w:line="225"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color w:val="auto"/>
        </w:rPr>
        <w:t>3.750% per annum, accruing from March 27, 2020 (calculated on the basis of a 360-day year consisting of twelve 30-day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April 1 and October 1, commencing October 1,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UST 2.000% due February 15, 2050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114-28+ / 1.387%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+135 bps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2.737%</w:t>
      </w:r>
    </w:p>
    <w:p>
      <w:pPr>
        <w:spacing w:after="0" w:line="225"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The 3.750% Notes due 2040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3.750% Notes due 2040, at any time prior to October 1, 2039 (six months prior to the maturity of the 3.750% Notes due 2040) (the “</w:t>
      </w:r>
      <w:r>
        <w:rPr>
          <w:rFonts w:ascii="Arial" w:cs="Arial" w:eastAsia="Arial" w:hAnsi="Arial"/>
          <w:sz w:val="16"/>
          <w:szCs w:val="16"/>
          <w:b w:val="1"/>
          <w:bCs w:val="1"/>
          <w:color w:val="auto"/>
        </w:rPr>
        <w:t>2040 Par Call Date</w:t>
      </w:r>
      <w:r>
        <w:rPr>
          <w:rFonts w:ascii="Arial" w:cs="Arial" w:eastAsia="Arial" w:hAnsi="Arial"/>
          <w:sz w:val="16"/>
          <w:szCs w:val="16"/>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 semiannual basis at the Treasury Rate plus 40 basis points, provided that, if the 3.750% Notes due 2040 are redeemed on or after the 2040 Par Call Date, the Redemption Price will equal 100% of the principal amount of such notes; plus, in each case, accrued and unpaid interest thereon to the date of redemption.</w:t>
      </w:r>
    </w:p>
    <w:p>
      <w:pPr>
        <w:spacing w:after="0" w:line="17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An unlimited amount of additional 3.750% Notes due 2040 may be issued. The 3.750% Notes due 2040 and any additional 3.750% Notes due 2040 that may be issued may be treated as a single series for all purposes under the Indenture.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20030N DH1 / US20030NDH17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115.131% of principal amount plus accrued interest from March 27, 2020</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0.600%</w:t>
      </w:r>
    </w:p>
    <w:p>
      <w:pPr>
        <w:spacing w:after="0" w:line="225" w:lineRule="exact"/>
        <w:rPr>
          <w:sz w:val="20"/>
          <w:szCs w:val="20"/>
          <w:color w:val="auto"/>
        </w:rPr>
      </w:pPr>
    </w:p>
    <w:p>
      <w:pPr>
        <w:ind w:left="180" w:right="340"/>
        <w:spacing w:after="0" w:line="308" w:lineRule="auto"/>
        <w:rPr>
          <w:sz w:val="20"/>
          <w:szCs w:val="20"/>
          <w:color w:val="auto"/>
        </w:rPr>
      </w:pPr>
      <w:r>
        <w:rPr>
          <w:rFonts w:ascii="Arial" w:cs="Arial" w:eastAsia="Arial" w:hAnsi="Arial"/>
          <w:sz w:val="17"/>
          <w:szCs w:val="17"/>
          <w:color w:val="auto"/>
        </w:rPr>
        <w:t>114.531% per $1,000 principal amount of 3.750% Notes due 2040 plus accrued interest from March 27, 2020; $921,331,333.33 total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40" w:space="720"/>
            <w:col w:w="5660"/>
          </w:cols>
          <w:pgMar w:left="320" w:top="58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2.800% Notes Due 2051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$1,700,000,000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15, 2051</w:t>
      </w:r>
    </w:p>
    <w:p>
      <w:pPr>
        <w:spacing w:after="0" w:line="225"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color w:val="auto"/>
        </w:rPr>
        <w:t>2.800% per annum, accruing from May 28, 2020 (calculated on the basis of a 360-day year consisting of twelve 30-day months)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January 15 and July 15, commencing July 15,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UST 2.000% due February 15, 2050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114-28+ / 1.387%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+145 bps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2.837%</w:t>
      </w:r>
    </w:p>
    <w:p>
      <w:pPr>
        <w:spacing w:after="0" w:line="225" w:lineRule="exact"/>
        <w:rPr>
          <w:sz w:val="20"/>
          <w:szCs w:val="20"/>
          <w:color w:val="auto"/>
        </w:rPr>
      </w:pPr>
    </w:p>
    <w:p>
      <w:pPr>
        <w:ind w:left="180" w:right="20"/>
        <w:spacing w:after="0" w:line="286" w:lineRule="auto"/>
        <w:rPr>
          <w:sz w:val="20"/>
          <w:szCs w:val="20"/>
          <w:color w:val="auto"/>
        </w:rPr>
      </w:pPr>
      <w:r>
        <w:rPr>
          <w:rFonts w:ascii="Arial" w:cs="Arial" w:eastAsia="Arial" w:hAnsi="Arial"/>
          <w:sz w:val="16"/>
          <w:szCs w:val="16"/>
          <w:color w:val="auto"/>
        </w:rPr>
        <w:t>The 2.800% Notes due 2051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2.800% Notes due 2051, at any time prior to July 15, 2050 (six months prior to the maturity of the</w:t>
      </w:r>
    </w:p>
    <w:p>
      <w:pPr>
        <w:spacing w:after="0" w:line="1"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2.800% Notes due 2051) (the “</w:t>
      </w:r>
      <w:r>
        <w:rPr>
          <w:rFonts w:ascii="Arial" w:cs="Arial" w:eastAsia="Arial" w:hAnsi="Arial"/>
          <w:sz w:val="16"/>
          <w:szCs w:val="16"/>
          <w:b w:val="1"/>
          <w:bCs w:val="1"/>
          <w:color w:val="auto"/>
        </w:rPr>
        <w:t>2051 Par Call Date</w:t>
      </w:r>
      <w:r>
        <w:rPr>
          <w:rFonts w:ascii="Arial" w:cs="Arial" w:eastAsia="Arial" w:hAnsi="Arial"/>
          <w:sz w:val="16"/>
          <w:szCs w:val="16"/>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2051 Par Call Date, in each case discounted to the redemption date on a semiannual basis at the Treasury Rate plus 25 basis points, provided that, if the 2.800% Notes due 2051 are redeemed on or after the 2051 Par Call Date, the Redemption Price will equal 100% of the principal amount of such notes; plus, in each case, accrued and unpaid interest thereon to the date of redemption.</w:t>
      </w:r>
    </w:p>
    <w:p>
      <w:pPr>
        <w:spacing w:after="0" w:line="169"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An unlimited amount of additional 2.800% Notes due 2051 may be issued. The 2.800% Notes due 2051 and any additional 2.800% Notes due 2051 that may be issued may be treated as a single series for all purposes under the Indenture.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20030N DL2 / US20030NDL29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99.248% plus accrued interest, if any, from May 28,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0.750%</w:t>
      </w:r>
    </w:p>
    <w:p>
      <w:pPr>
        <w:spacing w:after="0" w:line="225" w:lineRule="exact"/>
        <w:rPr>
          <w:sz w:val="20"/>
          <w:szCs w:val="20"/>
          <w:color w:val="auto"/>
        </w:rPr>
      </w:pPr>
    </w:p>
    <w:p>
      <w:pPr>
        <w:ind w:left="180" w:right="720"/>
        <w:spacing w:after="0" w:line="277" w:lineRule="auto"/>
        <w:rPr>
          <w:sz w:val="20"/>
          <w:szCs w:val="20"/>
          <w:color w:val="auto"/>
        </w:rPr>
      </w:pPr>
      <w:r>
        <w:rPr>
          <w:rFonts w:ascii="Arial" w:cs="Arial" w:eastAsia="Arial" w:hAnsi="Arial"/>
          <w:sz w:val="18"/>
          <w:szCs w:val="18"/>
          <w:color w:val="auto"/>
        </w:rPr>
        <w:t>98.498% per $1,000 principal amount of 2.800% Notes due 2051; $1,674,466,000 total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40" w:space="720"/>
            <w:col w:w="5660"/>
          </w:cols>
          <w:pgMar w:left="320" w:top="580" w:right="359" w:bottom="1440" w:gutter="0" w:footer="0" w:header="0"/>
        </w:sectPr>
      </w:pPr>
    </w:p>
    <w:bookmarkStart w:id="5" w:name="page6"/>
    <w:bookmarkEnd w:id="5"/>
    <w:p>
      <w:pPr>
        <w:ind w:right="60" w:firstLine="324"/>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May 28, 2020,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0000FF"/>
        </w:rPr>
        <w:t>www.sec.gov.</w:t>
      </w:r>
      <w:r>
        <w:rPr>
          <w:rFonts w:ascii="Arial" w:cs="Arial" w:eastAsia="Arial" w:hAnsi="Arial"/>
          <w:sz w:val="18"/>
          <w:szCs w:val="18"/>
          <w:color w:val="auto"/>
        </w:rPr>
        <w:t xml:space="preserve"> Alternatively, the issuer, any underwriter or any dealer participating in the offering will arrange to send you the prospectus if you request it by calling Goldman Sachs &amp; Co. LLC at 1-866-471-2526, Credit Suisse Securities (USA) LLC at 1-800-221-1037, Deutsche Bank Securities Inc. at 1-800-503-4611 and RBC Capital Markets, LLC at 1-866-375-6829.</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2020-05-20T16:17:40Z</dcterms:created>
  <dcterms:modified xsi:type="dcterms:W3CDTF">2020-05-20T16:17:40Z</dcterms:modified>
</cp:coreProperties>
</file>