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ind w:left="30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7"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6"/>
          <w:szCs w:val="16"/>
          <w:color w:val="auto"/>
        </w:rPr>
        <w:t>Date of Report (Date of earliest event reported): March 9, 1999</w:t>
      </w:r>
    </w:p>
    <w:p>
      <w:pPr>
        <w:spacing w:after="0" w:line="218"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COMCAST CORPORATION</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852" w:right="1440" w:bottom="1440" w:gutter="0" w:footer="0" w:header="0"/>
        </w:sectPr>
      </w:pP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Pennsylvania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w:t>
      </w:r>
    </w:p>
    <w:p>
      <w:pPr>
        <w:spacing w:after="0" w:line="238" w:lineRule="auto"/>
        <w:rPr>
          <w:sz w:val="20"/>
          <w:szCs w:val="20"/>
          <w:color w:val="auto"/>
        </w:rPr>
      </w:pPr>
      <w:r>
        <w:rPr>
          <w:rFonts w:ascii="Courier New" w:cs="Courier New" w:eastAsia="Courier New" w:hAnsi="Courier New"/>
          <w:sz w:val="18"/>
          <w:szCs w:val="18"/>
          <w:color w:val="auto"/>
        </w:rPr>
        <w:t>jurisdiction of</w:t>
      </w:r>
    </w:p>
    <w:p>
      <w:pPr>
        <w:spacing w:after="0"/>
        <w:rPr>
          <w:sz w:val="20"/>
          <w:szCs w:val="20"/>
          <w:color w:val="auto"/>
        </w:rPr>
      </w:pPr>
      <w:r>
        <w:rPr>
          <w:rFonts w:ascii="Courier New" w:cs="Courier New" w:eastAsia="Courier New" w:hAnsi="Courier New"/>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0-6983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(Commission file</w:t>
      </w:r>
    </w:p>
    <w:p>
      <w:pPr>
        <w:ind w:left="520"/>
        <w:spacing w:after="0" w:line="238" w:lineRule="auto"/>
        <w:rPr>
          <w:sz w:val="20"/>
          <w:szCs w:val="20"/>
          <w:color w:val="auto"/>
        </w:rPr>
      </w:pPr>
      <w:r>
        <w:rPr>
          <w:rFonts w:ascii="Courier New" w:cs="Courier New" w:eastAsia="Courier New" w:hAnsi="Courier New"/>
          <w:sz w:val="18"/>
          <w:szCs w:val="18"/>
          <w:color w:val="auto"/>
        </w:rPr>
        <w:t>number)</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23-1709202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 employer</w:t>
      </w:r>
    </w:p>
    <w:p>
      <w:pPr>
        <w:spacing w:after="0" w:line="238" w:lineRule="auto"/>
        <w:rPr>
          <w:sz w:val="20"/>
          <w:szCs w:val="20"/>
          <w:color w:val="auto"/>
        </w:rPr>
      </w:pPr>
      <w:r>
        <w:rPr>
          <w:rFonts w:ascii="Courier New" w:cs="Courier New" w:eastAsia="Courier New" w:hAnsi="Courier New"/>
          <w:sz w:val="18"/>
          <w:szCs w:val="18"/>
          <w:color w:val="auto"/>
        </w:rPr>
        <w:t>identification</w:t>
      </w:r>
    </w:p>
    <w:p>
      <w:pPr>
        <w:ind w:left="540"/>
        <w:spacing w:after="0"/>
        <w:rPr>
          <w:sz w:val="20"/>
          <w:szCs w:val="20"/>
          <w:color w:val="auto"/>
        </w:rPr>
      </w:pPr>
      <w:r>
        <w:rPr>
          <w:rFonts w:ascii="Courier New" w:cs="Courier New" w:eastAsia="Courier New" w:hAnsi="Courier New"/>
          <w:sz w:val="18"/>
          <w:szCs w:val="18"/>
          <w:color w:val="auto"/>
        </w:rPr>
        <w:t>no.)</w:t>
      </w:r>
    </w:p>
    <w:p>
      <w:pPr>
        <w:spacing w:after="0" w:line="200" w:lineRule="exact"/>
        <w:rPr>
          <w:sz w:val="24"/>
          <w:szCs w:val="24"/>
          <w:color w:val="auto"/>
        </w:rPr>
      </w:pPr>
    </w:p>
    <w:p>
      <w:pPr>
        <w:sectPr>
          <w:pgSz w:w="11900" w:h="16838" w:orient="portrait"/>
          <w:cols w:equalWidth="0" w:num="3">
            <w:col w:w="2560" w:space="720"/>
            <w:col w:w="2740" w:space="720"/>
            <w:col w:w="3479"/>
          </w:cols>
          <w:pgMar w:left="240" w:top="852" w:right="1440" w:bottom="1440" w:gutter="0" w:footer="0" w:header="0"/>
          <w:type w:val="continuous"/>
        </w:sectPr>
      </w:pPr>
    </w:p>
    <w:p>
      <w:pPr>
        <w:ind w:left="1380"/>
        <w:spacing w:after="0"/>
        <w:tabs>
          <w:tab w:leader="none" w:pos="6200" w:val="left"/>
        </w:tabs>
        <w:rPr>
          <w:sz w:val="20"/>
          <w:szCs w:val="20"/>
          <w:color w:val="auto"/>
        </w:rPr>
      </w:pPr>
      <w:r>
        <w:rPr>
          <w:rFonts w:ascii="Courier New" w:cs="Courier New" w:eastAsia="Courier New" w:hAnsi="Courier New"/>
          <w:sz w:val="18"/>
          <w:szCs w:val="18"/>
          <w:color w:val="auto"/>
        </w:rPr>
        <w:t>1500 Market Street, Philadelphia, PA</w:t>
      </w:r>
      <w:r>
        <w:rPr>
          <w:sz w:val="20"/>
          <w:szCs w:val="20"/>
          <w:color w:val="auto"/>
        </w:rPr>
        <w:tab/>
      </w:r>
      <w:r>
        <w:rPr>
          <w:rFonts w:ascii="Courier New" w:cs="Courier New" w:eastAsia="Courier New" w:hAnsi="Courier New"/>
          <w:sz w:val="16"/>
          <w:szCs w:val="16"/>
          <w:color w:val="auto"/>
        </w:rPr>
        <w:t>19102</w:t>
      </w:r>
    </w:p>
    <w:p>
      <w:pPr>
        <w:spacing w:after="0" w:line="4"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160"/>
        <w:spacing w:after="0"/>
        <w:tabs>
          <w:tab w:leader="none" w:pos="600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38" w:orient="portrait"/>
          <w:cols w:equalWidth="0" w:num="1">
            <w:col w:w="10219"/>
          </w:cols>
          <w:pgMar w:left="240" w:top="852" w:right="1440" w:bottom="1440" w:gutter="0" w:footer="0" w:header="0"/>
          <w:type w:val="continuous"/>
        </w:sectPr>
      </w:pP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Registrant's telephone number, including area code (215) 665-1700</w:t>
      </w:r>
    </w:p>
    <w:p>
      <w:pPr>
        <w:ind w:left="612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Exhibits are filed herewith in connection with the Registration Statement on Form S-3 (File No. 33-50785) originally filed October 27, 1993 and the abbreviated registration statement on Form S-3 to register additional securities to be filed March 11, 1999, in each case, by Comcast Corporation (the "Company").</w:t>
      </w:r>
    </w:p>
    <w:p>
      <w:pPr>
        <w:spacing w:after="0" w:line="209" w:lineRule="exact"/>
        <w:rPr>
          <w:sz w:val="24"/>
          <w:szCs w:val="24"/>
          <w:color w:val="auto"/>
        </w:rPr>
      </w:pPr>
    </w:p>
    <w:p>
      <w:pPr>
        <w:ind w:right="1879" w:firstLine="1053"/>
        <w:spacing w:after="0" w:line="271" w:lineRule="auto"/>
        <w:rPr>
          <w:sz w:val="20"/>
          <w:szCs w:val="20"/>
          <w:color w:val="auto"/>
        </w:rPr>
      </w:pPr>
      <w:r>
        <w:rPr>
          <w:rFonts w:ascii="Courier New" w:cs="Courier New" w:eastAsia="Courier New" w:hAnsi="Courier New"/>
          <w:sz w:val="16"/>
          <w:szCs w:val="16"/>
          <w:color w:val="auto"/>
        </w:rPr>
        <w:t>On March 9, 1999, the Company filed a preliminary prospectus supplement (the "Preliminary Prospectus Supplement") pursuant to Rule 424(b) of the Securities Act of 1933, as amended, relating to % Exchangeable Extendable Subordinated Debentures due 2029 (the "Debentures"). The form of Supplemental Indenture with respect to the indenture pursuant to which the Debentures would be issued is filed as an exhibit hereto, as well as a tax opinion relating to certain disclosure contained in the Preliminary Prospectus Supplement.</w:t>
      </w: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852" w:right="1440" w:bottom="1440" w:gutter="0" w:footer="0" w:header="0"/>
          <w:type w:val="continuous"/>
        </w:sectPr>
      </w:pPr>
    </w:p>
    <w:bookmarkStart w:id="1" w:name="page2"/>
    <w:bookmarkEnd w:id="1"/>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1900" w:hanging="944"/>
        <w:spacing w:after="0"/>
        <w:tabs>
          <w:tab w:leader="none" w:pos="1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7" w:lineRule="exact"/>
        <w:rPr>
          <w:sz w:val="20"/>
          <w:szCs w:val="20"/>
          <w:color w:val="auto"/>
        </w:rPr>
      </w:pPr>
    </w:p>
    <w:p>
      <w:pPr>
        <w:ind w:right="2099" w:firstLine="956"/>
        <w:spacing w:after="0" w:line="235" w:lineRule="auto"/>
        <w:tabs>
          <w:tab w:leader="none" w:pos="126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Supplemental Indenture dated as of March 15, 1999 between the Company and Bankers Trust Company.</w:t>
      </w:r>
    </w:p>
    <w:p>
      <w:pPr>
        <w:spacing w:after="0" w:line="203" w:lineRule="exact"/>
        <w:rPr>
          <w:sz w:val="20"/>
          <w:szCs w:val="20"/>
          <w:color w:val="auto"/>
        </w:rPr>
      </w:pPr>
    </w:p>
    <w:p>
      <w:pPr>
        <w:ind w:left="1280" w:hanging="324"/>
        <w:spacing w:after="0"/>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of Davis Polk &amp; Wardwell (relating to tax matters).</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 of Davis Polk &amp; Wardwell (included in Exhibit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1122" w:right="1440" w:bottom="1440" w:gutter="0" w:footer="0" w:header="0"/>
        </w:sectPr>
      </w:pPr>
    </w:p>
    <w:bookmarkStart w:id="2" w:name="page3"/>
    <w:bookmarkEnd w:id="2"/>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219"/>
          </w:cols>
          <w:pgMar w:left="240" w:top="11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March 11, 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CORPORATION</w:t>
      </w:r>
    </w:p>
    <w:p>
      <w:pPr>
        <w:spacing w:after="0" w:line="200" w:lineRule="exact"/>
        <w:rPr>
          <w:sz w:val="20"/>
          <w:szCs w:val="20"/>
          <w:color w:val="auto"/>
        </w:rPr>
      </w:pPr>
    </w:p>
    <w:p>
      <w:pPr>
        <w:sectPr>
          <w:pgSz w:w="11900" w:h="16838" w:orient="portrait"/>
          <w:cols w:equalWidth="0" w:num="2">
            <w:col w:w="3080" w:space="720"/>
            <w:col w:w="6419"/>
          </w:cols>
          <w:pgMar w:left="240" w:top="1122" w:right="1440" w:bottom="1440" w:gutter="0" w:footer="0" w:header="0"/>
          <w:type w:val="continuous"/>
        </w:sect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 /s/ Arthur R. Block</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Name: Arthur R. Block</w:t>
      </w:r>
    </w:p>
    <w:p>
      <w:pPr>
        <w:ind w:left="4120"/>
        <w:spacing w:after="0" w:line="238" w:lineRule="auto"/>
        <w:rPr>
          <w:sz w:val="20"/>
          <w:szCs w:val="20"/>
          <w:color w:val="auto"/>
        </w:rPr>
      </w:pPr>
      <w:r>
        <w:rPr>
          <w:rFonts w:ascii="Courier New" w:cs="Courier New" w:eastAsia="Courier New" w:hAnsi="Courier New"/>
          <w:sz w:val="18"/>
          <w:szCs w:val="18"/>
          <w:color w:val="auto"/>
        </w:rPr>
        <w:t>Title: Senior Deputy General Counsel</w:t>
      </w:r>
    </w:p>
    <w:p>
      <w:pPr>
        <w:ind w:left="5060"/>
        <w:spacing w:after="0"/>
        <w:rPr>
          <w:sz w:val="20"/>
          <w:szCs w:val="20"/>
          <w:color w:val="auto"/>
        </w:rPr>
      </w:pPr>
      <w:r>
        <w:rPr>
          <w:rFonts w:ascii="Courier New" w:cs="Courier New" w:eastAsia="Courier New" w:hAnsi="Courier New"/>
          <w:sz w:val="18"/>
          <w:szCs w:val="18"/>
          <w:color w:val="auto"/>
        </w:rPr>
        <w:t>and Vice President</w:t>
      </w:r>
    </w:p>
    <w:p>
      <w:pPr>
        <w:sectPr>
          <w:pgSz w:w="11900" w:h="16838" w:orient="portrait"/>
          <w:cols w:equalWidth="0" w:num="1">
            <w:col w:w="10219"/>
          </w:cols>
          <w:pgMar w:left="240" w:top="112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1122" w:right="1440" w:bottom="1440" w:gutter="0" w:footer="0" w:header="0"/>
          <w:type w:val="continuous"/>
        </w:sectPr>
      </w:pPr>
    </w:p>
    <w:bookmarkStart w:id="3" w:name="page4"/>
    <w:bookmarkEnd w:id="3"/>
    <w:p>
      <w:pPr>
        <w:ind w:left="358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4" w:lineRule="exact"/>
        <w:rPr>
          <w:sz w:val="20"/>
          <w:szCs w:val="20"/>
          <w:color w:val="auto"/>
        </w:rPr>
      </w:pPr>
    </w:p>
    <w:p>
      <w:pPr>
        <w:spacing w:after="0"/>
        <w:tabs>
          <w:tab w:leader="none" w:pos="4000" w:val="left"/>
        </w:tabs>
        <w:rPr>
          <w:sz w:val="20"/>
          <w:szCs w:val="20"/>
          <w:color w:val="auto"/>
        </w:rPr>
      </w:pPr>
      <w:r>
        <w:rPr>
          <w:rFonts w:ascii="Courier New" w:cs="Courier New" w:eastAsia="Courier New" w:hAnsi="Courier New"/>
          <w:sz w:val="18"/>
          <w:szCs w:val="18"/>
          <w:color w:val="auto"/>
        </w:rPr>
        <w:t>Exhibit No.</w:t>
      </w:r>
      <w:r>
        <w:rPr>
          <w:sz w:val="20"/>
          <w:szCs w:val="20"/>
          <w:color w:val="auto"/>
        </w:rPr>
        <w:tab/>
      </w:r>
      <w:r>
        <w:rPr>
          <w:rFonts w:ascii="Courier New" w:cs="Courier New" w:eastAsia="Courier New" w:hAnsi="Courier New"/>
          <w:sz w:val="16"/>
          <w:szCs w:val="16"/>
          <w:color w:val="auto"/>
        </w:rPr>
        <w:t>Exhibit</w:t>
      </w:r>
    </w:p>
    <w:p>
      <w:pPr>
        <w:spacing w:after="0" w:line="207" w:lineRule="exact"/>
        <w:rPr>
          <w:sz w:val="20"/>
          <w:szCs w:val="20"/>
          <w:color w:val="auto"/>
        </w:rPr>
      </w:pPr>
    </w:p>
    <w:p>
      <w:pPr>
        <w:ind w:left="1580" w:right="2619" w:hanging="1045"/>
        <w:spacing w:after="0" w:line="235" w:lineRule="auto"/>
        <w:tabs>
          <w:tab w:leader="none" w:pos="15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Supplemental Indenture dated as of March 15, 1999 between the Company and Bankers Trust Company</w:t>
      </w:r>
    </w:p>
    <w:p>
      <w:pPr>
        <w:spacing w:after="0" w:line="208" w:lineRule="exact"/>
        <w:rPr>
          <w:sz w:val="20"/>
          <w:szCs w:val="20"/>
          <w:color w:val="auto"/>
        </w:rPr>
      </w:pPr>
    </w:p>
    <w:p>
      <w:pPr>
        <w:ind w:left="1580" w:hanging="1045"/>
        <w:spacing w:after="0"/>
        <w:tabs>
          <w:tab w:leader="none" w:pos="15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 of Davis Polk &amp; Wardwell (relating to tax matters)</w:t>
      </w:r>
    </w:p>
    <w:p>
      <w:pPr>
        <w:spacing w:after="0" w:line="218" w:lineRule="exact"/>
        <w:rPr>
          <w:sz w:val="20"/>
          <w:szCs w:val="20"/>
          <w:color w:val="auto"/>
        </w:rPr>
      </w:pPr>
    </w:p>
    <w:p>
      <w:pPr>
        <w:ind w:left="1580" w:hanging="1151"/>
        <w:spacing w:after="0"/>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 of Davis Polk &amp; Wardwell (included in Exhibit 8)</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8" w:lineRule="exact"/>
        <w:rPr>
          <w:rFonts w:ascii="Courier New" w:cs="Courier New" w:eastAsia="Courier New" w:hAnsi="Courier New"/>
          <w:sz w:val="18"/>
          <w:szCs w:val="18"/>
          <w:color w:val="auto"/>
        </w:rPr>
      </w:pPr>
    </w:p>
    <w:p>
      <w:pPr>
        <w:ind w:left="4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1122" w:right="1440" w:bottom="1440" w:gutter="0" w:footer="0" w:header="0"/>
        </w:sectPr>
      </w:pPr>
    </w:p>
    <w:bookmarkStart w:id="4" w:name="page5"/>
    <w:bookmarkEnd w:id="4"/>
    <w:p>
      <w:pPr>
        <w:ind w:left="7280"/>
        <w:spacing w:after="0"/>
        <w:rPr>
          <w:sz w:val="20"/>
          <w:szCs w:val="20"/>
          <w:color w:val="auto"/>
        </w:rPr>
      </w:pPr>
      <w:r>
        <w:rPr>
          <w:rFonts w:ascii="Courier New" w:cs="Courier New" w:eastAsia="Courier New" w:hAnsi="Courier New"/>
          <w:sz w:val="18"/>
          <w:szCs w:val="18"/>
          <w:color w:val="auto"/>
        </w:rPr>
        <w:t>EXHIBIT 4</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AND</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BANKERS TRUST COMPANY,</w:t>
      </w:r>
    </w:p>
    <w:p>
      <w:pPr>
        <w:ind w:left="3900"/>
        <w:spacing w:after="0" w:line="238" w:lineRule="auto"/>
        <w:rPr>
          <w:sz w:val="20"/>
          <w:szCs w:val="20"/>
          <w:color w:val="auto"/>
        </w:rPr>
      </w:pPr>
      <w:r>
        <w:rPr>
          <w:rFonts w:ascii="Courier New" w:cs="Courier New" w:eastAsia="Courier New" w:hAnsi="Courier New"/>
          <w:sz w:val="18"/>
          <w:szCs w:val="18"/>
          <w:color w:val="auto"/>
        </w:rPr>
        <w:t>Trustee</w:t>
      </w:r>
    </w:p>
    <w:p>
      <w:pPr>
        <w:spacing w:after="0" w:line="200" w:lineRule="exact"/>
        <w:rPr>
          <w:sz w:val="20"/>
          <w:szCs w:val="20"/>
          <w:color w:val="auto"/>
        </w:rPr>
      </w:pPr>
    </w:p>
    <w:p>
      <w:pPr>
        <w:spacing w:after="0" w:line="20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FIRST SUPPLEMENTAL INDENTURE</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Dated as of March 15, 1999</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To the Indenture dated as of</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February 20, 1991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Subordinated Debentures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THIS FIRST SUPPLEMENTAL INDENTURE (the "Supplemental Indenture"), is made as of March 15, 1999 between Comcast Corporation, a corporation organized and existing under the laws of the Commonwealth of Pennsylvania (the "Company"), and Bankers Trust Company, a New York banking organization with its principal offices in New York, New York, as Trustee hereunder (hereinafter called the "Trustee").</w:t>
      </w: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RECITALS</w:t>
      </w:r>
    </w:p>
    <w:p>
      <w:pPr>
        <w:spacing w:after="0" w:line="207"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WHEREAS, the Company executed and delivered an Indenture dated as of February 20, 1991 between the Company and the Trustee to provide for the issuance from time to time of its debentures, notes or other evidences on indebtedness, to be issued in one or more series as herein provided;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20" w:type="dxa"/>
            <w:vAlign w:val="bottom"/>
          </w:tcPr>
          <w:p>
            <w:pPr>
              <w:jc w:val="right"/>
              <w:spacing w:after="0"/>
              <w:rPr>
                <w:sz w:val="20"/>
                <w:szCs w:val="20"/>
                <w:color w:val="auto"/>
              </w:rPr>
            </w:pPr>
            <w:r>
              <w:rPr>
                <w:rFonts w:ascii="Courier New" w:cs="Courier New" w:eastAsia="Courier New" w:hAnsi="Courier New"/>
                <w:sz w:val="18"/>
                <w:szCs w:val="18"/>
                <w:color w:val="auto"/>
              </w:rPr>
              <w:t>WHEREAS, the Company</w:t>
            </w:r>
          </w:p>
        </w:tc>
        <w:tc>
          <w:tcPr>
            <w:tcW w:w="52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desires to execute and deliver a further</w:t>
            </w:r>
          </w:p>
        </w:tc>
      </w:tr>
      <w:tr>
        <w:trPr>
          <w:trHeight w:val="203"/>
        </w:trPr>
        <w:tc>
          <w:tcPr>
            <w:tcW w:w="3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amendment to the Indenture for</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the purpose of</w:t>
            </w:r>
          </w:p>
        </w:tc>
        <w:tc>
          <w:tcPr>
            <w:tcW w:w="3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amending the definition of "Senior</w:t>
            </w:r>
          </w:p>
        </w:tc>
      </w:tr>
      <w:tr>
        <w:trPr>
          <w:trHeight w:val="203"/>
        </w:trPr>
        <w:tc>
          <w:tcPr>
            <w:tcW w:w="3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Indebtedness" contained in the</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Indenture (the</w:t>
            </w:r>
          </w:p>
        </w:tc>
        <w:tc>
          <w:tcPr>
            <w:tcW w:w="3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"Proposed Amendment");</w:t>
            </w:r>
          </w:p>
        </w:tc>
      </w:tr>
    </w:tbl>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WHEREAS, Section 12.1 of the Indenture provides that the Company may, without consent of the Debentureholders and subject to the conditions and restrictions contained in the Indenture, change or eliminate any of the provisions of the Indenture, provided that such change or elimination is effective only when there is not Debenture outstanding of any series created prior thereto which is entitled to the benefit of such provision;</w:t>
      </w:r>
    </w:p>
    <w:p>
      <w:pPr>
        <w:spacing w:after="0" w:line="210" w:lineRule="exact"/>
        <w:rPr>
          <w:sz w:val="20"/>
          <w:szCs w:val="20"/>
          <w:color w:val="auto"/>
        </w:rPr>
      </w:pPr>
    </w:p>
    <w:p>
      <w:pPr>
        <w:ind w:right="1779" w:firstLine="1053"/>
        <w:spacing w:after="0" w:line="235" w:lineRule="auto"/>
        <w:rPr>
          <w:sz w:val="20"/>
          <w:szCs w:val="20"/>
          <w:color w:val="auto"/>
        </w:rPr>
      </w:pPr>
      <w:r>
        <w:rPr>
          <w:rFonts w:ascii="Courier New" w:cs="Courier New" w:eastAsia="Courier New" w:hAnsi="Courier New"/>
          <w:sz w:val="18"/>
          <w:szCs w:val="18"/>
          <w:color w:val="auto"/>
        </w:rPr>
        <w:t>WHEREAS, there is no Debenture outstanding of any series created prior hereto which is entitled to the benefit of such provision;</w:t>
      </w:r>
    </w:p>
    <w:p>
      <w:pPr>
        <w:spacing w:after="0" w:line="208"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WHEREAS, all other conditions and requirements necessary to make this Supplemental Indenture a valid and binding instrument in accordance with its terms and the terms of the Indenture have been satisfied.</w:t>
      </w:r>
    </w:p>
    <w:p>
      <w:pPr>
        <w:spacing w:after="0" w:line="209" w:lineRule="exact"/>
        <w:rPr>
          <w:sz w:val="20"/>
          <w:szCs w:val="20"/>
          <w:color w:val="auto"/>
        </w:rPr>
      </w:pPr>
    </w:p>
    <w:p>
      <w:pPr>
        <w:jc w:val="both"/>
        <w:ind w:right="1879" w:firstLine="1053"/>
        <w:spacing w:after="0" w:line="237" w:lineRule="auto"/>
        <w:rPr>
          <w:sz w:val="20"/>
          <w:szCs w:val="20"/>
          <w:color w:val="auto"/>
        </w:rPr>
      </w:pPr>
      <w:r>
        <w:rPr>
          <w:rFonts w:ascii="Courier New" w:cs="Courier New" w:eastAsia="Courier New" w:hAnsi="Courier New"/>
          <w:sz w:val="18"/>
          <w:szCs w:val="18"/>
          <w:color w:val="auto"/>
        </w:rPr>
        <w:t>NOW, THEREFORE, in consideration of the mutual agreements, provisions and covenants contained herein, the Company and the Trustee hereby covenant and agree, for the equal and proportionate benefit of all holders from time to time of the Securities as follows:</w:t>
      </w:r>
    </w:p>
    <w:p>
      <w:pPr>
        <w:spacing w:after="0" w:line="207" w:lineRule="exact"/>
        <w:rPr>
          <w:sz w:val="20"/>
          <w:szCs w:val="20"/>
          <w:color w:val="auto"/>
        </w:rPr>
      </w:pPr>
    </w:p>
    <w:p>
      <w:pPr>
        <w:ind w:right="1779" w:firstLine="1053"/>
        <w:spacing w:after="0" w:line="235" w:lineRule="auto"/>
        <w:rPr>
          <w:sz w:val="20"/>
          <w:szCs w:val="20"/>
          <w:color w:val="auto"/>
        </w:rPr>
      </w:pPr>
      <w:r>
        <w:rPr>
          <w:rFonts w:ascii="Courier New" w:cs="Courier New" w:eastAsia="Courier New" w:hAnsi="Courier New"/>
          <w:sz w:val="18"/>
          <w:szCs w:val="18"/>
          <w:color w:val="auto"/>
        </w:rPr>
        <w:t>All capitalized terms used herein and not otherwise defined shall have the meanings ascribed to them in the Indenture.</w:t>
      </w:r>
    </w:p>
    <w:p>
      <w:pPr>
        <w:sectPr>
          <w:pgSz w:w="11900" w:h="16838" w:orient="portrait"/>
          <w:cols w:equalWidth="0" w:num="1">
            <w:col w:w="10219"/>
          </w:cols>
          <w:pgMar w:left="240" w:top="136" w:right="1440" w:bottom="0" w:gutter="0" w:footer="0" w:header="0"/>
        </w:sectPr>
      </w:pPr>
    </w:p>
    <w:bookmarkStart w:id="5" w:name="page6"/>
    <w:bookmarkEnd w:id="5"/>
    <w:p>
      <w:pPr>
        <w:ind w:left="30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019"/>
          </w:cols>
          <w:pgMar w:left="1440" w:top="1357" w:right="1440" w:bottom="1440" w:gutter="0" w:footer="0" w:header="0"/>
        </w:sectPr>
      </w:pPr>
    </w:p>
    <w:bookmarkStart w:id="6" w:name="page7"/>
    <w:bookmarkEnd w:id="6"/>
    <w:p>
      <w:pPr>
        <w:jc w:val="center"/>
        <w:ind w:right="1659"/>
        <w:spacing w:after="0"/>
        <w:rPr>
          <w:sz w:val="20"/>
          <w:szCs w:val="20"/>
          <w:color w:val="auto"/>
        </w:rPr>
      </w:pPr>
      <w:r>
        <w:rPr>
          <w:rFonts w:ascii="Courier New" w:cs="Courier New" w:eastAsia="Courier New" w:hAnsi="Courier New"/>
          <w:sz w:val="18"/>
          <w:szCs w:val="18"/>
          <w:color w:val="auto"/>
        </w:rPr>
        <w:t>ARTICLE 1</w:t>
      </w:r>
    </w:p>
    <w:p>
      <w:pPr>
        <w:jc w:val="center"/>
        <w:ind w:right="1659"/>
        <w:spacing w:after="0" w:line="238" w:lineRule="auto"/>
        <w:rPr>
          <w:sz w:val="20"/>
          <w:szCs w:val="20"/>
          <w:color w:val="auto"/>
        </w:rPr>
      </w:pPr>
      <w:r>
        <w:rPr>
          <w:rFonts w:ascii="Courier New" w:cs="Courier New" w:eastAsia="Courier New" w:hAnsi="Courier New"/>
          <w:sz w:val="18"/>
          <w:szCs w:val="18"/>
          <w:color w:val="auto"/>
        </w:rPr>
        <w:t>AMENDMENTS TO CERTAIN PROVISIONS OF INDENTURE</w:t>
      </w:r>
    </w:p>
    <w:p>
      <w:pPr>
        <w:spacing w:after="0" w:line="207" w:lineRule="exact"/>
        <w:rPr>
          <w:sz w:val="20"/>
          <w:szCs w:val="20"/>
          <w:color w:val="auto"/>
        </w:rPr>
      </w:pPr>
    </w:p>
    <w:p>
      <w:pPr>
        <w:ind w:right="2099" w:firstLine="1053"/>
        <w:spacing w:after="0" w:line="235" w:lineRule="auto"/>
        <w:rPr>
          <w:sz w:val="20"/>
          <w:szCs w:val="20"/>
          <w:color w:val="auto"/>
        </w:rPr>
      </w:pPr>
      <w:r>
        <w:rPr>
          <w:rFonts w:ascii="Courier New" w:cs="Courier New" w:eastAsia="Courier New" w:hAnsi="Courier New"/>
          <w:sz w:val="18"/>
          <w:szCs w:val="18"/>
          <w:color w:val="auto"/>
        </w:rPr>
        <w:t>SECTION 1.01. Amendment of Certain Provisions of the Indenture. The Indenture is hereby amended in the following respects:</w:t>
      </w:r>
    </w:p>
    <w:p>
      <w:pPr>
        <w:spacing w:after="0" w:line="208" w:lineRule="exact"/>
        <w:rPr>
          <w:sz w:val="20"/>
          <w:szCs w:val="20"/>
          <w:color w:val="auto"/>
        </w:rPr>
      </w:pPr>
    </w:p>
    <w:p>
      <w:pPr>
        <w:ind w:right="2199" w:firstLine="1061"/>
        <w:spacing w:after="0" w:line="236" w:lineRule="auto"/>
        <w:tabs>
          <w:tab w:leader="none" w:pos="1475"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Sub-clause (ii) of clause (a) under the definition of "Senior Indebtedness" contained in Section 1.1 is hereby deleted in its entirety and replaced with the following:</w:t>
      </w:r>
    </w:p>
    <w:p>
      <w:pPr>
        <w:spacing w:after="0" w:line="209" w:lineRule="exact"/>
        <w:rPr>
          <w:sz w:val="20"/>
          <w:szCs w:val="20"/>
          <w:color w:val="auto"/>
        </w:rPr>
      </w:pPr>
    </w:p>
    <w:p>
      <w:pPr>
        <w:ind w:left="1580" w:right="2099"/>
        <w:spacing w:after="0" w:line="237" w:lineRule="auto"/>
        <w:rPr>
          <w:sz w:val="20"/>
          <w:szCs w:val="20"/>
          <w:color w:val="auto"/>
        </w:rPr>
      </w:pPr>
      <w:r>
        <w:rPr>
          <w:rFonts w:ascii="Courier New" w:cs="Courier New" w:eastAsia="Courier New" w:hAnsi="Courier New"/>
          <w:sz w:val="18"/>
          <w:szCs w:val="18"/>
          <w:color w:val="auto"/>
        </w:rPr>
        <w:t>"(ii) all indebtedness for money borrowed by another person in which the Company has a controlling equity interest, and guaranteed directly or indirectly by the Company (whether such guarantee is outstanding on the date of this Indenture or hereafter created or incurred), or".</w:t>
      </w:r>
    </w:p>
    <w:p>
      <w:pPr>
        <w:spacing w:after="0" w:line="209" w:lineRule="exact"/>
        <w:rPr>
          <w:sz w:val="20"/>
          <w:szCs w:val="20"/>
          <w:color w:val="auto"/>
        </w:rPr>
      </w:pPr>
    </w:p>
    <w:p>
      <w:pPr>
        <w:ind w:right="1779" w:firstLine="1061"/>
        <w:spacing w:after="0" w:line="236" w:lineRule="auto"/>
        <w:tabs>
          <w:tab w:leader="none" w:pos="1475"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Clause (b) under the definition of "Senior Indebtedness" contained in Section 1.1 is hereby deleted in its entirety and replaced with the following:</w:t>
      </w:r>
    </w:p>
    <w:p>
      <w:pPr>
        <w:spacing w:after="0" w:line="209" w:lineRule="exact"/>
        <w:rPr>
          <w:sz w:val="20"/>
          <w:szCs w:val="20"/>
          <w:color w:val="auto"/>
        </w:rPr>
      </w:pPr>
    </w:p>
    <w:p>
      <w:pPr>
        <w:ind w:left="1580" w:right="2199"/>
        <w:spacing w:after="0" w:line="237" w:lineRule="auto"/>
        <w:rPr>
          <w:sz w:val="20"/>
          <w:szCs w:val="20"/>
          <w:color w:val="auto"/>
        </w:rPr>
      </w:pPr>
      <w:r>
        <w:rPr>
          <w:rFonts w:ascii="Courier New" w:cs="Courier New" w:eastAsia="Courier New" w:hAnsi="Courier New"/>
          <w:sz w:val="18"/>
          <w:szCs w:val="18"/>
          <w:color w:val="auto"/>
        </w:rPr>
        <w:t>"(b) any obligation to purchase or guarantee indebtedness of, to supply funds to or to invest in, another person in which the Company has a controlling equity interest (whether such guarantee is outstanding on the date of this Indenture or hereafter created or incurred), or".</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2</w:t>
      </w:r>
    </w:p>
    <w:p>
      <w:pPr>
        <w:jc w:val="center"/>
        <w:ind w:right="1659"/>
        <w:spacing w:after="0" w:line="238" w:lineRule="auto"/>
        <w:rPr>
          <w:sz w:val="20"/>
          <w:szCs w:val="20"/>
          <w:color w:val="auto"/>
        </w:rPr>
      </w:pPr>
      <w:r>
        <w:rPr>
          <w:rFonts w:ascii="Courier New" w:cs="Courier New" w:eastAsia="Courier New" w:hAnsi="Courier New"/>
          <w:sz w:val="18"/>
          <w:szCs w:val="18"/>
          <w:color w:val="auto"/>
        </w:rPr>
        <w:t>SUNDRY PROVISIONS</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2.01. Effect of Supplemental Indenture. Upon the execution and delivery of this Supplemental Indenture by the Company and the Trustee, the Indenture shall be modified in accordance herewith, and this Supplemental Indenture shall form a part of the Indenture for all purposes; and every holder of Debentures heretofore or hereafter authenticated and delivered under the Indenture shall be bound thereby. Upon the execution of this Supplemental Indenture, the Proposed Amendment shall automatically take effect without the requirement of any further action by or notice to the Company.</w:t>
      </w:r>
    </w:p>
    <w:p>
      <w:pPr>
        <w:spacing w:after="0" w:line="212"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SECTION 2.02. Indenture Remains in Full Force and Effect. Except as supplemented hereby, all provisions in the Indenture shall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1122" w:right="1440" w:bottom="1440" w:gutter="0" w:footer="0" w:header="0"/>
        </w:sectPr>
      </w:pPr>
    </w:p>
    <w:bookmarkStart w:id="7" w:name="page8"/>
    <w:bookmarkEnd w:id="7"/>
    <w:p>
      <w:pPr>
        <w:ind w:right="1779" w:firstLine="1053"/>
        <w:spacing w:after="0" w:line="237" w:lineRule="auto"/>
        <w:rPr>
          <w:sz w:val="20"/>
          <w:szCs w:val="20"/>
          <w:color w:val="auto"/>
        </w:rPr>
      </w:pPr>
      <w:r>
        <w:rPr>
          <w:rFonts w:ascii="Courier New" w:cs="Courier New" w:eastAsia="Courier New" w:hAnsi="Courier New"/>
          <w:sz w:val="18"/>
          <w:szCs w:val="18"/>
          <w:color w:val="auto"/>
        </w:rPr>
        <w:t>SECTION 2.03. Indenture and Supplemental Indenture Construed Together. This Supplemental Indenture is an indenture supplemental to and in implementation of the Indenture, and the Indenture and this Supplemental Indenture shall henceforth be read and construed together.</w:t>
      </w:r>
    </w:p>
    <w:p>
      <w:pPr>
        <w:spacing w:after="0" w:line="207" w:lineRule="exact"/>
        <w:rPr>
          <w:sz w:val="20"/>
          <w:szCs w:val="20"/>
          <w:color w:val="auto"/>
        </w:rPr>
      </w:pPr>
    </w:p>
    <w:p>
      <w:pPr>
        <w:ind w:right="2319" w:firstLine="1053"/>
        <w:spacing w:after="0" w:line="236" w:lineRule="auto"/>
        <w:rPr>
          <w:sz w:val="20"/>
          <w:szCs w:val="20"/>
          <w:color w:val="auto"/>
        </w:rPr>
      </w:pPr>
      <w:r>
        <w:rPr>
          <w:rFonts w:ascii="Courier New" w:cs="Courier New" w:eastAsia="Courier New" w:hAnsi="Courier New"/>
          <w:sz w:val="18"/>
          <w:szCs w:val="18"/>
          <w:color w:val="auto"/>
        </w:rPr>
        <w:t>SECTION 2.04. Confirmation and Preservation of Indenture. The Indenture as supplemented by this Supplemental Indenture is in all respects confirmed and preserved.</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2.05. Conflict with Trust Indenture Act. If any provision of this Supplemental Indenture limits, qualifies or conflicts with another provision hereof which is required to be included in this Supplemental Indenture by any of the provisions of the Trust Indenture Act, such required provision shall control.</w:t>
      </w:r>
    </w:p>
    <w:p>
      <w:pPr>
        <w:spacing w:after="0" w:line="209"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SECTION 2.06. Certain Duties and Responsibilities of the Trustee. In entering into this Supplemental Indenture, the Trustee shall be entitled to the benefit of every provision of the Indenture relating to the conduct or affecting the liability of or affording protection to the Trustee, whether or not elsewhere herein so provided. The Trustee, for itself and its successor or successors, accepts the terms of the Indenture as amended by this Supplemental Indenture, and agrees to perform the same, but only upon the terms and conditions set forth in the Indenture, including the terms and provisions defining and limiting the liabilities and responsibilities of the Trustee, which terms and provisions shall in like manner define and limit its liabilities and responsibilities in the performance of the trust created by the Indenture. The Trustee makes no representations as to the validity or sufficiency of this Supplemental Indenture other than as to the validity of its execution and delivery by the Trustee.</w:t>
      </w:r>
    </w:p>
    <w:p>
      <w:pPr>
        <w:spacing w:after="0" w:line="208" w:lineRule="exact"/>
        <w:rPr>
          <w:sz w:val="20"/>
          <w:szCs w:val="20"/>
          <w:color w:val="auto"/>
        </w:rPr>
      </w:pPr>
    </w:p>
    <w:p>
      <w:pPr>
        <w:ind w:right="2099" w:firstLine="1053"/>
        <w:spacing w:after="0" w:line="290" w:lineRule="auto"/>
        <w:rPr>
          <w:sz w:val="20"/>
          <w:szCs w:val="20"/>
          <w:color w:val="auto"/>
        </w:rPr>
      </w:pPr>
      <w:r>
        <w:rPr>
          <w:rFonts w:ascii="Courier New" w:cs="Courier New" w:eastAsia="Courier New" w:hAnsi="Courier New"/>
          <w:sz w:val="16"/>
          <w:szCs w:val="16"/>
          <w:color w:val="auto"/>
        </w:rPr>
        <w:t>SECTION 2.07. Effect of Headings. The Article and Section headings herein are for convenience only and shall not affect the construction hereof.</w:t>
      </w:r>
    </w:p>
    <w:p>
      <w:pPr>
        <w:spacing w:after="0" w:line="170"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SECTION 2.08. Successors and Assigns. All covenants and agreements in this Supplemental Indenture by the Company shall bind its successors and assigns, whether so expressed or not.</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2.09. Separability Clause. In case any provision in this Supplemental Indenture shall be invalid, illegal or unenforceable, the validity, legality and enforceability of the remaining provisions shall not in any way be affected or impaired thereby.</w:t>
      </w:r>
    </w:p>
    <w:p>
      <w:pPr>
        <w:spacing w:after="0" w:line="207" w:lineRule="exact"/>
        <w:rPr>
          <w:sz w:val="20"/>
          <w:szCs w:val="20"/>
          <w:color w:val="auto"/>
        </w:rPr>
      </w:pPr>
    </w:p>
    <w:p>
      <w:pPr>
        <w:ind w:right="2199" w:firstLine="1053"/>
        <w:spacing w:after="0" w:line="237" w:lineRule="auto"/>
        <w:rPr>
          <w:sz w:val="20"/>
          <w:szCs w:val="20"/>
          <w:color w:val="auto"/>
        </w:rPr>
      </w:pPr>
      <w:r>
        <w:rPr>
          <w:rFonts w:ascii="Courier New" w:cs="Courier New" w:eastAsia="Courier New" w:hAnsi="Courier New"/>
          <w:sz w:val="18"/>
          <w:szCs w:val="18"/>
          <w:color w:val="auto"/>
        </w:rPr>
        <w:t>SECTION 2.10. Benefits of Supplemental Indenture. Nothing in this Supplemental Indenture, the Indenture or the Securities, express or implied, shall give to any Person, other than the parties hereto and their successors hereunder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1128" w:right="1440" w:bottom="1440" w:gutter="0" w:footer="0" w:header="0"/>
        </w:sectPr>
      </w:pPr>
    </w:p>
    <w:bookmarkStart w:id="8" w:name="page9"/>
    <w:bookmarkEnd w:id="8"/>
    <w:p>
      <w:pPr>
        <w:ind w:right="2099"/>
        <w:spacing w:after="0" w:line="235" w:lineRule="auto"/>
        <w:rPr>
          <w:sz w:val="20"/>
          <w:szCs w:val="20"/>
          <w:color w:val="auto"/>
        </w:rPr>
      </w:pPr>
      <w:r>
        <w:rPr>
          <w:rFonts w:ascii="Courier New" w:cs="Courier New" w:eastAsia="Courier New" w:hAnsi="Courier New"/>
          <w:sz w:val="18"/>
          <w:szCs w:val="18"/>
          <w:color w:val="auto"/>
        </w:rPr>
        <w:t>and the Holders, any benefit or any legal or equitable right, remedy or claim under this Supplemental Indenture.</w:t>
      </w:r>
    </w:p>
    <w:p>
      <w:pPr>
        <w:spacing w:after="0" w:line="208" w:lineRule="exact"/>
        <w:rPr>
          <w:sz w:val="20"/>
          <w:szCs w:val="20"/>
          <w:color w:val="auto"/>
        </w:rPr>
      </w:pPr>
    </w:p>
    <w:p>
      <w:pPr>
        <w:ind w:right="1879" w:firstLine="1053"/>
        <w:spacing w:after="0" w:line="290" w:lineRule="auto"/>
        <w:rPr>
          <w:sz w:val="20"/>
          <w:szCs w:val="20"/>
          <w:color w:val="auto"/>
        </w:rPr>
      </w:pPr>
      <w:r>
        <w:rPr>
          <w:rFonts w:ascii="Courier New" w:cs="Courier New" w:eastAsia="Courier New" w:hAnsi="Courier New"/>
          <w:sz w:val="16"/>
          <w:szCs w:val="16"/>
          <w:color w:val="auto"/>
        </w:rPr>
        <w:t>SECTION 2.11. Governing Law. This Supplemental Indenture shall be governed by and construed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1128" w:right="1440" w:bottom="1440" w:gutter="0" w:footer="0" w:header="0"/>
        </w:sectPr>
      </w:pPr>
    </w:p>
    <w:bookmarkStart w:id="9" w:name="page10"/>
    <w:bookmarkEnd w:id="9"/>
    <w:p>
      <w:pPr>
        <w:ind w:right="1999" w:firstLine="1053"/>
        <w:spacing w:after="0" w:line="237" w:lineRule="auto"/>
        <w:rPr>
          <w:sz w:val="20"/>
          <w:szCs w:val="20"/>
          <w:color w:val="auto"/>
        </w:rPr>
      </w:pPr>
      <w:r>
        <w:rPr>
          <w:rFonts w:ascii="Courier New" w:cs="Courier New" w:eastAsia="Courier New" w:hAnsi="Courier New"/>
          <w:sz w:val="18"/>
          <w:szCs w:val="18"/>
          <w:color w:val="auto"/>
        </w:rPr>
        <w:t>IN WITNESS WHEREOF, COMCAST CORPORATION has caused this Supplemental Indenture to be signed in its corporate name, and BANKERS TRUST COMPANY, as Trustee has caused this Supplemental Indenture to be signed in its corporate name, all as of the day and year first above written.</w:t>
      </w:r>
    </w:p>
    <w:p>
      <w:pPr>
        <w:spacing w:after="0" w:line="202"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9"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By________________________________</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[CORPORATE SEAL]</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BANKERS TRUST COMPANY</w:t>
      </w:r>
    </w:p>
    <w:p>
      <w:pPr>
        <w:ind w:left="4640"/>
        <w:spacing w:after="0" w:line="238" w:lineRule="auto"/>
        <w:rPr>
          <w:sz w:val="20"/>
          <w:szCs w:val="20"/>
          <w:color w:val="auto"/>
        </w:rPr>
      </w:pPr>
      <w:r>
        <w:rPr>
          <w:rFonts w:ascii="Courier New" w:cs="Courier New" w:eastAsia="Courier New" w:hAnsi="Courier New"/>
          <w:sz w:val="18"/>
          <w:szCs w:val="18"/>
          <w:color w:val="auto"/>
        </w:rPr>
        <w:t>As Trustee</w:t>
      </w:r>
    </w:p>
    <w:p>
      <w:pPr>
        <w:spacing w:after="0" w:line="200" w:lineRule="exact"/>
        <w:rPr>
          <w:sz w:val="20"/>
          <w:szCs w:val="20"/>
          <w:color w:val="auto"/>
        </w:rPr>
      </w:pPr>
    </w:p>
    <w:p>
      <w:pPr>
        <w:spacing w:after="0" w:line="210"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By:_______________________________</w:t>
      </w:r>
    </w:p>
    <w:p>
      <w:pPr>
        <w:spacing w:after="0" w:line="16"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Vice President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[CORPORATE SEAL]</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w:t>
      </w:r>
    </w:p>
    <w:p>
      <w:pPr>
        <w:ind w:left="640"/>
        <w:spacing w:after="0" w:line="238" w:lineRule="auto"/>
        <w:rPr>
          <w:sz w:val="20"/>
          <w:szCs w:val="20"/>
          <w:color w:val="auto"/>
        </w:rPr>
      </w:pPr>
      <w:r>
        <w:rPr>
          <w:rFonts w:ascii="Courier New" w:cs="Courier New" w:eastAsia="Courier New" w:hAnsi="Courier New"/>
          <w:sz w:val="18"/>
          <w:szCs w:val="18"/>
          <w:color w:val="auto"/>
        </w:rPr>
        <w:t>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1128" w:right="1440" w:bottom="1440" w:gutter="0" w:footer="0" w:header="0"/>
        </w:sectPr>
      </w:pPr>
    </w:p>
    <w:bookmarkStart w:id="10" w:name="page11"/>
    <w:bookmarkEnd w:id="10"/>
    <w:p>
      <w:pPr>
        <w:ind w:right="220"/>
        <w:spacing w:after="0" w:line="290" w:lineRule="auto"/>
        <w:rPr>
          <w:sz w:val="20"/>
          <w:szCs w:val="20"/>
          <w:color w:val="auto"/>
        </w:rPr>
      </w:pPr>
      <w:r>
        <w:rPr>
          <w:rFonts w:ascii="Courier New" w:cs="Courier New" w:eastAsia="Courier New" w:hAnsi="Courier New"/>
          <w:sz w:val="16"/>
          <w:szCs w:val="16"/>
          <w:color w:val="auto"/>
        </w:rPr>
        <w:t>COMMONWEALTH OF PENNSYVANIA COUNTY OF PHILADELPHIA</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ss.:</w:t>
      </w:r>
    </w:p>
    <w:p>
      <w:pPr>
        <w:spacing w:after="0" w:line="224" w:lineRule="exact"/>
        <w:rPr>
          <w:sz w:val="20"/>
          <w:szCs w:val="20"/>
          <w:color w:val="auto"/>
        </w:rPr>
      </w:pPr>
    </w:p>
    <w:p>
      <w:pPr>
        <w:sectPr>
          <w:pgSz w:w="11900" w:h="16838" w:orient="portrait"/>
          <w:cols w:equalWidth="0" w:num="2">
            <w:col w:w="3080" w:space="720"/>
            <w:col w:w="6419"/>
          </w:cols>
          <w:pgMar w:left="240" w:top="925" w:right="1440" w:bottom="1440" w:gutter="0" w:footer="0" w:header="0"/>
        </w:sect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On the 15 day of March, 1999, before me personally came Julian A. Brodsky, to me known, who, being by me duly sworn, did depose and say that he resides at Philadelphia, PA.: that he is the Vice Chairman of COMCAST CORPORATION, a Pennsylvania corporation, the corporation described in and which executed the above instrument; that he knows the corporate seal of said corporation; that the seal affixed to the said instrument is such corporate seal; that it was so affixed by authority of the Board of Directors of said corporation; and that he signed his name thereto by like authority.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[NOTARIAL SEAL]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92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OF NEW YORK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COUNTY OF NEW YORK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ss.:</w:t>
      </w:r>
    </w:p>
    <w:p>
      <w:pPr>
        <w:spacing w:after="0" w:line="200" w:lineRule="exact"/>
        <w:rPr>
          <w:sz w:val="20"/>
          <w:szCs w:val="20"/>
          <w:color w:val="auto"/>
        </w:rPr>
      </w:pPr>
    </w:p>
    <w:p>
      <w:pPr>
        <w:sectPr>
          <w:pgSz w:w="11900" w:h="16838" w:orient="portrait"/>
          <w:cols w:equalWidth="0" w:num="2">
            <w:col w:w="3080" w:space="720"/>
            <w:col w:w="6419"/>
          </w:cols>
          <w:pgMar w:left="240" w:top="925" w:right="1440" w:bottom="1440" w:gutter="0" w:footer="0" w:header="0"/>
          <w:type w:val="continuous"/>
        </w:sectPr>
      </w:pPr>
    </w:p>
    <w:p>
      <w:pPr>
        <w:spacing w:after="0" w:line="2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On the 15 day of March, 1999, before me personally came __________, to</w:t>
      </w:r>
    </w:p>
    <w:p>
      <w:pPr>
        <w:spacing w:after="0" w:line="21" w:lineRule="exact"/>
        <w:rPr>
          <w:sz w:val="20"/>
          <w:szCs w:val="20"/>
          <w:color w:val="auto"/>
        </w:rPr>
      </w:pPr>
    </w:p>
    <w:p>
      <w:pPr>
        <w:jc w:val="both"/>
        <w:ind w:right="1779"/>
        <w:spacing w:after="0" w:line="268" w:lineRule="auto"/>
        <w:rPr>
          <w:sz w:val="20"/>
          <w:szCs w:val="20"/>
          <w:color w:val="auto"/>
        </w:rPr>
      </w:pPr>
      <w:r>
        <w:rPr>
          <w:rFonts w:ascii="Courier New" w:cs="Courier New" w:eastAsia="Courier New" w:hAnsi="Courier New"/>
          <w:sz w:val="16"/>
          <w:szCs w:val="16"/>
          <w:color w:val="auto"/>
        </w:rPr>
        <w:t>me know, who, being by me duly sworn, did depose and say that he or she resides at _______________; that he or she is a Vice President of BANKERS TRUST COMPANY,</w:t>
      </w:r>
    </w:p>
    <w:p>
      <w:pPr>
        <w:ind w:right="1879"/>
        <w:spacing w:after="0" w:line="237" w:lineRule="auto"/>
        <w:rPr>
          <w:sz w:val="20"/>
          <w:szCs w:val="20"/>
          <w:color w:val="auto"/>
        </w:rPr>
      </w:pPr>
      <w:r>
        <w:rPr>
          <w:rFonts w:ascii="Courier New" w:cs="Courier New" w:eastAsia="Courier New" w:hAnsi="Courier New"/>
          <w:sz w:val="18"/>
          <w:szCs w:val="18"/>
          <w:color w:val="auto"/>
        </w:rPr>
        <w:t>the New York banking corporation described in and which executed the above instrument; that he or she knows the seal of said New York banking corporation; that the seal affixed to the said instrument is such seal; that it was so affixed by authority of the Board of Directors of said New York banking corporation; and that he or she signed his or her name thereto by like authority.</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[NOTARIAL SEAL]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925" w:right="1440" w:bottom="1440" w:gutter="0" w:footer="0" w:header="0"/>
          <w:type w:val="continuous"/>
        </w:sectPr>
      </w:pPr>
    </w:p>
    <w:bookmarkStart w:id="11" w:name="page12"/>
    <w:bookmarkEnd w:id="11"/>
    <w:p>
      <w:pPr>
        <w:ind w:left="6860"/>
        <w:spacing w:after="0"/>
        <w:rPr>
          <w:sz w:val="20"/>
          <w:szCs w:val="20"/>
          <w:color w:val="auto"/>
        </w:rPr>
      </w:pPr>
      <w:r>
        <w:rPr>
          <w:rFonts w:ascii="Courier New" w:cs="Courier New" w:eastAsia="Courier New" w:hAnsi="Courier New"/>
          <w:sz w:val="16"/>
          <w:szCs w:val="16"/>
          <w:color w:val="auto"/>
        </w:rPr>
        <w:t>EXHIBIT 8</w:t>
      </w:r>
    </w:p>
    <w:p>
      <w:pPr>
        <w:spacing w:after="0" w:line="21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DAVIS POLK &amp; WARDWELL</w:t>
      </w:r>
    </w:p>
    <w:p>
      <w:pPr>
        <w:jc w:val="center"/>
        <w:ind w:right="1779"/>
        <w:spacing w:after="0" w:line="238" w:lineRule="auto"/>
        <w:rPr>
          <w:sz w:val="20"/>
          <w:szCs w:val="20"/>
          <w:color w:val="auto"/>
        </w:rPr>
      </w:pPr>
      <w:r>
        <w:rPr>
          <w:rFonts w:ascii="Courier New" w:cs="Courier New" w:eastAsia="Courier New" w:hAnsi="Courier New"/>
          <w:sz w:val="18"/>
          <w:szCs w:val="18"/>
          <w:color w:val="auto"/>
        </w:rPr>
        <w:t>450 LEXINGTON AVENUE</w:t>
      </w:r>
    </w:p>
    <w:p>
      <w:pPr>
        <w:spacing w:after="0" w:line="5"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NEW YORK, NEW YORK 10017</w:t>
      </w:r>
    </w:p>
    <w:p>
      <w:pPr>
        <w:spacing w:after="0" w:line="1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212-450-4000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March 10, 1999</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jc w:val="both"/>
        <w:spacing w:after="0" w:line="290" w:lineRule="auto"/>
        <w:rPr>
          <w:sz w:val="20"/>
          <w:szCs w:val="20"/>
          <w:color w:val="auto"/>
        </w:rPr>
      </w:pPr>
      <w:r>
        <w:rPr>
          <w:rFonts w:ascii="Courier New" w:cs="Courier New" w:eastAsia="Courier New" w:hAnsi="Courier New"/>
          <w:sz w:val="16"/>
          <w:szCs w:val="16"/>
          <w:color w:val="auto"/>
        </w:rPr>
        <w:t>Comcast Corporation Debentures Due 2029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Exchangeable Extendable Subordinated</w:t>
      </w:r>
    </w:p>
    <w:p>
      <w:pPr>
        <w:spacing w:after="0" w:line="420" w:lineRule="exact"/>
        <w:rPr>
          <w:sz w:val="20"/>
          <w:szCs w:val="20"/>
          <w:color w:val="auto"/>
        </w:rPr>
      </w:pPr>
    </w:p>
    <w:p>
      <w:pPr>
        <w:sectPr>
          <w:pgSz w:w="11900" w:h="16838" w:orient="portrait"/>
          <w:cols w:equalWidth="0" w:num="3">
            <w:col w:w="320" w:space="220"/>
            <w:col w:w="2000" w:space="320"/>
            <w:col w:w="7359"/>
          </w:cols>
          <w:pgMar w:left="240" w:top="142"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Comcast Corporation</w:t>
      </w:r>
    </w:p>
    <w:p>
      <w:pPr>
        <w:spacing w:after="0" w:line="238" w:lineRule="auto"/>
        <w:rPr>
          <w:sz w:val="20"/>
          <w:szCs w:val="20"/>
          <w:color w:val="auto"/>
        </w:rPr>
      </w:pPr>
      <w:r>
        <w:rPr>
          <w:rFonts w:ascii="Courier New" w:cs="Courier New" w:eastAsia="Courier New" w:hAnsi="Courier New"/>
          <w:sz w:val="18"/>
          <w:szCs w:val="18"/>
          <w:color w:val="auto"/>
        </w:rPr>
        <w:t>1500 Market Street</w:t>
      </w:r>
    </w:p>
    <w:p>
      <w:pPr>
        <w:spacing w:after="0"/>
        <w:rPr>
          <w:sz w:val="20"/>
          <w:szCs w:val="20"/>
          <w:color w:val="auto"/>
        </w:rPr>
      </w:pPr>
      <w:r>
        <w:rPr>
          <w:rFonts w:ascii="Courier New" w:cs="Courier New" w:eastAsia="Courier New" w:hAnsi="Courier New"/>
          <w:sz w:val="18"/>
          <w:szCs w:val="18"/>
          <w:color w:val="auto"/>
        </w:rPr>
        <w:t>Philadelphia, PA 19102-2148</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879" w:firstLine="1053"/>
        <w:spacing w:after="0" w:line="270" w:lineRule="auto"/>
        <w:rPr>
          <w:sz w:val="20"/>
          <w:szCs w:val="20"/>
          <w:color w:val="auto"/>
        </w:rPr>
      </w:pPr>
      <w:r>
        <w:rPr>
          <w:rFonts w:ascii="Courier New" w:cs="Courier New" w:eastAsia="Courier New" w:hAnsi="Courier New"/>
          <w:sz w:val="16"/>
          <w:szCs w:val="16"/>
          <w:color w:val="auto"/>
        </w:rPr>
        <w:t>We have acted as tax counsel for Comcast Corporation (the "Company") in connection with the proposed issuance and sale of the Company's % Exchangeable Extendable Subordinated Debentures due 2029 (the "PHONES"). We hereby confirm the opinion (the "Opinion") set forth under the caption "Certain United States Federal Income Tax Considerations" in the preliminary prospectus supplement (the "Preliminary Prospectus Supplement") dated as of March 9, 1999 and filed pursuant to Rule 424(b) of the Securities Act of 1933, as amended (the "Securities Act"), in connection with the registration statement (the "Registration Statement") on Form S-3, number 33-50785, originally filed by the Company with the Securities and Exchange Commission on October 27, 1993 and the abbreviated registration statement (the "Abbreviated Registration Statement") on Form S-3 to register the sale of additional securities, to be filed on March 11, 1999 pursuant to Rule 462(b) of the Securities Act (which itself relates to the Registration Statement). Capitalized terms used herein but not defined have the same meanings as provided in the Preliminary Prospectus Supplement.</w:t>
      </w:r>
    </w:p>
    <w:p>
      <w:pPr>
        <w:spacing w:after="0" w:line="387" w:lineRule="exact"/>
        <w:rPr>
          <w:sz w:val="20"/>
          <w:szCs w:val="20"/>
          <w:color w:val="auto"/>
        </w:rPr>
      </w:pPr>
    </w:p>
    <w:p>
      <w:pPr>
        <w:ind w:right="2199" w:firstLine="948"/>
        <w:spacing w:after="0" w:line="237" w:lineRule="auto"/>
        <w:rPr>
          <w:sz w:val="20"/>
          <w:szCs w:val="20"/>
          <w:color w:val="auto"/>
        </w:rPr>
      </w:pPr>
      <w:r>
        <w:rPr>
          <w:rFonts w:ascii="Courier New" w:cs="Courier New" w:eastAsia="Courier New" w:hAnsi="Courier New"/>
          <w:sz w:val="18"/>
          <w:szCs w:val="18"/>
          <w:color w:val="auto"/>
        </w:rPr>
        <w:t>In rendering the Opinion, we have relied upon, among other things, facts furnished to us by the Company and contained in the Preliminary Prospectus Supplement, and have assumed that the transaction contemplated by the Preliminary Prospectus Supplement will be consummated in accordance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tabs>
          <w:tab w:leader="none" w:pos="3880" w:val="left"/>
          <w:tab w:leader="none" w:pos="6840" w:val="left"/>
        </w:tabs>
        <w:rPr>
          <w:sz w:val="20"/>
          <w:szCs w:val="20"/>
          <w:color w:val="auto"/>
        </w:rPr>
      </w:pPr>
      <w:r>
        <w:rPr>
          <w:rFonts w:ascii="Courier New" w:cs="Courier New" w:eastAsia="Courier New" w:hAnsi="Courier New"/>
          <w:sz w:val="18"/>
          <w:szCs w:val="18"/>
          <w:color w:val="auto"/>
        </w:rPr>
        <w:t>Comcast Corporation</w:t>
      </w:r>
      <w:r>
        <w:rPr>
          <w:sz w:val="20"/>
          <w:szCs w:val="20"/>
          <w:color w:val="auto"/>
        </w:rPr>
        <w:tab/>
      </w: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March 10, 1999</w:t>
      </w:r>
    </w:p>
    <w:p>
      <w:pPr>
        <w:spacing w:after="0" w:line="207" w:lineRule="exact"/>
        <w:rPr>
          <w:sz w:val="20"/>
          <w:szCs w:val="20"/>
          <w:color w:val="auto"/>
        </w:rPr>
      </w:pPr>
    </w:p>
    <w:p>
      <w:pPr>
        <w:ind w:right="1879" w:firstLine="948"/>
        <w:spacing w:after="0" w:line="273" w:lineRule="auto"/>
        <w:rPr>
          <w:sz w:val="20"/>
          <w:szCs w:val="20"/>
          <w:color w:val="auto"/>
        </w:rPr>
      </w:pPr>
      <w:r>
        <w:rPr>
          <w:rFonts w:ascii="Courier New" w:cs="Courier New" w:eastAsia="Courier New" w:hAnsi="Courier New"/>
          <w:sz w:val="16"/>
          <w:szCs w:val="16"/>
          <w:color w:val="auto"/>
        </w:rPr>
        <w:t>We hereby consent to the use of our name under the caption "Certain United States Federal Income Tax Considerations" in the Preliminary Prospectus Supplement, which is a part of the Registration Statement and the Abbreviated Registration Statement. The issuance of such a consent does not concede that we are an "Expert" for the purposes of the Securities Act of 1933.</w:t>
      </w:r>
    </w:p>
    <w:p>
      <w:pPr>
        <w:spacing w:after="0" w:line="179"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 Davis Polk &amp; Wardwell</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Letter"/>
      <w:start w:val="3"/>
    </w:lvl>
  </w:abstractNum>
  <w:abstractNum w:abstractNumId="1">
    <w:nsid w:val="3D1B58BA"/>
    <w:multiLevelType w:val="hybridMultilevel"/>
    <w:lvl w:ilvl="0">
      <w:lvlJc w:val="left"/>
      <w:lvlText w:val="%1."/>
      <w:numFmt w:val="decimal"/>
      <w:start w:val="4"/>
    </w:lvl>
  </w:abstractNum>
  <w:abstractNum w:abstractNumId="2">
    <w:nsid w:val="507ED7AB"/>
    <w:multiLevelType w:val="hybridMultilevel"/>
    <w:lvl w:ilvl="0">
      <w:lvlJc w:val="left"/>
      <w:lvlText w:val="%1."/>
      <w:numFmt w:val="decimal"/>
      <w:start w:val="8"/>
    </w:lvl>
  </w:abstractNum>
  <w:abstractNum w:abstractNumId="3">
    <w:nsid w:val="2EB141F2"/>
    <w:multiLevelType w:val="hybridMultilevel"/>
    <w:lvl w:ilvl="0">
      <w:lvlJc w:val="left"/>
      <w:lvlText w:val="%1."/>
      <w:numFmt w:val="decimal"/>
      <w:start w:val="23"/>
    </w:lvl>
  </w:abstractNum>
  <w:abstractNum w:abstractNumId="4">
    <w:nsid w:val="41B71EFB"/>
    <w:multiLevelType w:val="hybridMultilevel"/>
    <w:lvl w:ilvl="0">
      <w:lvlJc w:val="left"/>
      <w:lvlText w:val="%1."/>
      <w:numFmt w:val="decimal"/>
      <w:start w:val="4"/>
    </w:lvl>
  </w:abstractNum>
  <w:abstractNum w:abstractNumId="5">
    <w:nsid w:val="79E2A9E3"/>
    <w:multiLevelType w:val="hybridMultilevel"/>
    <w:lvl w:ilvl="0">
      <w:lvlJc w:val="left"/>
      <w:lvlText w:val="%1."/>
      <w:numFmt w:val="decimal"/>
      <w:start w:val="8"/>
    </w:lvl>
  </w:abstractNum>
  <w:abstractNum w:abstractNumId="6">
    <w:nsid w:val="7545E146"/>
    <w:multiLevelType w:val="hybridMultilevel"/>
    <w:lvl w:ilvl="0">
      <w:lvlJc w:val="left"/>
      <w:lvlText w:val="%1."/>
      <w:numFmt w:val="decimal"/>
      <w:start w:val="23"/>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2020-02-22T06:55:39Z</dcterms:created>
  <dcterms:modified xsi:type="dcterms:W3CDTF">2020-02-22T06:55:39Z</dcterms:modified>
</cp:coreProperties>
</file>