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FUBOTV INC.</w:t>
      </w:r>
    </w:p>
    <w:p>
      <w:pPr>
        <w:spacing w:after="0" w:line="25"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(f/k/a FACEBANK GROUP, INC.)</w:t>
      </w: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143764108</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200" w:hanging="213"/>
        <w:spacing w:after="0"/>
        <w:tabs>
          <w:tab w:leader="none" w:pos="12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98"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rFonts w:ascii="MS PGothic" w:cs="MS PGothic" w:eastAsia="MS PGothic" w:hAnsi="MS PGothic"/>
          <w:sz w:val="18"/>
          <w:szCs w:val="18"/>
          <w:color w:val="auto"/>
        </w:rPr>
      </w:pPr>
    </w:p>
    <w:p>
      <w:pPr>
        <w:ind w:left="440"/>
        <w:spacing w:after="0"/>
        <w:rPr>
          <w:rFonts w:ascii="MS PGothic" w:cs="MS PGothic" w:eastAsia="MS PGothic" w:hAnsi="MS PGothic"/>
          <w:sz w:val="18"/>
          <w:szCs w:val="18"/>
          <w:color w:val="auto"/>
        </w:rPr>
      </w:pPr>
      <w:r>
        <w:rPr>
          <w:rFonts w:ascii="Arial" w:cs="Arial" w:eastAsia="Arial" w:hAnsi="Arial"/>
          <w:sz w:val="17"/>
          <w:szCs w:val="17"/>
          <w:color w:val="auto"/>
        </w:rPr>
        <w:t>The information required in the remainder of this cover page shall not be deemed to be “filed” for the purpose of Section 18 of the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-560070</wp:posOffset>
            </wp:positionV>
            <wp:extent cx="771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 w:lineRule="exact"/>
        <w:rPr>
          <w:sz w:val="24"/>
          <w:szCs w:val="24"/>
          <w:color w:val="auto"/>
        </w:rPr>
      </w:pPr>
    </w:p>
    <w:p>
      <w:pPr>
        <w:ind w:right="440"/>
        <w:spacing w:after="0" w:line="260" w:lineRule="auto"/>
        <w:rPr>
          <w:sz w:val="20"/>
          <w:szCs w:val="20"/>
          <w:color w:val="auto"/>
        </w:rPr>
      </w:pPr>
      <w:r>
        <w:rPr>
          <w:rFonts w:ascii="Arial" w:cs="Arial" w:eastAsia="Arial" w:hAnsi="Arial"/>
          <w:sz w:val="18"/>
          <w:szCs w:val="18"/>
          <w:color w:val="auto"/>
        </w:rPr>
        <w:t xml:space="preserve">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85" w:lineRule="exact"/>
        <w:rPr>
          <w:sz w:val="24"/>
          <w:szCs w:val="24"/>
          <w:color w:val="auto"/>
        </w:rPr>
      </w:pPr>
    </w:p>
    <w:p>
      <w:pPr>
        <w:ind w:right="60" w:firstLine="440"/>
        <w:spacing w:after="0" w:line="277" w:lineRule="auto"/>
        <w:rPr>
          <w:sz w:val="20"/>
          <w:szCs w:val="20"/>
          <w:color w:val="auto"/>
        </w:rPr>
      </w:pPr>
      <w:r>
        <w:rPr>
          <w:rFonts w:ascii="Arial" w:cs="Arial" w:eastAsia="Arial" w:hAnsi="Arial"/>
          <w:sz w:val="18"/>
          <w:szCs w:val="18"/>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186055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p>
      <w:pPr>
        <w:ind w:left="4"/>
        <w:spacing w:after="0"/>
        <w:tabs>
          <w:tab w:leader="none" w:pos="98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w:t>
      </w:r>
      <w:r>
        <w:rPr>
          <w:sz w:val="20"/>
          <w:szCs w:val="20"/>
          <w:color w:val="auto"/>
        </w:rPr>
        <w:tab/>
      </w:r>
      <w:r>
        <w:rPr>
          <w:rFonts w:ascii="Arial" w:cs="Arial" w:eastAsia="Arial" w:hAnsi="Arial"/>
          <w:sz w:val="15"/>
          <w:szCs w:val="15"/>
          <w:color w:val="auto"/>
        </w:rPr>
        <w:t>143764108</w:t>
      </w:r>
    </w:p>
    <w:p>
      <w:pPr>
        <w:spacing w:after="0" w:line="152" w:lineRule="exact"/>
        <w:rPr>
          <w:sz w:val="20"/>
          <w:szCs w:val="20"/>
          <w:color w:val="auto"/>
        </w:rPr>
      </w:pPr>
    </w:p>
    <w:tbl>
      <w:tblPr>
        <w:tblLayout w:type="fixed"/>
        <w:tblInd w:w="14" w:type="dxa"/>
        <w:tblCellMar>
          <w:top w:w="0" w:type="dxa"/>
          <w:left w:w="0" w:type="dxa"/>
          <w:bottom w:w="0" w:type="dxa"/>
          <w:right w:w="0" w:type="dxa"/>
        </w:tblCellMar>
      </w:tblPr>
      <w:tr>
        <w:trPr>
          <w:trHeight w:val="244"/>
        </w:trPr>
        <w:tc>
          <w:tcPr>
            <w:tcW w:w="480" w:type="dxa"/>
            <w:vAlign w:val="bottom"/>
            <w:tcBorders>
              <w:top w:val="single" w:sz="8" w:color="auto"/>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560" w:type="dxa"/>
            <w:vAlign w:val="bottom"/>
            <w:tcBorders>
              <w:top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Comcast Corporation</w:t>
            </w: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1056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92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8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91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8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91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Pennsylvania</w:t>
            </w:r>
          </w:p>
        </w:tc>
        <w:tc>
          <w:tcPr>
            <w:tcW w:w="10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91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40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8"/>
              </w:rPr>
              <w:t>NUMBER OF</w:t>
            </w:r>
          </w:p>
        </w:tc>
        <w:tc>
          <w:tcPr>
            <w:tcW w:w="1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color w:val="auto"/>
                <w:w w:val="94"/>
              </w:rPr>
              <w:t>SHARES</w:t>
            </w: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20"/>
                <w:szCs w:val="20"/>
                <w:color w:val="auto"/>
              </w:rPr>
            </w:pPr>
          </w:p>
        </w:tc>
        <w:tc>
          <w:tcPr>
            <w:tcW w:w="91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2,782,309* (</w:t>
            </w:r>
            <w:r>
              <w:rPr>
                <w:rFonts w:ascii="Arial" w:cs="Arial" w:eastAsia="Arial" w:hAnsi="Arial"/>
                <w:sz w:val="18"/>
                <w:szCs w:val="18"/>
                <w:i w:val="1"/>
                <w:iCs w:val="1"/>
                <w:color w:val="auto"/>
              </w:rPr>
              <w:t>See Item 4</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9"/>
              </w:rPr>
              <w:t>OWNED BY</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Borders>
              <w:left w:val="single" w:sz="8" w:color="auto"/>
            </w:tcBorders>
          </w:tcPr>
          <w:p>
            <w:pPr>
              <w:spacing w:after="0"/>
              <w:rPr>
                <w:sz w:val="15"/>
                <w:szCs w:val="15"/>
                <w:color w:val="auto"/>
              </w:rPr>
            </w:pPr>
          </w:p>
        </w:tc>
        <w:tc>
          <w:tcPr>
            <w:tcW w:w="920" w:type="dxa"/>
            <w:vAlign w:val="bottom"/>
          </w:tcPr>
          <w:p>
            <w:pPr>
              <w:jc w:val="center"/>
              <w:ind w:right="130"/>
              <w:spacing w:after="0" w:line="182" w:lineRule="exact"/>
              <w:rPr>
                <w:sz w:val="20"/>
                <w:szCs w:val="20"/>
                <w:color w:val="auto"/>
              </w:rPr>
            </w:pPr>
            <w:r>
              <w:rPr>
                <w:rFonts w:ascii="Arial" w:cs="Arial" w:eastAsia="Arial" w:hAnsi="Arial"/>
                <w:sz w:val="18"/>
                <w:szCs w:val="18"/>
                <w:color w:val="auto"/>
                <w:w w:val="99"/>
              </w:rPr>
              <w:t>EACH</w:t>
            </w:r>
          </w:p>
        </w:tc>
        <w:tc>
          <w:tcPr>
            <w:tcW w:w="1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15"/>
                <w:szCs w:val="15"/>
                <w:color w:val="auto"/>
              </w:rPr>
            </w:pPr>
          </w:p>
        </w:tc>
        <w:tc>
          <w:tcPr>
            <w:tcW w:w="91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tcBorders>
            <w:gridSpan w:val="2"/>
          </w:tcPr>
          <w:p>
            <w:pPr>
              <w:jc w:val="center"/>
              <w:ind w:left="19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 w:type="dxa"/>
            <w:vAlign w:val="bottom"/>
            <w:tcBorders>
              <w:left w:val="single" w:sz="8" w:color="auto"/>
            </w:tcBorders>
          </w:tcPr>
          <w:p>
            <w:pPr>
              <w:spacing w:after="0"/>
              <w:rPr>
                <w:sz w:val="18"/>
                <w:szCs w:val="18"/>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color w:val="auto"/>
                <w:w w:val="92"/>
              </w:rPr>
              <w:t>PERSON</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20" w:type="dxa"/>
            <w:vAlign w:val="bottom"/>
            <w:vMerge w:val="restart"/>
          </w:tcPr>
          <w:p>
            <w:pPr>
              <w:jc w:val="center"/>
              <w:ind w:right="130"/>
              <w:spacing w:after="0"/>
              <w:rPr>
                <w:sz w:val="20"/>
                <w:szCs w:val="20"/>
                <w:color w:val="auto"/>
              </w:rPr>
            </w:pPr>
            <w:r>
              <w:rPr>
                <w:rFonts w:ascii="Arial" w:cs="Arial" w:eastAsia="Arial" w:hAnsi="Arial"/>
                <w:sz w:val="18"/>
                <w:szCs w:val="18"/>
                <w:color w:val="auto"/>
                <w:w w:val="99"/>
              </w:rPr>
              <w:t>WITH</w:t>
            </w:r>
          </w:p>
        </w:tc>
        <w:tc>
          <w:tcPr>
            <w:tcW w:w="12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91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Borders>
              <w:left w:val="single" w:sz="8" w:color="auto"/>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2"/>
                <w:szCs w:val="12"/>
                <w:color w:val="auto"/>
              </w:rPr>
            </w:pPr>
          </w:p>
        </w:tc>
        <w:tc>
          <w:tcPr>
            <w:tcW w:w="91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91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6,955,772* (</w:t>
            </w:r>
            <w:r>
              <w:rPr>
                <w:rFonts w:ascii="Arial" w:cs="Arial" w:eastAsia="Arial" w:hAnsi="Arial"/>
                <w:sz w:val="18"/>
                <w:szCs w:val="18"/>
                <w:i w:val="1"/>
                <w:iCs w:val="1"/>
                <w:color w:val="auto"/>
              </w:rPr>
              <w:t>See Item 4</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40" w:type="dxa"/>
            <w:vAlign w:val="bottom"/>
            <w:gridSpan w:val="2"/>
          </w:tcPr>
          <w:p>
            <w:pPr>
              <w:spacing w:after="0"/>
              <w:rPr>
                <w:sz w:val="20"/>
                <w:szCs w:val="20"/>
                <w:color w:val="auto"/>
              </w:rPr>
            </w:pPr>
          </w:p>
        </w:tc>
        <w:tc>
          <w:tcPr>
            <w:tcW w:w="91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6,955,772* (</w:t>
            </w:r>
            <w:r>
              <w:rPr>
                <w:rFonts w:ascii="Arial" w:cs="Arial" w:eastAsia="Arial" w:hAnsi="Arial"/>
                <w:sz w:val="18"/>
                <w:szCs w:val="18"/>
                <w:i w:val="1"/>
                <w:iCs w:val="1"/>
                <w:color w:val="auto"/>
              </w:rPr>
              <w:t>See Item 4</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9.3%* (</w:t>
            </w:r>
            <w:r>
              <w:rPr>
                <w:rFonts w:ascii="Arial" w:cs="Arial" w:eastAsia="Arial" w:hAnsi="Arial"/>
                <w:sz w:val="18"/>
                <w:szCs w:val="18"/>
                <w:i w:val="1"/>
                <w:iCs w:val="1"/>
                <w:color w:val="auto"/>
              </w:rPr>
              <w:t>See Item 4</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5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4" w:right="200" w:hanging="224"/>
        <w:spacing w:after="0" w:line="275" w:lineRule="auto"/>
        <w:tabs>
          <w:tab w:leader="none" w:pos="224" w:val="left"/>
        </w:tabs>
        <w:numPr>
          <w:ilvl w:val="0"/>
          <w:numId w:val="4"/>
        </w:numPr>
        <w:rPr>
          <w:rFonts w:ascii="Arial" w:cs="Arial" w:eastAsia="Arial" w:hAnsi="Arial"/>
          <w:sz w:val="17"/>
          <w:szCs w:val="17"/>
          <w:color w:val="auto"/>
        </w:rPr>
      </w:pPr>
      <w:r>
        <w:rPr>
          <w:rFonts w:ascii="Arial" w:cs="Arial" w:eastAsia="Arial" w:hAnsi="Arial"/>
          <w:sz w:val="17"/>
          <w:szCs w:val="17"/>
          <w:color w:val="auto"/>
        </w:rPr>
        <w:t>As of November 11, 2020 based on 67,533,800 shares of common stock, $0.001 par value per share (“</w:t>
      </w:r>
      <w:r>
        <w:rPr>
          <w:rFonts w:ascii="Arial" w:cs="Arial" w:eastAsia="Arial" w:hAnsi="Arial"/>
          <w:sz w:val="17"/>
          <w:szCs w:val="17"/>
          <w:u w:val="single" w:color="auto"/>
          <w:color w:val="auto"/>
        </w:rPr>
        <w:t>Common Stock</w:t>
      </w:r>
      <w:r>
        <w:rPr>
          <w:rFonts w:ascii="Arial" w:cs="Arial" w:eastAsia="Arial" w:hAnsi="Arial"/>
          <w:sz w:val="17"/>
          <w:szCs w:val="17"/>
          <w:color w:val="auto"/>
        </w:rPr>
        <w:t>”) of the Issuer that were outstanding as reported by the Issuer in its Quarterly Report on Form 10-Q and filed with the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on November 16, 2020. The amounts reported in this Schedule 13G represent 3,477,886 shares of the Issuer’s Series AA Convertible Preferred Stock (the “</w:t>
      </w:r>
      <w:r>
        <w:rPr>
          <w:rFonts w:ascii="Arial" w:cs="Arial" w:eastAsia="Arial" w:hAnsi="Arial"/>
          <w:sz w:val="17"/>
          <w:szCs w:val="17"/>
          <w:u w:val="single" w:color="auto"/>
          <w:color w:val="auto"/>
        </w:rPr>
        <w:t>Preferred Stock</w:t>
      </w:r>
      <w:r>
        <w:rPr>
          <w:rFonts w:ascii="Arial" w:cs="Arial" w:eastAsia="Arial" w:hAnsi="Arial"/>
          <w:sz w:val="17"/>
          <w:szCs w:val="17"/>
          <w:color w:val="auto"/>
        </w:rPr>
        <w:t>”) owned by the Reporting Persons, which are entitled to 0.8 votes per share (2,782,309 votes) and convertible into 6,955,772 shares of common stock in connection with a bona fide transfer to a third party.</w:t>
      </w:r>
    </w:p>
    <w:p>
      <w:pPr>
        <w:sectPr>
          <w:pgSz w:w="11900" w:h="16838" w:orient="portrait"/>
          <w:cols w:equalWidth="0" w:num="1">
            <w:col w:w="11024"/>
          </w:cols>
          <w:pgMar w:left="436" w:top="274" w:right="439" w:bottom="1440" w:gutter="0" w:footer="0" w:header="0"/>
        </w:sectPr>
      </w:pPr>
    </w:p>
    <w:bookmarkStart w:id="2" w:name="page3"/>
    <w:bookmarkEnd w:id="2"/>
    <w:p>
      <w:pPr>
        <w:ind w:left="4"/>
        <w:spacing w:after="0"/>
        <w:tabs>
          <w:tab w:leader="none" w:pos="98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w:t>
      </w:r>
      <w:r>
        <w:rPr>
          <w:sz w:val="20"/>
          <w:szCs w:val="20"/>
          <w:color w:val="auto"/>
        </w:rPr>
        <w:tab/>
      </w:r>
      <w:r>
        <w:rPr>
          <w:rFonts w:ascii="Arial" w:cs="Arial" w:eastAsia="Arial" w:hAnsi="Arial"/>
          <w:sz w:val="15"/>
          <w:szCs w:val="15"/>
          <w:color w:val="auto"/>
        </w:rPr>
        <w:t>143764108</w:t>
      </w:r>
    </w:p>
    <w:p>
      <w:pPr>
        <w:spacing w:after="0" w:line="152" w:lineRule="exact"/>
        <w:rPr>
          <w:sz w:val="20"/>
          <w:szCs w:val="20"/>
          <w:color w:val="auto"/>
        </w:rPr>
      </w:pPr>
    </w:p>
    <w:tbl>
      <w:tblPr>
        <w:tblLayout w:type="fixed"/>
        <w:tblInd w:w="14" w:type="dxa"/>
        <w:tblCellMar>
          <w:top w:w="0" w:type="dxa"/>
          <w:left w:w="0" w:type="dxa"/>
          <w:bottom w:w="0" w:type="dxa"/>
          <w:right w:w="0" w:type="dxa"/>
        </w:tblCellMar>
      </w:tblPr>
      <w:tr>
        <w:trPr>
          <w:trHeight w:val="244"/>
        </w:trPr>
        <w:tc>
          <w:tcPr>
            <w:tcW w:w="480" w:type="dxa"/>
            <w:vAlign w:val="bottom"/>
            <w:tcBorders>
              <w:top w:val="single" w:sz="8" w:color="auto"/>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560" w:type="dxa"/>
            <w:vAlign w:val="bottom"/>
            <w:tcBorders>
              <w:top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Comcast Bidco Holdings Limited</w:t>
            </w: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1056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92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8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91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8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91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England &amp; Wales</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91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40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8"/>
              </w:rPr>
              <w:t>NUMBER OF</w:t>
            </w:r>
          </w:p>
        </w:tc>
        <w:tc>
          <w:tcPr>
            <w:tcW w:w="1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color w:val="auto"/>
                <w:w w:val="94"/>
              </w:rPr>
              <w:t>SHARES</w:t>
            </w: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20"/>
                <w:szCs w:val="20"/>
                <w:color w:val="auto"/>
              </w:rPr>
            </w:pPr>
          </w:p>
        </w:tc>
        <w:tc>
          <w:tcPr>
            <w:tcW w:w="91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2,782,309* (</w:t>
            </w:r>
            <w:r>
              <w:rPr>
                <w:rFonts w:ascii="Arial" w:cs="Arial" w:eastAsia="Arial" w:hAnsi="Arial"/>
                <w:sz w:val="18"/>
                <w:szCs w:val="18"/>
                <w:i w:val="1"/>
                <w:iCs w:val="1"/>
                <w:color w:val="auto"/>
              </w:rPr>
              <w:t>See Item 4</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9"/>
              </w:rPr>
              <w:t>OWNED BY</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Borders>
              <w:left w:val="single" w:sz="8" w:color="auto"/>
            </w:tcBorders>
          </w:tcPr>
          <w:p>
            <w:pPr>
              <w:spacing w:after="0"/>
              <w:rPr>
                <w:sz w:val="15"/>
                <w:szCs w:val="15"/>
                <w:color w:val="auto"/>
              </w:rPr>
            </w:pPr>
          </w:p>
        </w:tc>
        <w:tc>
          <w:tcPr>
            <w:tcW w:w="920" w:type="dxa"/>
            <w:vAlign w:val="bottom"/>
          </w:tcPr>
          <w:p>
            <w:pPr>
              <w:jc w:val="center"/>
              <w:ind w:right="130"/>
              <w:spacing w:after="0" w:line="182" w:lineRule="exact"/>
              <w:rPr>
                <w:sz w:val="20"/>
                <w:szCs w:val="20"/>
                <w:color w:val="auto"/>
              </w:rPr>
            </w:pPr>
            <w:r>
              <w:rPr>
                <w:rFonts w:ascii="Arial" w:cs="Arial" w:eastAsia="Arial" w:hAnsi="Arial"/>
                <w:sz w:val="18"/>
                <w:szCs w:val="18"/>
                <w:color w:val="auto"/>
                <w:w w:val="99"/>
              </w:rPr>
              <w:t>EACH</w:t>
            </w:r>
          </w:p>
        </w:tc>
        <w:tc>
          <w:tcPr>
            <w:tcW w:w="1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15"/>
                <w:szCs w:val="15"/>
                <w:color w:val="auto"/>
              </w:rPr>
            </w:pPr>
          </w:p>
        </w:tc>
        <w:tc>
          <w:tcPr>
            <w:tcW w:w="91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tcBorders>
            <w:gridSpan w:val="2"/>
          </w:tcPr>
          <w:p>
            <w:pPr>
              <w:jc w:val="center"/>
              <w:ind w:left="19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 w:type="dxa"/>
            <w:vAlign w:val="bottom"/>
            <w:tcBorders>
              <w:left w:val="single" w:sz="8" w:color="auto"/>
            </w:tcBorders>
          </w:tcPr>
          <w:p>
            <w:pPr>
              <w:spacing w:after="0"/>
              <w:rPr>
                <w:sz w:val="18"/>
                <w:szCs w:val="18"/>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color w:val="auto"/>
                <w:w w:val="92"/>
              </w:rPr>
              <w:t>PERSON</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20" w:type="dxa"/>
            <w:vAlign w:val="bottom"/>
            <w:vMerge w:val="restart"/>
          </w:tcPr>
          <w:p>
            <w:pPr>
              <w:jc w:val="center"/>
              <w:ind w:right="130"/>
              <w:spacing w:after="0"/>
              <w:rPr>
                <w:sz w:val="20"/>
                <w:szCs w:val="20"/>
                <w:color w:val="auto"/>
              </w:rPr>
            </w:pPr>
            <w:r>
              <w:rPr>
                <w:rFonts w:ascii="Arial" w:cs="Arial" w:eastAsia="Arial" w:hAnsi="Arial"/>
                <w:sz w:val="18"/>
                <w:szCs w:val="18"/>
                <w:color w:val="auto"/>
                <w:w w:val="99"/>
              </w:rPr>
              <w:t>WITH</w:t>
            </w:r>
          </w:p>
        </w:tc>
        <w:tc>
          <w:tcPr>
            <w:tcW w:w="12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91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Borders>
              <w:left w:val="single" w:sz="8" w:color="auto"/>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2"/>
                <w:szCs w:val="12"/>
                <w:color w:val="auto"/>
              </w:rPr>
            </w:pPr>
          </w:p>
        </w:tc>
        <w:tc>
          <w:tcPr>
            <w:tcW w:w="91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91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6,955,772* (</w:t>
            </w:r>
            <w:r>
              <w:rPr>
                <w:rFonts w:ascii="Arial" w:cs="Arial" w:eastAsia="Arial" w:hAnsi="Arial"/>
                <w:sz w:val="18"/>
                <w:szCs w:val="18"/>
                <w:i w:val="1"/>
                <w:iCs w:val="1"/>
                <w:color w:val="auto"/>
              </w:rPr>
              <w:t>See Item 4</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40" w:type="dxa"/>
            <w:vAlign w:val="bottom"/>
            <w:gridSpan w:val="2"/>
          </w:tcPr>
          <w:p>
            <w:pPr>
              <w:spacing w:after="0"/>
              <w:rPr>
                <w:sz w:val="20"/>
                <w:szCs w:val="20"/>
                <w:color w:val="auto"/>
              </w:rPr>
            </w:pPr>
          </w:p>
        </w:tc>
        <w:tc>
          <w:tcPr>
            <w:tcW w:w="91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6,955,772* (</w:t>
            </w:r>
            <w:r>
              <w:rPr>
                <w:rFonts w:ascii="Arial" w:cs="Arial" w:eastAsia="Arial" w:hAnsi="Arial"/>
                <w:sz w:val="18"/>
                <w:szCs w:val="18"/>
                <w:i w:val="1"/>
                <w:iCs w:val="1"/>
                <w:color w:val="auto"/>
              </w:rPr>
              <w:t>See Item 4</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9.3%* (</w:t>
            </w:r>
            <w:r>
              <w:rPr>
                <w:rFonts w:ascii="Arial" w:cs="Arial" w:eastAsia="Arial" w:hAnsi="Arial"/>
                <w:sz w:val="18"/>
                <w:szCs w:val="18"/>
                <w:i w:val="1"/>
                <w:iCs w:val="1"/>
                <w:color w:val="auto"/>
              </w:rPr>
              <w:t>See Item 4</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5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FI</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4" w:right="200" w:hanging="224"/>
        <w:spacing w:after="0" w:line="275" w:lineRule="auto"/>
        <w:tabs>
          <w:tab w:leader="none" w:pos="224" w:val="left"/>
        </w:tabs>
        <w:numPr>
          <w:ilvl w:val="0"/>
          <w:numId w:val="5"/>
        </w:numPr>
        <w:rPr>
          <w:rFonts w:ascii="Arial" w:cs="Arial" w:eastAsia="Arial" w:hAnsi="Arial"/>
          <w:sz w:val="17"/>
          <w:szCs w:val="17"/>
          <w:color w:val="auto"/>
        </w:rPr>
      </w:pPr>
      <w:r>
        <w:rPr>
          <w:rFonts w:ascii="Arial" w:cs="Arial" w:eastAsia="Arial" w:hAnsi="Arial"/>
          <w:sz w:val="17"/>
          <w:szCs w:val="17"/>
          <w:color w:val="auto"/>
        </w:rPr>
        <w:t>As of November 11, 2020 based on 67,533,800 shares of common stock, $0.001 par value per share (“</w:t>
      </w:r>
      <w:r>
        <w:rPr>
          <w:rFonts w:ascii="Arial" w:cs="Arial" w:eastAsia="Arial" w:hAnsi="Arial"/>
          <w:sz w:val="17"/>
          <w:szCs w:val="17"/>
          <w:u w:val="single" w:color="auto"/>
          <w:color w:val="auto"/>
        </w:rPr>
        <w:t>Common Stock</w:t>
      </w:r>
      <w:r>
        <w:rPr>
          <w:rFonts w:ascii="Arial" w:cs="Arial" w:eastAsia="Arial" w:hAnsi="Arial"/>
          <w:sz w:val="17"/>
          <w:szCs w:val="17"/>
          <w:color w:val="auto"/>
        </w:rPr>
        <w:t>”) of the Issuer that were outstanding as reported by the Issuer in its Quarterly Report on Form 10-Q and filed with the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xml:space="preserve">”) on November 16, 2020. The amounts reported in this Schedule 13G represent 3,477,886 shares of the Issuer’s Series AA Convertible Preferred Stock (the </w:t>
      </w:r>
      <w:r>
        <w:rPr>
          <w:rFonts w:ascii="Arial" w:cs="Arial" w:eastAsia="Arial" w:hAnsi="Arial"/>
          <w:sz w:val="17"/>
          <w:szCs w:val="17"/>
          <w:u w:val="single" w:color="auto"/>
          <w:color w:val="auto"/>
        </w:rPr>
        <w:t>“Preferred Stock</w:t>
      </w:r>
      <w:r>
        <w:rPr>
          <w:rFonts w:ascii="Arial" w:cs="Arial" w:eastAsia="Arial" w:hAnsi="Arial"/>
          <w:sz w:val="17"/>
          <w:szCs w:val="17"/>
          <w:color w:val="auto"/>
        </w:rPr>
        <w:t>”) owned by the Reporting Persons, which are entitled to 0.8 votes per share (2,782,309 votes) and convertible into 6,955,772 shares of common stock in connection with a bona fide transfer to a third party.</w:t>
      </w:r>
    </w:p>
    <w:p>
      <w:pPr>
        <w:sectPr>
          <w:pgSz w:w="11900" w:h="16838" w:orient="portrait"/>
          <w:cols w:equalWidth="0" w:num="1">
            <w:col w:w="11024"/>
          </w:cols>
          <w:pgMar w:left="436" w:top="274" w:right="439" w:bottom="1440" w:gutter="0" w:footer="0" w:header="0"/>
        </w:sectPr>
      </w:pPr>
    </w:p>
    <w:bookmarkStart w:id="3" w:name="page4"/>
    <w:bookmarkEnd w:id="3"/>
    <w:p>
      <w:pPr>
        <w:ind w:left="4"/>
        <w:spacing w:after="0"/>
        <w:tabs>
          <w:tab w:leader="none" w:pos="98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w:t>
      </w:r>
      <w:r>
        <w:rPr>
          <w:sz w:val="20"/>
          <w:szCs w:val="20"/>
          <w:color w:val="auto"/>
        </w:rPr>
        <w:tab/>
      </w:r>
      <w:r>
        <w:rPr>
          <w:rFonts w:ascii="Arial" w:cs="Arial" w:eastAsia="Arial" w:hAnsi="Arial"/>
          <w:sz w:val="15"/>
          <w:szCs w:val="15"/>
          <w:color w:val="auto"/>
        </w:rPr>
        <w:t>143764108</w:t>
      </w:r>
    </w:p>
    <w:p>
      <w:pPr>
        <w:spacing w:after="0" w:line="152" w:lineRule="exact"/>
        <w:rPr>
          <w:sz w:val="20"/>
          <w:szCs w:val="20"/>
          <w:color w:val="auto"/>
        </w:rPr>
      </w:pPr>
    </w:p>
    <w:tbl>
      <w:tblPr>
        <w:tblLayout w:type="fixed"/>
        <w:tblInd w:w="14" w:type="dxa"/>
        <w:tblCellMar>
          <w:top w:w="0" w:type="dxa"/>
          <w:left w:w="0" w:type="dxa"/>
          <w:bottom w:w="0" w:type="dxa"/>
          <w:right w:w="0" w:type="dxa"/>
        </w:tblCellMar>
      </w:tblPr>
      <w:tr>
        <w:trPr>
          <w:trHeight w:val="244"/>
        </w:trPr>
        <w:tc>
          <w:tcPr>
            <w:tcW w:w="480" w:type="dxa"/>
            <w:vAlign w:val="bottom"/>
            <w:tcBorders>
              <w:top w:val="single" w:sz="8" w:color="auto"/>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560" w:type="dxa"/>
            <w:vAlign w:val="bottom"/>
            <w:tcBorders>
              <w:top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Comcast Bidco Limited</w:t>
            </w: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1056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92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8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91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8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91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England &amp; Wales</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91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40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8"/>
              </w:rPr>
              <w:t>NUMBER OF</w:t>
            </w:r>
          </w:p>
        </w:tc>
        <w:tc>
          <w:tcPr>
            <w:tcW w:w="1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color w:val="auto"/>
                <w:w w:val="94"/>
              </w:rPr>
              <w:t>SHARES</w:t>
            </w: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20"/>
                <w:szCs w:val="20"/>
                <w:color w:val="auto"/>
              </w:rPr>
            </w:pPr>
          </w:p>
        </w:tc>
        <w:tc>
          <w:tcPr>
            <w:tcW w:w="91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2,782,309* (</w:t>
            </w:r>
            <w:r>
              <w:rPr>
                <w:rFonts w:ascii="Arial" w:cs="Arial" w:eastAsia="Arial" w:hAnsi="Arial"/>
                <w:sz w:val="18"/>
                <w:szCs w:val="18"/>
                <w:i w:val="1"/>
                <w:iCs w:val="1"/>
                <w:color w:val="auto"/>
              </w:rPr>
              <w:t>See Item 4</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9"/>
              </w:rPr>
              <w:t>OWNED BY</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Borders>
              <w:left w:val="single" w:sz="8" w:color="auto"/>
            </w:tcBorders>
          </w:tcPr>
          <w:p>
            <w:pPr>
              <w:spacing w:after="0"/>
              <w:rPr>
                <w:sz w:val="15"/>
                <w:szCs w:val="15"/>
                <w:color w:val="auto"/>
              </w:rPr>
            </w:pPr>
          </w:p>
        </w:tc>
        <w:tc>
          <w:tcPr>
            <w:tcW w:w="920" w:type="dxa"/>
            <w:vAlign w:val="bottom"/>
          </w:tcPr>
          <w:p>
            <w:pPr>
              <w:jc w:val="center"/>
              <w:ind w:right="130"/>
              <w:spacing w:after="0" w:line="182" w:lineRule="exact"/>
              <w:rPr>
                <w:sz w:val="20"/>
                <w:szCs w:val="20"/>
                <w:color w:val="auto"/>
              </w:rPr>
            </w:pPr>
            <w:r>
              <w:rPr>
                <w:rFonts w:ascii="Arial" w:cs="Arial" w:eastAsia="Arial" w:hAnsi="Arial"/>
                <w:sz w:val="18"/>
                <w:szCs w:val="18"/>
                <w:color w:val="auto"/>
                <w:w w:val="99"/>
              </w:rPr>
              <w:t>EACH</w:t>
            </w:r>
          </w:p>
        </w:tc>
        <w:tc>
          <w:tcPr>
            <w:tcW w:w="1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15"/>
                <w:szCs w:val="15"/>
                <w:color w:val="auto"/>
              </w:rPr>
            </w:pPr>
          </w:p>
        </w:tc>
        <w:tc>
          <w:tcPr>
            <w:tcW w:w="91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tcBorders>
            <w:gridSpan w:val="2"/>
          </w:tcPr>
          <w:p>
            <w:pPr>
              <w:jc w:val="center"/>
              <w:ind w:left="19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 w:type="dxa"/>
            <w:vAlign w:val="bottom"/>
            <w:tcBorders>
              <w:left w:val="single" w:sz="8" w:color="auto"/>
            </w:tcBorders>
          </w:tcPr>
          <w:p>
            <w:pPr>
              <w:spacing w:after="0"/>
              <w:rPr>
                <w:sz w:val="18"/>
                <w:szCs w:val="18"/>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color w:val="auto"/>
                <w:w w:val="92"/>
              </w:rPr>
              <w:t>PERSON</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20" w:type="dxa"/>
            <w:vAlign w:val="bottom"/>
            <w:vMerge w:val="restart"/>
          </w:tcPr>
          <w:p>
            <w:pPr>
              <w:jc w:val="center"/>
              <w:ind w:right="130"/>
              <w:spacing w:after="0"/>
              <w:rPr>
                <w:sz w:val="20"/>
                <w:szCs w:val="20"/>
                <w:color w:val="auto"/>
              </w:rPr>
            </w:pPr>
            <w:r>
              <w:rPr>
                <w:rFonts w:ascii="Arial" w:cs="Arial" w:eastAsia="Arial" w:hAnsi="Arial"/>
                <w:sz w:val="18"/>
                <w:szCs w:val="18"/>
                <w:color w:val="auto"/>
                <w:w w:val="99"/>
              </w:rPr>
              <w:t>WITH</w:t>
            </w:r>
          </w:p>
        </w:tc>
        <w:tc>
          <w:tcPr>
            <w:tcW w:w="12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91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Borders>
              <w:left w:val="single" w:sz="8" w:color="auto"/>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2"/>
                <w:szCs w:val="12"/>
                <w:color w:val="auto"/>
              </w:rPr>
            </w:pPr>
          </w:p>
        </w:tc>
        <w:tc>
          <w:tcPr>
            <w:tcW w:w="91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91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6,955,772* (</w:t>
            </w:r>
            <w:r>
              <w:rPr>
                <w:rFonts w:ascii="Arial" w:cs="Arial" w:eastAsia="Arial" w:hAnsi="Arial"/>
                <w:sz w:val="18"/>
                <w:szCs w:val="18"/>
                <w:i w:val="1"/>
                <w:iCs w:val="1"/>
                <w:color w:val="auto"/>
              </w:rPr>
              <w:t>See Item 4</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40" w:type="dxa"/>
            <w:vAlign w:val="bottom"/>
            <w:gridSpan w:val="2"/>
          </w:tcPr>
          <w:p>
            <w:pPr>
              <w:spacing w:after="0"/>
              <w:rPr>
                <w:sz w:val="20"/>
                <w:szCs w:val="20"/>
                <w:color w:val="auto"/>
              </w:rPr>
            </w:pPr>
          </w:p>
        </w:tc>
        <w:tc>
          <w:tcPr>
            <w:tcW w:w="91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6,955,772* (</w:t>
            </w:r>
            <w:r>
              <w:rPr>
                <w:rFonts w:ascii="Arial" w:cs="Arial" w:eastAsia="Arial" w:hAnsi="Arial"/>
                <w:sz w:val="18"/>
                <w:szCs w:val="18"/>
                <w:i w:val="1"/>
                <w:iCs w:val="1"/>
                <w:color w:val="auto"/>
              </w:rPr>
              <w:t>See Item 4</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9.3%* (</w:t>
            </w:r>
            <w:r>
              <w:rPr>
                <w:rFonts w:ascii="Arial" w:cs="Arial" w:eastAsia="Arial" w:hAnsi="Arial"/>
                <w:sz w:val="18"/>
                <w:szCs w:val="18"/>
                <w:i w:val="1"/>
                <w:iCs w:val="1"/>
                <w:color w:val="auto"/>
              </w:rPr>
              <w:t>See Item 4</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5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FI</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4" w:right="200" w:hanging="224"/>
        <w:spacing w:after="0" w:line="275" w:lineRule="auto"/>
        <w:tabs>
          <w:tab w:leader="none" w:pos="224" w:val="left"/>
        </w:tabs>
        <w:numPr>
          <w:ilvl w:val="0"/>
          <w:numId w:val="6"/>
        </w:numPr>
        <w:rPr>
          <w:rFonts w:ascii="Arial" w:cs="Arial" w:eastAsia="Arial" w:hAnsi="Arial"/>
          <w:sz w:val="17"/>
          <w:szCs w:val="17"/>
          <w:color w:val="auto"/>
        </w:rPr>
      </w:pPr>
      <w:r>
        <w:rPr>
          <w:rFonts w:ascii="Arial" w:cs="Arial" w:eastAsia="Arial" w:hAnsi="Arial"/>
          <w:sz w:val="17"/>
          <w:szCs w:val="17"/>
          <w:color w:val="auto"/>
        </w:rPr>
        <w:t>As of November 11, 2020 based on 67,533,800 shares of common stock, $0.001 par value per share (“</w:t>
      </w:r>
      <w:r>
        <w:rPr>
          <w:rFonts w:ascii="Arial" w:cs="Arial" w:eastAsia="Arial" w:hAnsi="Arial"/>
          <w:sz w:val="17"/>
          <w:szCs w:val="17"/>
          <w:u w:val="single" w:color="auto"/>
          <w:color w:val="auto"/>
        </w:rPr>
        <w:t>Common Stock</w:t>
      </w:r>
      <w:r>
        <w:rPr>
          <w:rFonts w:ascii="Arial" w:cs="Arial" w:eastAsia="Arial" w:hAnsi="Arial"/>
          <w:sz w:val="17"/>
          <w:szCs w:val="17"/>
          <w:color w:val="auto"/>
        </w:rPr>
        <w:t>”) of the Issuer that were outstanding as reported by the Issuer in its Quarterly Report on Form 10-Q and filed with the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on November 16, 2020. The amounts reported in this Schedule 13G represent 3,477,886 shares of the Issuer’s Series AA Convertible Preferred Stock (the “</w:t>
      </w:r>
      <w:r>
        <w:rPr>
          <w:rFonts w:ascii="Arial" w:cs="Arial" w:eastAsia="Arial" w:hAnsi="Arial"/>
          <w:sz w:val="17"/>
          <w:szCs w:val="17"/>
          <w:u w:val="single" w:color="auto"/>
          <w:color w:val="auto"/>
        </w:rPr>
        <w:t>Preferred Stock</w:t>
      </w:r>
      <w:r>
        <w:rPr>
          <w:rFonts w:ascii="Arial" w:cs="Arial" w:eastAsia="Arial" w:hAnsi="Arial"/>
          <w:sz w:val="17"/>
          <w:szCs w:val="17"/>
          <w:color w:val="auto"/>
        </w:rPr>
        <w:t>”) owned by the Reporting Persons, which are entitled to 0.8 votes per share (2,782,309 votes) and convertible into 6,955,772 shares of common stock in connection with a bona fide transfer to a third party.</w:t>
      </w:r>
    </w:p>
    <w:p>
      <w:pPr>
        <w:sectPr>
          <w:pgSz w:w="11900" w:h="16838" w:orient="portrait"/>
          <w:cols w:equalWidth="0" w:num="1">
            <w:col w:w="11024"/>
          </w:cols>
          <w:pgMar w:left="436" w:top="274" w:right="439" w:bottom="1440" w:gutter="0" w:footer="0" w:header="0"/>
        </w:sectPr>
      </w:pPr>
    </w:p>
    <w:bookmarkStart w:id="4" w:name="page5"/>
    <w:bookmarkEnd w:id="4"/>
    <w:p>
      <w:pPr>
        <w:ind w:left="4"/>
        <w:spacing w:after="0"/>
        <w:tabs>
          <w:tab w:leader="none" w:pos="98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w:t>
      </w:r>
      <w:r>
        <w:rPr>
          <w:sz w:val="20"/>
          <w:szCs w:val="20"/>
          <w:color w:val="auto"/>
        </w:rPr>
        <w:tab/>
      </w:r>
      <w:r>
        <w:rPr>
          <w:rFonts w:ascii="Arial" w:cs="Arial" w:eastAsia="Arial" w:hAnsi="Arial"/>
          <w:sz w:val="15"/>
          <w:szCs w:val="15"/>
          <w:color w:val="auto"/>
        </w:rPr>
        <w:t>143764108</w:t>
      </w:r>
    </w:p>
    <w:p>
      <w:pPr>
        <w:spacing w:after="0" w:line="152" w:lineRule="exact"/>
        <w:rPr>
          <w:sz w:val="20"/>
          <w:szCs w:val="20"/>
          <w:color w:val="auto"/>
        </w:rPr>
      </w:pPr>
    </w:p>
    <w:tbl>
      <w:tblPr>
        <w:tblLayout w:type="fixed"/>
        <w:tblInd w:w="14" w:type="dxa"/>
        <w:tblCellMar>
          <w:top w:w="0" w:type="dxa"/>
          <w:left w:w="0" w:type="dxa"/>
          <w:bottom w:w="0" w:type="dxa"/>
          <w:right w:w="0" w:type="dxa"/>
        </w:tblCellMar>
      </w:tblPr>
      <w:tr>
        <w:trPr>
          <w:trHeight w:val="244"/>
        </w:trPr>
        <w:tc>
          <w:tcPr>
            <w:tcW w:w="480" w:type="dxa"/>
            <w:vAlign w:val="bottom"/>
            <w:tcBorders>
              <w:top w:val="single" w:sz="8" w:color="auto"/>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560" w:type="dxa"/>
            <w:vAlign w:val="bottom"/>
            <w:tcBorders>
              <w:top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Sky Limited</w:t>
            </w:r>
          </w:p>
        </w:tc>
        <w:tc>
          <w:tcPr>
            <w:tcW w:w="10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1056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92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8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91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8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91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England &amp; Wales</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91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40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8"/>
              </w:rPr>
              <w:t>NUMBER OF</w:t>
            </w:r>
          </w:p>
        </w:tc>
        <w:tc>
          <w:tcPr>
            <w:tcW w:w="1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color w:val="auto"/>
                <w:w w:val="94"/>
              </w:rPr>
              <w:t>SHARES</w:t>
            </w: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20"/>
                <w:szCs w:val="20"/>
                <w:color w:val="auto"/>
              </w:rPr>
            </w:pPr>
          </w:p>
        </w:tc>
        <w:tc>
          <w:tcPr>
            <w:tcW w:w="91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2,782,309* (</w:t>
            </w:r>
            <w:r>
              <w:rPr>
                <w:rFonts w:ascii="Arial" w:cs="Arial" w:eastAsia="Arial" w:hAnsi="Arial"/>
                <w:sz w:val="18"/>
                <w:szCs w:val="18"/>
                <w:i w:val="1"/>
                <w:iCs w:val="1"/>
                <w:color w:val="auto"/>
              </w:rPr>
              <w:t>See Item 4</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9"/>
              </w:rPr>
              <w:t>OWNED BY</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Borders>
              <w:left w:val="single" w:sz="8" w:color="auto"/>
            </w:tcBorders>
          </w:tcPr>
          <w:p>
            <w:pPr>
              <w:spacing w:after="0"/>
              <w:rPr>
                <w:sz w:val="15"/>
                <w:szCs w:val="15"/>
                <w:color w:val="auto"/>
              </w:rPr>
            </w:pPr>
          </w:p>
        </w:tc>
        <w:tc>
          <w:tcPr>
            <w:tcW w:w="920" w:type="dxa"/>
            <w:vAlign w:val="bottom"/>
          </w:tcPr>
          <w:p>
            <w:pPr>
              <w:jc w:val="center"/>
              <w:ind w:right="130"/>
              <w:spacing w:after="0" w:line="182" w:lineRule="exact"/>
              <w:rPr>
                <w:sz w:val="20"/>
                <w:szCs w:val="20"/>
                <w:color w:val="auto"/>
              </w:rPr>
            </w:pPr>
            <w:r>
              <w:rPr>
                <w:rFonts w:ascii="Arial" w:cs="Arial" w:eastAsia="Arial" w:hAnsi="Arial"/>
                <w:sz w:val="18"/>
                <w:szCs w:val="18"/>
                <w:color w:val="auto"/>
                <w:w w:val="99"/>
              </w:rPr>
              <w:t>EACH</w:t>
            </w:r>
          </w:p>
        </w:tc>
        <w:tc>
          <w:tcPr>
            <w:tcW w:w="1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15"/>
                <w:szCs w:val="15"/>
                <w:color w:val="auto"/>
              </w:rPr>
            </w:pPr>
          </w:p>
        </w:tc>
        <w:tc>
          <w:tcPr>
            <w:tcW w:w="91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tcBorders>
            <w:gridSpan w:val="2"/>
          </w:tcPr>
          <w:p>
            <w:pPr>
              <w:jc w:val="center"/>
              <w:ind w:left="19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 w:type="dxa"/>
            <w:vAlign w:val="bottom"/>
            <w:tcBorders>
              <w:left w:val="single" w:sz="8" w:color="auto"/>
            </w:tcBorders>
          </w:tcPr>
          <w:p>
            <w:pPr>
              <w:spacing w:after="0"/>
              <w:rPr>
                <w:sz w:val="18"/>
                <w:szCs w:val="18"/>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color w:val="auto"/>
                <w:w w:val="92"/>
              </w:rPr>
              <w:t>PERSON</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20" w:type="dxa"/>
            <w:vAlign w:val="bottom"/>
            <w:vMerge w:val="restart"/>
          </w:tcPr>
          <w:p>
            <w:pPr>
              <w:jc w:val="center"/>
              <w:ind w:right="130"/>
              <w:spacing w:after="0"/>
              <w:rPr>
                <w:sz w:val="20"/>
                <w:szCs w:val="20"/>
                <w:color w:val="auto"/>
              </w:rPr>
            </w:pPr>
            <w:r>
              <w:rPr>
                <w:rFonts w:ascii="Arial" w:cs="Arial" w:eastAsia="Arial" w:hAnsi="Arial"/>
                <w:sz w:val="18"/>
                <w:szCs w:val="18"/>
                <w:color w:val="auto"/>
                <w:w w:val="99"/>
              </w:rPr>
              <w:t>WITH</w:t>
            </w:r>
          </w:p>
        </w:tc>
        <w:tc>
          <w:tcPr>
            <w:tcW w:w="12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91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Borders>
              <w:left w:val="single" w:sz="8" w:color="auto"/>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2"/>
                <w:szCs w:val="12"/>
                <w:color w:val="auto"/>
              </w:rPr>
            </w:pPr>
          </w:p>
        </w:tc>
        <w:tc>
          <w:tcPr>
            <w:tcW w:w="91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91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6,955,772* (</w:t>
            </w:r>
            <w:r>
              <w:rPr>
                <w:rFonts w:ascii="Arial" w:cs="Arial" w:eastAsia="Arial" w:hAnsi="Arial"/>
                <w:sz w:val="18"/>
                <w:szCs w:val="18"/>
                <w:i w:val="1"/>
                <w:iCs w:val="1"/>
                <w:color w:val="auto"/>
              </w:rPr>
              <w:t>See Item 4</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40" w:type="dxa"/>
            <w:vAlign w:val="bottom"/>
            <w:gridSpan w:val="2"/>
          </w:tcPr>
          <w:p>
            <w:pPr>
              <w:spacing w:after="0"/>
              <w:rPr>
                <w:sz w:val="20"/>
                <w:szCs w:val="20"/>
                <w:color w:val="auto"/>
              </w:rPr>
            </w:pPr>
          </w:p>
        </w:tc>
        <w:tc>
          <w:tcPr>
            <w:tcW w:w="91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6,955,772* (</w:t>
            </w:r>
            <w:r>
              <w:rPr>
                <w:rFonts w:ascii="Arial" w:cs="Arial" w:eastAsia="Arial" w:hAnsi="Arial"/>
                <w:sz w:val="18"/>
                <w:szCs w:val="18"/>
                <w:i w:val="1"/>
                <w:iCs w:val="1"/>
                <w:color w:val="auto"/>
              </w:rPr>
              <w:t>See Item 4</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9.3%* (</w:t>
            </w:r>
            <w:r>
              <w:rPr>
                <w:rFonts w:ascii="Arial" w:cs="Arial" w:eastAsia="Arial" w:hAnsi="Arial"/>
                <w:sz w:val="18"/>
                <w:szCs w:val="18"/>
                <w:i w:val="1"/>
                <w:iCs w:val="1"/>
                <w:color w:val="auto"/>
              </w:rPr>
              <w:t>See Item 4</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5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FI</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4" w:right="200" w:hanging="224"/>
        <w:spacing w:after="0" w:line="275" w:lineRule="auto"/>
        <w:tabs>
          <w:tab w:leader="none" w:pos="224" w:val="left"/>
        </w:tabs>
        <w:numPr>
          <w:ilvl w:val="0"/>
          <w:numId w:val="7"/>
        </w:numPr>
        <w:rPr>
          <w:rFonts w:ascii="Arial" w:cs="Arial" w:eastAsia="Arial" w:hAnsi="Arial"/>
          <w:sz w:val="17"/>
          <w:szCs w:val="17"/>
          <w:color w:val="auto"/>
        </w:rPr>
      </w:pPr>
      <w:r>
        <w:rPr>
          <w:rFonts w:ascii="Arial" w:cs="Arial" w:eastAsia="Arial" w:hAnsi="Arial"/>
          <w:sz w:val="17"/>
          <w:szCs w:val="17"/>
          <w:color w:val="auto"/>
        </w:rPr>
        <w:t>As of November 11, 2020 based on 67,533,800 shares of common stock, $0.001 par value per share (“</w:t>
      </w:r>
      <w:r>
        <w:rPr>
          <w:rFonts w:ascii="Arial" w:cs="Arial" w:eastAsia="Arial" w:hAnsi="Arial"/>
          <w:sz w:val="17"/>
          <w:szCs w:val="17"/>
          <w:u w:val="single" w:color="auto"/>
          <w:color w:val="auto"/>
        </w:rPr>
        <w:t>Common Stock</w:t>
      </w:r>
      <w:r>
        <w:rPr>
          <w:rFonts w:ascii="Arial" w:cs="Arial" w:eastAsia="Arial" w:hAnsi="Arial"/>
          <w:sz w:val="17"/>
          <w:szCs w:val="17"/>
          <w:color w:val="auto"/>
        </w:rPr>
        <w:t>”) of the Issuer that were outstanding as reported by the Issuer in its Quarterly Report on Form 10-Q and filed with the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on November 16, 2020. The amounts reported in this Schedule 13G represent 3,477,886 shares of the Issuer’s Series AA Convertible Preferred Stock (the “</w:t>
      </w:r>
      <w:r>
        <w:rPr>
          <w:rFonts w:ascii="Arial" w:cs="Arial" w:eastAsia="Arial" w:hAnsi="Arial"/>
          <w:sz w:val="17"/>
          <w:szCs w:val="17"/>
          <w:u w:val="single" w:color="auto"/>
          <w:color w:val="auto"/>
        </w:rPr>
        <w:t>Preferred Stock</w:t>
      </w:r>
      <w:r>
        <w:rPr>
          <w:rFonts w:ascii="Arial" w:cs="Arial" w:eastAsia="Arial" w:hAnsi="Arial"/>
          <w:sz w:val="17"/>
          <w:szCs w:val="17"/>
          <w:color w:val="auto"/>
        </w:rPr>
        <w:t>”) owned by the Reporting Persons, which are entitled to 0.8 votes per share (2,782,309 votes) and convertible into 6,955,772 shares of common stock in connection with a bona fide transfer to a third party.</w:t>
      </w:r>
    </w:p>
    <w:p>
      <w:pPr>
        <w:sectPr>
          <w:pgSz w:w="11900" w:h="16838" w:orient="portrait"/>
          <w:cols w:equalWidth="0" w:num="1">
            <w:col w:w="11024"/>
          </w:cols>
          <w:pgMar w:left="436" w:top="274" w:right="439" w:bottom="1440" w:gutter="0" w:footer="0" w:header="0"/>
        </w:sectPr>
      </w:pPr>
    </w:p>
    <w:bookmarkStart w:id="5" w:name="page6"/>
    <w:bookmarkEnd w:id="5"/>
    <w:p>
      <w:pPr>
        <w:ind w:left="4"/>
        <w:spacing w:after="0"/>
        <w:tabs>
          <w:tab w:leader="none" w:pos="98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w:t>
      </w:r>
      <w:r>
        <w:rPr>
          <w:sz w:val="20"/>
          <w:szCs w:val="20"/>
          <w:color w:val="auto"/>
        </w:rPr>
        <w:tab/>
      </w:r>
      <w:r>
        <w:rPr>
          <w:rFonts w:ascii="Arial" w:cs="Arial" w:eastAsia="Arial" w:hAnsi="Arial"/>
          <w:sz w:val="15"/>
          <w:szCs w:val="15"/>
          <w:color w:val="auto"/>
        </w:rPr>
        <w:t>143764108</w:t>
      </w:r>
    </w:p>
    <w:p>
      <w:pPr>
        <w:spacing w:after="0" w:line="152" w:lineRule="exact"/>
        <w:rPr>
          <w:sz w:val="20"/>
          <w:szCs w:val="20"/>
          <w:color w:val="auto"/>
        </w:rPr>
      </w:pPr>
    </w:p>
    <w:tbl>
      <w:tblPr>
        <w:tblLayout w:type="fixed"/>
        <w:tblInd w:w="14" w:type="dxa"/>
        <w:tblCellMar>
          <w:top w:w="0" w:type="dxa"/>
          <w:left w:w="0" w:type="dxa"/>
          <w:bottom w:w="0" w:type="dxa"/>
          <w:right w:w="0" w:type="dxa"/>
        </w:tblCellMar>
      </w:tblPr>
      <w:tr>
        <w:trPr>
          <w:trHeight w:val="244"/>
        </w:trPr>
        <w:tc>
          <w:tcPr>
            <w:tcW w:w="480" w:type="dxa"/>
            <w:vAlign w:val="bottom"/>
            <w:tcBorders>
              <w:top w:val="single" w:sz="8" w:color="auto"/>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560" w:type="dxa"/>
            <w:vAlign w:val="bottom"/>
            <w:tcBorders>
              <w:top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Sky UK Limited</w:t>
            </w: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1056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92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8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91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8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91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England &amp; Wales</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91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40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8"/>
              </w:rPr>
              <w:t>NUMBER OF</w:t>
            </w:r>
          </w:p>
        </w:tc>
        <w:tc>
          <w:tcPr>
            <w:tcW w:w="1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color w:val="auto"/>
                <w:w w:val="94"/>
              </w:rPr>
              <w:t>SHARES</w:t>
            </w: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20"/>
                <w:szCs w:val="20"/>
                <w:color w:val="auto"/>
              </w:rPr>
            </w:pPr>
          </w:p>
        </w:tc>
        <w:tc>
          <w:tcPr>
            <w:tcW w:w="91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2,782,309* (</w:t>
            </w:r>
            <w:r>
              <w:rPr>
                <w:rFonts w:ascii="Arial" w:cs="Arial" w:eastAsia="Arial" w:hAnsi="Arial"/>
                <w:sz w:val="18"/>
                <w:szCs w:val="18"/>
                <w:i w:val="1"/>
                <w:iCs w:val="1"/>
                <w:color w:val="auto"/>
              </w:rPr>
              <w:t>See Item 4</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9"/>
              </w:rPr>
              <w:t>OWNED BY</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Borders>
              <w:left w:val="single" w:sz="8" w:color="auto"/>
            </w:tcBorders>
          </w:tcPr>
          <w:p>
            <w:pPr>
              <w:spacing w:after="0"/>
              <w:rPr>
                <w:sz w:val="15"/>
                <w:szCs w:val="15"/>
                <w:color w:val="auto"/>
              </w:rPr>
            </w:pPr>
          </w:p>
        </w:tc>
        <w:tc>
          <w:tcPr>
            <w:tcW w:w="920" w:type="dxa"/>
            <w:vAlign w:val="bottom"/>
          </w:tcPr>
          <w:p>
            <w:pPr>
              <w:jc w:val="center"/>
              <w:ind w:right="130"/>
              <w:spacing w:after="0" w:line="182" w:lineRule="exact"/>
              <w:rPr>
                <w:sz w:val="20"/>
                <w:szCs w:val="20"/>
                <w:color w:val="auto"/>
              </w:rPr>
            </w:pPr>
            <w:r>
              <w:rPr>
                <w:rFonts w:ascii="Arial" w:cs="Arial" w:eastAsia="Arial" w:hAnsi="Arial"/>
                <w:sz w:val="18"/>
                <w:szCs w:val="18"/>
                <w:color w:val="auto"/>
                <w:w w:val="99"/>
              </w:rPr>
              <w:t>EACH</w:t>
            </w:r>
          </w:p>
        </w:tc>
        <w:tc>
          <w:tcPr>
            <w:tcW w:w="1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15"/>
                <w:szCs w:val="15"/>
                <w:color w:val="auto"/>
              </w:rPr>
            </w:pPr>
          </w:p>
        </w:tc>
        <w:tc>
          <w:tcPr>
            <w:tcW w:w="91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tcBorders>
            <w:gridSpan w:val="2"/>
          </w:tcPr>
          <w:p>
            <w:pPr>
              <w:jc w:val="center"/>
              <w:ind w:left="19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 w:type="dxa"/>
            <w:vAlign w:val="bottom"/>
            <w:tcBorders>
              <w:left w:val="single" w:sz="8" w:color="auto"/>
            </w:tcBorders>
          </w:tcPr>
          <w:p>
            <w:pPr>
              <w:spacing w:after="0"/>
              <w:rPr>
                <w:sz w:val="18"/>
                <w:szCs w:val="18"/>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color w:val="auto"/>
                <w:w w:val="92"/>
              </w:rPr>
              <w:t>PERSON</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20" w:type="dxa"/>
            <w:vAlign w:val="bottom"/>
            <w:vMerge w:val="restart"/>
          </w:tcPr>
          <w:p>
            <w:pPr>
              <w:jc w:val="center"/>
              <w:ind w:right="130"/>
              <w:spacing w:after="0"/>
              <w:rPr>
                <w:sz w:val="20"/>
                <w:szCs w:val="20"/>
                <w:color w:val="auto"/>
              </w:rPr>
            </w:pPr>
            <w:r>
              <w:rPr>
                <w:rFonts w:ascii="Arial" w:cs="Arial" w:eastAsia="Arial" w:hAnsi="Arial"/>
                <w:sz w:val="18"/>
                <w:szCs w:val="18"/>
                <w:color w:val="auto"/>
                <w:w w:val="99"/>
              </w:rPr>
              <w:t>WITH</w:t>
            </w:r>
          </w:p>
        </w:tc>
        <w:tc>
          <w:tcPr>
            <w:tcW w:w="12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91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Borders>
              <w:left w:val="single" w:sz="8" w:color="auto"/>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2"/>
                <w:szCs w:val="12"/>
                <w:color w:val="auto"/>
              </w:rPr>
            </w:pPr>
          </w:p>
        </w:tc>
        <w:tc>
          <w:tcPr>
            <w:tcW w:w="91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91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6,955,772* (</w:t>
            </w:r>
            <w:r>
              <w:rPr>
                <w:rFonts w:ascii="Arial" w:cs="Arial" w:eastAsia="Arial" w:hAnsi="Arial"/>
                <w:sz w:val="18"/>
                <w:szCs w:val="18"/>
                <w:i w:val="1"/>
                <w:iCs w:val="1"/>
                <w:color w:val="auto"/>
              </w:rPr>
              <w:t>See Item 4</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40" w:type="dxa"/>
            <w:vAlign w:val="bottom"/>
            <w:gridSpan w:val="2"/>
          </w:tcPr>
          <w:p>
            <w:pPr>
              <w:spacing w:after="0"/>
              <w:rPr>
                <w:sz w:val="20"/>
                <w:szCs w:val="20"/>
                <w:color w:val="auto"/>
              </w:rPr>
            </w:pPr>
          </w:p>
        </w:tc>
        <w:tc>
          <w:tcPr>
            <w:tcW w:w="91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6,955,772* (</w:t>
            </w:r>
            <w:r>
              <w:rPr>
                <w:rFonts w:ascii="Arial" w:cs="Arial" w:eastAsia="Arial" w:hAnsi="Arial"/>
                <w:sz w:val="18"/>
                <w:szCs w:val="18"/>
                <w:i w:val="1"/>
                <w:iCs w:val="1"/>
                <w:color w:val="auto"/>
              </w:rPr>
              <w:t>See Item 4</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9.3%* (</w:t>
            </w:r>
            <w:r>
              <w:rPr>
                <w:rFonts w:ascii="Arial" w:cs="Arial" w:eastAsia="Arial" w:hAnsi="Arial"/>
                <w:sz w:val="18"/>
                <w:szCs w:val="18"/>
                <w:i w:val="1"/>
                <w:iCs w:val="1"/>
                <w:color w:val="auto"/>
              </w:rPr>
              <w:t>See Item 4</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5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FI</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4" w:right="200" w:hanging="224"/>
        <w:spacing w:after="0" w:line="275" w:lineRule="auto"/>
        <w:tabs>
          <w:tab w:leader="none" w:pos="224" w:val="left"/>
        </w:tabs>
        <w:numPr>
          <w:ilvl w:val="0"/>
          <w:numId w:val="8"/>
        </w:numPr>
        <w:rPr>
          <w:rFonts w:ascii="Arial" w:cs="Arial" w:eastAsia="Arial" w:hAnsi="Arial"/>
          <w:sz w:val="17"/>
          <w:szCs w:val="17"/>
          <w:color w:val="auto"/>
        </w:rPr>
      </w:pPr>
      <w:r>
        <w:rPr>
          <w:rFonts w:ascii="Arial" w:cs="Arial" w:eastAsia="Arial" w:hAnsi="Arial"/>
          <w:sz w:val="17"/>
          <w:szCs w:val="17"/>
          <w:color w:val="auto"/>
        </w:rPr>
        <w:t>As of November 11, 2020 based on 67,533,800 shares of common stock, $0.001 par value per share (“</w:t>
      </w:r>
      <w:r>
        <w:rPr>
          <w:rFonts w:ascii="Arial" w:cs="Arial" w:eastAsia="Arial" w:hAnsi="Arial"/>
          <w:sz w:val="17"/>
          <w:szCs w:val="17"/>
          <w:u w:val="single" w:color="auto"/>
          <w:color w:val="auto"/>
        </w:rPr>
        <w:t>Common Stock</w:t>
      </w:r>
      <w:r>
        <w:rPr>
          <w:rFonts w:ascii="Arial" w:cs="Arial" w:eastAsia="Arial" w:hAnsi="Arial"/>
          <w:sz w:val="17"/>
          <w:szCs w:val="17"/>
          <w:color w:val="auto"/>
        </w:rPr>
        <w:t>”) of the Issuer that were outstanding as reported by the Issuer in its Quarterly Report on Form 10-Q and filed with the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on November 16, 2020. The amounts reported in this Schedule 13G represent 3,477,886 shares of the Issuer’s Series AA Convertible Preferred Stock (the “</w:t>
      </w:r>
      <w:r>
        <w:rPr>
          <w:rFonts w:ascii="Arial" w:cs="Arial" w:eastAsia="Arial" w:hAnsi="Arial"/>
          <w:sz w:val="17"/>
          <w:szCs w:val="17"/>
          <w:u w:val="single" w:color="auto"/>
          <w:color w:val="auto"/>
        </w:rPr>
        <w:t>Preferred Stock</w:t>
      </w:r>
      <w:r>
        <w:rPr>
          <w:rFonts w:ascii="Arial" w:cs="Arial" w:eastAsia="Arial" w:hAnsi="Arial"/>
          <w:sz w:val="17"/>
          <w:szCs w:val="17"/>
          <w:color w:val="auto"/>
        </w:rPr>
        <w:t>”) owned by the Reporting Persons, which are entitled to 0.8 votes per share (2,782,309 votes) and convertible into 6,955,772 shares of common stock in connection with a bona fide transfer to a third party.</w:t>
      </w:r>
    </w:p>
    <w:p>
      <w:pPr>
        <w:sectPr>
          <w:pgSz w:w="11900" w:h="16838" w:orient="portrait"/>
          <w:cols w:equalWidth="0" w:num="1">
            <w:col w:w="11024"/>
          </w:cols>
          <w:pgMar w:left="436" w:top="274" w:right="439" w:bottom="1440" w:gutter="0" w:footer="0" w:header="0"/>
        </w:sectPr>
      </w:pPr>
    </w:p>
    <w:bookmarkStart w:id="6" w:name="page7"/>
    <w:bookmarkEnd w:id="6"/>
    <w:p>
      <w:pPr>
        <w:ind w:left="4"/>
        <w:spacing w:after="0"/>
        <w:tabs>
          <w:tab w:leader="none" w:pos="98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w:t>
      </w:r>
      <w:r>
        <w:rPr>
          <w:sz w:val="20"/>
          <w:szCs w:val="20"/>
          <w:color w:val="auto"/>
        </w:rPr>
        <w:tab/>
      </w:r>
      <w:r>
        <w:rPr>
          <w:rFonts w:ascii="Arial" w:cs="Arial" w:eastAsia="Arial" w:hAnsi="Arial"/>
          <w:sz w:val="15"/>
          <w:szCs w:val="15"/>
          <w:color w:val="auto"/>
        </w:rPr>
        <w:t>143764108</w:t>
      </w:r>
    </w:p>
    <w:p>
      <w:pPr>
        <w:spacing w:after="0" w:line="152" w:lineRule="exact"/>
        <w:rPr>
          <w:sz w:val="20"/>
          <w:szCs w:val="20"/>
          <w:color w:val="auto"/>
        </w:rPr>
      </w:pPr>
    </w:p>
    <w:tbl>
      <w:tblPr>
        <w:tblLayout w:type="fixed"/>
        <w:tblInd w:w="14" w:type="dxa"/>
        <w:tblCellMar>
          <w:top w:w="0" w:type="dxa"/>
          <w:left w:w="0" w:type="dxa"/>
          <w:bottom w:w="0" w:type="dxa"/>
          <w:right w:w="0" w:type="dxa"/>
        </w:tblCellMar>
      </w:tblPr>
      <w:tr>
        <w:trPr>
          <w:trHeight w:val="244"/>
        </w:trPr>
        <w:tc>
          <w:tcPr>
            <w:tcW w:w="480" w:type="dxa"/>
            <w:vAlign w:val="bottom"/>
            <w:tcBorders>
              <w:top w:val="single" w:sz="8" w:color="auto"/>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560" w:type="dxa"/>
            <w:vAlign w:val="bottom"/>
            <w:tcBorders>
              <w:top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Sky Ventures Limited</w:t>
            </w: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1056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92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8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91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8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91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England &amp; Wales</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91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40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8"/>
              </w:rPr>
              <w:t>NUMBER OF</w:t>
            </w:r>
          </w:p>
        </w:tc>
        <w:tc>
          <w:tcPr>
            <w:tcW w:w="1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color w:val="auto"/>
                <w:w w:val="94"/>
              </w:rPr>
              <w:t>SHARES</w:t>
            </w: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20"/>
                <w:szCs w:val="20"/>
                <w:color w:val="auto"/>
              </w:rPr>
            </w:pPr>
          </w:p>
        </w:tc>
        <w:tc>
          <w:tcPr>
            <w:tcW w:w="91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2,782,309* (</w:t>
            </w:r>
            <w:r>
              <w:rPr>
                <w:rFonts w:ascii="Arial" w:cs="Arial" w:eastAsia="Arial" w:hAnsi="Arial"/>
                <w:sz w:val="18"/>
                <w:szCs w:val="18"/>
                <w:i w:val="1"/>
                <w:iCs w:val="1"/>
                <w:color w:val="auto"/>
              </w:rPr>
              <w:t>See Item 4</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9"/>
              </w:rPr>
              <w:t>OWNED BY</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Borders>
              <w:left w:val="single" w:sz="8" w:color="auto"/>
            </w:tcBorders>
          </w:tcPr>
          <w:p>
            <w:pPr>
              <w:spacing w:after="0"/>
              <w:rPr>
                <w:sz w:val="15"/>
                <w:szCs w:val="15"/>
                <w:color w:val="auto"/>
              </w:rPr>
            </w:pPr>
          </w:p>
        </w:tc>
        <w:tc>
          <w:tcPr>
            <w:tcW w:w="920" w:type="dxa"/>
            <w:vAlign w:val="bottom"/>
          </w:tcPr>
          <w:p>
            <w:pPr>
              <w:jc w:val="center"/>
              <w:ind w:right="130"/>
              <w:spacing w:after="0" w:line="182" w:lineRule="exact"/>
              <w:rPr>
                <w:sz w:val="20"/>
                <w:szCs w:val="20"/>
                <w:color w:val="auto"/>
              </w:rPr>
            </w:pPr>
            <w:r>
              <w:rPr>
                <w:rFonts w:ascii="Arial" w:cs="Arial" w:eastAsia="Arial" w:hAnsi="Arial"/>
                <w:sz w:val="18"/>
                <w:szCs w:val="18"/>
                <w:color w:val="auto"/>
                <w:w w:val="99"/>
              </w:rPr>
              <w:t>EACH</w:t>
            </w:r>
          </w:p>
        </w:tc>
        <w:tc>
          <w:tcPr>
            <w:tcW w:w="1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15"/>
                <w:szCs w:val="15"/>
                <w:color w:val="auto"/>
              </w:rPr>
            </w:pPr>
          </w:p>
        </w:tc>
        <w:tc>
          <w:tcPr>
            <w:tcW w:w="91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tcBorders>
            <w:gridSpan w:val="2"/>
          </w:tcPr>
          <w:p>
            <w:pPr>
              <w:jc w:val="center"/>
              <w:ind w:left="19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 w:type="dxa"/>
            <w:vAlign w:val="bottom"/>
            <w:tcBorders>
              <w:left w:val="single" w:sz="8" w:color="auto"/>
            </w:tcBorders>
          </w:tcPr>
          <w:p>
            <w:pPr>
              <w:spacing w:after="0"/>
              <w:rPr>
                <w:sz w:val="18"/>
                <w:szCs w:val="18"/>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color w:val="auto"/>
                <w:w w:val="92"/>
              </w:rPr>
              <w:t>PERSON</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20" w:type="dxa"/>
            <w:vAlign w:val="bottom"/>
            <w:vMerge w:val="restart"/>
          </w:tcPr>
          <w:p>
            <w:pPr>
              <w:jc w:val="center"/>
              <w:ind w:right="130"/>
              <w:spacing w:after="0"/>
              <w:rPr>
                <w:sz w:val="20"/>
                <w:szCs w:val="20"/>
                <w:color w:val="auto"/>
              </w:rPr>
            </w:pPr>
            <w:r>
              <w:rPr>
                <w:rFonts w:ascii="Arial" w:cs="Arial" w:eastAsia="Arial" w:hAnsi="Arial"/>
                <w:sz w:val="18"/>
                <w:szCs w:val="18"/>
                <w:color w:val="auto"/>
                <w:w w:val="99"/>
              </w:rPr>
              <w:t>WITH</w:t>
            </w:r>
          </w:p>
        </w:tc>
        <w:tc>
          <w:tcPr>
            <w:tcW w:w="12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91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Borders>
              <w:left w:val="single" w:sz="8" w:color="auto"/>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2"/>
                <w:szCs w:val="12"/>
                <w:color w:val="auto"/>
              </w:rPr>
            </w:pPr>
          </w:p>
        </w:tc>
        <w:tc>
          <w:tcPr>
            <w:tcW w:w="91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91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6,955,772* (</w:t>
            </w:r>
            <w:r>
              <w:rPr>
                <w:rFonts w:ascii="Arial" w:cs="Arial" w:eastAsia="Arial" w:hAnsi="Arial"/>
                <w:sz w:val="18"/>
                <w:szCs w:val="18"/>
                <w:i w:val="1"/>
                <w:iCs w:val="1"/>
                <w:color w:val="auto"/>
              </w:rPr>
              <w:t>See Item 4</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40" w:type="dxa"/>
            <w:vAlign w:val="bottom"/>
            <w:gridSpan w:val="2"/>
          </w:tcPr>
          <w:p>
            <w:pPr>
              <w:spacing w:after="0"/>
              <w:rPr>
                <w:sz w:val="20"/>
                <w:szCs w:val="20"/>
                <w:color w:val="auto"/>
              </w:rPr>
            </w:pPr>
          </w:p>
        </w:tc>
        <w:tc>
          <w:tcPr>
            <w:tcW w:w="91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6,955,772* (</w:t>
            </w:r>
            <w:r>
              <w:rPr>
                <w:rFonts w:ascii="Arial" w:cs="Arial" w:eastAsia="Arial" w:hAnsi="Arial"/>
                <w:sz w:val="18"/>
                <w:szCs w:val="18"/>
                <w:i w:val="1"/>
                <w:iCs w:val="1"/>
                <w:color w:val="auto"/>
              </w:rPr>
              <w:t>See Item 4</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9.3%* (</w:t>
            </w:r>
            <w:r>
              <w:rPr>
                <w:rFonts w:ascii="Arial" w:cs="Arial" w:eastAsia="Arial" w:hAnsi="Arial"/>
                <w:sz w:val="18"/>
                <w:szCs w:val="18"/>
                <w:i w:val="1"/>
                <w:iCs w:val="1"/>
                <w:color w:val="auto"/>
              </w:rPr>
              <w:t>See Item 4</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5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FI</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4" w:right="200" w:hanging="224"/>
        <w:spacing w:after="0" w:line="275" w:lineRule="auto"/>
        <w:tabs>
          <w:tab w:leader="none" w:pos="224" w:val="left"/>
        </w:tabs>
        <w:numPr>
          <w:ilvl w:val="0"/>
          <w:numId w:val="9"/>
        </w:numPr>
        <w:rPr>
          <w:rFonts w:ascii="Arial" w:cs="Arial" w:eastAsia="Arial" w:hAnsi="Arial"/>
          <w:sz w:val="17"/>
          <w:szCs w:val="17"/>
          <w:color w:val="auto"/>
        </w:rPr>
      </w:pPr>
      <w:r>
        <w:rPr>
          <w:rFonts w:ascii="Arial" w:cs="Arial" w:eastAsia="Arial" w:hAnsi="Arial"/>
          <w:sz w:val="17"/>
          <w:szCs w:val="17"/>
          <w:color w:val="auto"/>
        </w:rPr>
        <w:t>As of November 11, 2020 based on 67,533,800 shares of common stock, $0.001 par value per share (“</w:t>
      </w:r>
      <w:r>
        <w:rPr>
          <w:rFonts w:ascii="Arial" w:cs="Arial" w:eastAsia="Arial" w:hAnsi="Arial"/>
          <w:sz w:val="17"/>
          <w:szCs w:val="17"/>
          <w:u w:val="single" w:color="auto"/>
          <w:color w:val="auto"/>
        </w:rPr>
        <w:t>Common Stock</w:t>
      </w:r>
      <w:r>
        <w:rPr>
          <w:rFonts w:ascii="Arial" w:cs="Arial" w:eastAsia="Arial" w:hAnsi="Arial"/>
          <w:sz w:val="17"/>
          <w:szCs w:val="17"/>
          <w:color w:val="auto"/>
        </w:rPr>
        <w:t>”) of the Issuer that were outstanding as reported by the Issuer in its Quarterly Report on Form 10-Q and filed with the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on November 16, 2020. The amounts reported in this Schedule 13G represent 3,477,886 shares of the Issuer’s Series AA Convertible Preferred Stock (the “</w:t>
      </w:r>
      <w:r>
        <w:rPr>
          <w:rFonts w:ascii="Arial" w:cs="Arial" w:eastAsia="Arial" w:hAnsi="Arial"/>
          <w:sz w:val="17"/>
          <w:szCs w:val="17"/>
          <w:u w:val="single" w:color="auto"/>
          <w:color w:val="auto"/>
        </w:rPr>
        <w:t>Preferred Stock</w:t>
      </w:r>
      <w:r>
        <w:rPr>
          <w:rFonts w:ascii="Arial" w:cs="Arial" w:eastAsia="Arial" w:hAnsi="Arial"/>
          <w:sz w:val="17"/>
          <w:szCs w:val="17"/>
          <w:color w:val="auto"/>
        </w:rPr>
        <w:t>”) owned by the Reporting Persons, which are entitled to 0.8 votes per share (2,782,309 votes) and convertible into 6,955,772 shares of common stock in connection with a bona fide transfer to a third party.</w:t>
      </w:r>
    </w:p>
    <w:p>
      <w:pPr>
        <w:sectPr>
          <w:pgSz w:w="11900" w:h="16838" w:orient="portrait"/>
          <w:cols w:equalWidth="0" w:num="1">
            <w:col w:w="11024"/>
          </w:cols>
          <w:pgMar w:left="436" w:top="274" w:right="439" w:bottom="1440" w:gutter="0" w:footer="0" w:header="0"/>
        </w:sectPr>
      </w:pPr>
    </w:p>
    <w:bookmarkStart w:id="7" w:name="page8"/>
    <w:bookmarkEnd w:id="7"/>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fuboTV Inc. (formerly known as FaceBank Group, Inc.)</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1330 Avenue of the Americas, New York, New York 10019</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Reporting Persons:</w:t>
      </w:r>
    </w:p>
    <w:p>
      <w:pPr>
        <w:spacing w:after="0" w:line="135" w:lineRule="exact"/>
        <w:rPr>
          <w:sz w:val="20"/>
          <w:szCs w:val="20"/>
          <w:color w:val="auto"/>
        </w:rPr>
      </w:pPr>
    </w:p>
    <w:p>
      <w:pPr>
        <w:ind w:left="960" w:hanging="532"/>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Comcast Corporation</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Comcast Bidco Holdings Limited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Comcast Bidco Limited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Sky Limited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Sky UK Limited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Sky Ventures Limited</w:t>
      </w:r>
    </w:p>
    <w:p>
      <w:pPr>
        <w:spacing w:after="0" w:line="225"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Sky Ventures Limited is the direct holder of the shares of Preferred Stock included in this Schedule 13G. Sky Ventures Limited is a wholly owned subsidiary of Sky UK Limited, which is a wholly owned subsidiary of Sky Limited, which is a wholly owned subsidiary of Comcast Bidco Limited, which is a wholly owned subsidiary of Comcast Bidco Holdings Limited, which is a wholly owned subsidiary of Comcast Corporation.</w:t>
      </w:r>
    </w:p>
    <w:p>
      <w:pPr>
        <w:spacing w:after="0" w:line="31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35" w:lineRule="exact"/>
        <w:rPr>
          <w:sz w:val="20"/>
          <w:szCs w:val="20"/>
          <w:color w:val="auto"/>
        </w:rPr>
      </w:pPr>
    </w:p>
    <w:p>
      <w:pPr>
        <w:ind w:left="960" w:hanging="532"/>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Comcast Corporation: One Comcast Center, Philadelphia, Pennsylvania 19103-2838</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Comcast Bidco Holdings Limited: Sky Central Grant Way, Isleworth, Middlesex, TW7 5QD United Kingdom</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Comcast Bidco Limited: Sky Central Grant Way, Isleworth, Middlesex, TW7 5QD United Kingdom</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Sky Limited: Sky Central Grant Way, Isleworth, Middlesex, TW7 5QD United Kingdom</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Sky UK Limited: Sky Central Grant Way, Isleworth, Middlesex, TW7 5QD United Kingdom</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Sky Ventures Limited: Sky Central Grant Way, Isleworth, Middlesex, TW7 5QD United Kingdom</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135" w:lineRule="exact"/>
        <w:rPr>
          <w:sz w:val="20"/>
          <w:szCs w:val="20"/>
          <w:color w:val="auto"/>
        </w:rPr>
      </w:pPr>
    </w:p>
    <w:p>
      <w:pPr>
        <w:ind w:left="960" w:hanging="532"/>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Comcast Corporation: Pennsylvania</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Comcast Bidco Holdings Limited: England &amp; Wales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Comcast Bidco Limited: England &amp; Wales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Sky Limited: England &amp; Wales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Sky UK Limited: England &amp; Wales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Sky Ventures Limited: England &amp; Wales</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Common Stock, par value $0.0001</w:t>
      </w:r>
    </w:p>
    <w:p>
      <w:pPr>
        <w:sectPr>
          <w:pgSz w:w="11900" w:h="16838" w:orient="portrait"/>
          <w:cols w:equalWidth="0" w:num="1">
            <w:col w:w="10940"/>
          </w:cols>
          <w:pgMar w:left="440" w:top="270" w:right="519" w:bottom="1440" w:gutter="0" w:footer="0" w:header="0"/>
        </w:sectPr>
      </w:pPr>
    </w:p>
    <w:bookmarkStart w:id="8" w:name="page9"/>
    <w:bookmarkEnd w:id="8"/>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Item 2(e).</w:t>
      </w:r>
      <w:r>
        <w:rPr>
          <w:sz w:val="20"/>
          <w:szCs w:val="20"/>
          <w:color w:val="auto"/>
        </w:rPr>
        <w:tab/>
      </w:r>
      <w:r>
        <w:rPr>
          <w:rFonts w:ascii="Arial" w:cs="Arial" w:eastAsia="Arial" w:hAnsi="Arial"/>
          <w:sz w:val="17"/>
          <w:szCs w:val="17"/>
          <w:b w:val="1"/>
          <w:bCs w:val="1"/>
          <w:color w:val="auto"/>
        </w:rPr>
        <w:t>CUSIP Number: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143764108</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102" w:lineRule="exact"/>
        <w:rPr>
          <w:sz w:val="20"/>
          <w:szCs w:val="20"/>
          <w:color w:val="auto"/>
        </w:rPr>
      </w:pPr>
    </w:p>
    <w:p>
      <w:pPr>
        <w:ind w:left="960" w:hanging="532"/>
        <w:spacing w:after="0" w:line="207" w:lineRule="exact"/>
        <w:tabs>
          <w:tab w:leader="none" w:pos="96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30" w:lineRule="exact"/>
        <w:rPr>
          <w:rFonts w:ascii="Arial" w:cs="Arial" w:eastAsia="Arial" w:hAnsi="Arial"/>
          <w:sz w:val="18"/>
          <w:szCs w:val="18"/>
          <w:color w:val="auto"/>
        </w:rPr>
      </w:pPr>
    </w:p>
    <w:p>
      <w:pPr>
        <w:ind w:left="960" w:hanging="532"/>
        <w:spacing w:after="0" w:line="207" w:lineRule="exact"/>
        <w:tabs>
          <w:tab w:leader="none" w:pos="96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30" w:lineRule="exact"/>
        <w:rPr>
          <w:rFonts w:ascii="Arial" w:cs="Arial" w:eastAsia="Arial" w:hAnsi="Arial"/>
          <w:sz w:val="18"/>
          <w:szCs w:val="18"/>
          <w:color w:val="auto"/>
        </w:rPr>
      </w:pPr>
    </w:p>
    <w:p>
      <w:pPr>
        <w:ind w:left="960" w:hanging="532"/>
        <w:spacing w:after="0" w:line="207" w:lineRule="exact"/>
        <w:tabs>
          <w:tab w:leader="none" w:pos="96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30" w:lineRule="exact"/>
        <w:rPr>
          <w:rFonts w:ascii="Arial" w:cs="Arial" w:eastAsia="Arial" w:hAnsi="Arial"/>
          <w:sz w:val="18"/>
          <w:szCs w:val="18"/>
          <w:color w:val="auto"/>
        </w:rPr>
      </w:pPr>
    </w:p>
    <w:p>
      <w:pPr>
        <w:ind w:left="960" w:hanging="532"/>
        <w:spacing w:after="0" w:line="207" w:lineRule="exact"/>
        <w:tabs>
          <w:tab w:leader="none" w:pos="96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30" w:lineRule="exact"/>
        <w:rPr>
          <w:rFonts w:ascii="Arial" w:cs="Arial" w:eastAsia="Arial" w:hAnsi="Arial"/>
          <w:sz w:val="18"/>
          <w:szCs w:val="18"/>
          <w:color w:val="auto"/>
        </w:rPr>
      </w:pPr>
    </w:p>
    <w:p>
      <w:pPr>
        <w:ind w:left="960" w:hanging="532"/>
        <w:spacing w:after="0" w:line="207" w:lineRule="exact"/>
        <w:tabs>
          <w:tab w:leader="none" w:pos="96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30" w:lineRule="exact"/>
        <w:rPr>
          <w:rFonts w:ascii="Arial" w:cs="Arial" w:eastAsia="Arial" w:hAnsi="Arial"/>
          <w:sz w:val="18"/>
          <w:szCs w:val="18"/>
          <w:color w:val="auto"/>
        </w:rPr>
      </w:pPr>
    </w:p>
    <w:p>
      <w:pPr>
        <w:ind w:left="960" w:hanging="532"/>
        <w:spacing w:after="0" w:line="207" w:lineRule="exact"/>
        <w:tabs>
          <w:tab w:leader="none" w:pos="96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30" w:lineRule="exact"/>
        <w:rPr>
          <w:rFonts w:ascii="Arial" w:cs="Arial" w:eastAsia="Arial" w:hAnsi="Arial"/>
          <w:sz w:val="18"/>
          <w:szCs w:val="18"/>
          <w:color w:val="auto"/>
        </w:rPr>
      </w:pPr>
    </w:p>
    <w:p>
      <w:pPr>
        <w:ind w:left="960" w:hanging="532"/>
        <w:spacing w:after="0" w:line="207" w:lineRule="exact"/>
        <w:tabs>
          <w:tab w:leader="none" w:pos="96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130" w:lineRule="exact"/>
        <w:rPr>
          <w:rFonts w:ascii="Arial" w:cs="Arial" w:eastAsia="Arial" w:hAnsi="Arial"/>
          <w:sz w:val="18"/>
          <w:szCs w:val="18"/>
          <w:color w:val="auto"/>
        </w:rPr>
      </w:pPr>
    </w:p>
    <w:p>
      <w:pPr>
        <w:ind w:left="960" w:hanging="532"/>
        <w:spacing w:after="0" w:line="207" w:lineRule="exact"/>
        <w:tabs>
          <w:tab w:leader="none" w:pos="96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130" w:lineRule="exact"/>
        <w:rPr>
          <w:rFonts w:ascii="Arial" w:cs="Arial" w:eastAsia="Arial" w:hAnsi="Arial"/>
          <w:sz w:val="18"/>
          <w:szCs w:val="18"/>
          <w:color w:val="auto"/>
        </w:rPr>
      </w:pPr>
    </w:p>
    <w:p>
      <w:pPr>
        <w:ind w:left="960" w:right="40" w:hanging="532"/>
        <w:spacing w:after="0" w:line="239" w:lineRule="exact"/>
        <w:tabs>
          <w:tab w:leader="none" w:pos="96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75" w:lineRule="exact"/>
        <w:rPr>
          <w:rFonts w:ascii="Arial" w:cs="Arial" w:eastAsia="Arial" w:hAnsi="Arial"/>
          <w:sz w:val="18"/>
          <w:szCs w:val="18"/>
          <w:color w:val="auto"/>
        </w:rPr>
      </w:pPr>
    </w:p>
    <w:p>
      <w:pPr>
        <w:ind w:left="960" w:hanging="532"/>
        <w:spacing w:after="0" w:line="207" w:lineRule="exact"/>
        <w:tabs>
          <w:tab w:leader="none" w:pos="96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200" w:lineRule="exact"/>
        <w:rPr>
          <w:sz w:val="20"/>
          <w:szCs w:val="20"/>
          <w:color w:val="auto"/>
        </w:rPr>
      </w:pPr>
    </w:p>
    <w:p>
      <w:pPr>
        <w:spacing w:after="0" w:line="20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requested in this item is incorporated herein by reference to the cover pages to this Schedule 13G.</w:t>
      </w:r>
    </w:p>
    <w:p>
      <w:pPr>
        <w:spacing w:after="0" w:line="225"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6,955,772 shares of Common Stock of the Issuer are being reported as beneficially owned by the Reporting Persons because the Reporting Persons are deemed to beneficially own such shares as a result of their direct ownership of 3,477,886 shares of Preferred Stock, which are entitled to 0.8 votes per share (2,782,309 votes) and convertible into 6,955,772 shares of Common Stock in connection with a bona fide transfer to a third party.</w:t>
      </w:r>
    </w:p>
    <w:p>
      <w:pPr>
        <w:spacing w:after="0" w:line="149"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Based on 67,533,800 shares of Common Stock of the Issuer that were outstanding as reported by the Issuer in its Quarterly Report on Form 10-Q and filed with the SEC on November 16, 2020, and assuming the Reporting Persons converted all 3,477,886 shares of Preferred Stock into 6,955,772 shares of Common Stock in connection with a bona fide transfer to a third party and no other holders of shares of Preferred Stock have elected to convert, the 6,955,772 shares of the Issuer’s common stock reported as being beneficially owned by the Reporting Persons in this Schedule 13G would represent approximately 9.3% of the outstanding common stock of the Issuer.</w:t>
      </w:r>
    </w:p>
    <w:p>
      <w:pPr>
        <w:spacing w:after="0" w:line="32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right="140" w:firstLine="44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32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080" w:right="54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960"/>
          </w:cols>
          <w:pgMar w:left="440" w:top="270" w:right="499" w:bottom="1440" w:gutter="0" w:footer="0" w:header="0"/>
        </w:sectPr>
      </w:pPr>
    </w:p>
    <w:bookmarkStart w:id="9" w:name="page10"/>
    <w:bookmarkEnd w:id="9"/>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019"/>
          </w:cols>
          <w:pgMar w:left="440" w:top="270" w:right="1440" w:bottom="1440" w:gutter="0" w:footer="0" w:header="0"/>
        </w:sectPr>
      </w:pPr>
    </w:p>
    <w:bookmarkStart w:id="10" w:name="page11"/>
    <w:bookmarkEnd w:id="1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11,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Thomas J. Reid</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Chief Legal Officer and Secretary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COMCAST BIDCO HOLDINGS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Thomas J. Reid</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COMCAST BIDCO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Thomas J. Reid</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SKY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Thomas J. Reid</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Director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SKY UK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Robert Eatroff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Robert Eatroff</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Authorized Attorney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SKY VENTURES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Robert Eatroff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Robert Eatroff</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Authorized Attorney</w:t>
      </w:r>
    </w:p>
    <w:sectPr>
      <w:pgSz w:w="11900" w:h="16838" w:orient="portrait"/>
      <w:cols w:equalWidth="0" w:num="1">
        <w:col w:w="10900"/>
      </w:cols>
      <w:pgMar w:left="440" w:top="27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lvl w:ilvl="1">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2021-02-12T08:32:31Z</dcterms:created>
  <dcterms:modified xsi:type="dcterms:W3CDTF">2021-02-12T08:32:31Z</dcterms:modified>
</cp:coreProperties>
</file>