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001-32871</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COMCAST CORP</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40"/>
        <w:spacing w:after="0"/>
        <w:rPr>
          <w:sz w:val="20"/>
          <w:szCs w:val="20"/>
          <w:color w:val="auto"/>
        </w:rPr>
      </w:pPr>
      <w:r>
        <w:rPr>
          <w:rFonts w:ascii="Arial" w:cs="Arial" w:eastAsia="Arial" w:hAnsi="Arial"/>
          <w:sz w:val="22"/>
          <w:szCs w:val="22"/>
          <w:color w:val="auto"/>
        </w:rPr>
        <w:t>Address: 1500 Market Street</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22"/>
          <w:szCs w:val="22"/>
          <w:color w:val="auto"/>
        </w:rPr>
        <w:t>Philadelphia PENNSYLVANIA 19102-2148</w:t>
      </w:r>
    </w:p>
    <w:p>
      <w:pPr>
        <w:spacing w:after="0" w:line="44" w:lineRule="exact"/>
        <w:rPr>
          <w:sz w:val="24"/>
          <w:szCs w:val="24"/>
          <w:color w:val="auto"/>
        </w:rPr>
      </w:pPr>
    </w:p>
    <w:p>
      <w:pPr>
        <w:ind w:left="2140"/>
        <w:spacing w:after="0"/>
        <w:rPr>
          <w:sz w:val="20"/>
          <w:szCs w:val="20"/>
          <w:color w:val="auto"/>
        </w:rPr>
      </w:pPr>
      <w:r>
        <w:rPr>
          <w:rFonts w:ascii="Arial" w:cs="Arial" w:eastAsia="Arial" w:hAnsi="Arial"/>
          <w:sz w:val="22"/>
          <w:szCs w:val="22"/>
          <w:color w:val="auto"/>
        </w:rPr>
        <w:t>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7.00% Notes due May 15, 2055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2011-11-30</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060"/>
              <w:spacing w:after="0"/>
              <w:rPr>
                <w:sz w:val="20"/>
                <w:szCs w:val="20"/>
                <w:color w:val="auto"/>
              </w:rPr>
            </w:pPr>
            <w:r>
              <w:rPr>
                <w:rFonts w:ascii="Arial" w:cs="Arial" w:eastAsia="Arial" w:hAnsi="Arial"/>
                <w:sz w:val="22"/>
                <w:szCs w:val="22"/>
                <w:color w:val="auto"/>
              </w:rPr>
              <w:t>Edwin Mecabe</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December 12, 2011, pursuant to the provisions of Rule 12d2-2 (a). [ X ] 17 CFR 240.12d2-2(a)(1) That the entire class of this security was called for redemption, maturity or retirement on November 25, 2011; appropriate notice thereof was given; funds sufficient for the payment of all such securities were deposited with an agency authorized to make such payment; and such funds were made available to security holders on November 25, 2011. The Exchange also notifies the Securities and Exchange Commission that as a result of the above indicated conditions this security was suspended from trading on November 25, 2011.</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2871" TargetMode="External"/><Relationship Id="rId10" Type="http://schemas.openxmlformats.org/officeDocument/2006/relationships/hyperlink" Target="http://www.sec.gov/cgi-bin/browse-edgar?action=getcompany&amp;CIK=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2019-12-10T22:29:22Z</dcterms:created>
  <dcterms:modified xsi:type="dcterms:W3CDTF">2019-12-10T22:29:22Z</dcterms:modified>
</cp:coreProperties>
</file>