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5028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02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ind w:righ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31,087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33,787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15,183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46.38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18,604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238,540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717,370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46.39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717,370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02/29/2032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right"/>
              <w:ind w:right="8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717,370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31,087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31,087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59,188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1. The date of the grant was March 1, 2022, and the stock options vest as follows: 20% vest on the 1st, 2nd, 3rd, 4th and 5th anniversaries of the date of the grant.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2. Each restricted stock unit represents a contigent right to receive one share of Class A Common Stock.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These restricted stock units vest on the transaction date.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03/03/2022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-3108325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2022-03-03T15:29:05Z</dcterms:created>
  <dcterms:modified xsi:type="dcterms:W3CDTF">2022-03-03T15:29:05Z</dcterms:modified>
</cp:coreProperties>
</file>