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922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92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327,125.2676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318,190.2676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83,629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935,036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385,000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385,000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03/15/2028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18,840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707,883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16, 2018 and become exercisable as follows: 30% become exercisable on the 2nd anniversary of the date of grant,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2019-12-04T00:55:48Z</dcterms:created>
  <dcterms:modified xsi:type="dcterms:W3CDTF">2019-12-04T00:55:48Z</dcterms:modified>
</cp:coreProperties>
</file>