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333-232941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October 29, 2019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$1,600,000,000 2.650% NOTES DUE 2030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$1,350,000,000 3.250% NOTES DUE 2039</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$1,800,000,000 3.450% NOTES DUE 2050</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1020"/>
          </w:cols>
          <w:pgMar w:left="440" w:top="229" w:right="439" w:bottom="1440" w:gutter="0" w:footer="0" w:header="0"/>
        </w:sectPr>
      </w:pP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140"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Guarantors: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Comcast Cable Communications, LLC and NBCUniversal Media, LLC</w:t>
      </w:r>
    </w:p>
    <w:p>
      <w:pPr>
        <w:spacing w:after="0" w:line="136"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Issue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2.650% Notes due 2030</w:t>
      </w:r>
    </w:p>
    <w:p>
      <w:pPr>
        <w:spacing w:after="0" w:line="140"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ind w:left="3200"/>
        <w:spacing w:after="0"/>
        <w:rPr>
          <w:sz w:val="20"/>
          <w:szCs w:val="20"/>
          <w:color w:val="auto"/>
        </w:rPr>
      </w:pPr>
      <w:r>
        <w:rPr>
          <w:rFonts w:ascii="Arial" w:cs="Arial" w:eastAsia="Arial" w:hAnsi="Arial"/>
          <w:sz w:val="16"/>
          <w:szCs w:val="16"/>
          <w:color w:val="auto"/>
        </w:rPr>
        <w:t>3.250% Notes due 2039</w:t>
      </w:r>
    </w:p>
    <w:p>
      <w:pPr>
        <w:spacing w:after="0" w:line="140"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3.450% Notes due 2050</w:t>
      </w:r>
    </w:p>
    <w:p>
      <w:pPr>
        <w:sectPr>
          <w:pgSz w:w="11900" w:h="16838" w:orient="portrait"/>
          <w:cols w:equalWidth="0" w:num="1">
            <w:col w:w="11020"/>
          </w:cols>
          <w:pgMar w:left="440" w:top="229" w:right="439" w:bottom="1440" w:gutter="0" w:footer="0" w:header="0"/>
          <w:type w:val="continuous"/>
        </w:sectPr>
      </w:pP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Denominations: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$2,000 and multiples of $1,000 in excess thereof</w:t>
      </w:r>
    </w:p>
    <w:p>
      <w:pPr>
        <w:spacing w:after="0" w:line="136"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4"/>
          <w:szCs w:val="24"/>
          <w:color w:val="auto"/>
        </w:rPr>
      </w:pPr>
      <w:r>
        <w:rPr>
          <w:sz w:val="24"/>
          <w:szCs w:val="24"/>
          <w:color w:val="auto"/>
        </w:rPr>
        <w:br w:type="column"/>
      </w:r>
    </w:p>
    <w:p>
      <w:pPr>
        <w:spacing w:after="0" w:line="257" w:lineRule="auto"/>
        <w:rPr>
          <w:sz w:val="20"/>
          <w:szCs w:val="20"/>
          <w:color w:val="auto"/>
        </w:rPr>
      </w:pPr>
      <w:r>
        <w:rPr>
          <w:rFonts w:ascii="Arial" w:cs="Arial" w:eastAsia="Arial" w:hAnsi="Arial"/>
          <w:sz w:val="18"/>
          <w:szCs w:val="18"/>
          <w:color w:val="auto"/>
        </w:rPr>
        <w:t>The Company intends to use the net proceeds from the offering, after deducting underwriters’ discount and expenses, entirely for the refinancing of debt, including its 3.30% notes due October 1, 2020 ($1.750 billion principal amount outstanding as of the date hereof), and a portion of the Company’s outstanding pre-payable term loans ($5.485 billion outstanding as of the date hereof, with a weighted average interest rate of 1.09% and maturities ranging from 2021 to 2022).</w:t>
      </w:r>
    </w:p>
    <w:p>
      <w:pPr>
        <w:spacing w:after="0" w:line="76"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Indenture:</w:t>
      </w:r>
    </w:p>
    <w:p>
      <w:pPr>
        <w:spacing w:after="0" w:line="20" w:lineRule="exact"/>
        <w:rPr>
          <w:sz w:val="24"/>
          <w:szCs w:val="24"/>
          <w:color w:val="auto"/>
        </w:rPr>
      </w:pPr>
      <w:r>
        <w:rPr>
          <w:sz w:val="24"/>
          <w:szCs w:val="24"/>
          <w:color w:val="auto"/>
        </w:rPr>
        <w:br w:type="column"/>
      </w:r>
    </w:p>
    <w:p>
      <w:pPr>
        <w:ind w:right="60"/>
        <w:spacing w:after="0" w:line="312" w:lineRule="auto"/>
        <w:rPr>
          <w:sz w:val="20"/>
          <w:szCs w:val="20"/>
          <w:color w:val="auto"/>
        </w:rPr>
      </w:pPr>
      <w:r>
        <w:rPr>
          <w:rFonts w:ascii="Arial" w:cs="Arial" w:eastAsia="Arial" w:hAnsi="Arial"/>
          <w:sz w:val="16"/>
          <w:szCs w:val="16"/>
          <w:color w:val="auto"/>
        </w:rPr>
        <w:t>Indenture dated as of September 18, 2013 by and among the Company, the guarantors named therein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by the First Supplemental Indenture dated as of November 17, 2015 by and among the Company, the guarantors named therein and the Trustee.</w:t>
      </w:r>
    </w:p>
    <w:p>
      <w:pPr>
        <w:spacing w:after="0" w:line="35"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Trustee: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The Bank of New York Mellon</w:t>
      </w:r>
    </w:p>
    <w:p>
      <w:pPr>
        <w:spacing w:after="0" w:line="125"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 xml:space="preserve">Expected Ratings: </w:t>
      </w:r>
      <w:r>
        <w:rPr>
          <w:rFonts w:ascii="Arial" w:cs="Arial" w:eastAsia="Arial" w:hAnsi="Arial"/>
          <w:sz w:val="13"/>
          <w:szCs w:val="13"/>
          <w:b w:val="1"/>
          <w:bCs w:val="1"/>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632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Moody’s: A3; S&amp;P: A-; Fitch: A-</w:t>
      </w:r>
    </w:p>
    <w:p>
      <w:pPr>
        <w:spacing w:after="0" w:line="200"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line="10" w:lineRule="exact"/>
        <w:rPr>
          <w:sz w:val="24"/>
          <w:szCs w:val="24"/>
          <w:color w:val="auto"/>
        </w:rPr>
      </w:pPr>
    </w:p>
    <w:p>
      <w:pPr>
        <w:ind w:left="440" w:hanging="436"/>
        <w:spacing w:after="0"/>
        <w:tabs>
          <w:tab w:leader="none" w:pos="440" w:val="left"/>
        </w:tabs>
        <w:numPr>
          <w:ilvl w:val="0"/>
          <w:numId w:val="1"/>
        </w:numPr>
        <w:rPr>
          <w:rFonts w:ascii="Arial" w:cs="Arial" w:eastAsia="Arial" w:hAnsi="Arial"/>
          <w:sz w:val="14"/>
          <w:szCs w:val="14"/>
          <w:color w:val="auto"/>
        </w:rPr>
      </w:pPr>
      <w:r>
        <w:rPr>
          <w:rFonts w:ascii="Arial" w:cs="Arial" w:eastAsia="Arial" w:hAnsi="Arial"/>
          <w:sz w:val="16"/>
          <w:szCs w:val="16"/>
          <w:color w:val="auto"/>
        </w:rPr>
        <w:t>A securities rating is not a recommendation to buy, sell or hold securities and may be subject to revision or withdrawal at any time.</w:t>
      </w:r>
    </w:p>
    <w:p>
      <w:pPr>
        <w:sectPr>
          <w:pgSz w:w="11900" w:h="16838" w:orient="portrait"/>
          <w:cols w:equalWidth="0" w:num="1">
            <w:col w:w="11020"/>
          </w:cols>
          <w:pgMar w:left="440" w:top="229"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Joint Book-Running Managers:</w:t>
            </w:r>
          </w:p>
        </w:tc>
        <w:tc>
          <w:tcPr>
            <w:tcW w:w="8060" w:type="dxa"/>
            <w:vAlign w:val="bottom"/>
          </w:tcPr>
          <w:p>
            <w:pPr>
              <w:ind w:left="380"/>
              <w:spacing w:after="0"/>
              <w:rPr>
                <w:sz w:val="20"/>
                <w:szCs w:val="20"/>
                <w:color w:val="auto"/>
              </w:rPr>
            </w:pPr>
            <w:r>
              <w:rPr>
                <w:rFonts w:ascii="Arial" w:cs="Arial" w:eastAsia="Arial" w:hAnsi="Arial"/>
                <w:sz w:val="18"/>
                <w:szCs w:val="18"/>
                <w:color w:val="auto"/>
              </w:rPr>
              <w:t>Mizuho Securities USA LLC</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Morgan Stanley &amp; Co. LLC</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SMBC Nikko Securities America, Inc.</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Goldman Sachs &amp; Co. LLC</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Santander Investment Securities Inc.</w:t>
            </w:r>
          </w:p>
        </w:tc>
      </w:tr>
      <w:tr>
        <w:trPr>
          <w:trHeight w:val="230"/>
        </w:trPr>
        <w:tc>
          <w:tcPr>
            <w:tcW w:w="1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TD Securities (USA) LLC</w:t>
            </w:r>
          </w:p>
        </w:tc>
      </w:tr>
      <w:tr>
        <w:trPr>
          <w:trHeight w:val="323"/>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Co-Managers:</w:t>
            </w:r>
          </w:p>
        </w:tc>
        <w:tc>
          <w:tcPr>
            <w:tcW w:w="8060" w:type="dxa"/>
            <w:vAlign w:val="bottom"/>
          </w:tcPr>
          <w:p>
            <w:pPr>
              <w:ind w:left="380"/>
              <w:spacing w:after="0"/>
              <w:rPr>
                <w:sz w:val="20"/>
                <w:szCs w:val="20"/>
                <w:color w:val="auto"/>
              </w:rPr>
            </w:pPr>
            <w:r>
              <w:rPr>
                <w:rFonts w:ascii="Arial" w:cs="Arial" w:eastAsia="Arial" w:hAnsi="Arial"/>
                <w:sz w:val="18"/>
                <w:szCs w:val="18"/>
                <w:color w:val="auto"/>
              </w:rPr>
              <w:t>BofA Securities, Inc.</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Barclays Capital Inc.</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Commerz Markets LLC</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Credit Suisse Securities (USA) LLC</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Deutsche Bank Securities Inc.</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J.P. Morgan Securities LLC</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RBC Capital Markets, LLC</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Wells Fargo Securities, LLC</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DNB Markets, Inc.</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ICBC Standard Bank Plc</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PNC Capital Markets LLC</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SG Americas Securities, LLC</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U.S. Bancorp Investments, Inc.</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Academy Securities, Inc.</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Loop Capital Markets LLC</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BNY Mellon Capital Markets, LLC</w:t>
            </w:r>
          </w:p>
        </w:tc>
      </w:tr>
      <w:tr>
        <w:trPr>
          <w:trHeight w:val="230"/>
        </w:trPr>
        <w:tc>
          <w:tcPr>
            <w:tcW w:w="1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ING Financial Markets LLC</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CastleOak Securities, L.P.</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Drexel Hamilton, LLC</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Mischler Financial Group, Inc.</w:t>
            </w:r>
          </w:p>
        </w:tc>
      </w:tr>
      <w:tr>
        <w:trPr>
          <w:trHeight w:val="216"/>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Samuel A. Ramirez &amp; Company, Inc.</w:t>
            </w:r>
          </w:p>
        </w:tc>
      </w:tr>
      <w:tr>
        <w:trPr>
          <w:trHeight w:val="230"/>
        </w:trPr>
        <w:tc>
          <w:tcPr>
            <w:tcW w:w="1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The Williams Capital Group, L.P.</w:t>
            </w:r>
          </w:p>
        </w:tc>
      </w:tr>
      <w:tr>
        <w:trPr>
          <w:trHeight w:val="338"/>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Trade Date:</w:t>
            </w:r>
          </w:p>
        </w:tc>
        <w:tc>
          <w:tcPr>
            <w:tcW w:w="8060" w:type="dxa"/>
            <w:vAlign w:val="bottom"/>
          </w:tcPr>
          <w:p>
            <w:pPr>
              <w:ind w:left="380"/>
              <w:spacing w:after="0"/>
              <w:rPr>
                <w:sz w:val="20"/>
                <w:szCs w:val="20"/>
                <w:color w:val="auto"/>
              </w:rPr>
            </w:pPr>
            <w:r>
              <w:rPr>
                <w:rFonts w:ascii="Arial" w:cs="Arial" w:eastAsia="Arial" w:hAnsi="Arial"/>
                <w:sz w:val="18"/>
                <w:szCs w:val="18"/>
                <w:color w:val="auto"/>
              </w:rPr>
              <w:t>October 29, 2019</w:t>
            </w:r>
          </w:p>
        </w:tc>
      </w:tr>
      <w:tr>
        <w:trPr>
          <w:trHeight w:val="324"/>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Settlement Date:</w:t>
            </w:r>
          </w:p>
        </w:tc>
        <w:tc>
          <w:tcPr>
            <w:tcW w:w="8060" w:type="dxa"/>
            <w:vAlign w:val="bottom"/>
          </w:tcPr>
          <w:p>
            <w:pPr>
              <w:ind w:left="380"/>
              <w:spacing w:after="0"/>
              <w:rPr>
                <w:sz w:val="20"/>
                <w:szCs w:val="20"/>
                <w:color w:val="auto"/>
              </w:rPr>
            </w:pPr>
            <w:r>
              <w:rPr>
                <w:rFonts w:ascii="Arial" w:cs="Arial" w:eastAsia="Arial" w:hAnsi="Arial"/>
                <w:sz w:val="18"/>
                <w:szCs w:val="18"/>
                <w:color w:val="auto"/>
              </w:rPr>
              <w:t>November 5, 2019 (T+5)</w:t>
            </w:r>
          </w:p>
        </w:tc>
      </w:tr>
      <w:tr>
        <w:trPr>
          <w:trHeight w:val="284"/>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u w:val="single" w:color="auto"/>
                <w:color w:val="auto"/>
              </w:rPr>
              <w:t>650%</w:t>
            </w:r>
            <w:r>
              <w:rPr>
                <w:rFonts w:ascii="Arial" w:cs="Arial" w:eastAsia="Arial" w:hAnsi="Arial"/>
                <w:sz w:val="18"/>
                <w:szCs w:val="18"/>
                <w:b w:val="1"/>
                <w:bCs w:val="1"/>
                <w:color w:val="auto"/>
              </w:rPr>
              <w:t xml:space="preserve"> Notes Due 2030</w:t>
            </w:r>
          </w:p>
        </w:tc>
        <w:tc>
          <w:tcPr>
            <w:tcW w:w="8060" w:type="dxa"/>
            <w:vAlign w:val="bottom"/>
          </w:tcPr>
          <w:p>
            <w:pPr>
              <w:spacing w:after="0"/>
              <w:rPr>
                <w:sz w:val="24"/>
                <w:szCs w:val="24"/>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345"/>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Aggregate Principal Amount:</w:t>
            </w:r>
          </w:p>
        </w:tc>
        <w:tc>
          <w:tcPr>
            <w:tcW w:w="8060" w:type="dxa"/>
            <w:vAlign w:val="bottom"/>
          </w:tcPr>
          <w:p>
            <w:pPr>
              <w:ind w:left="380"/>
              <w:spacing w:after="0"/>
              <w:rPr>
                <w:sz w:val="20"/>
                <w:szCs w:val="20"/>
                <w:color w:val="auto"/>
              </w:rPr>
            </w:pPr>
            <w:r>
              <w:rPr>
                <w:rFonts w:ascii="Arial" w:cs="Arial" w:eastAsia="Arial" w:hAnsi="Arial"/>
                <w:sz w:val="18"/>
                <w:szCs w:val="18"/>
                <w:color w:val="auto"/>
              </w:rPr>
              <w:t>$1,600,000,000</w:t>
            </w:r>
          </w:p>
        </w:tc>
      </w:tr>
      <w:tr>
        <w:trPr>
          <w:trHeight w:val="324"/>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Maturity Date:</w:t>
            </w:r>
          </w:p>
        </w:tc>
        <w:tc>
          <w:tcPr>
            <w:tcW w:w="8060" w:type="dxa"/>
            <w:vAlign w:val="bottom"/>
          </w:tcPr>
          <w:p>
            <w:pPr>
              <w:ind w:left="380"/>
              <w:spacing w:after="0"/>
              <w:rPr>
                <w:sz w:val="20"/>
                <w:szCs w:val="20"/>
                <w:color w:val="auto"/>
              </w:rPr>
            </w:pPr>
            <w:r>
              <w:rPr>
                <w:rFonts w:ascii="Arial" w:cs="Arial" w:eastAsia="Arial" w:hAnsi="Arial"/>
                <w:sz w:val="18"/>
                <w:szCs w:val="18"/>
                <w:color w:val="auto"/>
              </w:rPr>
              <w:t>February 1, 2030</w:t>
            </w:r>
          </w:p>
        </w:tc>
      </w:tr>
      <w:tr>
        <w:trPr>
          <w:trHeight w:val="31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Interest Rate:</w:t>
            </w:r>
          </w:p>
        </w:tc>
        <w:tc>
          <w:tcPr>
            <w:tcW w:w="8060" w:type="dxa"/>
            <w:vAlign w:val="bottom"/>
          </w:tcPr>
          <w:p>
            <w:pPr>
              <w:ind w:left="380"/>
              <w:spacing w:after="0"/>
              <w:rPr>
                <w:sz w:val="20"/>
                <w:szCs w:val="20"/>
                <w:color w:val="auto"/>
              </w:rPr>
            </w:pPr>
            <w:r>
              <w:rPr>
                <w:rFonts w:ascii="Arial" w:cs="Arial" w:eastAsia="Arial" w:hAnsi="Arial"/>
                <w:sz w:val="18"/>
                <w:szCs w:val="18"/>
                <w:color w:val="auto"/>
                <w:w w:val="90"/>
              </w:rPr>
              <w:t>2.650% per annum, accruing from November 5, 2019 (calculated on the basis of a 360-day year consisting</w:t>
            </w:r>
          </w:p>
        </w:tc>
      </w:tr>
      <w:tr>
        <w:trPr>
          <w:trHeight w:val="230"/>
        </w:trPr>
        <w:tc>
          <w:tcPr>
            <w:tcW w:w="1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of twelve 30-day months)</w:t>
            </w:r>
          </w:p>
        </w:tc>
      </w:tr>
      <w:tr>
        <w:trPr>
          <w:trHeight w:val="324"/>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Interest Payment Dates:</w:t>
            </w:r>
          </w:p>
        </w:tc>
        <w:tc>
          <w:tcPr>
            <w:tcW w:w="8060" w:type="dxa"/>
            <w:vAlign w:val="bottom"/>
          </w:tcPr>
          <w:p>
            <w:pPr>
              <w:ind w:left="380"/>
              <w:spacing w:after="0"/>
              <w:rPr>
                <w:sz w:val="20"/>
                <w:szCs w:val="20"/>
                <w:color w:val="auto"/>
              </w:rPr>
            </w:pPr>
            <w:r>
              <w:rPr>
                <w:rFonts w:ascii="Arial" w:cs="Arial" w:eastAsia="Arial" w:hAnsi="Arial"/>
                <w:sz w:val="18"/>
                <w:szCs w:val="18"/>
                <w:color w:val="auto"/>
              </w:rPr>
              <w:t>February 1 and August 1, commencing February 1, 2020</w:t>
            </w:r>
          </w:p>
        </w:tc>
      </w:tr>
      <w:tr>
        <w:trPr>
          <w:trHeight w:val="365"/>
        </w:trPr>
        <w:tc>
          <w:tcPr>
            <w:tcW w:w="1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60" w:type="dxa"/>
            <w:vAlign w:val="bottom"/>
          </w:tcPr>
          <w:p>
            <w:pPr>
              <w:ind w:left="2640"/>
              <w:spacing w:after="0"/>
              <w:rPr>
                <w:sz w:val="20"/>
                <w:szCs w:val="20"/>
                <w:color w:val="auto"/>
              </w:rPr>
            </w:pPr>
            <w:r>
              <w:rPr>
                <w:rFonts w:ascii="Arial" w:cs="Arial" w:eastAsia="Arial" w:hAnsi="Arial"/>
                <w:sz w:val="18"/>
                <w:szCs w:val="18"/>
                <w:color w:val="auto"/>
              </w:rPr>
              <w:t>2</w:t>
            </w:r>
          </w:p>
        </w:tc>
      </w:tr>
    </w:tbl>
    <w:p>
      <w:pPr>
        <w:ind w:left="2640"/>
        <w:spacing w:after="0"/>
        <w:rPr>
          <w:sz w:val="20"/>
          <w:szCs w:val="20"/>
          <w:color w:val="auto"/>
        </w:rPr>
        <w:sectPr>
          <w:pgSz w:w="11900" w:h="16838" w:orient="portrait"/>
          <w:cols w:equalWidth="0" w:num="1">
            <w:col w:w="10880"/>
          </w:cols>
          <w:pgMar w:left="440" w:top="270" w:right="5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sz w:val="20"/>
          <w:szCs w:val="20"/>
          <w:color w:val="auto"/>
        </w:rPr>
      </w:pPr>
      <w:r>
        <w:rPr>
          <w:rFonts w:ascii="Arial" w:cs="Arial" w:eastAsia="Arial" w:hAnsi="Arial"/>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Benchmark Treasury Price/Yield: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Spread to Benchmark Treasury: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w:t>
      </w:r>
    </w:p>
    <w:p>
      <w:pPr>
        <w:spacing w:after="0" w:line="11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UST 1.625% due August 15,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-284480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98-03+ / 1.837%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+83 bps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2.667%</w:t>
      </w:r>
    </w:p>
    <w:p>
      <w:pPr>
        <w:spacing w:after="0" w:line="117"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The 2.650% Notes due 2030 are redeemable at the option of the Company at any time, in whole or in part, at the “</w:t>
      </w:r>
      <w:r>
        <w:rPr>
          <w:rFonts w:ascii="Arial" w:cs="Arial" w:eastAsia="Arial" w:hAnsi="Arial"/>
          <w:sz w:val="16"/>
          <w:szCs w:val="16"/>
          <w:b w:val="1"/>
          <w:bCs w:val="1"/>
          <w:color w:val="auto"/>
        </w:rPr>
        <w:t>Redemption Price</w:t>
      </w:r>
      <w:r>
        <w:rPr>
          <w:rFonts w:ascii="Arial" w:cs="Arial" w:eastAsia="Arial" w:hAnsi="Arial"/>
          <w:sz w:val="16"/>
          <w:szCs w:val="16"/>
          <w:color w:val="auto"/>
        </w:rPr>
        <w:t>.” The Redemption Price will equal, with respect to the 2.650% Notes due 2030, at any time prior to November 1, 2029 (three (3) months prior to the maturity of the 2.650% Notes due</w:t>
      </w:r>
    </w:p>
    <w:p>
      <w:pPr>
        <w:spacing w:after="0" w:line="269" w:lineRule="auto"/>
        <w:rPr>
          <w:sz w:val="20"/>
          <w:szCs w:val="20"/>
          <w:color w:val="auto"/>
        </w:rPr>
      </w:pPr>
      <w:r>
        <w:rPr>
          <w:rFonts w:ascii="Arial" w:cs="Arial" w:eastAsia="Arial" w:hAnsi="Arial"/>
          <w:sz w:val="17"/>
          <w:szCs w:val="17"/>
          <w:color w:val="auto"/>
        </w:rPr>
        <w:t>2030) (the “</w:t>
      </w:r>
      <w:r>
        <w:rPr>
          <w:rFonts w:ascii="Arial" w:cs="Arial" w:eastAsia="Arial" w:hAnsi="Arial"/>
          <w:sz w:val="17"/>
          <w:szCs w:val="17"/>
          <w:b w:val="1"/>
          <w:bCs w:val="1"/>
          <w:color w:val="auto"/>
        </w:rPr>
        <w:t>2030 Par Call Date</w:t>
      </w:r>
      <w:r>
        <w:rPr>
          <w:rFonts w:ascii="Arial" w:cs="Arial" w:eastAsia="Arial" w:hAnsi="Arial"/>
          <w:sz w:val="17"/>
          <w:szCs w:val="17"/>
          <w:color w:val="auto"/>
        </w:rPr>
        <w:t>”), the greater of (i) 100% of the principal amount of such notes and (ii) the sum of the present values of the principal amount of such notes and the scheduled payments of interest thereon (exclusive of interest accrued to the date of redemption) from the redemption date to the 2030 Par Call Date, in each case discounted to the redemption date on a semiannual basis at the Treasury Rate plus 15 basis points, provided that, if the 2.650% Notes due 2030 are redeemed on or after the 2030 Par Call Date, the Redemption Price will equal 100% of the principal amount of such notes; plus, in each case, accrued and unpaid interest thereon to the date of redemption</w:t>
      </w:r>
    </w:p>
    <w:p>
      <w:pPr>
        <w:spacing w:after="0" w:line="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 unlimited amount of additional 2.650% Notes due 2030 may be issued. The 2.650% Notes due 2030 and any additional 2.650% Notes due 2030 that may be issued may be treated as a single series for all purposes under the indenture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20030N DA6 / US20030NDA63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99.851% plus accrued interest, if any, from November 5,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0.400%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99.451% per $1,000 principal amount of 2.650% Notes due 2030; $1,591,216,000 total</w:t>
      </w:r>
    </w:p>
    <w:p>
      <w:pPr>
        <w:spacing w:after="0" w:line="374"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600" w:space="600"/>
            <w:col w:w="7820"/>
          </w:cols>
          <w:pgMar w:left="440" w:top="378"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3.250% Notes Due 2039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Benchmark Treasury Price/Yield: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Spread to Benchmark Treasury: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$1,350,000,000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-490220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November 1, 2039</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3.250% per annum, accruing from November 5, 2019 (calculated on the basis of a 360-day year consisting of twelve 30-day months)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May 1 and November 1, commencing May 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UST 2.875% due May 15, 2049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111-17 / 2.333%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+93 bps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3.263%</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3.250% Notes due 2039 are redeemable at the option of the Company at any time, in whole or in part, at the “</w:t>
      </w:r>
      <w:r>
        <w:rPr>
          <w:rFonts w:ascii="Arial" w:cs="Arial" w:eastAsia="Arial" w:hAnsi="Arial"/>
          <w:sz w:val="17"/>
          <w:szCs w:val="17"/>
          <w:b w:val="1"/>
          <w:bCs w:val="1"/>
          <w:color w:val="auto"/>
        </w:rPr>
        <w:t>Redemption Price</w:t>
      </w:r>
      <w:r>
        <w:rPr>
          <w:rFonts w:ascii="Arial" w:cs="Arial" w:eastAsia="Arial" w:hAnsi="Arial"/>
          <w:sz w:val="17"/>
          <w:szCs w:val="17"/>
          <w:color w:val="auto"/>
        </w:rPr>
        <w:t>.” The Redemption Price will equal, with respect to the 3.250% Notes due 2039, at any time prior to May 1, 2039 (six (6) months prior to the maturity of the 3.250% Notes due 2039) (the “</w:t>
      </w:r>
      <w:r>
        <w:rPr>
          <w:rFonts w:ascii="Arial" w:cs="Arial" w:eastAsia="Arial" w:hAnsi="Arial"/>
          <w:sz w:val="17"/>
          <w:szCs w:val="17"/>
          <w:b w:val="1"/>
          <w:bCs w:val="1"/>
          <w:color w:val="auto"/>
        </w:rPr>
        <w:t>2039 Par Call Date</w:t>
      </w:r>
      <w:r>
        <w:rPr>
          <w:rFonts w:ascii="Arial" w:cs="Arial" w:eastAsia="Arial" w:hAnsi="Arial"/>
          <w:sz w:val="17"/>
          <w:szCs w:val="17"/>
          <w:color w:val="auto"/>
        </w:rPr>
        <w:t>”), the greater of (i) 100% of the principal amount of such notes and (ii) the sum of the present values of the principal amount of such notes and the scheduled payments of interest thereon (exclusive of interest accrued to the date of redemption) from the redemption date to the 2039 Par Call Date, in each case discounted to the redemption date on a semiannual basis at the Treasury Rate plus 15 basis points, provided that, if the 3.250% Notes due 2039 are redeemed on or after the 2039 Par Call Date, the Redemption Price will equal 100% of the principal amount of such notes; plus, in each case, accrued and unpaid interest thereon to the date of redemption</w:t>
      </w:r>
    </w:p>
    <w:p>
      <w:pPr>
        <w:spacing w:after="0" w:line="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 unlimited amount of additional 3.250% Notes due 2039 may be issued. The 3.250% Notes due 2039 and any additional 3.250% Notes due 2039 that may be issued may be treated as a single series for all purposes under the indenture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20030NCY5 / US20030NCY58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99.810% plus accrued interest, if any, from November 5, 2019</w:t>
      </w:r>
    </w:p>
    <w:p>
      <w:pPr>
        <w:spacing w:after="0" w:line="15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2600" w:space="600"/>
            <w:col w:w="7820"/>
          </w:cols>
          <w:pgMar w:left="440" w:top="378"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Underwriters’ Discount:</w:t>
      </w:r>
    </w:p>
    <w:p>
      <w:pPr>
        <w:spacing w:after="0" w:line="11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Net Proceeds to Comcast, Before Expenses: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3.450% Notes Due 2050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Benchmark Treasury Price/Yield: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Spread to Benchmark Treasury: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0.600%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-284480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99.210% per $1,000 principal amount of 3.250% Notes due 2039; $1,339,335,000 total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$1,800,000,000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 2050</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3.450% per annum, accruing from November 5, 2019 (calculated on the basis of a 360-day year consisting of twelve 30-day months)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February 1 and August 1, commencing February 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UST 2.875% due May 15, 2049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111-17 / 2.333%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+113 bps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3.463%</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3.450% Notes due 2050 are redeemable at the option of the Company at any time, in whole or in part, at the “</w:t>
      </w:r>
      <w:r>
        <w:rPr>
          <w:rFonts w:ascii="Arial" w:cs="Arial" w:eastAsia="Arial" w:hAnsi="Arial"/>
          <w:sz w:val="17"/>
          <w:szCs w:val="17"/>
          <w:b w:val="1"/>
          <w:bCs w:val="1"/>
          <w:color w:val="auto"/>
        </w:rPr>
        <w:t>Redemption Price</w:t>
      </w:r>
      <w:r>
        <w:rPr>
          <w:rFonts w:ascii="Arial" w:cs="Arial" w:eastAsia="Arial" w:hAnsi="Arial"/>
          <w:sz w:val="17"/>
          <w:szCs w:val="17"/>
          <w:color w:val="auto"/>
        </w:rPr>
        <w:t>.” The Redemption Price will equal, with respect to the 3.450% Notes due 2050, at any time prior to August 1, 2049 (six (6) months prior to the maturity of the 3.450% Notes due 2050) (the “</w:t>
      </w:r>
      <w:r>
        <w:rPr>
          <w:rFonts w:ascii="Arial" w:cs="Arial" w:eastAsia="Arial" w:hAnsi="Arial"/>
          <w:sz w:val="17"/>
          <w:szCs w:val="17"/>
          <w:b w:val="1"/>
          <w:bCs w:val="1"/>
          <w:color w:val="auto"/>
        </w:rPr>
        <w:t>2050 Par Call Date</w:t>
      </w:r>
      <w:r>
        <w:rPr>
          <w:rFonts w:ascii="Arial" w:cs="Arial" w:eastAsia="Arial" w:hAnsi="Arial"/>
          <w:sz w:val="17"/>
          <w:szCs w:val="17"/>
          <w:color w:val="auto"/>
        </w:rPr>
        <w:t>”), the greater of (i) 100% of the principal amount of such notes and (ii) the sum of the present values of the principal amount of such notes and the scheduled payments of interest thereon (exclusive of interest accrued to the date of redemption) from the redemption date to the 2050 Par Call Date, in each case discounted to the redemption date on a semiannual basis at the Treasury Rate plus 20 basis points, provided that, if the 3.450% Notes due 2050 are redeemed on or after the 2050 Par Call Date, the Redemption Price will equal 100% of the principal amount of such notes; plus, in each case, accrued and unpaid interest thereon to the date of redemption</w:t>
      </w:r>
    </w:p>
    <w:p>
      <w:pPr>
        <w:spacing w:after="0" w:line="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 unlimited amount of additional 3.450% Notes due 2050 may be issued. The 3.450% Notes due 2050 and any additional 3.450% Notes due 2050 that may be issued may be treated as a single series for all purposes under the indenture</w:t>
      </w:r>
    </w:p>
    <w:p>
      <w:pPr>
        <w:spacing w:after="0" w:line="114"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2600" w:space="600"/>
            <w:col w:w="7820"/>
          </w:cols>
          <w:pgMar w:left="440" w:top="378"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20030NCZ2 / US20030NCZ24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-269875</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2480" w:space="720"/>
            <w:col w:w="7800"/>
          </w:cols>
          <w:pgMar w:left="440" w:top="378" w:right="459" w:bottom="1440" w:gutter="0" w:footer="0" w:header="0"/>
        </w:sectPr>
      </w:pPr>
    </w:p>
    <w:p>
      <w:pPr>
        <w:spacing w:after="0"/>
        <w:rPr>
          <w:sz w:val="20"/>
          <w:szCs w:val="20"/>
          <w:color w:val="auto"/>
        </w:rPr>
      </w:pPr>
      <w:r>
        <w:rPr>
          <w:rFonts w:ascii="Arial" w:cs="Arial" w:eastAsia="Arial" w:hAnsi="Arial"/>
          <w:sz w:val="16"/>
          <w:szCs w:val="16"/>
          <w:b w:val="1"/>
          <w:bCs w:val="1"/>
          <w:color w:val="auto"/>
        </w:rPr>
        <w:t>Public Offering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99.761% plus accrued interest, if any, from November 5, 2019</w:t>
      </w:r>
    </w:p>
    <w:p>
      <w:pPr>
        <w:spacing w:after="0" w:line="136" w:lineRule="exact"/>
        <w:rPr>
          <w:sz w:val="20"/>
          <w:szCs w:val="20"/>
          <w:color w:val="auto"/>
        </w:rPr>
      </w:pPr>
    </w:p>
    <w:p>
      <w:pPr>
        <w:sectPr>
          <w:pgSz w:w="11900" w:h="16838" w:orient="portrait"/>
          <w:cols w:equalWidth="0" w:num="2">
            <w:col w:w="2480" w:space="720"/>
            <w:col w:w="7800"/>
          </w:cols>
          <w:pgMar w:left="440" w:top="378"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Underwriters’ Discount: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0.750%</w:t>
      </w:r>
    </w:p>
    <w:p>
      <w:pPr>
        <w:spacing w:after="0" w:line="136" w:lineRule="exact"/>
        <w:rPr>
          <w:sz w:val="20"/>
          <w:szCs w:val="20"/>
          <w:color w:val="auto"/>
        </w:rPr>
      </w:pPr>
    </w:p>
    <w:p>
      <w:pPr>
        <w:sectPr>
          <w:pgSz w:w="11900" w:h="16838" w:orient="portrait"/>
          <w:cols w:equalWidth="0" w:num="2">
            <w:col w:w="2480" w:space="720"/>
            <w:col w:w="7800"/>
          </w:cols>
          <w:pgMar w:left="440" w:top="378" w:right="459" w:bottom="1440" w:gutter="0" w:footer="0" w:header="0"/>
          <w:type w:val="continuous"/>
        </w:sectPr>
      </w:pPr>
    </w:p>
    <w:p>
      <w:pPr>
        <w:spacing w:after="0" w:line="282" w:lineRule="auto"/>
        <w:rPr>
          <w:sz w:val="20"/>
          <w:szCs w:val="20"/>
          <w:color w:val="auto"/>
        </w:rPr>
      </w:pPr>
      <w:r>
        <w:rPr>
          <w:rFonts w:ascii="Arial" w:cs="Arial" w:eastAsia="Arial" w:hAnsi="Arial"/>
          <w:sz w:val="18"/>
          <w:szCs w:val="18"/>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99.011% per $1,000 principal amount of 3.450% Notes due 2050; $1,782,198,000 total</w:t>
      </w:r>
    </w:p>
    <w:p>
      <w:pPr>
        <w:spacing w:after="0" w:line="464" w:lineRule="exact"/>
        <w:rPr>
          <w:sz w:val="20"/>
          <w:szCs w:val="20"/>
          <w:color w:val="auto"/>
        </w:rPr>
      </w:pPr>
    </w:p>
    <w:p>
      <w:pPr>
        <w:sectPr>
          <w:pgSz w:w="11900" w:h="16838" w:orient="portrait"/>
          <w:cols w:equalWidth="0" w:num="2">
            <w:col w:w="2520" w:space="680"/>
            <w:col w:w="7800"/>
          </w:cols>
          <w:pgMar w:left="440" w:top="378" w:right="459" w:bottom="1440" w:gutter="0" w:footer="0" w:header="0"/>
          <w:type w:val="continuous"/>
        </w:sectPr>
      </w:pPr>
    </w:p>
    <w:p>
      <w:pPr>
        <w:ind w:firstLine="441"/>
        <w:spacing w:after="0" w:line="255" w:lineRule="auto"/>
        <w:rPr>
          <w:sz w:val="20"/>
          <w:szCs w:val="20"/>
          <w:color w:val="auto"/>
        </w:rPr>
      </w:pPr>
      <w:r>
        <w:rPr>
          <w:rFonts w:ascii="Arial" w:cs="Arial" w:eastAsia="Arial" w:hAnsi="Arial"/>
          <w:sz w:val="18"/>
          <w:szCs w:val="18"/>
          <w:color w:val="auto"/>
        </w:rPr>
        <w:t>It is expected that delivery of the notes will be made against payment therefor on or about November 5, 2019, which is the fifth business day following the date hereof (such settlement cycle being referred to as “T+5”).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prior to the settlement date will be required, by virtue of the fact that the notes initially will settle in T+5, to specify an alternative settlement cycle at the time of any such trade to prevent failed settlement and should consult their own advisors.</w:t>
      </w:r>
    </w:p>
    <w:p>
      <w:pPr>
        <w:spacing w:after="0" w:line="193"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Mizuho Securities USA LLC at 866-271-7403 (toll-free), Morgan Stanley &amp; Co. LLC at 866-718-1649 (toll-free) or SMBC Nikko Securities America, Inc. at 888-868-6856 (toll-free).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sectPr>
      <w:pgSz w:w="11900" w:h="16838" w:orient="portrait"/>
      <w:cols w:equalWidth="0" w:num="1">
        <w:col w:w="11000"/>
      </w:cols>
      <w:pgMar w:left="440" w:top="378"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2019-12-04T21:59:22Z</dcterms:created>
  <dcterms:modified xsi:type="dcterms:W3CDTF">2019-12-04T21:59:22Z</dcterms:modified>
</cp:coreProperties>
</file>