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PROSPECTUS SUPPLEMENT</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(To Prospectus dated September 15, 1999)</w:t>
      </w:r>
    </w:p>
    <w:p>
      <w:pPr>
        <w:spacing w:after="0" w:line="180"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13,982,103 ZONES</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2.0% Exchangeable Subordinated Debentures due 2029</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(Exchangeable for Cash Based on Value of Sprint Corporation PCS Stock)</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We have summarized below the terms of the debt securities we are offering, which we refer to as the ZONES. For more detail, you should read "Description of ZONES" in this prospectus supplement.</w:t>
      </w:r>
    </w:p>
    <w:p>
      <w:pPr>
        <w:spacing w:after="0" w:line="174" w:lineRule="exact"/>
        <w:rPr>
          <w:sz w:val="24"/>
          <w:szCs w:val="24"/>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Each ZONES is being issued in an original principal amount of $71.52. The minimum amount payable upon redemption or maturity of a ZONES, which we call the contingent principal amount, will initially be equal to the original principal amount. The contingent principal amount will be reduced if there are certain extraordinary distributions on or in respect of the Sprint PCS stock. We refer to Sprint PCS stock and any other publicly traded equity securities that may be distributed on or in respect of the Sprint PCS stock (or into which any of those securities may be converted or exchanged) collectively as the reference shares.</w:t>
      </w:r>
    </w:p>
    <w:p>
      <w:pPr>
        <w:spacing w:after="0" w:line="5"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Exchangeability. Each ZONES is exchangeable, at your option, at any time for an amount of cash equal to 95%, which we refer to as the early exchange ratio, of the market value of a share of Sprint PCS stock and any other publicly traded equity securities that may be distributed on or in respect of the Sprint PCS stock (or into which any such securities may be converted or exchanged). If certain dilutive or anti-dilutive events occur with respect to those securities, the number and type of those securities that will be used to calculate the amount you will receive upon exchange, redemption or maturity of a ZONES will be adjusted to reflect these events.</w:t>
      </w:r>
    </w:p>
    <w:p>
      <w:pPr>
        <w:spacing w:after="0" w:line="6"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Interest Payments. We will pay interest quarterly in an amount equal to $0.3576 per ZONES, or 2.0% per year of the original principal amount, plus the amount of any cash dividend paid on the reference shares attributable to each ZONES. As of the date of this prospectus supplement, Sprint has never paid a cash dividend on its Sprint PCS stock. We will also pay to holders of the ZONES, as additional interest, the cash value of any property distributed on the reference shares (other than additional reference shares). We may, at our option, defer the payment of interest, other than additional interest, at any time prior to maturity for periods not to exceed 20 consecutive quarterly periods, although this will result in an increase in the contingent principal amount of the ZONES and an increase in the early exchange ratio to 100%. During any deferral period, we generally may at our option, but are not obligated to, increase the amount of reference shares you get for each ZONES at an annual rate of</w:t>
      </w:r>
    </w:p>
    <w:p>
      <w:pPr>
        <w:spacing w:after="0" w:line="8" w:lineRule="exact"/>
        <w:rPr>
          <w:rFonts w:ascii="Courier New" w:cs="Courier New" w:eastAsia="Courier New" w:hAnsi="Courier New"/>
          <w:sz w:val="15"/>
          <w:szCs w:val="15"/>
          <w:color w:val="auto"/>
        </w:rPr>
      </w:pPr>
    </w:p>
    <w:p>
      <w:pPr>
        <w:ind w:left="3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 If we elect to make this increase, we will be deemed current on that quarterly interest payment.</w:t>
      </w:r>
    </w:p>
    <w:p>
      <w:pPr>
        <w:spacing w:after="0" w:line="1" w:lineRule="exact"/>
        <w:rPr>
          <w:rFonts w:ascii="Courier New" w:cs="Courier New" w:eastAsia="Courier New" w:hAnsi="Courier New"/>
          <w:sz w:val="15"/>
          <w:szCs w:val="15"/>
          <w:color w:val="auto"/>
        </w:rPr>
      </w:pPr>
    </w:p>
    <w:p>
      <w:pPr>
        <w:ind w:left="367" w:right="377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 We may, at our option, redeem the ZONES at the redemption prices set forth in this prospectus supplement.</w:t>
      </w:r>
    </w:p>
    <w:p>
      <w:pPr>
        <w:spacing w:after="0" w:line="1" w:lineRule="exact"/>
        <w:rPr>
          <w:rFonts w:ascii="Courier New" w:cs="Courier New" w:eastAsia="Courier New" w:hAnsi="Courier New"/>
          <w:sz w:val="15"/>
          <w:szCs w:val="15"/>
          <w:color w:val="auto"/>
        </w:rPr>
      </w:pPr>
    </w:p>
    <w:p>
      <w:pPr>
        <w:ind w:left="367" w:right="321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ZONES will mature on October 15, 2029. At maturity you will be entitled to receive the higher of the contingent principal amount of the ZONES or the sum of the current market value of the reference shares on the maturity date plus any deferred quarterly payments of interest (including any accrued interest thereon), plus, in either case, the final period distribution as we define it in this prospectus supplement.</w:t>
      </w:r>
    </w:p>
    <w:p>
      <w:pPr>
        <w:spacing w:after="0" w:line="3" w:lineRule="exact"/>
        <w:rPr>
          <w:rFonts w:ascii="Courier New" w:cs="Courier New" w:eastAsia="Courier New" w:hAnsi="Courier New"/>
          <w:sz w:val="15"/>
          <w:szCs w:val="15"/>
          <w:color w:val="auto"/>
        </w:rPr>
      </w:pPr>
    </w:p>
    <w:p>
      <w:pPr>
        <w:ind w:left="367" w:right="331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Ranking. The ZONES are unsecured, subordinated obligations of Comcast Corporation, ranking equally with all of Comcast Corporation's existing and future subordinated indebtedness. As of June 30, 1999, we had outstanding $7.124 billion of debt senior, or effectively senior, to the</w:t>
      </w:r>
    </w:p>
    <w:p>
      <w:pPr>
        <w:spacing w:after="0" w:line="2"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See "Risk Factors" beginning on page S-7 in this prospectus supplement and page 3 in the accompanying prospectus for a discussion of certain factors that you should consider in evaluating an investment in the ZONES.</w:t>
      </w:r>
    </w:p>
    <w:p>
      <w:pPr>
        <w:spacing w:after="0" w:line="2" w:lineRule="exact"/>
        <w:rPr>
          <w:sz w:val="24"/>
          <w:szCs w:val="24"/>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ZONES or determined that this prospectus supplement or the accompanying prospectus is truthful or complete. Any representation to the contrary is a criminal offense.</w:t>
      </w:r>
    </w:p>
    <w:p>
      <w:pPr>
        <w:spacing w:after="0" w:line="2"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Salomon Smith Barney has agreed to purchase the ZONES from us at 98.0% of their original principal amount (approximately $980,000,000 aggregate proceeds to us, before deducting expenses payable by us estimated at $450,000), subject to the terms and conditions set forth in the Underwriting Agreement.</w:t>
      </w:r>
    </w:p>
    <w:p>
      <w:pPr>
        <w:spacing w:after="0" w:line="177"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Salomon Smith Barney proposes to offer the ZONES from time to time for sale in one or more negotiated transactions, or otherwise, at market prices prevailing at the time of sale, at prices related to such prevailing market prices or at negotiated prices. For further information with respect to the plan of distribution and any discounts, commissions, or profits on resale that may be deemed underwriting discounts or commissions, see "Underwriting" herein.</w:t>
      </w:r>
    </w:p>
    <w:p>
      <w:pPr>
        <w:spacing w:after="0" w:line="178" w:lineRule="exact"/>
        <w:rPr>
          <w:sz w:val="24"/>
          <w:szCs w:val="24"/>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Salomon Smith Barney may also purchase up to an additional 2,097,315 ZONES at the initial purchase price, less underwriting commissions, within 30 days from the date of this prospectus supplement to cover over-allotments.</w:t>
      </w:r>
    </w:p>
    <w:p>
      <w:pPr>
        <w:sectPr>
          <w:pgSz w:w="11900" w:h="16838" w:orient="portrait"/>
          <w:cols w:equalWidth="0" w:num="1">
            <w:col w:w="10226"/>
          </w:cols>
          <w:pgMar w:left="233" w:top="1440" w:right="1440" w:bottom="0" w:gutter="0" w:footer="0" w:header="0"/>
        </w:sectPr>
      </w:pPr>
    </w:p>
    <w:bookmarkStart w:id="1" w:name="page2"/>
    <w:bookmarkEnd w:id="1"/>
    <w:p>
      <w:pPr>
        <w:ind w:right="3219" w:firstLine="454"/>
        <w:spacing w:after="0" w:line="246" w:lineRule="auto"/>
        <w:rPr>
          <w:sz w:val="20"/>
          <w:szCs w:val="20"/>
          <w:color w:val="auto"/>
        </w:rPr>
      </w:pPr>
      <w:r>
        <w:rPr>
          <w:rFonts w:ascii="Courier New" w:cs="Courier New" w:eastAsia="Courier New" w:hAnsi="Courier New"/>
          <w:sz w:val="15"/>
          <w:szCs w:val="15"/>
          <w:color w:val="auto"/>
        </w:rPr>
        <w:t>The ZONES will be ready for delivery in book-entry form only through The Depository Trust Company on or about October 15, 1999.</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Salomon Smith Barney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12, 1999.</w:t>
      </w:r>
    </w:p>
    <w:p>
      <w:pPr>
        <w:sectPr>
          <w:pgSz w:w="11900" w:h="16838" w:orient="portrait"/>
          <w:cols w:equalWidth="0" w:num="1">
            <w:col w:w="10219"/>
          </w:cols>
          <w:pgMar w:left="240" w:top="1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8300" w:type="dxa"/>
            <w:vAlign w:val="bottom"/>
          </w:tcPr>
          <w:p>
            <w:pPr>
              <w:ind w:left="290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874"/>
        </w:trPr>
        <w:tc>
          <w:tcPr>
            <w:tcW w:w="830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8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300" w:type="dxa"/>
            <w:vAlign w:val="bottom"/>
          </w:tcPr>
          <w:p>
            <w:pPr>
              <w:spacing w:after="0"/>
              <w:rPr>
                <w:sz w:val="20"/>
                <w:szCs w:val="20"/>
                <w:color w:val="auto"/>
              </w:rPr>
            </w:pPr>
            <w:r>
              <w:rPr>
                <w:rFonts w:ascii="Courier New" w:cs="Courier New" w:eastAsia="Courier New" w:hAnsi="Courier New"/>
                <w:sz w:val="15"/>
                <w:szCs w:val="15"/>
                <w:color w:val="auto"/>
              </w:rPr>
              <w:t>Prospectus Supplement</w:t>
            </w:r>
          </w:p>
        </w:tc>
        <w:tc>
          <w:tcPr>
            <w:tcW w:w="500" w:type="dxa"/>
            <w:vAlign w:val="bottom"/>
          </w:tcPr>
          <w:p>
            <w:pPr>
              <w:spacing w:after="0"/>
              <w:rPr>
                <w:sz w:val="24"/>
                <w:szCs w:val="24"/>
                <w:color w:val="auto"/>
              </w:rPr>
            </w:pP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Summary Information -- Q&amp;A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S-3</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Risk Factors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S-7</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Price Range and Dividend History of the Sprint PCS Stock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Use of Proceeds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ZONES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Certain United States Federal Income Tax Considerations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S-21</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Underwriting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S-25</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Legal Matters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S-26</w:t>
            </w:r>
          </w:p>
        </w:tc>
      </w:tr>
      <w:tr>
        <w:trPr>
          <w:trHeight w:val="350"/>
        </w:trPr>
        <w:tc>
          <w:tcPr>
            <w:tcW w:w="830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8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30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500" w:type="dxa"/>
            <w:vAlign w:val="bottom"/>
          </w:tcPr>
          <w:p>
            <w:pPr>
              <w:spacing w:after="0"/>
              <w:rPr>
                <w:sz w:val="15"/>
                <w:szCs w:val="15"/>
                <w:color w:val="auto"/>
              </w:rPr>
            </w:pP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Risk Factors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Special Note Regarding Forward-Looking Statements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Comcast Corporation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Trust Subsidiaries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Use of Proceeds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Dividend Policy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Ratio of Earnings to Fixed Charges and to Combined Fixed Charges and Preferred Stock</w:t>
            </w:r>
          </w:p>
        </w:tc>
        <w:tc>
          <w:tcPr>
            <w:tcW w:w="500" w:type="dxa"/>
            <w:vAlign w:val="bottom"/>
          </w:tcPr>
          <w:p>
            <w:pPr>
              <w:spacing w:after="0"/>
              <w:rPr>
                <w:sz w:val="15"/>
                <w:szCs w:val="15"/>
                <w:color w:val="auto"/>
              </w:rPr>
            </w:pPr>
          </w:p>
        </w:tc>
      </w:tr>
      <w:tr>
        <w:trPr>
          <w:trHeight w:val="175"/>
        </w:trPr>
        <w:tc>
          <w:tcPr>
            <w:tcW w:w="8300" w:type="dxa"/>
            <w:vAlign w:val="bottom"/>
          </w:tcPr>
          <w:p>
            <w:pPr>
              <w:ind w:left="180"/>
              <w:spacing w:after="0"/>
              <w:rPr>
                <w:sz w:val="20"/>
                <w:szCs w:val="20"/>
                <w:color w:val="auto"/>
              </w:rPr>
            </w:pPr>
            <w:r>
              <w:rPr>
                <w:rFonts w:ascii="Courier New" w:cs="Courier New" w:eastAsia="Courier New" w:hAnsi="Courier New"/>
                <w:sz w:val="15"/>
                <w:szCs w:val="15"/>
                <w:color w:val="auto"/>
              </w:rPr>
              <w:t>Dividends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the Senior Debt Securities and Subordinated Debt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Warrants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Purchase Contracts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Units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the Guaranteed Trust Preferred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the Guaranteed Trust Preferred Securities Guarantees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Global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Preferred Stock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Depositary Shares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Description of Common Stock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Plan of Distribution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Legal Matters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Experts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Available Information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30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Certain Documents by Reference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this prospectus supplement, "Comcast," "we," "us" and "our" refer to Comcast Corporation and its subsidiaries. References to "you" and "your" refer to prospective investors in the ZONES prior to the sale of the ZONES and to holders of the ZONES after the sale of the ZONES.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prospectus supplement, the accompanying prospectus and the reports incorporated by reference into the prospectus that we have filed and will file with the SEC may contain forward-looking statements. You should be aware that forward-looking statements are subject to risks, trends and uncertainties that could cause actual results and achievements to differ materially from those expressed in the forward-looking statements. The effects of legislative and regulatory changes; the potential for increased competition; technological changes; the need to generate substantial growth in the subscriber base by successfully launching, marketing and providing services in identified markets; pricing pressures that could affect demand for our services; our ability to expand our distribution; changes in labor, programming, equipment and capital costs; our continued ability to create or acquire programming and products that customers will find attractive; future acquisitions, strategic partnerships and divestitures; general business and economic conditions; and other risks detailed from time to time in our periodic reports filed with the SEC are factors, among others, that could cause actual results to differ materially from those expressed in any forward-looking statements.</w:t>
      </w:r>
    </w:p>
    <w:p>
      <w:pPr>
        <w:spacing w:after="0" w:line="36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643"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5"/>
          <w:szCs w:val="15"/>
          <w:color w:val="auto"/>
        </w:rPr>
        <w:t>SUMMARY INFORMATION--Q&amp;A</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ZONES. You should carefully read this prospectus supplement and the accompanying prospectus to understand fully the terms of the ZONES, as well as the tax and other considerations that may be important to you in making a decision about whether to invest in the ZONES. You should pay special attention to the "Risk Factors" section beginning on page S-7 of this prospectus supplement and on page 3 of the accompanying prospectus to determine whether an investment in the ZONES is appropriate for you.</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ZONES?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ZONES are a series of our subordinated debt securities. Specific features of the ZONES are described in this prospectus supplement and general terms of our subordinated debt securities are described in the accompanying prospectus. For a brief description of our business, see "Comcast Corporation" on page 6 of the accompanying prospectus.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Sprint's relationship to the ZONES?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Sprint Corporation has no obligations whatsoever under the ZONES. We refer to Sprint Corporation, a Kansas corporation, as Sprint. We refer to Sprint's series 1 PCS Stock, par value $1.00 per share, as Sprint PCS stock. In describing the ZONES, the Sprint PCS stock will initially comprise the reference shares. As of the date of this prospectus supplement, one reference share is attributable to each ZONES. The reference shares will also include any other publicly traded equity securities that may be distributed on or in respect of the Sprint PCS stock, or on or with respect to any publicly traded equity security into which any of those securities may be converted or exchanged. In describing the ZONES, we refer to Sprint and any other company which may in the future become an issuer of reference shares as the reference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can you tell me about Sprint?</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According to publicly available documents, Sprint is a domestic and international long distance communications provider through its FON Group and a domestic wireless mobile phone services provider through its PCS Group. Sprint's PCS Group operates a digital PCS wireless network in the United States. Sprint's PCS stock is a "tracking stock" intended to reflect the performance of Sprint's domestic wireless personal communications services operations, while its FON stock is a "tracking stock" intended to reflect the performance of all of Sprint's other operations. The value of the ZONES being offered is initially based on the Sprint PCS stock and not on the Sprint FON stock. Sprint is required to file reports and other information with the SEC. Copies of these reports and other information may be inspected and copied at the SEC offices specified under "Available Information" on page 31 in the accompanying prospectus.</w:t>
      </w:r>
    </w:p>
    <w:p>
      <w:pPr>
        <w:spacing w:after="0" w:line="35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According to available public information, pursuant to a merger agreement between MCI WorldCom, Inc. and Sprint, Sprint would be merged with and into MCI WorldCom, Inc. Under this planned merger, holders of Sprint PCS stock would receive one new share of WorldCom PCS tracking stock and 0.1547 shares of MCI WorldCom stock for each share of Sprint PCS stock. This merger is subject to many conditions, including regulatory approvals, and may never occur. Even if it does occur, the ratio by which holders of Sprint PCS stock receive new stock may be different from the ratio currently contemplated in the agreement.</w:t>
      </w:r>
    </w:p>
    <w:p>
      <w:pPr>
        <w:spacing w:after="0" w:line="35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This prospectus supplement relates only to the ZONES we are offering and does not relate to the Sprint PCS stock or other securities of Sprint. All disclosures contained in this prospectus supplement regarding Sprint are derived from the publicly available documents described in the preceding paragraph. We have not participated in the preparation of Sprint's documents nor made any due diligence inquiry with respect to the information provided in those documents. The underwriter has not made any due diligence inquiry with respect to the information provided in Sprint's documents in connection with the offering</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643" w:right="1440" w:bottom="1440" w:gutter="0" w:footer="0" w:header="0"/>
        </w:sectPr>
      </w:pPr>
    </w:p>
    <w:bookmarkStart w:id="4" w:name="page5"/>
    <w:bookmarkEnd w:id="4"/>
    <w:p>
      <w:pPr>
        <w:ind w:right="3039"/>
        <w:spacing w:after="0" w:line="246" w:lineRule="auto"/>
        <w:rPr>
          <w:sz w:val="20"/>
          <w:szCs w:val="20"/>
          <w:color w:val="auto"/>
        </w:rPr>
      </w:pPr>
      <w:r>
        <w:rPr>
          <w:rFonts w:ascii="Courier New" w:cs="Courier New" w:eastAsia="Courier New" w:hAnsi="Courier New"/>
          <w:sz w:val="15"/>
          <w:szCs w:val="15"/>
          <w:color w:val="auto"/>
        </w:rPr>
        <w:t>of the ZONES. Neither we nor the underwriter represent that Sprint's publicly available documents or any other publicly available information regarding Sprint are accurate or complete. Neither we nor the underwriter can provide you with any assurance that all events occurring prior to the date of this prospectus supplement, including events that would affect the accuracy or completeness of the publicly available documents described in the preceding paragraph that would affect the trading price of the Sprint PCS stock, and therefore the issue price of the ZONES, have been publicly disclosed. Subsequent disclosure of any such events or the disclosure of or failure to disclose material future events concerning Sprint could affect the trading price of the ZONES.</w:t>
      </w:r>
    </w:p>
    <w:p>
      <w:pPr>
        <w:spacing w:after="0" w:line="356"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We, our affiliates and the underwriter do not make any representation to you as to the performance of Sprint, the Sprint PCS stock or any other securities of Sprint.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will I receive quarterly interest payments?</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you purchase the ZONES, you are entitled to receive quarterly interest payments in an amount equal to $0.3576 per ZONES, or 2.0% per year of the original principal amount, plus the amount of any quarterly cash dividend paid on the reference shares attributable to each ZONES. As of the date of this prospectus supplement, Sprint has never paid a cash dividend on its Sprint PCS stock. Changes in the contingent principal amount will not affect the amount of the quarterly interest payment.</w:t>
      </w:r>
    </w:p>
    <w:p>
      <w:pPr>
        <w:spacing w:after="0" w:line="354"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Interest on the ZONES will accrue from the date we issue the ZONES. We will pay this interest quarterly in arrears on January 15, April 15, July 15 and October 15 of each year, beginning January 15, 2000, but subject to our right to defer quarterly payments of interest.</w:t>
      </w:r>
    </w:p>
    <w:p>
      <w:pPr>
        <w:spacing w:after="0" w:line="35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will also distribute to you as additional interest, any property, including cash, distributed on the reference shares (other than publicly traded equity securities, which will themselves become reference shares). If any property that is not publicly traded is distributed on the reference shares, we will pay you the fair market value of that property as determined in good faith by our board of directors. We will distribute the property, or the fair market value of the property, to you within 20 business days after it is distributed on the reference shares.</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a 2.0% annual yield. In no event will the contingent principal amount be less than zero. Changes in the contingent principal amount will not affect the amount of the quarterly interest payments.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can you defer payments of interest?</w:t>
      </w:r>
    </w:p>
    <w:p>
      <w:pPr>
        <w:spacing w:after="0" w:line="35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can defer quarterly interest payments on the ZONES as many times as we want, but generally only for up to 20 consecutive quarterly periods. We cannot defer additional interest distributions at any time and we cannot defer quarterly interest payments if an event of default (as defined for senior debt securities on page 10 in the accompanying prospectus, which definition is identical to the definition of event of default applicable to subordinated debt) under the ZONES has occurred and is continuing. A deferral of interest payments cannot extend beyond the maturity date of the ZONES.</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defer quarterly payments of interest, the contingent principal amount of the ZONES will be increased by the amount of the deferral and the early exchange ratio will increase to 100%. Once we make all interest payments on the ZONES, with accrued interest at an annual rate of 2.0%, we can again postpone interest payments on the ZONES so long as no event of default under the ZONES has occurred and is continuing. During any deferral period, so long as the current market value of the reference shares exceeds the original principal amount of the ZONES, we may at our option, but are not obligated to, increase the amount of reference shares attributable to each ZONES at an annual rate of 2.0%. If we elect to make this increase, we will be deemed current on that quarterly payment of interest and will not increase the contingent principal amount, although the early exchange ratio will remain at 100% only</w:t>
      </w: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643" w:right="1440" w:bottom="1130" w:gutter="0" w:footer="0" w:header="0"/>
        </w:sectPr>
      </w:pPr>
    </w:p>
    <w:bookmarkStart w:id="5" w:name="page6"/>
    <w:bookmarkEnd w:id="5"/>
    <w:p>
      <w:pPr>
        <w:ind w:right="3039"/>
        <w:spacing w:after="0" w:line="246" w:lineRule="auto"/>
        <w:rPr>
          <w:sz w:val="20"/>
          <w:szCs w:val="20"/>
          <w:color w:val="auto"/>
        </w:rPr>
      </w:pPr>
      <w:r>
        <w:rPr>
          <w:rFonts w:ascii="Courier New" w:cs="Courier New" w:eastAsia="Courier New" w:hAnsi="Courier New"/>
          <w:sz w:val="15"/>
          <w:szCs w:val="15"/>
          <w:color w:val="auto"/>
        </w:rPr>
        <w:t>for the five business days immediately following the scheduled quarterly interest payment date related to the deferral. After that five-day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will the ZONES mature?</w:t>
      </w:r>
    </w:p>
    <w:p>
      <w:pPr>
        <w:spacing w:after="0" w:line="354"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The ZONES will mature on October 15, 2029, unless they are previously redeemed or exchanged.</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will I receive at maturity?</w:t>
      </w:r>
    </w:p>
    <w:p>
      <w:pPr>
        <w:spacing w:after="0" w:line="35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At maturity you will be entitled to receive the higher of (a) the contingent principal amount of the ZONES or (b) the sum of the current market value of the reference shares on the maturity date plus any deferred quarterly payments of interest (including any accrued interest thereon), plus, in either case, the final period distribution.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you have the right to redeem the ZONES prior to their maturity?</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Yes. We may redeem at any time all but not some of the ZONES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equal to the sum of (a) the higher of the contingent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ZONES or the sum of the current market value of the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at the time of redemption plus any deferred quarterly payments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(including any accrued interest thereon), plus in either case,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period distribution, and (b) $3.2184 per ZONES if we redeem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2000, $2.1456 per ZONES if we redeem prior to October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$1.0728 per ZONES if we redeem prior to October 15, 2002, or zero per ZONES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redeem any time on or after October 15,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the ZONES have anti-dilution protection for changes in the reference shares?</w:t>
      </w:r>
    </w:p>
    <w:p>
      <w:pPr>
        <w:spacing w:after="0" w:line="200" w:lineRule="exact"/>
        <w:rPr>
          <w:sz w:val="20"/>
          <w:szCs w:val="20"/>
          <w:color w:val="auto"/>
        </w:rPr>
      </w:pPr>
    </w:p>
    <w:p>
      <w:pPr>
        <w:spacing w:after="0" w:line="329"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Yes. If specific dilutive or anti-dilutive events occur with respect to the reference shares, the number and type of the reference shares that will be used to calculate the amount you will receive upon exchange, redemption or maturity of the ZONES will be adjusted to reflect those events.</w:t>
      </w:r>
    </w:p>
    <w:p>
      <w:pPr>
        <w:sectPr>
          <w:pgSz w:w="11900" w:h="16838" w:orient="portrait"/>
          <w:cols w:equalWidth="0" w:num="1">
            <w:col w:w="10219"/>
          </w:cols>
          <w:pgMar w:left="240" w:top="6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When can I exchange the ZONES for cash?</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At any time or from time to time you may exchange your ZONES for an amount of cash per ZONES equal to (a) 95% of the then current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the ZONES be listed on a stock exchange?</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apply to have the ZONES listed on the New York Stock Exchange.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what form will the ZONES be issued?</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ZONES will be represented by one or more global securities that will be deposited with and registered in the name of The Depository Trust Company, New York, New York or its nominee. This means that you will not receive a certificate for your ZONES. We expect that the ZONES will be ready for delivery through DTC on or about October 15, 1999.</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federal income tax consequences for me?</w:t>
      </w:r>
    </w:p>
    <w:p>
      <w:pPr>
        <w:spacing w:after="0" w:line="354" w:lineRule="exact"/>
        <w:rPr>
          <w:sz w:val="20"/>
          <w:szCs w:val="20"/>
          <w:color w:val="auto"/>
        </w:rPr>
      </w:pPr>
    </w:p>
    <w:p>
      <w:pPr>
        <w:jc w:val="both"/>
        <w:ind w:right="3599" w:firstLine="636"/>
        <w:spacing w:after="0" w:line="247" w:lineRule="auto"/>
        <w:rPr>
          <w:sz w:val="20"/>
          <w:szCs w:val="20"/>
          <w:color w:val="auto"/>
        </w:rPr>
      </w:pPr>
      <w:r>
        <w:rPr>
          <w:rFonts w:ascii="Courier New" w:cs="Courier New" w:eastAsia="Courier New" w:hAnsi="Courier New"/>
          <w:sz w:val="15"/>
          <w:szCs w:val="15"/>
          <w:color w:val="auto"/>
        </w:rPr>
        <w:t>The ZONES will be characterized as indebtedness of ours for United States federal income tax purposes. Accordingly, you will be required to include, in your income, interest with respect to the ZONES.</w:t>
      </w:r>
    </w:p>
    <w:p>
      <w:pPr>
        <w:spacing w:after="0" w:line="349" w:lineRule="exact"/>
        <w:rPr>
          <w:sz w:val="20"/>
          <w:szCs w:val="20"/>
          <w:color w:val="auto"/>
        </w:rPr>
      </w:pPr>
    </w:p>
    <w:p>
      <w:pPr>
        <w:jc w:val="both"/>
        <w:ind w:right="3219" w:firstLine="636"/>
        <w:spacing w:after="0" w:line="247" w:lineRule="auto"/>
        <w:rPr>
          <w:sz w:val="20"/>
          <w:szCs w:val="20"/>
          <w:color w:val="auto"/>
        </w:rPr>
      </w:pPr>
      <w:r>
        <w:rPr>
          <w:rFonts w:ascii="Courier New" w:cs="Courier New" w:eastAsia="Courier New" w:hAnsi="Courier New"/>
          <w:sz w:val="15"/>
          <w:szCs w:val="15"/>
          <w:color w:val="auto"/>
        </w:rPr>
        <w:t>Each ZONES will constitute a contingent payment debt instrument. As a result, the amount of interest income required to be included by you for each year will be in excess of the quarterly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642" w:right="1440" w:bottom="1440" w:gutter="0" w:footer="0" w:header="0"/>
        </w:sectPr>
      </w:pPr>
    </w:p>
    <w:bookmarkStart w:id="7" w:name="page8"/>
    <w:bookmarkEnd w:id="7"/>
    <w:p>
      <w:pPr>
        <w:ind w:right="3039"/>
        <w:spacing w:after="0" w:line="246" w:lineRule="auto"/>
        <w:rPr>
          <w:sz w:val="20"/>
          <w:szCs w:val="20"/>
          <w:color w:val="auto"/>
        </w:rPr>
      </w:pPr>
      <w:r>
        <w:rPr>
          <w:rFonts w:ascii="Courier New" w:cs="Courier New" w:eastAsia="Courier New" w:hAnsi="Courier New"/>
          <w:sz w:val="15"/>
          <w:szCs w:val="15"/>
          <w:color w:val="auto"/>
        </w:rPr>
        <w:t>interest payments you receive. Any gain recognized by you on the sale or exchange of a ZONES will be ordinary interest income; any loss will be ordinary loss to the extent of the interest previously included in income, and thereafter, capital loss.</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642" w:right="1440" w:bottom="1440" w:gutter="0" w:footer="0" w:header="0"/>
        </w:sectPr>
      </w:pPr>
    </w:p>
    <w:bookmarkStart w:id="8" w:name="page9"/>
    <w:bookmarkEnd w:id="8"/>
    <w:p>
      <w:pPr>
        <w:jc w:val="center"/>
        <w:ind w:right="313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You should consider carefully, in addition to the other information contained in this prospectus supplement and the accompanying prospectus, the following factors before purchasing the ZONES.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on the ZONES depends on the Sprint PCS stock</w:t>
      </w:r>
    </w:p>
    <w:p>
      <w:pPr>
        <w:spacing w:after="0" w:line="180"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The terms of the ZONES differ from those of ordinary debt securities because:</w:t>
      </w:r>
    </w:p>
    <w:p>
      <w:pPr>
        <w:spacing w:after="0" w:line="175" w:lineRule="exact"/>
        <w:rPr>
          <w:sz w:val="20"/>
          <w:szCs w:val="20"/>
          <w:color w:val="auto"/>
        </w:rPr>
      </w:pPr>
    </w:p>
    <w:p>
      <w:pPr>
        <w:ind w:left="900" w:right="3499" w:hanging="271"/>
        <w:spacing w:after="0" w:line="247"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payments on the ZONES may change depending upon the dividend policy of Sprint or any other reference company;</w:t>
      </w:r>
    </w:p>
    <w:p>
      <w:pPr>
        <w:spacing w:after="0" w:line="174" w:lineRule="exact"/>
        <w:rPr>
          <w:rFonts w:ascii="Courier New" w:cs="Courier New" w:eastAsia="Courier New" w:hAnsi="Courier New"/>
          <w:sz w:val="15"/>
          <w:szCs w:val="15"/>
          <w:color w:val="auto"/>
        </w:rPr>
      </w:pPr>
    </w:p>
    <w:p>
      <w:pPr>
        <w:ind w:left="900" w:right="3319" w:hanging="271"/>
        <w:spacing w:after="0" w:line="247"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ZONES are exchangeable for cash in an amount based on the then current market value of the reference shares; and</w:t>
      </w:r>
    </w:p>
    <w:p>
      <w:pPr>
        <w:spacing w:after="0" w:line="174" w:lineRule="exact"/>
        <w:rPr>
          <w:rFonts w:ascii="Courier New" w:cs="Courier New" w:eastAsia="Courier New" w:hAnsi="Courier New"/>
          <w:sz w:val="15"/>
          <w:szCs w:val="15"/>
          <w:color w:val="auto"/>
        </w:rPr>
      </w:pPr>
    </w:p>
    <w:p>
      <w:pPr>
        <w:ind w:left="900" w:right="3219" w:hanging="271"/>
        <w:spacing w:after="0" w:line="247"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 will be reduced if any extraordinary dividends or distributions are paid or made on or in respect of the reference shares.</w:t>
      </w:r>
    </w:p>
    <w:p>
      <w:pPr>
        <w:spacing w:after="0" w:line="17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Accordingly, the return that a holder of the ZONES will receive is not comparable to that of an ordinary fixed income debt security issued by us.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dividend policy of Sprint is entirely outside of our control. As of the date of this prospectus supplement, Sprint has never paid a cash dividend on its Sprint PCS stock. You should not expect that Sprint will commence paying dividends in the future or, if commenced, that the dividend rate on the Sprint PCS stock will remain the same during the period the ZONES are outstanding.</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It is impossible to predict whether the price of the Sprint PCS stock will rise or fall. Trading prices of the Sprint PCS stock will be influenced by Sprint's operating results and by complex and interrelated political, economic, financial and other factors that can affect the capital markets generally, the NYSE and the market segments of which Sprint is a part.</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currently hold approximately 47.2 million shares of Sprint's series 2 Sprint PCS stock, $1.00 par value per share. The series 2 Sprint PCS stock converts automatically into Sprint PCS stock in a number of situations, including generally upon a sale by us of the series 2 Sprint PCS stock. Our sales of the series 2 Sprint PCS stock are subject to a Top Up Right Agreement dated May 26, 1998 among France Telecom S.A., Deutsche Telekom AG, Tele-Communications, Inc., Cox Communications, Inc. and us. Under the top up right agreement and subject to a number of exceptions, we generally must offer France Telecom and Deutsche Telekom the right to purchase a portion, approximating 18%, of any series 2 Sprint PCS stock that we sell. Our obligations under the top up right agreement do not affect our obligations under the ZONES.</w:t>
      </w:r>
    </w:p>
    <w:p>
      <w:pPr>
        <w:spacing w:after="0" w:line="356"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but are not required to, hold a number of shares of the series 2 Sprint PCS stock equal to the number of the ZONES outstanding until exchange, maturity or redemption of the ZONES and sell those shares to raise the proceeds to pay the amount due upon exchange, maturity or redemption of the ZONES. Although we cannot assure you that these sales of the series 2 Sprint PCS stock will not adversely affect the market for the Sprint PCS stock or the amount due upon exchange, maturity or redemption of the ZONES, we have no reason to believe that any of these sales will have this effect.</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You should read Sprint's publicly available documents for a discussion of the risks and uncertainties associated with Sprint, its PCS Group and the Sprint PCS stock. In particular, you should note that under its Articles of Incorporation, Sprint may be able to take action that would benefit its FON Group and disadvantage its PCS Group. The number of shares of Sprint PCS stock attributable to the ZONES will not adjust for these actions.</w:t>
      </w:r>
    </w:p>
    <w:p>
      <w:pPr>
        <w:spacing w:after="0" w:line="178"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Fluctuations in the market value of the ZONES and the Sprint PCS stock may affect our reported earnings</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Applicable accounting rules require us to record any increase or decrease in the market value of the ZONES that results from changes in the market value of the Sprint PCS stock to our statement of operations. Any increase or decrease in the market value of the ZONES will be recorded as subtractions from, or additions to, our reported net income. A significant increase in the market value of the Sprint PCS stock would significantly decrease our reported net income. Similarly, a significant decrease in the market value of the Sprint PCS stock would significantly increase our reported net income, subject to the condition that the ZONES will not be reduced below the contingent principal amount. These increases and decreases in reported investment income in our statement of operations will be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643" w:right="1440" w:bottom="1440" w:gutter="0" w:footer="0" w:header="0"/>
        </w:sectPr>
      </w:pPr>
    </w:p>
    <w:bookmarkStart w:id="9" w:name="page10"/>
    <w:bookmarkEnd w:id="9"/>
    <w:p>
      <w:pPr>
        <w:ind w:right="3139"/>
        <w:spacing w:after="0" w:line="247" w:lineRule="auto"/>
        <w:rPr>
          <w:sz w:val="20"/>
          <w:szCs w:val="20"/>
          <w:color w:val="auto"/>
        </w:rPr>
      </w:pPr>
      <w:r>
        <w:rPr>
          <w:rFonts w:ascii="Courier New" w:cs="Courier New" w:eastAsia="Courier New" w:hAnsi="Courier New"/>
          <w:sz w:val="15"/>
          <w:szCs w:val="15"/>
          <w:color w:val="auto"/>
        </w:rPr>
        <w:t>non-cash in nature and will be reflected on our balance sheet as increases and decreases in long-term debt or other long-term liabilities.</w:t>
      </w:r>
    </w:p>
    <w:p>
      <w:pPr>
        <w:spacing w:after="0" w:line="175"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We currently record our investment in the Sprint PCS stock at its fair value, with changes in fair value recorded in other comprehensive income. Although we are not required to do so under the subordinated indenture, while the ZONES remain outstanding we may hold shares of Sprint PCS stock at least equal to the number of ZONES outstanding. If we do so, changes in the market value of these shares of Sprint PCS stock would approximately offset any changes in long-term debt or other long-term liabilities, resulting in no material effect on our reported stockholders' equity.</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Financial Accounting Standards Board has issued Statement of Financial Accounting Standards No. 133, Accounting for Derivative Instruments and Hedging Activities, which is required to be adopted in all fiscal quarters of all fiscal years beginning after June 15, 2000 (January 1, 2001 for us). SFAS No. 133 will require us to split the value of the ZONES into a debt component and a derivative component. Any changes in the fair value of the derivative component will be reflected as an increase or decrease in our reported net income. At the date of initial adoption, SFAS No. 133 provides us a one-time ability to transfer any of our available-for-sale securities, including shares of Sprint PCS stock, to the trading category. Although we are not required to hold a number of Sprint PCS shares to equal the number of ZONES outstanding, if we do so and if we elect to make this transfer from available-for-sale to trading, changes in the fair value of the shares of Sprint PCS stock so transferred will be reflected as an increase or decrease in our reported net income. Changes in the market value of the Sprint PCS stock should at least partially offset changes in the fair value of the derivative component of the ZONES; however, there may be periods with significant non-cash increases or decreases to our net income pertaining to the ZONES and the related shares of Sprint PCS stock.</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has no obligations with respect to the ZONES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are not affiliated with Sprint, other than as a holder of the series 2 Sprint PCS stock and as a holder of preferred stock and warrants convertible into shares of series 2 Sprint PCS stock. As of the date of this prospectus supplement we do not have any material non-public information concerning Sprint. Although we have no reason to believe the information concerning Sprint included or referred to in this prospectus supplement is not reliable, neither we nor the underwriter warrant that events have not occurred, which are not yet publicly disclosed by Sprint, that would affect either the accuracy or completeness of the information concerning Sprint included or referred to in this prospectus supplement. Sprint is not involved in the offering of the ZONES and has no obligations with respect to the ZONES, including any obligation to take our interests (other than as a holder of the Sprint PCS stock) or your interests into consideration for any reason or under any circumstance.</w:t>
      </w:r>
    </w:p>
    <w:p>
      <w:pPr>
        <w:spacing w:after="0" w:line="183"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Pursuant to a merger agreement between MCI WorldCom, Inc. and Sprint, Sprint would be merged with and into MCI WorldCom, Inc. Under this planned merger, holders of Sprint PCS stock would receive one new share of WorldCom PCS tracking stock and 0.1547 shares of MCI WorldCom stock for each share of Sprint PCS stock. Under the anti-dilution provisions of the ZONES, the amount of cash you will receive upon exchange, maturity or redemption of a ZONES will reflect this exchange of Sprint PCS stock for WorldCom PCS stock and MCI WorldCom stock. This merger is subject to many conditions, including regulatory approvals, and may never occur. Even if it does occur, the ratio by which holders of Sprint PCS stock receive new stock may be different from the ratio currently contemplated in the agreement.</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Sprint will not receive any of the proceeds of the offering of the ZONES and is not responsible for, and has not participated in, determining the timing of, prices for or quantities of the ZONES offered hereby. Sprint is not involved with the administration, marketing or trading of the ZONES nor in the preparation of this prospectus supplement and has no obligations with respect to the amount to be paid to holders of the ZONES upon exchange, maturity or redemption. Holders of the ZONES will not be entitled to any rights with respect to the Sprint PCS stock other than indirectly pursuant to the express terms of the ZONES.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illiquidity of the secondary market for the ZONES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apply to have the ZONES listed on the NYSE.</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We cannot give you any assurance that the ZONES ultimately will be listed on the NYSE. Moreover, any listing of the ZONES will not ensure that a liquid trading market will develop for the ZONES.</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643" w:right="1440" w:bottom="1440" w:gutter="0" w:footer="0" w:header="0"/>
        </w:sectPr>
      </w:pPr>
    </w:p>
    <w:bookmarkStart w:id="10" w:name="page11"/>
    <w:bookmarkEnd w:id="10"/>
    <w:p>
      <w:pPr>
        <w:ind w:right="3319"/>
        <w:spacing w:after="0" w:line="247" w:lineRule="auto"/>
        <w:rPr>
          <w:sz w:val="20"/>
          <w:szCs w:val="20"/>
          <w:color w:val="auto"/>
        </w:rPr>
      </w:pPr>
      <w:r>
        <w:rPr>
          <w:rFonts w:ascii="Courier New" w:cs="Courier New" w:eastAsia="Courier New" w:hAnsi="Courier New"/>
          <w:sz w:val="15"/>
          <w:szCs w:val="15"/>
          <w:color w:val="auto"/>
        </w:rPr>
        <w:t>The number of reference shares attributable to the ZONES will not adjust for some dilutive transactions involving the reference shares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specific dilutive or anti-dilutive events occur with respect to the reference shares, the number and type of reference shares that will be used to calculate the amount you will receive upon exchange, maturity or redemption of a ZONES will be adjusted to reflect such events. These adjustments will not take into account various other events, such as offerings of reference shares by a reference company for cash or business acquisitions by a reference company with the reference shares, that may adversely affect the price of the reference shares and may adversely affect the trading price and market value of the ZONES. We cannot assure you that a reference company will not make offerings of the reference shares or other equity securities or enter into such business acquisitions in the future.</w:t>
      </w:r>
    </w:p>
    <w:p>
      <w:pPr>
        <w:spacing w:after="0" w:line="181"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ZONES are unsecured, subordinated obligations that are subject to existing and future additional indebtedness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subordinated indenture under which the ZONES will be issued will not limit our or our subsidiaries' ability to incur additional indebtedness, or to grant liens on assets to secure indebtedness, to pay dividends or to repurchase shares of capital stock. The subordinated indenture does not contain any provisions specifically intended to protect holders of the ZONES in the event of a future highly leveraged transaction involving us, including a change of control, or other similar transaction that may adversely affect holders of the ZONES.</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The ZONES are subordinated obligations of Comcast Corporation and are not secured by any of our assets, including the shares of the Sprint PCS stock that we currently own.</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Our obligations under the ZONES are subordinated. The subordination provisions in the subordinated indenture provide that we may not make payment on the ZONES during the continuance beyond any applicable grace period of any default in payment in respect of our indebtedness ranking senior to the ZONES. At June 30, 1999, we had outstanding approximately $7.124 billion of indebtedness ranking senior to the ZONES, including indebtedness of our subsidiaries which ranks effectively senior to the ZONES.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tax consequences of purchasing the ZONES</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If you are considering purchasing the ZONES, you should reach an investment decision only after consulting with your advisors as to the suitability of an investment in the ZONES in light of your particular circumstances. You should also consider the tax consequences of investing in the ZONES. The amount of interest income required to be included in income by you for each year will be in excess of the quarterly interest payments you actually receive. Any gain recognized by you on the sale or exchange of the ZONES will be ordinary interest income; any loss will be ordinary loss to the extent of the interest previously included in income, and thereafter, capital loss.</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642" w:right="1440" w:bottom="1440" w:gutter="0" w:footer="0" w:header="0"/>
        </w:sectPr>
      </w:pPr>
    </w:p>
    <w:bookmarkStart w:id="11" w:name="page12"/>
    <w:bookmarkEnd w:id="11"/>
    <w:p>
      <w:pPr>
        <w:ind w:left="1000"/>
        <w:spacing w:after="0"/>
        <w:rPr>
          <w:sz w:val="20"/>
          <w:szCs w:val="20"/>
          <w:color w:val="auto"/>
        </w:rPr>
      </w:pPr>
      <w:r>
        <w:rPr>
          <w:rFonts w:ascii="Courier New" w:cs="Courier New" w:eastAsia="Courier New" w:hAnsi="Courier New"/>
          <w:sz w:val="15"/>
          <w:szCs w:val="15"/>
          <w:color w:val="auto"/>
        </w:rPr>
        <w:t>PRICE RANGE AND DIVIDEND HISTORY OF THE SPRINT PCS STOCK</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Sprint PCS stock is listed and traded on the NYSE under the symbol "PCS."</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table sets forth, for the calendar quarters indicated (ended March 31, June 30, September 30 and December 31), the range of high and low sales prices of the Sprint PCS stock as reported on the NYSE Composite Tape since its listing on November 23, 1998. To date, Sprint has never paid a cash dividend on its Sprint PCS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Sprint PCS</w:t>
            </w:r>
          </w:p>
        </w:tc>
        <w:tc>
          <w:tcPr>
            <w:tcW w:w="500" w:type="dxa"/>
            <w:vAlign w:val="bottom"/>
          </w:tcPr>
          <w:p>
            <w:pPr>
              <w:spacing w:after="0"/>
              <w:rPr>
                <w:sz w:val="14"/>
                <w:szCs w:val="14"/>
                <w:color w:val="auto"/>
              </w:rPr>
            </w:pPr>
          </w:p>
        </w:tc>
      </w:tr>
      <w:tr>
        <w:trPr>
          <w:trHeight w:val="175"/>
        </w:trPr>
        <w:tc>
          <w:tcPr>
            <w:tcW w:w="4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Stock</w:t>
            </w:r>
          </w:p>
        </w:tc>
        <w:tc>
          <w:tcPr>
            <w:tcW w:w="500" w:type="dxa"/>
            <w:vAlign w:val="bottom"/>
          </w:tcPr>
          <w:p>
            <w:pPr>
              <w:spacing w:after="0"/>
              <w:rPr>
                <w:sz w:val="15"/>
                <w:szCs w:val="15"/>
                <w:color w:val="auto"/>
              </w:rPr>
            </w:pPr>
          </w:p>
        </w:tc>
      </w:tr>
      <w:tr>
        <w:trPr>
          <w:trHeight w:val="175"/>
        </w:trPr>
        <w:tc>
          <w:tcPr>
            <w:tcW w:w="414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41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Fourth quarter (beginning November 23)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First quarter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5/16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Second quarter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Third quarter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15/16</w:t>
            </w:r>
          </w:p>
        </w:tc>
      </w:tr>
      <w:tr>
        <w:trPr>
          <w:trHeight w:val="175"/>
        </w:trPr>
        <w:tc>
          <w:tcPr>
            <w:tcW w:w="4140" w:type="dxa"/>
            <w:vAlign w:val="bottom"/>
          </w:tcPr>
          <w:p>
            <w:pPr>
              <w:ind w:left="100"/>
              <w:spacing w:after="0"/>
              <w:rPr>
                <w:sz w:val="20"/>
                <w:szCs w:val="20"/>
                <w:color w:val="auto"/>
              </w:rPr>
            </w:pPr>
            <w:r>
              <w:rPr>
                <w:rFonts w:ascii="Courier New" w:cs="Courier New" w:eastAsia="Courier New" w:hAnsi="Courier New"/>
                <w:sz w:val="15"/>
                <w:szCs w:val="15"/>
                <w:color w:val="auto"/>
              </w:rPr>
              <w:t>Fourth quarter (through October 11)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r>
    </w:tbl>
    <w:p>
      <w:pPr>
        <w:spacing w:after="0" w:line="200" w:lineRule="exact"/>
        <w:rPr>
          <w:sz w:val="20"/>
          <w:szCs w:val="20"/>
          <w:color w:val="auto"/>
        </w:rPr>
      </w:pPr>
    </w:p>
    <w:p>
      <w:pPr>
        <w:spacing w:after="0" w:line="329" w:lineRule="exact"/>
        <w:rPr>
          <w:sz w:val="20"/>
          <w:szCs w:val="20"/>
          <w:color w:val="auto"/>
        </w:rPr>
      </w:pPr>
    </w:p>
    <w:p>
      <w:pPr>
        <w:ind w:left="2820" w:right="3779" w:hanging="2544"/>
        <w:spacing w:after="0" w:line="247" w:lineRule="auto"/>
        <w:rPr>
          <w:sz w:val="20"/>
          <w:szCs w:val="20"/>
          <w:color w:val="auto"/>
        </w:rPr>
      </w:pPr>
      <w:r>
        <w:rPr>
          <w:rFonts w:ascii="Courier New" w:cs="Courier New" w:eastAsia="Courier New" w:hAnsi="Courier New"/>
          <w:sz w:val="15"/>
          <w:szCs w:val="15"/>
          <w:color w:val="auto"/>
        </w:rPr>
        <w:t>The last reported sale price of one share of the Sprint PCS stock on October 11, 1999 was $74.50.</w:t>
      </w:r>
    </w:p>
    <w:p>
      <w:pPr>
        <w:spacing w:after="0" w:line="17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We estimate that the net proceeds from the offering after deducting expenses payable by us will be $979,550,000 ($1,126,550,000 if the underwriter exercises its over-allotment option in full). We will use the proceeds from this offering for general corporate purposes.</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ZONES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following description of the ZONES (referred to as the subordinated debt securities in the accompanying prospectus) supplements and, to the extent inconsistent with, supersedes the general terms of the subordinated debt securities in the accompanying prospectus. The terms of the ZONES include those stated in the indenture dated as of June 15, 1999 executed by Comcast Corporation and the trustee under which the ZONES will be issued and those terms made part of that indenture by reference to the Trust Indenture Act of 1939, as amended. We refer to this indenture as the subordinated indenture. The ZONES are subject to those terms, and you should read the subordinated indenture and the Trust Indenture Act for a statement of them. Although we have summarized selected provisions of the subordinated indenture below, this summary is not complete and is qualified in its entirety by reference to the subordinated indenture. A copy of the form of subordinated indenture has been filed as an exhibit to the registration statement we have filed with the SEC that provides for the offering of the subordinated debt securities.</w:t>
      </w:r>
    </w:p>
    <w:p>
      <w:pPr>
        <w:spacing w:after="0" w:line="18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subordinated indenture does not limit the aggregate principal amount of indebtedness which may be issued under it. The subordinated indenture also provides that subordinated debt securities may be issued from time to time in one or more series. The ZONES constitute a separate series under the subordinated indenture.</w:t>
      </w:r>
    </w:p>
    <w:p>
      <w:pPr>
        <w:spacing w:after="0" w:line="178"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The ZONES will be unsecured, subordinated obligations of Comcast Corporation limited to 13,982,103 ZONES ( 16,079,418 ZONES if the underwriter exercises its over-allotment option in full) and will mature on October 15, 2029.</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Principal, premium, if any, and interest on the ZONES will be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will be made by wire transfer of immediately available funds to the accounts specified by the holders. Until we otherwise designate, our office or agency in New York will be the office of the trustee maintained for that purpose. The ZONES will be issued in denominations of one ZONES and integral multiples thereof.</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643" w:right="1440" w:bottom="606"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Interest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will make quarterly interest payments in an amount equal to $0.3576 per ZONES, or 2.0% per year of the original principal amount, plus the amount of any quarterly cash dividend paid on the reference shares attributable to each ZONES. As of the date of this prospectus supplement, Sprint has never paid a cash dividend on its Sprint PCS stock.</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Interest on the ZONES will accrue from the date we issue the ZONES. We will pay this interest quarterly in arrears on January 15, April 15, July 15 and October 15 of each year, beginning January 15, 2000, but subject to our right to defer quarterly payments of interest. Holders of the ZONES are not expected to receive interest attributable to any cash dividend on the reference shares for this payment period because Sprint has never paid a cash dividend on its Sprint PCS stock.</w:t>
      </w:r>
    </w:p>
    <w:p>
      <w:pPr>
        <w:spacing w:after="0" w:line="17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will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to you. We will not, however, distribute fractional units of securities to you. We will pay you cash instead of distributing the fractional units. Otherwise, we will distribute to you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will be the 10th business day after the date any cash or property is distributed on the reference shares.</w:t>
      </w:r>
    </w:p>
    <w:p>
      <w:pPr>
        <w:spacing w:after="0" w:line="183"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17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of interest payments</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78" w:lineRule="exact"/>
        <w:rPr>
          <w:sz w:val="20"/>
          <w:szCs w:val="20"/>
          <w:color w:val="auto"/>
        </w:rPr>
      </w:pPr>
    </w:p>
    <w:p>
      <w:pPr>
        <w:jc w:val="both"/>
        <w:ind w:right="3419" w:firstLine="636"/>
        <w:spacing w:after="0" w:line="247" w:lineRule="auto"/>
        <w:rPr>
          <w:sz w:val="20"/>
          <w:szCs w:val="20"/>
          <w:color w:val="auto"/>
        </w:rPr>
      </w:pPr>
      <w:r>
        <w:rPr>
          <w:rFonts w:ascii="Courier New" w:cs="Courier New" w:eastAsia="Courier New" w:hAnsi="Courier New"/>
          <w:sz w:val="15"/>
          <w:szCs w:val="15"/>
          <w:color w:val="auto"/>
        </w:rPr>
        <w:t>Any deferral of interest payments cannot extend, however, beyond the maturity date of the ZONES. We can never defer distributions of additional interest.</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w:t>
      </w: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643" w:right="1440" w:bottom="1440" w:gutter="0" w:footer="0" w:header="0"/>
        </w:sectPr>
      </w:pPr>
    </w:p>
    <w:bookmarkStart w:id="13" w:name="page14"/>
    <w:bookmarkEnd w:id="13"/>
    <w:p>
      <w:pPr>
        <w:ind w:right="3039"/>
        <w:spacing w:after="0" w:line="246" w:lineRule="auto"/>
        <w:rPr>
          <w:sz w:val="20"/>
          <w:szCs w:val="20"/>
          <w:color w:val="auto"/>
        </w:rPr>
      </w:pPr>
      <w:r>
        <w:rPr>
          <w:rFonts w:ascii="Courier New" w:cs="Courier New" w:eastAsia="Courier New" w:hAnsi="Courier New"/>
          <w:sz w:val="15"/>
          <w:szCs w:val="15"/>
          <w:color w:val="auto"/>
        </w:rPr>
        <w:t>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177" w:lineRule="exact"/>
        <w:rPr>
          <w:sz w:val="20"/>
          <w:szCs w:val="20"/>
          <w:color w:val="auto"/>
        </w:rPr>
      </w:pPr>
    </w:p>
    <w:p>
      <w:pPr>
        <w:ind w:left="900" w:right="3599" w:hanging="271"/>
        <w:spacing w:after="0" w:line="247"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the next date that interest on the ZONES is payable; or</w:t>
      </w:r>
    </w:p>
    <w:p>
      <w:pPr>
        <w:spacing w:after="0" w:line="349" w:lineRule="exact"/>
        <w:rPr>
          <w:rFonts w:ascii="Courier New" w:cs="Courier New" w:eastAsia="Courier New" w:hAnsi="Courier New"/>
          <w:sz w:val="15"/>
          <w:szCs w:val="15"/>
          <w:color w:val="auto"/>
        </w:rPr>
      </w:pPr>
    </w:p>
    <w:p>
      <w:pPr>
        <w:ind w:left="900" w:right="3219" w:hanging="271"/>
        <w:spacing w:after="0" w:line="246"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we are required to give notice to the NYSE (or any other applicable self-regulatory organization) or to holders of the ZONES of the record date or the date any quarterly interest payment is payable.</w:t>
      </w:r>
    </w:p>
    <w:p>
      <w:pPr>
        <w:spacing w:after="0" w:line="177"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7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have no current intention of deferring interest payments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original principal amount per ZONES is equal to its initial purchase price, or $71.52.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180"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An "extraordinary dividend" means a dividend or distribution consisting of cash or any other property (other than additional reference shares), except for regular periodic cash dividends.</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77"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At maturity you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 "final period distribution" means, in respect of (a) the maturity date, a distribution determined in accordance with clauses (2), (3) and (4) below, and (b) the redemption date, a distribution determined in accordance with clauses (1), (2), (3) and (4) below. If the redemption date is in connection with a rollover offering, the distribution determined in accordance with clause (4) shall be all dividends and distributions on or in respect of the reference shares which a holder of reference shares on the pricing date (defined below) would be entitled to receive.</w:t>
      </w:r>
    </w:p>
    <w:p>
      <w:pPr>
        <w:spacing w:after="0" w:line="180" w:lineRule="exact"/>
        <w:rPr>
          <w:sz w:val="20"/>
          <w:szCs w:val="20"/>
          <w:color w:val="auto"/>
        </w:rPr>
      </w:pPr>
    </w:p>
    <w:p>
      <w:pPr>
        <w:ind w:left="1000" w:right="3499" w:hanging="371"/>
        <w:spacing w:after="0" w:line="246"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178" w:lineRule="exact"/>
        <w:rPr>
          <w:rFonts w:ascii="Courier New" w:cs="Courier New" w:eastAsia="Courier New" w:hAnsi="Courier New"/>
          <w:sz w:val="15"/>
          <w:szCs w:val="15"/>
          <w:color w:val="auto"/>
        </w:rPr>
      </w:pPr>
    </w:p>
    <w:p>
      <w:pPr>
        <w:ind w:left="1000" w:right="3319" w:hanging="371"/>
        <w:spacing w:after="0" w:line="246"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distributions on or in respect of the reference shares declared by the applicable reference company and for</w:t>
      </w:r>
    </w:p>
    <w:p>
      <w:pPr>
        <w:spacing w:after="0" w:line="1" w:lineRule="exact"/>
        <w:rPr>
          <w:rFonts w:ascii="Courier New" w:cs="Courier New" w:eastAsia="Courier New" w:hAnsi="Courier New"/>
          <w:sz w:val="15"/>
          <w:szCs w:val="15"/>
          <w:color w:val="auto"/>
        </w:rPr>
      </w:pPr>
    </w:p>
    <w:p>
      <w:pPr>
        <w:ind w:left="1000"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ex- date for the dividend or distribution falls during the period from the date of original issuance of the ZONES to</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643" w:right="1440" w:bottom="606" w:gutter="0" w:footer="0" w:header="0"/>
        </w:sectPr>
      </w:pPr>
    </w:p>
    <w:bookmarkStart w:id="14" w:name="page15"/>
    <w:bookmarkEnd w:id="14"/>
    <w:p>
      <w:pPr>
        <w:ind w:left="1000" w:right="3419"/>
        <w:spacing w:after="0" w:line="247" w:lineRule="auto"/>
        <w:rPr>
          <w:sz w:val="20"/>
          <w:szCs w:val="20"/>
          <w:color w:val="auto"/>
        </w:rPr>
      </w:pPr>
      <w:r>
        <w:rPr>
          <w:rFonts w:ascii="Courier New" w:cs="Courier New" w:eastAsia="Courier New" w:hAnsi="Courier New"/>
          <w:sz w:val="15"/>
          <w:szCs w:val="15"/>
          <w:color w:val="auto"/>
        </w:rPr>
        <w:t>the most recent scheduled interest payment date and which have not been distributed to holders of reference shares prior to the most recent scheduled interest payment date, plus</w:t>
      </w:r>
    </w:p>
    <w:p>
      <w:pPr>
        <w:spacing w:after="0" w:line="174" w:lineRule="exact"/>
        <w:rPr>
          <w:sz w:val="20"/>
          <w:szCs w:val="20"/>
          <w:color w:val="auto"/>
        </w:rPr>
      </w:pPr>
    </w:p>
    <w:p>
      <w:pPr>
        <w:ind w:left="1000" w:right="3319" w:hanging="371"/>
        <w:spacing w:after="0" w:line="246"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177" w:lineRule="exact"/>
        <w:rPr>
          <w:rFonts w:ascii="Courier New" w:cs="Courier New" w:eastAsia="Courier New" w:hAnsi="Courier New"/>
          <w:sz w:val="15"/>
          <w:szCs w:val="15"/>
          <w:color w:val="auto"/>
        </w:rPr>
      </w:pPr>
    </w:p>
    <w:p>
      <w:pPr>
        <w:ind w:left="1000" w:right="3219" w:hanging="371"/>
        <w:spacing w:after="0" w:line="246"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E x (1 - 0.05n)</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where:</w:t>
      </w:r>
    </w:p>
    <w:p>
      <w:pPr>
        <w:spacing w:after="0" w:line="180" w:lineRule="exact"/>
        <w:rPr>
          <w:sz w:val="20"/>
          <w:szCs w:val="20"/>
          <w:color w:val="auto"/>
        </w:rPr>
      </w:pPr>
    </w:p>
    <w:p>
      <w:pPr>
        <w:ind w:left="1360" w:right="2959" w:hanging="363"/>
        <w:spacing w:after="0" w:line="246" w:lineRule="auto"/>
        <w:rPr>
          <w:sz w:val="20"/>
          <w:szCs w:val="20"/>
          <w:color w:val="auto"/>
        </w:rPr>
      </w:pPr>
      <w:r>
        <w:rPr>
          <w:rFonts w:ascii="Courier New" w:cs="Courier New" w:eastAsia="Courier New" w:hAnsi="Courier New"/>
          <w:sz w:val="15"/>
          <w:szCs w:val="15"/>
          <w:color w:val="auto"/>
        </w:rPr>
        <w:t>E = all dividends and distributions on or in respect of the reference shares which a holder of reference shares on the applicable day would be entitled to receive, provided that an ex-date that occurs on a day that is not a scheduled trading day shall be deemed to have occurred on the immediately preceding scheduled trading day; and</w:t>
      </w:r>
    </w:p>
    <w:p>
      <w:pPr>
        <w:spacing w:after="0" w:line="178" w:lineRule="exact"/>
        <w:rPr>
          <w:sz w:val="20"/>
          <w:szCs w:val="20"/>
          <w:color w:val="auto"/>
        </w:rPr>
      </w:pPr>
    </w:p>
    <w:p>
      <w:pPr>
        <w:ind w:left="1360" w:right="3319" w:hanging="363"/>
        <w:spacing w:after="0" w:line="247" w:lineRule="auto"/>
        <w:rPr>
          <w:sz w:val="20"/>
          <w:szCs w:val="20"/>
          <w:color w:val="auto"/>
        </w:rPr>
      </w:pPr>
      <w:r>
        <w:rPr>
          <w:rFonts w:ascii="Courier New" w:cs="Courier New" w:eastAsia="Courier New" w:hAnsi="Courier New"/>
          <w:sz w:val="15"/>
          <w:szCs w:val="15"/>
          <w:color w:val="auto"/>
        </w:rPr>
        <w:t>n = the number of scheduled trading days that have elapsed in the averaging period with the first trading day of the averaging period being counted as zero.</w:t>
      </w:r>
    </w:p>
    <w:p>
      <w:pPr>
        <w:spacing w:after="0" w:line="174"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option</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You may at any time or from time to time exchange a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180" w:lineRule="exact"/>
        <w:rPr>
          <w:sz w:val="20"/>
          <w:szCs w:val="20"/>
          <w:color w:val="auto"/>
        </w:rPr>
      </w:pPr>
    </w:p>
    <w:p>
      <w:pPr>
        <w:ind w:right="3419" w:firstLine="636"/>
        <w:spacing w:after="0" w:line="246" w:lineRule="auto"/>
        <w:rPr>
          <w:sz w:val="20"/>
          <w:szCs w:val="20"/>
          <w:color w:val="auto"/>
        </w:rPr>
      </w:pPr>
      <w:r>
        <w:rPr>
          <w:rFonts w:ascii="Courier New" w:cs="Courier New" w:eastAsia="Courier New" w:hAnsi="Courier New"/>
          <w:sz w:val="15"/>
          <w:szCs w:val="15"/>
          <w:color w:val="auto"/>
        </w:rPr>
        <w:t>We will pay you the amount due upon exchange as soon as reasonably practicable after you deliver an exchange notice to the trustee, but in no event earlier than three trading days after the date of the notice or later than ten trading days after the date of the notice.</w:t>
      </w:r>
    </w:p>
    <w:p>
      <w:pPr>
        <w:spacing w:after="0" w:line="177"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The "exchange market value" means the closing price (as defined below) on the trading day (as defined below) following the date you deliver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353"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353"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So long as the ZONES are held through DTC, you may exercise your exchange right through the relevant direct participant in the DTC ATOP system. If the ZONES are held in certificated form, you may exercise your exchange right as follows:</w:t>
      </w:r>
    </w:p>
    <w:p>
      <w:pPr>
        <w:spacing w:after="0" w:line="177" w:lineRule="exact"/>
        <w:rPr>
          <w:sz w:val="20"/>
          <w:szCs w:val="20"/>
          <w:color w:val="auto"/>
        </w:rPr>
      </w:pPr>
    </w:p>
    <w:p>
      <w:pPr>
        <w:ind w:left="900" w:right="3039" w:hanging="271"/>
        <w:spacing w:after="0" w:line="24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an exchange notice in the form available from the trustee and deliver this notice to the trustee at the office maintained by the trustee for this purpose;</w:t>
      </w:r>
    </w:p>
    <w:p>
      <w:pPr>
        <w:spacing w:after="0" w:line="174"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ZONES to the trustee;</w:t>
      </w:r>
    </w:p>
    <w:p>
      <w:pPr>
        <w:spacing w:after="0" w:line="179" w:lineRule="exact"/>
        <w:rPr>
          <w:rFonts w:ascii="Courier New" w:cs="Courier New" w:eastAsia="Courier New" w:hAnsi="Courier New"/>
          <w:sz w:val="15"/>
          <w:szCs w:val="15"/>
          <w:color w:val="auto"/>
        </w:rPr>
      </w:pPr>
    </w:p>
    <w:p>
      <w:pPr>
        <w:ind w:left="900" w:right="3139" w:hanging="271"/>
        <w:spacing w:after="0" w:line="24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furnish appropriate endorsement and transfer documents; and</w:t>
      </w:r>
    </w:p>
    <w:p>
      <w:pPr>
        <w:spacing w:after="0" w:line="174"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ectPr>
          <w:pgSz w:w="11900" w:h="16838" w:orient="portrait"/>
          <w:cols w:equalWidth="0" w:num="1">
            <w:col w:w="10219"/>
          </w:cols>
          <w:pgMar w:left="240" w:top="643" w:right="1440" w:bottom="81" w:gutter="0" w:footer="0" w:header="0"/>
        </w:sectPr>
      </w:pPr>
    </w:p>
    <w:bookmarkStart w:id="15" w:name="page16"/>
    <w:bookmarkEnd w:id="15"/>
    <w:p>
      <w:pPr>
        <w:ind w:left="22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9019"/>
          </w:cols>
          <w:pgMar w:left="1440" w:top="316" w:right="1440" w:bottom="1440" w:gutter="0" w:footer="0" w:header="0"/>
        </w:sectPr>
      </w:pPr>
    </w:p>
    <w:bookmarkStart w:id="16" w:name="page17"/>
    <w:bookmarkEnd w:id="16"/>
    <w:p>
      <w:pPr>
        <w:ind w:right="3139" w:firstLine="636"/>
        <w:spacing w:after="0" w:line="247" w:lineRule="auto"/>
        <w:rPr>
          <w:sz w:val="20"/>
          <w:szCs w:val="20"/>
          <w:color w:val="auto"/>
        </w:rPr>
      </w:pPr>
      <w:r>
        <w:rPr>
          <w:rFonts w:ascii="Courier New" w:cs="Courier New" w:eastAsia="Courier New" w:hAnsi="Courier New"/>
          <w:sz w:val="15"/>
          <w:szCs w:val="15"/>
          <w:color w:val="auto"/>
        </w:rPr>
        <w:t>Pursuant to the subordinated indenture, the date on which all of the foregoing requirements have been satisfied is the redemption date with respect to the ZONES delivered for exchange.</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currently hold approximately 47.2 million shares of the Sprint PCS stock. We may, but are not required to, hold a number of shares of the Sprint PCS stock equal to the number of the ZONES outstanding until maturity or redemption of the ZONES and sell those shares to raise the proceeds to pay the amount due upon exchange, maturity or redemption of the ZONES. Although we cannot assure you that these sales of the Sprint PCS stock will not adversely affect the market for the Sprint PCS stock or the amount due upon exchange, maturity or redemption, we have no reason to believe that any of these sales will have this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redeem at any time all but not some of the ZONES at a redemption price equal to the sum of (a) the higher of the contingent principal amount of the ZONES or the sum of the current market value of the reference shares plus any deferred quarterly payments of interest, plus, in either case, the final period distribution, and (b) $3.2184 per ZONES if we redeem prior to October 15, 2000, $2.1456 per ZONES if we redeem prior to October 15, 2001, $1.0728 per ZONES if we redeem prior to October 15, 2002, or zero per ZONES if we redeem any time on or after October 15, 2002.</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"current market value"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8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 "rollover offering"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you if we elect to redeem your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18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"closing price"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643" w:right="1440" w:bottom="1440" w:gutter="0" w:footer="0" w:header="0"/>
        </w:sectPr>
      </w:pPr>
    </w:p>
    <w:bookmarkStart w:id="17" w:name="page18"/>
    <w:bookmarkEnd w:id="17"/>
    <w:p>
      <w:pPr>
        <w:ind w:right="3039"/>
        <w:spacing w:after="0" w:line="246" w:lineRule="auto"/>
        <w:rPr>
          <w:sz w:val="20"/>
          <w:szCs w:val="20"/>
          <w:color w:val="auto"/>
        </w:rPr>
      </w:pPr>
      <w:r>
        <w:rPr>
          <w:rFonts w:ascii="Courier New" w:cs="Courier New" w:eastAsia="Courier New" w:hAnsi="Courier New"/>
          <w:sz w:val="15"/>
          <w:szCs w:val="15"/>
          <w:color w:val="auto"/>
        </w:rPr>
        <w:t>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addition, if at any time on or prior to January 30, 2000, a "tax event"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 "tax event"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183"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will give you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179"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In compliance with applicable law (including the United States federal securities laws), we and our affiliates may, at any time, purchase outstanding ZONES by tender, in the open market or by private agreement.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jc w:val="both"/>
        <w:ind w:right="3419" w:firstLine="636"/>
        <w:spacing w:after="0" w:line="247" w:lineRule="auto"/>
        <w:rPr>
          <w:sz w:val="20"/>
          <w:szCs w:val="20"/>
          <w:color w:val="auto"/>
        </w:rPr>
      </w:pPr>
      <w:r>
        <w:rPr>
          <w:rFonts w:ascii="Courier New" w:cs="Courier New" w:eastAsia="Courier New" w:hAnsi="Courier New"/>
          <w:sz w:val="15"/>
          <w:szCs w:val="15"/>
          <w:color w:val="auto"/>
        </w:rPr>
        <w:t>The ZONES are unsecured and junior in right of payment to all senior indebtedness (as we define below). This means that no payment of principal, premium (if any) or interest on the ZONES may be made if:</w:t>
      </w:r>
    </w:p>
    <w:p>
      <w:pPr>
        <w:spacing w:after="0" w:line="174" w:lineRule="exact"/>
        <w:rPr>
          <w:sz w:val="20"/>
          <w:szCs w:val="20"/>
          <w:color w:val="auto"/>
        </w:rPr>
      </w:pPr>
    </w:p>
    <w:p>
      <w:pPr>
        <w:ind w:left="900" w:right="3219" w:hanging="271"/>
        <w:spacing w:after="0" w:line="247"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senior indebtedness is not paid when due, any applicable grace period with respect to any default for non-payment of principal, premium,</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643" w:right="1440" w:bottom="955" w:gutter="0" w:footer="0" w:header="0"/>
        </w:sectPr>
      </w:pPr>
    </w:p>
    <w:bookmarkStart w:id="18" w:name="page19"/>
    <w:bookmarkEnd w:id="18"/>
    <w:p>
      <w:pPr>
        <w:jc w:val="both"/>
        <w:ind w:left="907" w:right="3499"/>
        <w:spacing w:after="0" w:line="247" w:lineRule="auto"/>
        <w:rPr>
          <w:sz w:val="20"/>
          <w:szCs w:val="20"/>
          <w:color w:val="auto"/>
        </w:rPr>
      </w:pPr>
      <w:r>
        <w:rPr>
          <w:rFonts w:ascii="Courier New" w:cs="Courier New" w:eastAsia="Courier New" w:hAnsi="Courier New"/>
          <w:sz w:val="15"/>
          <w:szCs w:val="15"/>
          <w:color w:val="auto"/>
        </w:rPr>
        <w:t>interest or any other payment due on any senior indebtedness has ended and that default has not been cured or waived or ceased to exist; or</w:t>
      </w:r>
    </w:p>
    <w:p>
      <w:pPr>
        <w:spacing w:after="0" w:line="174" w:lineRule="exact"/>
        <w:rPr>
          <w:sz w:val="20"/>
          <w:szCs w:val="20"/>
          <w:color w:val="auto"/>
        </w:rPr>
      </w:pPr>
    </w:p>
    <w:p>
      <w:pPr>
        <w:ind w:left="907" w:right="3139" w:hanging="271"/>
        <w:spacing w:after="0" w:line="247" w:lineRule="auto"/>
        <w:tabs>
          <w:tab w:leader="none" w:pos="90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any senior indebtedness has been accelerated because of a default.</w:t>
      </w:r>
    </w:p>
    <w:p>
      <w:pPr>
        <w:spacing w:after="0" w:line="175"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Corporation.</w:t>
      </w:r>
    </w:p>
    <w:p>
      <w:pPr>
        <w:spacing w:after="0" w:line="184" w:lineRule="exact"/>
        <w:rPr>
          <w:sz w:val="20"/>
          <w:szCs w:val="20"/>
          <w:color w:val="auto"/>
        </w:rPr>
      </w:pPr>
    </w:p>
    <w:p>
      <w:pPr>
        <w:ind w:left="7" w:right="3139" w:firstLine="636"/>
        <w:spacing w:after="0" w:line="247" w:lineRule="auto"/>
        <w:rPr>
          <w:sz w:val="20"/>
          <w:szCs w:val="20"/>
          <w:color w:val="auto"/>
        </w:rPr>
      </w:pPr>
      <w:r>
        <w:rPr>
          <w:rFonts w:ascii="Courier New" w:cs="Courier New" w:eastAsia="Courier New" w:hAnsi="Courier New"/>
          <w:sz w:val="15"/>
          <w:szCs w:val="15"/>
          <w:color w:val="auto"/>
        </w:rPr>
        <w:t>"Senior indebtedness" means the principal of, premium, if any, interest on, and any other payment due pursuant to any of the following, whether outstanding today or incurred by us in the future:</w:t>
      </w:r>
    </w:p>
    <w:p>
      <w:pPr>
        <w:spacing w:after="0" w:line="174" w:lineRule="exact"/>
        <w:rPr>
          <w:sz w:val="20"/>
          <w:szCs w:val="20"/>
          <w:color w:val="auto"/>
        </w:rPr>
      </w:pPr>
    </w:p>
    <w:p>
      <w:pPr>
        <w:ind w:left="1007" w:right="2959" w:hanging="371"/>
        <w:spacing w:after="0" w:line="246" w:lineRule="auto"/>
        <w:tabs>
          <w:tab w:leader="none" w:pos="10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78" w:lineRule="exact"/>
        <w:rPr>
          <w:rFonts w:ascii="Courier New" w:cs="Courier New" w:eastAsia="Courier New" w:hAnsi="Courier New"/>
          <w:sz w:val="15"/>
          <w:szCs w:val="15"/>
          <w:color w:val="auto"/>
        </w:rPr>
      </w:pPr>
    </w:p>
    <w:p>
      <w:pPr>
        <w:ind w:left="1007" w:right="3419" w:hanging="371"/>
        <w:spacing w:after="0" w:line="247" w:lineRule="auto"/>
        <w:tabs>
          <w:tab w:leader="none" w:pos="10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indebtedness evidenced by notes, debentures, bonds or other securities sold by us for money;</w:t>
      </w:r>
    </w:p>
    <w:p>
      <w:pPr>
        <w:spacing w:after="0" w:line="174" w:lineRule="exact"/>
        <w:rPr>
          <w:rFonts w:ascii="Courier New" w:cs="Courier New" w:eastAsia="Courier New" w:hAnsi="Courier New"/>
          <w:sz w:val="15"/>
          <w:szCs w:val="15"/>
          <w:color w:val="auto"/>
        </w:rPr>
      </w:pPr>
    </w:p>
    <w:p>
      <w:pPr>
        <w:ind w:left="1007" w:right="3219" w:hanging="371"/>
        <w:spacing w:after="0" w:line="247" w:lineRule="auto"/>
        <w:tabs>
          <w:tab w:leader="none" w:pos="10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lease obligations which are capitalized on our books in accordance with generally accepted accounting principles;</w:t>
      </w:r>
    </w:p>
    <w:p>
      <w:pPr>
        <w:spacing w:after="0" w:line="174" w:lineRule="exact"/>
        <w:rPr>
          <w:rFonts w:ascii="Courier New" w:cs="Courier New" w:eastAsia="Courier New" w:hAnsi="Courier New"/>
          <w:sz w:val="15"/>
          <w:szCs w:val="15"/>
          <w:color w:val="auto"/>
        </w:rPr>
      </w:pPr>
    </w:p>
    <w:p>
      <w:pPr>
        <w:ind w:left="1007" w:right="3139" w:hanging="371"/>
        <w:spacing w:after="0" w:line="246" w:lineRule="auto"/>
        <w:tabs>
          <w:tab w:leader="none" w:pos="10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78" w:lineRule="exact"/>
        <w:rPr>
          <w:rFonts w:ascii="Courier New" w:cs="Courier New" w:eastAsia="Courier New" w:hAnsi="Courier New"/>
          <w:sz w:val="15"/>
          <w:szCs w:val="15"/>
          <w:color w:val="auto"/>
        </w:rPr>
      </w:pPr>
    </w:p>
    <w:p>
      <w:pPr>
        <w:ind w:left="1007" w:right="3039" w:hanging="371"/>
        <w:spacing w:after="0" w:line="246" w:lineRule="auto"/>
        <w:tabs>
          <w:tab w:leader="none" w:pos="10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7"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subordinated debt indenture. Senior Indebtedness does not include any indebtedness that is by its terms junior or equal with the ZONES.</w:t>
      </w:r>
    </w:p>
    <w:p>
      <w:pPr>
        <w:spacing w:after="0" w:line="181" w:lineRule="exact"/>
        <w:rPr>
          <w:sz w:val="20"/>
          <w:szCs w:val="20"/>
          <w:color w:val="auto"/>
        </w:rPr>
      </w:pPr>
    </w:p>
    <w:p>
      <w:pPr>
        <w:ind w:left="7" w:right="3139" w:firstLine="636"/>
        <w:spacing w:after="0" w:line="246" w:lineRule="auto"/>
        <w:rPr>
          <w:sz w:val="20"/>
          <w:szCs w:val="20"/>
          <w:color w:val="auto"/>
        </w:rPr>
      </w:pPr>
      <w:r>
        <w:rPr>
          <w:rFonts w:ascii="Courier New" w:cs="Courier New" w:eastAsia="Courier New" w:hAnsi="Courier New"/>
          <w:sz w:val="15"/>
          <w:szCs w:val="15"/>
          <w:color w:val="auto"/>
        </w:rPr>
        <w:t>The ZONES do not limit our ability or that of our subsidiaries to incur additional indebtedness, including indebtedness that ranks senior in priority of payment to the ZONES. As of June 30, 1999, the total amount of senior indebtedness of Comcast Corporation and the total amount of indebtedness of Comcast Corporation's consolidated subsidiaries that would have effectively ranked senior to the ZONES would have been $7.124 billion.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Amount payable upon bankruptcy</w:t>
      </w:r>
    </w:p>
    <w:p>
      <w:pPr>
        <w:spacing w:after="0" w:line="180" w:lineRule="exact"/>
        <w:rPr>
          <w:sz w:val="20"/>
          <w:szCs w:val="20"/>
          <w:color w:val="auto"/>
        </w:rPr>
      </w:pPr>
    </w:p>
    <w:p>
      <w:pPr>
        <w:ind w:left="7" w:right="3319" w:firstLine="636"/>
        <w:spacing w:after="0" w:line="246" w:lineRule="auto"/>
        <w:rPr>
          <w:sz w:val="20"/>
          <w:szCs w:val="20"/>
          <w:color w:val="auto"/>
        </w:rPr>
      </w:pPr>
      <w:r>
        <w:rPr>
          <w:rFonts w:ascii="Courier New" w:cs="Courier New" w:eastAsia="Courier New" w:hAnsi="Courier New"/>
          <w:sz w:val="15"/>
          <w:szCs w:val="15"/>
          <w:color w:val="auto"/>
        </w:rPr>
        <w:t>Upon dissolution, winding-up, liquidation or reorganization, whether voluntary or involuntary or in bankruptcy, insolvency, receivership or other similar proceedings in respect of Comcast Corporation, holders of the ZONES should be entitled to a claim against us in an amount equal to the higher of</w:t>
      </w:r>
    </w:p>
    <w:p>
      <w:pPr>
        <w:spacing w:after="0" w:line="2" w:lineRule="exact"/>
        <w:rPr>
          <w:sz w:val="20"/>
          <w:szCs w:val="20"/>
          <w:color w:val="auto"/>
        </w:rPr>
      </w:pPr>
    </w:p>
    <w:p>
      <w:pPr>
        <w:ind w:left="7" w:right="3139" w:hanging="7"/>
        <w:spacing w:after="0" w:line="247" w:lineRule="auto"/>
        <w:tabs>
          <w:tab w:leader="none" w:pos="3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 or (b) the sum of the current market value (without giving effect to the provisions relating to rollover offerings) of the reference shares plus any deferred quarterly</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26"/>
          </w:cols>
          <w:pgMar w:left="233" w:top="643" w:right="1440" w:bottom="1440" w:gutter="0" w:footer="0" w:header="0"/>
        </w:sectPr>
      </w:pPr>
    </w:p>
    <w:bookmarkStart w:id="19" w:name="page20"/>
    <w:bookmarkEnd w:id="19"/>
    <w:p>
      <w:pPr>
        <w:ind w:right="3039"/>
        <w:spacing w:after="0" w:line="247" w:lineRule="auto"/>
        <w:rPr>
          <w:sz w:val="20"/>
          <w:szCs w:val="20"/>
          <w:color w:val="auto"/>
        </w:rPr>
      </w:pPr>
      <w:r>
        <w:rPr>
          <w:rFonts w:ascii="Courier New" w:cs="Courier New" w:eastAsia="Courier New" w:hAnsi="Courier New"/>
          <w:sz w:val="15"/>
          <w:szCs w:val="15"/>
          <w:color w:val="auto"/>
        </w:rPr>
        <w:t>payments of interest (including any accrued interest thereon), plus, in either case, the final period distribution determined as if the date of such event was the maturity date of the ZONES.</w:t>
      </w:r>
    </w:p>
    <w:p>
      <w:pPr>
        <w:spacing w:after="0" w:line="174" w:lineRule="exact"/>
        <w:rPr>
          <w:sz w:val="20"/>
          <w:szCs w:val="20"/>
          <w:color w:val="auto"/>
        </w:rPr>
      </w:pPr>
    </w:p>
    <w:p>
      <w:pPr>
        <w:jc w:val="both"/>
        <w:ind w:right="3319" w:firstLine="636"/>
        <w:spacing w:after="0" w:line="247" w:lineRule="auto"/>
        <w:rPr>
          <w:sz w:val="20"/>
          <w:szCs w:val="20"/>
          <w:color w:val="auto"/>
        </w:rPr>
      </w:pPr>
      <w:r>
        <w:rPr>
          <w:rFonts w:ascii="Courier New" w:cs="Courier New" w:eastAsia="Courier New" w:hAnsi="Courier New"/>
          <w:sz w:val="15"/>
          <w:szCs w:val="15"/>
          <w:color w:val="auto"/>
        </w:rPr>
        <w:t>Because of the subordination provisions contained in the subordinated Indenture, the amount holders actually receive is likely to be substantially less than the amount of their claim.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adjustments</w:t>
      </w:r>
    </w:p>
    <w:p>
      <w:pPr>
        <w:spacing w:after="0" w:line="180" w:lineRule="exact"/>
        <w:rPr>
          <w:sz w:val="20"/>
          <w:szCs w:val="20"/>
          <w:color w:val="auto"/>
        </w:rPr>
      </w:pPr>
    </w:p>
    <w:p>
      <w:pPr>
        <w:jc w:val="both"/>
        <w:ind w:right="3319" w:firstLine="636"/>
        <w:spacing w:after="0" w:line="247" w:lineRule="auto"/>
        <w:rPr>
          <w:sz w:val="20"/>
          <w:szCs w:val="20"/>
          <w:color w:val="auto"/>
        </w:rPr>
      </w:pPr>
      <w:r>
        <w:rPr>
          <w:rFonts w:ascii="Courier New" w:cs="Courier New" w:eastAsia="Courier New" w:hAnsi="Courier New"/>
          <w:sz w:val="15"/>
          <w:szCs w:val="15"/>
          <w:color w:val="auto"/>
        </w:rPr>
        <w:t>For purposes of this prospectus supplement, "reference company" means Sprint and any other issuer of a reference share.</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 "reference share" means, collectively:</w:t>
      </w:r>
    </w:p>
    <w:p>
      <w:pPr>
        <w:spacing w:after="0" w:line="180" w:lineRule="exact"/>
        <w:rPr>
          <w:sz w:val="20"/>
          <w:szCs w:val="20"/>
          <w:color w:val="auto"/>
        </w:rPr>
      </w:pPr>
    </w:p>
    <w:p>
      <w:pPr>
        <w:ind w:left="900" w:hanging="271"/>
        <w:spacing w:after="0"/>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one share of Sprint PCS stock; and</w:t>
      </w:r>
    </w:p>
    <w:p>
      <w:pPr>
        <w:spacing w:after="0" w:line="179" w:lineRule="exact"/>
        <w:rPr>
          <w:rFonts w:ascii="Courier New" w:cs="Courier New" w:eastAsia="Courier New" w:hAnsi="Courier New"/>
          <w:sz w:val="15"/>
          <w:szCs w:val="15"/>
          <w:color w:val="auto"/>
        </w:rPr>
      </w:pPr>
    </w:p>
    <w:p>
      <w:pPr>
        <w:ind w:left="900" w:right="3039" w:hanging="271"/>
        <w:spacing w:after="0" w:line="246" w:lineRule="auto"/>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w:t>
      </w:r>
    </w:p>
    <w:p>
      <w:pPr>
        <w:spacing w:after="0" w:line="3" w:lineRule="exact"/>
        <w:rPr>
          <w:rFonts w:ascii="Courier New" w:cs="Courier New" w:eastAsia="Courier New" w:hAnsi="Courier New"/>
          <w:sz w:val="15"/>
          <w:szCs w:val="15"/>
          <w:color w:val="auto"/>
        </w:rPr>
      </w:pPr>
    </w:p>
    <w:p>
      <w:pPr>
        <w:ind w:left="900" w:right="4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share, in each case directly or as the result of successive applications of this paragraph upon any of the following events:</w:t>
      </w:r>
    </w:p>
    <w:p>
      <w:pPr>
        <w:spacing w:after="0" w:line="174" w:lineRule="exact"/>
        <w:rPr>
          <w:rFonts w:ascii="Courier New" w:cs="Courier New" w:eastAsia="Courier New" w:hAnsi="Courier New"/>
          <w:sz w:val="15"/>
          <w:szCs w:val="15"/>
          <w:color w:val="auto"/>
        </w:rPr>
      </w:pPr>
    </w:p>
    <w:p>
      <w:pPr>
        <w:ind w:left="1180" w:right="3859" w:hanging="278"/>
        <w:spacing w:after="0" w:line="247"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on or in respect of a reference share in reference shares;</w:t>
      </w:r>
    </w:p>
    <w:p>
      <w:pPr>
        <w:spacing w:after="0" w:line="174" w:lineRule="exact"/>
        <w:rPr>
          <w:rFonts w:ascii="Courier New" w:cs="Courier New" w:eastAsia="Courier New" w:hAnsi="Courier New"/>
          <w:sz w:val="15"/>
          <w:szCs w:val="15"/>
          <w:color w:val="auto"/>
        </w:rPr>
      </w:pPr>
    </w:p>
    <w:p>
      <w:pPr>
        <w:ind w:left="1180" w:right="3599" w:hanging="278"/>
        <w:spacing w:after="0" w:line="247"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reference shares into a smaller number of shares or other units;</w:t>
      </w:r>
    </w:p>
    <w:p>
      <w:pPr>
        <w:spacing w:after="0" w:line="174" w:lineRule="exact"/>
        <w:rPr>
          <w:rFonts w:ascii="Courier New" w:cs="Courier New" w:eastAsia="Courier New" w:hAnsi="Courier New"/>
          <w:sz w:val="15"/>
          <w:szCs w:val="15"/>
          <w:color w:val="auto"/>
        </w:rPr>
      </w:pPr>
    </w:p>
    <w:p>
      <w:pPr>
        <w:ind w:left="1180" w:right="4039" w:hanging="278"/>
        <w:spacing w:after="0" w:line="247"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subdivision of outstanding shares or other units of reference shares;</w:t>
      </w:r>
    </w:p>
    <w:p>
      <w:pPr>
        <w:spacing w:after="0" w:line="174" w:lineRule="exact"/>
        <w:rPr>
          <w:rFonts w:ascii="Courier New" w:cs="Courier New" w:eastAsia="Courier New" w:hAnsi="Courier New"/>
          <w:sz w:val="15"/>
          <w:szCs w:val="15"/>
          <w:color w:val="auto"/>
        </w:rPr>
      </w:pPr>
    </w:p>
    <w:p>
      <w:pPr>
        <w:ind w:left="1180" w:right="3859" w:hanging="278"/>
        <w:spacing w:after="0" w:line="247"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or reclassification of reference shares by issuance or exchange of other securities;</w:t>
      </w:r>
    </w:p>
    <w:p>
      <w:pPr>
        <w:spacing w:after="0" w:line="174" w:lineRule="exact"/>
        <w:rPr>
          <w:rFonts w:ascii="Courier New" w:cs="Courier New" w:eastAsia="Courier New" w:hAnsi="Courier New"/>
          <w:sz w:val="15"/>
          <w:szCs w:val="15"/>
          <w:color w:val="auto"/>
        </w:rPr>
      </w:pPr>
    </w:p>
    <w:p>
      <w:pPr>
        <w:ind w:left="1180" w:right="3779" w:hanging="278"/>
        <w:spacing w:after="0" w:line="246"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355" w:lineRule="exact"/>
        <w:rPr>
          <w:rFonts w:ascii="Courier New" w:cs="Courier New" w:eastAsia="Courier New" w:hAnsi="Courier New"/>
          <w:sz w:val="15"/>
          <w:szCs w:val="15"/>
          <w:color w:val="auto"/>
        </w:rPr>
      </w:pPr>
    </w:p>
    <w:p>
      <w:pPr>
        <w:ind w:left="1180" w:right="3499" w:hanging="278"/>
        <w:spacing w:after="0" w:line="246"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w:t>
      </w:r>
    </w:p>
    <w:p>
      <w:pPr>
        <w:spacing w:after="0" w:line="4" w:lineRule="exact"/>
        <w:rPr>
          <w:rFonts w:ascii="Courier New" w:cs="Courier New" w:eastAsia="Courier New" w:hAnsi="Courier New"/>
          <w:sz w:val="15"/>
          <w:szCs w:val="15"/>
          <w:color w:val="auto"/>
        </w:rPr>
      </w:pPr>
    </w:p>
    <w:p>
      <w:pPr>
        <w:ind w:left="1180" w:right="4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other property of the reference company or another corporation); and</w:t>
      </w:r>
    </w:p>
    <w:p>
      <w:pPr>
        <w:spacing w:after="0" w:line="349" w:lineRule="exact"/>
        <w:rPr>
          <w:rFonts w:ascii="Courier New" w:cs="Courier New" w:eastAsia="Courier New" w:hAnsi="Courier New"/>
          <w:sz w:val="15"/>
          <w:szCs w:val="15"/>
          <w:color w:val="auto"/>
        </w:rPr>
      </w:pPr>
    </w:p>
    <w:p>
      <w:pPr>
        <w:ind w:left="1180" w:right="3679" w:hanging="278"/>
        <w:spacing w:after="0" w:line="247" w:lineRule="auto"/>
        <w:tabs>
          <w:tab w:leader="none" w:pos="11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dissolution or winding up of the reference company or any reference company successor.</w:t>
      </w:r>
    </w:p>
    <w:p>
      <w:pPr>
        <w:sectPr>
          <w:pgSz w:w="11900" w:h="16838" w:orient="portrait"/>
          <w:cols w:equalWidth="0" w:num="1">
            <w:col w:w="10219"/>
          </w:cols>
          <w:pgMar w:left="240" w:top="642" w:right="1440" w:bottom="1440" w:gutter="0" w:footer="0" w:header="0"/>
        </w:sectPr>
      </w:pPr>
    </w:p>
    <w:bookmarkStart w:id="20" w:name="page21"/>
    <w:bookmarkEnd w:id="20"/>
    <w:p>
      <w:pPr>
        <w:ind w:left="620"/>
        <w:spacing w:after="0"/>
        <w:rPr>
          <w:sz w:val="20"/>
          <w:szCs w:val="20"/>
          <w:color w:val="auto"/>
        </w:rPr>
      </w:pPr>
      <w:r>
        <w:rPr>
          <w:rFonts w:ascii="Courier New" w:cs="Courier New" w:eastAsia="Courier New" w:hAnsi="Courier New"/>
          <w:sz w:val="15"/>
          <w:szCs w:val="15"/>
          <w:color w:val="auto"/>
        </w:rPr>
        <w:t>For purposes of the foregoing:</w:t>
      </w:r>
    </w:p>
    <w:p>
      <w:pPr>
        <w:spacing w:after="0" w:line="354" w:lineRule="exact"/>
        <w:rPr>
          <w:sz w:val="20"/>
          <w:szCs w:val="20"/>
          <w:color w:val="auto"/>
        </w:rPr>
      </w:pPr>
    </w:p>
    <w:p>
      <w:pPr>
        <w:ind w:left="900" w:right="2959" w:hanging="271"/>
        <w:spacing w:after="0" w:line="246"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00" w:right="3039" w:hanging="271"/>
        <w:spacing w:after="0" w:line="246"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35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As described above under "Interest," we will pay as additional interest to holders of the ZONES any property received in distribution on a reference share, unless it is also a reference share, in which</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642" w:right="1440" w:bottom="1440" w:gutter="0" w:footer="0" w:header="0"/>
        </w:sectPr>
      </w:pPr>
    </w:p>
    <w:bookmarkStart w:id="21" w:name="page22"/>
    <w:bookmarkEnd w:id="21"/>
    <w:p>
      <w:pPr>
        <w:ind w:right="3039"/>
        <w:spacing w:after="0" w:line="246" w:lineRule="auto"/>
        <w:rPr>
          <w:sz w:val="20"/>
          <w:szCs w:val="20"/>
          <w:color w:val="auto"/>
        </w:rPr>
      </w:pPr>
      <w:r>
        <w:rPr>
          <w:rFonts w:ascii="Courier New" w:cs="Courier New" w:eastAsia="Courier New" w:hAnsi="Courier New"/>
          <w:sz w:val="15"/>
          <w:szCs w:val="15"/>
          <w:color w:val="auto"/>
        </w:rPr>
        <w:t>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 "reference share offer"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 Pursuant to the planned merger between MCI WorldCom, Inc. and Sprint, holders of Sprint PCS stock would receive one new share of WorldCom PCS tracking stock and 0.1547 shares of MCI WorldCom stock for each share of Sprint PCS stock. If the merger occurs, the reference share offer adjustment will reflect this exchange of Sprint PCS stock for WorldCom PCS stock and MCI WorldCom stock.</w:t>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If a reference share offer is made, we may, at our option, either:</w:t>
      </w:r>
    </w:p>
    <w:p>
      <w:pPr>
        <w:spacing w:after="0" w:line="180" w:lineRule="exact"/>
        <w:rPr>
          <w:sz w:val="20"/>
          <w:szCs w:val="20"/>
          <w:color w:val="auto"/>
        </w:rPr>
      </w:pPr>
    </w:p>
    <w:p>
      <w:pPr>
        <w:ind w:left="900" w:right="2959" w:hanging="271"/>
        <w:spacing w:after="0" w:line="247"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pendency of the offer, increase the early exchange ratio to 100%; or</w:t>
      </w:r>
    </w:p>
    <w:p>
      <w:pPr>
        <w:spacing w:after="0" w:line="174"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reference share offer adjustment.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 "reference share offer adjustment"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79" w:lineRule="exact"/>
        <w:rPr>
          <w:sz w:val="20"/>
          <w:szCs w:val="20"/>
          <w:color w:val="auto"/>
        </w:rPr>
      </w:pPr>
    </w:p>
    <w:p>
      <w:pPr>
        <w:ind w:right="3319" w:firstLine="636"/>
        <w:spacing w:after="0" w:line="246" w:lineRule="auto"/>
        <w:rPr>
          <w:sz w:val="20"/>
          <w:szCs w:val="20"/>
          <w:color w:val="auto"/>
        </w:rPr>
      </w:pPr>
      <w:r>
        <w:rPr>
          <w:rFonts w:ascii="Courier New" w:cs="Courier New" w:eastAsia="Courier New" w:hAnsi="Courier New"/>
          <w:sz w:val="15"/>
          <w:szCs w:val="15"/>
          <w:color w:val="auto"/>
        </w:rPr>
        <w:t>The "reference share proportionate reduction" means a proportionate reduction in the number of reference shares which are the subject of the applicable reference share offer and attributable to one ZONES calculated in accordance with the following formula:</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 = ---</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where:</w:t>
      </w:r>
    </w:p>
    <w:p>
      <w:pPr>
        <w:spacing w:after="0" w:line="180" w:lineRule="exact"/>
        <w:rPr>
          <w:sz w:val="20"/>
          <w:szCs w:val="20"/>
          <w:color w:val="auto"/>
        </w:rPr>
      </w:pPr>
    </w:p>
    <w:p>
      <w:pPr>
        <w:ind w:left="1180" w:right="3139" w:hanging="362"/>
        <w:spacing w:after="0" w:line="247" w:lineRule="auto"/>
        <w:rPr>
          <w:sz w:val="20"/>
          <w:szCs w:val="20"/>
          <w:color w:val="auto"/>
        </w:rPr>
      </w:pPr>
      <w:r>
        <w:rPr>
          <w:rFonts w:ascii="Courier New" w:cs="Courier New" w:eastAsia="Courier New" w:hAnsi="Courier New"/>
          <w:sz w:val="15"/>
          <w:szCs w:val="15"/>
          <w:color w:val="auto"/>
        </w:rPr>
        <w:t>R = the fraction by which the number of reference shares of the class of reference shares subject to the reference share offer and attributable to one ZONES will be reduced.</w:t>
      </w:r>
    </w:p>
    <w:p>
      <w:pPr>
        <w:spacing w:after="0" w:line="174" w:lineRule="exact"/>
        <w:rPr>
          <w:sz w:val="20"/>
          <w:szCs w:val="20"/>
          <w:color w:val="auto"/>
        </w:rPr>
      </w:pPr>
    </w:p>
    <w:p>
      <w:pPr>
        <w:ind w:left="1180" w:right="3039" w:hanging="362"/>
        <w:spacing w:after="0" w:line="247" w:lineRule="auto"/>
        <w:rPr>
          <w:sz w:val="20"/>
          <w:szCs w:val="20"/>
          <w:color w:val="auto"/>
        </w:rPr>
      </w:pPr>
      <w:r>
        <w:rPr>
          <w:rFonts w:ascii="Courier New" w:cs="Courier New" w:eastAsia="Courier New" w:hAnsi="Courier New"/>
          <w:sz w:val="15"/>
          <w:szCs w:val="15"/>
          <w:color w:val="auto"/>
        </w:rPr>
        <w:t>X = the aggregate number of reference shares of the class of reference shares subject to the reference share offer accepted in the reference share offer.</w:t>
      </w:r>
    </w:p>
    <w:p>
      <w:pPr>
        <w:spacing w:after="0" w:line="174" w:lineRule="exact"/>
        <w:rPr>
          <w:sz w:val="20"/>
          <w:szCs w:val="20"/>
          <w:color w:val="auto"/>
        </w:rPr>
      </w:pPr>
    </w:p>
    <w:p>
      <w:pPr>
        <w:ind w:left="1180" w:right="3039" w:hanging="362"/>
        <w:spacing w:after="0" w:line="247" w:lineRule="auto"/>
        <w:rPr>
          <w:sz w:val="20"/>
          <w:szCs w:val="20"/>
          <w:color w:val="auto"/>
        </w:rPr>
      </w:pPr>
      <w:r>
        <w:rPr>
          <w:rFonts w:ascii="Courier New" w:cs="Courier New" w:eastAsia="Courier New" w:hAnsi="Courier New"/>
          <w:sz w:val="15"/>
          <w:szCs w:val="15"/>
          <w:color w:val="auto"/>
        </w:rPr>
        <w:t>N = the aggregate number of reference shares of the class of reference shares subject to the reference share offer outstanding immediately prior to the expiration of the reference share offer.</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181"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642" w:right="1440" w:bottom="431" w:gutter="0" w:footer="0" w:header="0"/>
        </w:sectPr>
      </w:pPr>
    </w:p>
    <w:bookmarkStart w:id="22" w:name="page23"/>
    <w:bookmarkEnd w:id="22"/>
    <w:p>
      <w:pPr>
        <w:ind w:right="3219" w:firstLine="636"/>
        <w:spacing w:after="0" w:line="246" w:lineRule="auto"/>
        <w:rPr>
          <w:sz w:val="20"/>
          <w:szCs w:val="20"/>
          <w:color w:val="auto"/>
        </w:rPr>
      </w:pPr>
      <w:r>
        <w:rPr>
          <w:rFonts w:ascii="Courier New" w:cs="Courier New" w:eastAsia="Courier New" w:hAnsi="Courier New"/>
          <w:sz w:val="15"/>
          <w:szCs w:val="15"/>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Calculations in respect of the ZONES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be responsible for making all calculations called for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 These calculations include, but are not limited to, determination of:</w:t>
      </w:r>
    </w:p>
    <w:p>
      <w:pPr>
        <w:spacing w:after="0" w:line="180" w:lineRule="exact"/>
        <w:rPr>
          <w:sz w:val="20"/>
          <w:szCs w:val="20"/>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market value of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market value of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period distribution on the ZONES;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value of any property distributed on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transaction consideration in a reference share offer;</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composition of a reference share; and</w:t>
      </w:r>
    </w:p>
    <w:p>
      <w:pPr>
        <w:spacing w:after="0" w:line="179" w:lineRule="exact"/>
        <w:rPr>
          <w:rFonts w:ascii="Courier New" w:cs="Courier New" w:eastAsia="Courier New" w:hAnsi="Courier New"/>
          <w:sz w:val="15"/>
          <w:szCs w:val="15"/>
          <w:color w:val="auto"/>
        </w:rPr>
      </w:pPr>
    </w:p>
    <w:p>
      <w:pPr>
        <w:ind w:left="900" w:right="3039" w:hanging="271"/>
        <w:spacing w:after="0" w:line="247"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accrued interest payable upon redemption or at maturity of the ZONES.</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Book-entry-only issuance--The Depository Trust Company</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ZONES will be represented by one or more global securities that will be deposited with and registered in the name of DTC or its nominee. This means that we will not issue certificates to you for the ZONES. Each global security will be issued to DTC which will keep a computerized record of its participants (for example, a broker) whose clients have purchased the ZONES. Each participant will then keep a record of its clients. Unless it is exchanged in whole or in part for a certificated security, a global security may not be transferred. However, DTC, its nominees and their successors may transfer a global security as a whole to one another.</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Beneficial interests in a global security will be shown on, and transfers of the global security will be made only through, records maintained by DTC and its participants. 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(which we refer to as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other organizations.</w:t>
      </w:r>
    </w:p>
    <w:p>
      <w:pPr>
        <w:spacing w:after="0" w:line="184"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77"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DTC is owned by a number of its direct participants and by the New York Stock Exchange, the American Stock Exchange and the National Association of Securities Dealers, Inc.</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When you purchase any of the ZONES through the DTC system, the purchases must be made by or through a direct participant, who will receive credit for the ZONES on DTC's records. Since you do not actually own the ZONES, you are the beneficial owner. Your ownership interest will only be recorded on the direct (or indirect) participants' records. DTC has no knowledge of your individual ownership of the ZONES. DTC's records only show the identity of the direct participants and the amount of the ZONES held by or through them. You will not receive a written confirmation of your purchase or sale or any periodic account statement directly from DTC. You will receive these from your direct (or indirect)</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642" w:right="1440" w:bottom="1130" w:gutter="0" w:footer="0" w:header="0"/>
        </w:sectPr>
      </w:pPr>
    </w:p>
    <w:bookmarkStart w:id="23" w:name="page24"/>
    <w:bookmarkEnd w:id="23"/>
    <w:p>
      <w:pPr>
        <w:ind w:right="3039"/>
        <w:spacing w:after="0" w:line="247" w:lineRule="auto"/>
        <w:rPr>
          <w:sz w:val="20"/>
          <w:szCs w:val="20"/>
          <w:color w:val="auto"/>
        </w:rPr>
      </w:pPr>
      <w:r>
        <w:rPr>
          <w:rFonts w:ascii="Courier New" w:cs="Courier New" w:eastAsia="Courier New" w:hAnsi="Courier New"/>
          <w:sz w:val="15"/>
          <w:szCs w:val="15"/>
          <w:color w:val="auto"/>
        </w:rPr>
        <w:t>participant. As a result, the direct (or indirect) participants are responsible for keeping accurate account of the holdings of their customers like you.</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Payments on the ZONES will be wired to DTC's nominee. We will treat DTC's nominee as the owner of the global security for all purposes. Accordingly, we, the trustee and any paying agent will have no direct responsibility or liability to pay amounts due on the global security to you or any other beneficial owners in the global security.</w:t>
      </w:r>
    </w:p>
    <w:p>
      <w:pPr>
        <w:spacing w:after="0" w:line="178"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Any redemption notices will be sent by us directly to DTC, who will in turn inform the direct participants, who will then contact you as a beneficial holder.</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It is DTC's current practice, upon receipt of any payment of distributions or liquidation amount, to credit direct participants' accounts on the payment date based on their holdings of beneficial interests in the global securities as shown on DTC's records. In addition, DTC's current practice is to assign any consenting or voting rights to direct participants whose accounts are credited with the ZONES on a record date, by using an omnibus proxy. Payments by participants to owners of beneficial interests in the global securities, and voting by participants, will be based on the customary practices between the participants and owners of beneficial interests, as is the case with the ZONES held for the account of customers registered in "street name". However, payments will be the responsibility of the participants and not of DTC, us or the trustee.</w:t>
      </w:r>
    </w:p>
    <w:p>
      <w:pPr>
        <w:spacing w:after="0" w:line="182"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ZONES represented by a global security will be exchangeable for certificated securities with the same terms in authorized denominations only if:</w:t>
      </w:r>
    </w:p>
    <w:p>
      <w:pPr>
        <w:spacing w:after="0" w:line="174" w:lineRule="exact"/>
        <w:rPr>
          <w:sz w:val="20"/>
          <w:szCs w:val="20"/>
          <w:color w:val="auto"/>
        </w:rPr>
      </w:pPr>
    </w:p>
    <w:p>
      <w:pPr>
        <w:ind w:left="900" w:right="3039" w:hanging="271"/>
        <w:spacing w:after="0" w:line="24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is unwilling or unable to continue as depositary or if DTC ceases to be a clearing agency registered under applicable law and a successor depositary is not appointed by us within 90 days; or</w:t>
      </w:r>
    </w:p>
    <w:p>
      <w:pPr>
        <w:spacing w:after="0" w:line="174" w:lineRule="exact"/>
        <w:rPr>
          <w:rFonts w:ascii="Courier New" w:cs="Courier New" w:eastAsia="Courier New" w:hAnsi="Courier New"/>
          <w:sz w:val="15"/>
          <w:szCs w:val="15"/>
          <w:color w:val="auto"/>
        </w:rPr>
      </w:pPr>
    </w:p>
    <w:p>
      <w:pPr>
        <w:ind w:left="900" w:right="3679" w:hanging="271"/>
        <w:spacing w:after="0" w:line="24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decide to discontinue use of the book-entry transfer system through DTC (or any successor depositary).</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If the book-entry-only system is discontinued, the trustee will keep the registration books for the ZONES at its corporate office and follow the practices and procedures discussed above.</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DTC has advised us that its management is aware that some computer applications, systems, and the like for processing data that are dependent upon calendar dates, including dates before, on and after January 1, 2000, may encounter Year 2000 problems. DTC has informed its participants and other members of the financial community that it has developed and is implementing a program so that its systems, as the same relate to the timely payment of distributions (including principal and interest payments) to security holders, book-entry deliveries and settlement of trades within DTC, continue to function appropriately. This program includes a technical assessment and a remediation plan, each of which is complete. Additionally, DTC's plan includes a testing phase, which is expected to be completed within appropriate time frames. However, DTC's ability to perform properly its services is also dependent upon other parties, including but not limited to issuers and their agents, as well as third party vendors from whom DTC licenses software and hardware, and third party vendors on whom DTC relies for information or the provision of services, including telecommunication and electrical utility service providers, among others. DTC has informed its participants and other members of the financial community that it is contacting (and will continue to contact) third party vendors from whom DTC acquires services to:</w:t>
      </w:r>
    </w:p>
    <w:p>
      <w:pPr>
        <w:spacing w:after="0" w:line="186" w:lineRule="exact"/>
        <w:rPr>
          <w:sz w:val="20"/>
          <w:szCs w:val="20"/>
          <w:color w:val="auto"/>
        </w:rPr>
      </w:pPr>
    </w:p>
    <w:p>
      <w:pPr>
        <w:ind w:left="900" w:right="3419" w:hanging="271"/>
        <w:spacing w:after="0" w:line="24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impress upon them the importance of such services being Year 2000 compliant; and</w:t>
      </w:r>
    </w:p>
    <w:p>
      <w:pPr>
        <w:spacing w:after="0" w:line="174" w:lineRule="exact"/>
        <w:rPr>
          <w:rFonts w:ascii="Courier New" w:cs="Courier New" w:eastAsia="Courier New" w:hAnsi="Courier New"/>
          <w:sz w:val="15"/>
          <w:szCs w:val="15"/>
          <w:color w:val="auto"/>
        </w:rPr>
      </w:pPr>
    </w:p>
    <w:p>
      <w:pPr>
        <w:ind w:left="900" w:right="3039" w:hanging="271"/>
        <w:spacing w:after="0" w:line="24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extent of their efforts for Year 2000 remediation (and, as appropriate, testing) of their services.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addition, DTC is in the process of developing contingency plans as it deems appropriate. According to DTC, the foregoing information with respect to DTC has been provided to its participants and other members of the financial community for informational purposes only and is not intended to serve as a representation, warranty or contract modification of any kind.</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643" w:right="1440" w:bottom="1440" w:gutter="0" w:footer="0" w:header="0"/>
        </w:sectPr>
      </w:pPr>
    </w:p>
    <w:bookmarkStart w:id="24" w:name="page25"/>
    <w:bookmarkEnd w:id="24"/>
    <w:p>
      <w:pPr>
        <w:ind w:left="1080"/>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the opinion of Davis Polk &amp; Wardwell, our tax counsel, the following describes the material United States federal income tax consequences of the acquisition, ownership, exchange and disposition of the ZONES to an initial holder purchasing the ZONES at the issue price. This summary is based upon the United States Internal Revenue Code of 1986, as amended (which we refer to as the Code), administrative pronouncements, judicial decisions, and existing and proposed Treasury Regulations, changes to any of which subsequent to the date of this prospectus supplement may affect the tax consequences described in this prospectus supplement, possibly with retroactive effect. This summary deals only with the ZONES that are held as capital assets within the meaning of Section 1221 of the Code, and does not address tax considerations applicable to holders that may be subject to special tax rules, such as dealers or traders in securities, financial institutions, tax-exempt entities, holders that hold the ZONES as a part of a hedging, straddle, conversion or other integrated transaction, or U.S. Holders (as defined below) whose functional currency is not the United States dollar.</w:t>
      </w:r>
    </w:p>
    <w:p>
      <w:pPr>
        <w:spacing w:after="0" w:line="18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discussion set out below is intended only as a summary of certain United States federal income tax consequences of an investment in the ZONES. Prospective investors are urged to consult their tax advisors as to the tax consequences of an investment in the ZONES, including the application to their particular situations of the tax considerations discussed below, as well as the application of state, local or foreign tax laws.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"issue price" means the first price to the public at which a substantial amount of the ZONES is sold (excluding sales to bond houses, brokers or similar persons or organizations acting in the capacity of underwriters, placement agents or wholesalers), which is expected to be $71.52. Holders purchasing ZONES at prices other than the issue price should consult their tax advisors about the tax consequences thereof.</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"U.S. Holder" means a beneficial owner of the ZONES that is, for United States federal income tax purposes, an individual citizen or resident of the United States, a corporation created or organized in or under the laws of the United States or any political subdivision thereof, or an estate or trust the income of which is subject to United States federal income taxation regardless of its source.</w:t>
      </w:r>
    </w:p>
    <w:p>
      <w:pPr>
        <w:spacing w:after="0" w:line="178"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"Non-U.S. Holder" means a beneficial owner of the ZONES that is for United States federal income tax purposes, a nonresident alien individual, a foreign corporation, or a foreign estate or trust the fiduciary of which is a nonresident alien.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Interest Accrual on the ZONES. For United States federal income tax purposes, the ZONES will be subject to Treasury Regulations relating to contingent payment debt instruments (which we refer to as the contingent payment debt regulations). Under the contingent payment debt regulations, a U.S. Holder will be required to accrue interest income on the ZONES (in amounts described in the next paragraph) regardless of whether such U.S. Holder uses the cash or accrual method of tax accounting. As a result, a U.S. Holder will be required to include interest in taxable income each year in excess of the quarterly interest payments received in that year.</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Under the contingent payment debt regulations, for each accrual period prior to and including the maturity date of the ZONES, the amount of interest that accrues, as original issue discount, on a ZONES equals the product of (a) the adjusted issue price (as defined below) as of the beginning of the accrual period and (b) the comparable yield (as defined below) (adjusted for the length of the accrual period). This amount is ratably allocated to each day in the accrual period and is includable as ordinary interest income by a U.S. Holder for each day in the accrual period on which the U.S. Holder holds the ZONES.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"adjusted issue price" means the issue price of the ZONES, increased by any interest previously accrued (determined without regard to any adjustments to interest accruals described below) and decreased by the amount of any projected payments (as defined below) with respect to the ZONES.</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"comparable yield" means the annual yield we would pay, as of the issue date, on a fixed-rate debt security with no exchange right or other contingent payments but with terms and conditions otherwise comparable to those of the ZONES. Amounts treated as interest under the contingent payment debt regulations are treated as original issue discount for all purposes of the Code.</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have determined that the comparable yield is 10.39%, compounded quarterly. Under the contingent payment debt regulations, we are required, solely for United States federal income tax purposes, to provide a schedule of the projected amounts of payments</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219"/>
          </w:cols>
          <w:pgMar w:left="240" w:top="642" w:right="1440" w:bottom="78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(which we refer to as projected payments) on the ZONES. This schedule must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produce the comparable yield. Based on our determination of the comparable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yield, the schedule of projected payments (assuming a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$71.52 and an issue price of $71.52 or with respect to each integral multiple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 consists of (a) payments of stated interest equal to $0.3576 on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interest payment dates and (b) a payment of a projected amount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date of the ZONES (excluding the stated quarterly interest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 payable on such date) equal to $1,266.87. For United States federal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purposes, a U.S. Holder is required to use the comparable yield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schedule of projected payments in determining its interest accruals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thereof in respect of the ZONES, unless such U.S. Holder timely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discloses and justifies the use of other estimates to the Internal Revenue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w:t>
      </w:r>
    </w:p>
    <w:p>
      <w:pPr>
        <w:spacing w:after="0" w:line="180" w:lineRule="exact"/>
        <w:rPr>
          <w:sz w:val="20"/>
          <w:szCs w:val="20"/>
          <w:color w:val="auto"/>
        </w:rPr>
      </w:pPr>
    </w:p>
    <w:p>
      <w:pPr>
        <w:ind w:right="3499" w:firstLine="636"/>
        <w:spacing w:after="0" w:line="246" w:lineRule="auto"/>
        <w:rPr>
          <w:sz w:val="20"/>
          <w:szCs w:val="20"/>
          <w:color w:val="auto"/>
        </w:rPr>
      </w:pPr>
      <w:r>
        <w:rPr>
          <w:rFonts w:ascii="Courier New" w:cs="Courier New" w:eastAsia="Courier New" w:hAnsi="Courier New"/>
          <w:sz w:val="15"/>
          <w:szCs w:val="15"/>
          <w:color w:val="auto"/>
        </w:rPr>
        <w:t>The comparable yield and the schedule of projected payments are not provided for any purpose other than the determination of holders' interest accruals and adjustments thereof in respect of the ZONES for United States federal income tax purposes and do not constitute a projection or representation regarding the actual amounts payable on the ZONES.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Adjustments to Interest Accruals. If, during any taxable year, the sum of any actual payments with respect to the ZONES for that taxable year (including, in the case of the taxable year which includes the maturity date of the ZONES, the amount of cash received at maturity) exceeds the total amount of projected payments for that taxable year, the difference will produce a "net positive adjustment" under the contingent payment debt regulations, which will be treated as additional interest for the taxable year. For this purpose, the payments in a taxable year include the fair market value of property received in that year. If the actual amount received in a taxable year is less than the amount of projected payments for that taxable year, the difference will produce a "net negative adjustment" under the contingent payment debt regulations, which will (a) reduce the U.S. Holder's interest income on the ZONES for that taxable year and (b) to the extent of any excess after the application of (a), give rise to an ordinary loss to the extent of the U.S. Holder's interest income on the ZONES during prior taxable years (reduced to the extent such interest was offset by prior net negative adjustments).</w:t>
      </w:r>
    </w:p>
    <w:p>
      <w:pPr>
        <w:spacing w:after="0" w:line="18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Sale or Exchange of the ZONES. Upon the sale, exchange or retirement of the ZONES (including, for instance, an exchange at the U.S. Holder's option for cash determined by reference to the value of the Sprint PCS stock or the redemption of the ZONES by us) prior to the maturity date, the U.S. Holder will recognize gain or loss equal to the difference between the amount realized and the U.S. Holder's adjusted basis. The adjusted basis will be the U.S. Holder's original basis in the ZONES, increased by the interest income previously included by the U.S. Holder with respect to the ZONES (determined without regard to any adjustments to interest accruals described in the preceding paragraph) and decreased by the projected amount of all prior payments with respect to the ZONES. Any gain upon sale or exchange of the ZONES will be ordinary interest income; any loss will be ordinary loss to the extent of the interest previously included in income by the U.S. Holder with respect to the ZONES, and thereafter, capital loss. The distinction between capital loss and ordinary loss is potentially significant in several respects. For example, limitations apply to a U.S. Holder's ability to offset capital losses against ordinary income.</w:t>
      </w:r>
    </w:p>
    <w:p>
      <w:pPr>
        <w:spacing w:after="0" w:line="18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Backup Withholding. Certain noncorporate U.S. Holders may be subject to backup withholding at a rate of 31% on payments of principal, premium, if any, and interest (including original issue discount) on, and the proceeds of disposition of, the ZONES. Backup withholding will apply only if the U.S. Holder (a) fails to furnish its Taxpayer Identification Number (which we refer to as TIN) which, for an individual, is his or her Social Security number, (b) furnishes an incorrect TIN, (c) is notified by the IRS that it has failed to properly report payments of interest and dividends or (d) under certain circumstances, fails to certify, under penalties of perjury, that it has furnished a correct TIN and has not been notified by the IRS that it is subject to backup withholding for failure to report interest and dividend payments. U.S. Holders should consult their tax advisors regarding their qualification for exemption from backup withholding and the procedure for obtaining such an exemption if applicable.</w:t>
      </w:r>
    </w:p>
    <w:p>
      <w:pPr>
        <w:spacing w:after="0" w:line="183" w:lineRule="exact"/>
        <w:rPr>
          <w:sz w:val="20"/>
          <w:szCs w:val="20"/>
          <w:color w:val="auto"/>
        </w:rPr>
      </w:pPr>
    </w:p>
    <w:p>
      <w:pPr>
        <w:ind w:right="3319" w:firstLine="636"/>
        <w:spacing w:after="0" w:line="246" w:lineRule="auto"/>
        <w:rPr>
          <w:sz w:val="20"/>
          <w:szCs w:val="20"/>
          <w:color w:val="auto"/>
        </w:rPr>
      </w:pPr>
      <w:r>
        <w:rPr>
          <w:rFonts w:ascii="Courier New" w:cs="Courier New" w:eastAsia="Courier New" w:hAnsi="Courier New"/>
          <w:sz w:val="15"/>
          <w:szCs w:val="15"/>
          <w:color w:val="auto"/>
        </w:rPr>
        <w:t>The amount of any backup withholding from a payment to a U.S. Holder will be allowed as a credit against such U.S. Holder's United States federal income tax liability and may entitle such U.S. Holder to a refund, provided that the required information is furnished to the IRS.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64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Withholding. Under present United States federal income tax law, and subject to the discussion below concerning backup withholding, payments of principal, premium (if any) and interest (including original issue discount) on the ZONES by us or any paying agent to any Non-U.S. Holder, and gain realized on the sale or exchange of the ZONES by a Non-U.S. Holder, will be exempt from United States federal income or withholding tax, provided that:</w:t>
      </w:r>
    </w:p>
    <w:p>
      <w:pPr>
        <w:spacing w:after="0" w:line="178" w:lineRule="exact"/>
        <w:rPr>
          <w:sz w:val="20"/>
          <w:szCs w:val="20"/>
          <w:color w:val="auto"/>
        </w:rPr>
      </w:pPr>
    </w:p>
    <w:p>
      <w:pPr>
        <w:ind w:left="900" w:right="3419" w:hanging="271"/>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Non-U.S. Holder does not own, actually or constructively, 10 percent or more of the total combined voting power of all classes of our stock entitled to vote, is not a controlled foreign corporation related, directly or indirectly, to us through stock ownership, and is not a bank receiving interest described in Section 881(c)(3)(A) of the Code;</w:t>
      </w:r>
    </w:p>
    <w:p>
      <w:pPr>
        <w:spacing w:after="0" w:line="178" w:lineRule="exact"/>
        <w:rPr>
          <w:rFonts w:ascii="Courier New" w:cs="Courier New" w:eastAsia="Courier New" w:hAnsi="Courier New"/>
          <w:sz w:val="15"/>
          <w:szCs w:val="15"/>
          <w:color w:val="auto"/>
        </w:rPr>
      </w:pPr>
    </w:p>
    <w:p>
      <w:pPr>
        <w:ind w:left="900" w:right="3499" w:hanging="271"/>
        <w:spacing w:after="0" w:line="247"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requirement set forth in Section 871(h) or Section 881(c) of the Code has been fulfilled with respect to the beneficial owner, as discussed below;</w:t>
      </w:r>
    </w:p>
    <w:p>
      <w:pPr>
        <w:spacing w:after="0" w:line="174" w:lineRule="exact"/>
        <w:rPr>
          <w:rFonts w:ascii="Courier New" w:cs="Courier New" w:eastAsia="Courier New" w:hAnsi="Courier New"/>
          <w:sz w:val="15"/>
          <w:szCs w:val="15"/>
          <w:color w:val="auto"/>
        </w:rPr>
      </w:pPr>
    </w:p>
    <w:p>
      <w:pPr>
        <w:ind w:left="900" w:right="3599" w:hanging="271"/>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Non-U.S. Holder is not an individual who is present in the United States for 183 days or more in the taxable year of disposition, or such individual does not have a "tax home" (as defined in Section 911(d)(3) of the Code) or an office or other fixed place of business in the United States;</w:t>
      </w:r>
    </w:p>
    <w:p>
      <w:pPr>
        <w:spacing w:after="0" w:line="177" w:lineRule="exact"/>
        <w:rPr>
          <w:rFonts w:ascii="Courier New" w:cs="Courier New" w:eastAsia="Courier New" w:hAnsi="Courier New"/>
          <w:sz w:val="15"/>
          <w:szCs w:val="15"/>
          <w:color w:val="auto"/>
        </w:rPr>
      </w:pPr>
    </w:p>
    <w:p>
      <w:pPr>
        <w:ind w:left="900" w:right="3039" w:hanging="271"/>
        <w:spacing w:after="0" w:line="247"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payments and gain are not effectively connected with the conduct by such Non-U.S. Holder of a trade or business in the United States; and</w:t>
      </w:r>
    </w:p>
    <w:p>
      <w:pPr>
        <w:spacing w:after="0" w:line="174" w:lineRule="exact"/>
        <w:rPr>
          <w:rFonts w:ascii="Courier New" w:cs="Courier New" w:eastAsia="Courier New" w:hAnsi="Courier New"/>
          <w:sz w:val="15"/>
          <w:szCs w:val="15"/>
          <w:color w:val="auto"/>
        </w:rPr>
      </w:pPr>
    </w:p>
    <w:p>
      <w:pPr>
        <w:ind w:left="900" w:right="3599" w:hanging="271"/>
        <w:spacing w:after="0" w:line="246"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Sprint PCS stock continues to be actively traded within the meaning of Section 871(h)(4)(C)(v)(I) of the Code (which, for these purposes and subject to certain exceptions, includes trading on the NYSE).</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statement requirement referred to in the preceding paragraph will be fulfilled if the beneficial owner of a ZONES certifies on an appropriate form (generally IRS Form W-8BEN), under penalties of perjury, that it is not a United States person and provides its name and address, and (a) the beneficial owner files that form with the withholding agent or (b) a securities clearing organization, bank or other financial institution holding customers' securities in the ordinary course of its trade or business holds the ZONES on behalf of the beneficial owner, files with the withholding agent a statement that it has received the Form W-8BEN from the beneficial owner and furnishes the withholding agent with a copy thereof. With respect to any ZONES held by a foreign partnership, under current law, this certification may be provided by the foreign partnership. However, unless a foreign partnership has entered into a withholding agreement with the IRS, each partner that is a Non-U.S. Holder will be required to supply this certification in order to avoid withholding with respect to such partner's share of interest (including original issue discount) and disposition proceeds paid with respect to ZONES to the foreign partnership after December 31, 2000. Prospective investors, including foreign partnerships and their partners, should consult their tax advisors regarding possible additional reporting requirements.</w:t>
      </w:r>
    </w:p>
    <w:p>
      <w:pPr>
        <w:spacing w:after="0" w:line="36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a Non-U.S. Holder of the ZONES is engaged in a trade or business in the United States, and if interest on the ZONES is effectively connected with the conduct of such trade or business, the Non-U.S. Holder, although exempt from the withholding tax discussed in the preceding paragraphs, will generally be subject to regular United States federal income tax on interest and on any gain realized on the sale or exchange of the ZONES in the same manner as if it were a U.S. Holder. In lieu of the certificate described in the preceding paragraph, such a Non-U.S. Holder will be required to provide to the withholding agent a properly executed IRS Form W-8ECI (or successor form) in order to claim an exemption from withholding tax. In addition, if such a Non-U.S. Holder is a foreign corporation, it may be subject to a branch profits tax equal to 30% (or such lower rate provided by an applicable treaty) of its effectively connected earnings and profits for the taxable year, subject to certain adjustments.</w:t>
      </w:r>
    </w:p>
    <w:p>
      <w:pPr>
        <w:spacing w:after="0" w:line="358" w:lineRule="exact"/>
        <w:rPr>
          <w:sz w:val="20"/>
          <w:szCs w:val="20"/>
          <w:color w:val="auto"/>
        </w:rPr>
      </w:pPr>
    </w:p>
    <w:p>
      <w:pPr>
        <w:ind w:right="3319" w:firstLine="636"/>
        <w:spacing w:after="0" w:line="246" w:lineRule="auto"/>
        <w:rPr>
          <w:sz w:val="20"/>
          <w:szCs w:val="20"/>
          <w:color w:val="auto"/>
        </w:rPr>
      </w:pPr>
      <w:r>
        <w:rPr>
          <w:rFonts w:ascii="Courier New" w:cs="Courier New" w:eastAsia="Courier New" w:hAnsi="Courier New"/>
          <w:sz w:val="15"/>
          <w:szCs w:val="15"/>
          <w:color w:val="auto"/>
        </w:rPr>
        <w:t>Estate Tax. Under Section 2105(b) of the Code, the ZONES held by an individual who is a Non-U.S. Holder at the time of his death will not be subject to United States federal estate tax as a result of such individual's death, provided that:</w:t>
      </w:r>
    </w:p>
    <w:p>
      <w:pPr>
        <w:spacing w:after="0" w:line="352" w:lineRule="exact"/>
        <w:rPr>
          <w:sz w:val="20"/>
          <w:szCs w:val="20"/>
          <w:color w:val="auto"/>
        </w:rPr>
      </w:pPr>
    </w:p>
    <w:p>
      <w:pPr>
        <w:ind w:left="900" w:right="3219" w:hanging="271"/>
        <w:spacing w:after="0" w:line="247"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does not own, actually or constructively, 10 percent or more of the total combined voting power of all classes of our stock entitled to vote;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S-23</w:t>
      </w:r>
    </w:p>
    <w:p>
      <w:pPr>
        <w:sectPr>
          <w:pgSz w:w="11900" w:h="16838" w:orient="portrait"/>
          <w:cols w:equalWidth="0" w:num="1">
            <w:col w:w="10219"/>
          </w:cols>
          <w:pgMar w:left="240" w:top="643" w:right="1440" w:bottom="955" w:gutter="0" w:footer="0" w:header="0"/>
        </w:sectPr>
      </w:pPr>
    </w:p>
    <w:bookmarkStart w:id="27" w:name="page28"/>
    <w:bookmarkEnd w:id="27"/>
    <w:p>
      <w:pPr>
        <w:ind w:left="1000" w:right="3599" w:hanging="371"/>
        <w:spacing w:after="0" w:line="247" w:lineRule="auto"/>
        <w:tabs>
          <w:tab w:leader="none" w:pos="9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Sprint PCS stock continues to be actively traded within the meaning of Section 871(h)(4)(C)(v)(I) of the Code; and</w:t>
      </w:r>
    </w:p>
    <w:p>
      <w:pPr>
        <w:spacing w:after="0" w:line="349" w:lineRule="exact"/>
        <w:rPr>
          <w:rFonts w:ascii="Courier New" w:cs="Courier New" w:eastAsia="Courier New" w:hAnsi="Courier New"/>
          <w:sz w:val="15"/>
          <w:szCs w:val="15"/>
          <w:color w:val="auto"/>
        </w:rPr>
      </w:pPr>
    </w:p>
    <w:p>
      <w:pPr>
        <w:ind w:left="900" w:right="3499" w:hanging="271"/>
        <w:spacing w:after="0" w:line="246" w:lineRule="auto"/>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such individual's death, payments with respect to those ZONES would not have been effectively connected with the conduct by such individual of a trade or business in the United States.</w:t>
      </w:r>
    </w:p>
    <w:p>
      <w:pPr>
        <w:spacing w:after="0" w:line="35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Backup Withholding and Information Reporting. Backup withholding (at the rate of 31%) will not apply to payments made by us or a paying agent on the ZONES if the certifications required by Sections 871(h) or 881(c) are received, provided in each case that we or such paying agent, as the case may be, does not have actual knowledge (and, with respect to payments made after December 31, 2000, does not have reason to know) that the payee is a United States person.</w:t>
      </w:r>
    </w:p>
    <w:p>
      <w:pPr>
        <w:spacing w:after="0" w:line="179"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Interest on the ZONES that is beneficially owned by a Non-U.S. Holder will be reported annually on IRS Form 1042-S, which must be filed with the IRS and furnished to such Non-U.S. Holder. Non-U.S. Holders of the ZONES should consult their tax advisors regarding the application of information reporting and backup withholding in their particular situations, the availability of an exemption therefrom, and the procedure for obtaining such an exemption, if available. Any amounts withheld from a payment to a Non-U.S. Holder under the backup withholding rules will be allowed as a credit against such Non-U.S. Holder's United States federal income tax liability and may entitle such Non-U.S. Holder to a refund, provided that the required information is furnished to the IRS.</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S-24</w:t>
      </w:r>
    </w:p>
    <w:p>
      <w:pPr>
        <w:sectPr>
          <w:pgSz w:w="11900" w:h="16838" w:orient="portrait"/>
          <w:cols w:equalWidth="0" w:num="1">
            <w:col w:w="10219"/>
          </w:cols>
          <w:pgMar w:left="240" w:top="642" w:right="1440" w:bottom="1440" w:gutter="0" w:footer="0" w:header="0"/>
        </w:sectPr>
      </w:pPr>
    </w:p>
    <w:bookmarkStart w:id="28" w:name="page29"/>
    <w:bookmarkEnd w:id="28"/>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Based on the terms and conditions of an underwriting agreement, we have agreed to sell to and Salomon Smith Barney Inc. has agreed to purchase the ZONES.</w:t>
      </w:r>
    </w:p>
    <w:p>
      <w:pPr>
        <w:spacing w:after="0" w:line="174"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Salomon Smith Barney Inc. is obligated to purchase all of the ZONES, if any of the ZONES are purchased.</w:t>
      </w:r>
    </w:p>
    <w:p>
      <w:pPr>
        <w:spacing w:after="0" w:line="175"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We have agreed with Salomon Smith Barney Inc. to indemnify it against certain civil liabilities, including liabilities under the Securities Act of 1933, or to contribute with respect to payments which it may be required to make.</w:t>
      </w:r>
    </w:p>
    <w:p>
      <w:pPr>
        <w:spacing w:after="0" w:line="177"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Salomon Smith Barney Inc. has in the past and may in the future engage in transactions with, or perform services for, us or our subsidiaries in the ordinary course of its businesses.</w:t>
      </w:r>
    </w:p>
    <w:p>
      <w:pPr>
        <w:spacing w:after="0" w:line="17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We will pay all of our expenses, estimated to be approximately $450,000, associated with the offer and sale of the ZONES.</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Salomon Smith Barney has advised us that they propose to offer the ZONES from time to time for sale in one or more negotiated transactions, or otherwise, at market prices prevailing at the time of sale, at prices related to such prevailing market prices or at negotiated prices. Salomon Smith Barney Inc. may effect such transactions by selling the ZONES to or through dealers, and such dealers may receive compensation in the form of underwriting discounts, concessions or commissions from Salomon Smith Barney Inc. and/or the purchasers of the ZONES for whom they may act as agent. Salomon Smith Barney Inc. and any dealers that participate with Salomon Smith Barney Inc. in the distribution of the ZONES may be deemed to be underwriters, and any discounts or commissions received by them and any profit on the resale of the ZONES by them may be deemed to be underwriting discounts or commissions under the Securities Act of 1933.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80" w:lineRule="exact"/>
        <w:rPr>
          <w:sz w:val="20"/>
          <w:szCs w:val="20"/>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Salomon Smith Barney Inc. has an option to purchase up to 2,097,315 additional ZONES at a price of $71.52 per ZONES, to cover over-allotments. Salomon Smith Barney Inc. can exercise this option for a period of 30 days after the date of this prospectus supplement.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ZONES will be a new issue of securities with no established trading market. We will apply to have the ZONES listed on the NYSE.</w:t>
      </w:r>
    </w:p>
    <w:p>
      <w:pPr>
        <w:spacing w:after="0" w:line="175"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Salomon Smith Barney Inc. has advised us that it intends to make a market in the ZONES. However, Salomon Smith Barney Inc. is not obligated to do so and may discontinue market making at any time without notice. We can not give any assurance about the liquidity of the trading market for the ZONES.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sales of similar securities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have agreed that for 45 days after the date of this prospectus supplement we will not directly or indirectly offer, sell, offer to sell, grant any option for the sale of or otherwise dispose of any of the ZONES, any securities convertible into or exchangeable for the ZONES or any equity securities substantially similar to the ZONES without the prior written consent of Salomon Smith Barney Inc. However, this restriction shall not affect our ability to take any of these actions in connection with any exchanges or redemption of the ZONES or in connection with any reference share offer.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 positions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Salomon Smith Barney Inc. may create a short position in the ZONES in connection with the offering. That means they may sell a larger number of the ZONES than is shown on the cover page of this prospectus supplement. If they create a short position, Salomon Smith Barney Inc. may purchase the ZONES in the open market to reduce the short position.</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10219"/>
          </w:cols>
          <w:pgMar w:left="240" w:top="643" w:right="1440" w:bottom="1440" w:gutter="0" w:footer="0" w:header="0"/>
        </w:sectPr>
      </w:pPr>
    </w:p>
    <w:bookmarkStart w:id="29" w:name="page30"/>
    <w:bookmarkEnd w:id="29"/>
    <w:p>
      <w:pPr>
        <w:ind w:right="3039" w:firstLine="454"/>
        <w:spacing w:after="0" w:line="246" w:lineRule="auto"/>
        <w:rPr>
          <w:sz w:val="20"/>
          <w:szCs w:val="20"/>
          <w:color w:val="auto"/>
        </w:rPr>
      </w:pPr>
      <w:r>
        <w:rPr>
          <w:rFonts w:ascii="Courier New" w:cs="Courier New" w:eastAsia="Courier New" w:hAnsi="Courier New"/>
          <w:sz w:val="15"/>
          <w:szCs w:val="15"/>
          <w:color w:val="auto"/>
        </w:rPr>
        <w:t>If Salomon Smith Barney Inc. purchases the ZONES to stabilize the price or to reduce its short position, the price of the ZONES could be higher than it might be if it had not made such purchases. Salomon Smith Barney Inc. makes no representation or prediction about any effect that these purchases may have on the price of the ZONES.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Salomon Smith Barney Inc. may suspend any of these activities at any time.</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Certain legal matters with respect to the ZONES will be passed upon for us by Davis Polk &amp; Wardwell, and for Salomon Smith Barney by Cahill Gordon &amp; Reindel (a partnership including a 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S-26</w:t>
      </w:r>
    </w:p>
    <w:p>
      <w:pPr>
        <w:sectPr>
          <w:pgSz w:w="11900" w:h="16838" w:orient="portrait"/>
          <w:cols w:equalWidth="0" w:num="1">
            <w:col w:w="10219"/>
          </w:cols>
          <w:pgMar w:left="240" w:top="642" w:right="1440" w:bottom="1440" w:gutter="0" w:footer="0" w:header="0"/>
        </w:sectPr>
      </w:pPr>
    </w:p>
    <w:bookmarkStart w:id="30" w:name="page31"/>
    <w:bookmarkEnd w:id="30"/>
    <w:p>
      <w:pPr>
        <w:ind w:left="7"/>
        <w:spacing w:after="0"/>
        <w:rPr>
          <w:sz w:val="20"/>
          <w:szCs w:val="20"/>
          <w:color w:val="auto"/>
        </w:rPr>
      </w:pPr>
      <w:r>
        <w:rPr>
          <w:rFonts w:ascii="Courier New" w:cs="Courier New" w:eastAsia="Courier New" w:hAnsi="Courier New"/>
          <w:sz w:val="15"/>
          <w:szCs w:val="15"/>
          <w:color w:val="auto"/>
        </w:rPr>
        <w:t>PROSPECTUS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$3,000,000,000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TRUST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TRUST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TRUST III</w:t>
      </w:r>
    </w:p>
    <w:p>
      <w:pPr>
        <w:spacing w:after="0" w:line="200" w:lineRule="exact"/>
        <w:rPr>
          <w:sz w:val="20"/>
          <w:szCs w:val="20"/>
          <w:color w:val="auto"/>
        </w:rPr>
      </w:pPr>
    </w:p>
    <w:p>
      <w:pPr>
        <w:sectPr>
          <w:pgSz w:w="11900" w:h="16838" w:orient="portrait"/>
          <w:cols w:equalWidth="0" w:num="2">
            <w:col w:w="1827" w:space="720"/>
            <w:col w:w="7679"/>
          </w:cols>
          <w:pgMar w:left="233" w:top="643" w:right="1440" w:bottom="1440" w:gutter="0" w:footer="0" w:header="0"/>
          <w:type w:val="continuous"/>
        </w:sectPr>
      </w:pPr>
    </w:p>
    <w:p>
      <w:pPr>
        <w:spacing w:after="0" w:line="15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1500 Market Street</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5" w:lineRule="exact"/>
        <w:rPr>
          <w:sz w:val="20"/>
          <w:szCs w:val="20"/>
          <w:color w:val="auto"/>
        </w:rPr>
      </w:pPr>
    </w:p>
    <w:p>
      <w:pPr>
        <w:ind w:left="3087" w:hanging="542"/>
        <w:spacing w:after="0"/>
        <w:tabs>
          <w:tab w:leader="none" w:pos="30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types of securities that we may offer and sell under this prospectus:</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Class A common stock</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Preferred stock</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Unsecured senior debt securities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Unsecured subordinated debt securities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Warrants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Class A special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Purchase 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Depositary shares</w:t>
      </w:r>
    </w:p>
    <w:p>
      <w:pPr>
        <w:spacing w:after="0" w:line="724" w:lineRule="exact"/>
        <w:rPr>
          <w:sz w:val="20"/>
          <w:szCs w:val="20"/>
          <w:color w:val="auto"/>
        </w:rPr>
      </w:pPr>
    </w:p>
    <w:p>
      <w:pPr>
        <w:sectPr>
          <w:pgSz w:w="11900" w:h="16838" w:orient="portrait"/>
          <w:cols w:equalWidth="0" w:num="2">
            <w:col w:w="3907" w:space="360"/>
            <w:col w:w="5959"/>
          </w:cols>
          <w:pgMar w:left="233" w:top="643" w:right="1440" w:bottom="1440" w:gutter="0" w:footer="0" w:header="0"/>
          <w:type w:val="continuous"/>
        </w:sectPr>
      </w:pPr>
    </w:p>
    <w:p>
      <w:pPr>
        <w:spacing w:after="0" w:line="154"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In addition, we, in conjunction with our newly created trust subsidiaries, may offer and sell:</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 Guaranteed trust preferred securities and guarantees thereof</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17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Maturity</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 Redemption terms</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Interest rate</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o Listing on a securities exchange</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Sinking fund terms</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 Amount payable at maturity</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Currency of payments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Conversion or exchange rights</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Dividends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Liquidation amount</w:t>
            </w:r>
          </w:p>
        </w:tc>
      </w:tr>
    </w:tbl>
    <w:p>
      <w:pPr>
        <w:spacing w:after="0" w:line="179"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in the securities involves risks that are described under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caption "Risk Factors" beginning on page 3.</w:t>
      </w:r>
    </w:p>
    <w:p>
      <w:pPr>
        <w:spacing w:after="0" w:line="180" w:lineRule="exact"/>
        <w:rPr>
          <w:sz w:val="20"/>
          <w:szCs w:val="20"/>
          <w:color w:val="auto"/>
        </w:rPr>
      </w:pPr>
    </w:p>
    <w:p>
      <w:pPr>
        <w:ind w:left="187" w:hanging="187"/>
        <w:spacing w:after="0"/>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and state securities regulators</w:t>
      </w:r>
    </w:p>
    <w:p>
      <w:pPr>
        <w:spacing w:after="0" w:line="5"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have not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September 15, 1999.</w:t>
      </w:r>
    </w:p>
    <w:p>
      <w:pPr>
        <w:sectPr>
          <w:pgSz w:w="11900" w:h="16838" w:orient="portrait"/>
          <w:cols w:equalWidth="0" w:num="1">
            <w:col w:w="10226"/>
          </w:cols>
          <w:pgMar w:left="233" w:top="643" w:right="1440" w:bottom="1440" w:gutter="0" w:footer="0" w:header="0"/>
          <w:type w:val="continuous"/>
        </w:sectPr>
      </w:pPr>
    </w:p>
    <w:bookmarkStart w:id="31" w:name="page32"/>
    <w:bookmarkEnd w:id="31"/>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08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Risk Factors</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Special Note Regarding Forward-Looking Statements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Trust Subsidiaries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and to Combined Fixed Charges and Preferred Stock</w:t>
            </w:r>
          </w:p>
        </w:tc>
        <w:tc>
          <w:tcPr>
            <w:tcW w:w="540" w:type="dxa"/>
            <w:vAlign w:val="bottom"/>
          </w:tcPr>
          <w:p>
            <w:pPr>
              <w:spacing w:after="0"/>
              <w:rPr>
                <w:sz w:val="15"/>
                <w:szCs w:val="15"/>
                <w:color w:val="auto"/>
              </w:rPr>
            </w:pPr>
          </w:p>
        </w:tc>
      </w:tr>
      <w:tr>
        <w:trPr>
          <w:trHeight w:val="175"/>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Dividends</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the Senior Debt Securities and Subordinated Debt Securities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Warrants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Purchase Contracts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Units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the Guaranteed Trust Preferred Securities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the Guaranteed Trust Preferred Securities Guarantees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Global Securities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Preferred Stock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Depositary Shares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Common Stock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Plan of Distribution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Experts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Available Information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of Certain Documents by Reference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r>
      <w:tr>
        <w:trPr>
          <w:trHeight w:val="524"/>
        </w:trPr>
        <w:tc>
          <w:tcPr>
            <w:tcW w:w="1080" w:type="dxa"/>
            <w:vAlign w:val="bottom"/>
          </w:tcPr>
          <w:p>
            <w:pPr>
              <w:spacing w:after="0"/>
              <w:rPr>
                <w:sz w:val="24"/>
                <w:szCs w:val="24"/>
                <w:color w:val="auto"/>
              </w:rPr>
            </w:pPr>
          </w:p>
        </w:tc>
        <w:tc>
          <w:tcPr>
            <w:tcW w:w="7000" w:type="dxa"/>
            <w:vAlign w:val="bottom"/>
          </w:tcPr>
          <w:p>
            <w:pPr>
              <w:jc w:val="right"/>
              <w:ind w:right="4384"/>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32" w:name="page33"/>
    <w:bookmarkEnd w:id="32"/>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jc w:val="both"/>
        <w:ind w:right="3039" w:firstLine="636"/>
        <w:spacing w:after="0" w:line="247" w:lineRule="auto"/>
        <w:rPr>
          <w:sz w:val="20"/>
          <w:szCs w:val="20"/>
          <w:color w:val="auto"/>
        </w:rPr>
      </w:pPr>
      <w:r>
        <w:rPr>
          <w:rFonts w:ascii="Courier New" w:cs="Courier New" w:eastAsia="Courier New" w:hAnsi="Courier New"/>
          <w:sz w:val="15"/>
          <w:szCs w:val="15"/>
          <w:color w:val="auto"/>
        </w:rPr>
        <w:t>You should carefully review the information contained in this prospectus and in the other reports we file with the SEC, but should particularly consider the following matters.</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June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81"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Ability to Pay Our Obligations, Including Our Obligation to Pay Holders of Our Securities, Is Dependent Upon Payments That We Receive from Our Subsidiaries.</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Our ability to pay our obligations, including our obligation to make payments on the securities we are offering, depends upon our subsidiaries' results of operations and on their paying us under the terms of our management agreements with them for programming, and for investments and advances we have made to them. Our subsidiaries are separate and distinct legal entities and have no obligation whatsoever to pay any amounts due on the securities we are offering or to make funds available to us. Some of our subsidiaries' loan agreements require them to maintain certain financial ratios and restrict their ability to make dividends, pay management fees and advance funds to affiliated entities, including us.</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Our subsidiaries must satisfy all of their liabilities, including paying their trade creditors and preferred stockholders in full, before their assets will become available to us to pay holders of our debt securities and our trust subsidiaries' guaranteed trust preferred securities. In addition, even if we are a creditor of one of our subsidiaries, our claim would be subordinated to any security interest in its assets and to any of its indebtedness.</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8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3" w:name="page34"/>
    <w:bookmarkEnd w:id="33"/>
    <w:p>
      <w:pPr>
        <w:ind w:right="3139" w:firstLine="636"/>
        <w:spacing w:after="0" w:line="246" w:lineRule="auto"/>
        <w:rPr>
          <w:sz w:val="20"/>
          <w:szCs w:val="20"/>
          <w:color w:val="auto"/>
        </w:rPr>
      </w:pPr>
      <w:r>
        <w:rPr>
          <w:rFonts w:ascii="Courier New" w:cs="Courier New" w:eastAsia="Courier New" w:hAnsi="Courier New"/>
          <w:sz w:val="15"/>
          <w:szCs w:val="15"/>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178"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Our Cost of Providing Programming May Increase More Than That of Our Competitors, Which Could Make Our Services Less Competitive.</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 which could make our service less competitive.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82"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Our Indentures Do Not Restrict Our Ability to Incur Additional Indebtedness, Which Could Make Our Debt Securities More Risky in the Future.</w:t>
      </w:r>
    </w:p>
    <w:p>
      <w:pPr>
        <w:spacing w:after="0" w:line="175"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As of June 30, 1999, our consolidated indebtedness was $7.843 billion, of which $3.135 billion constituted "Senior Indebtedness" as defined under the subordinated indenture dated as of June 15, 1999 between us and Bankers Trust Company, as trustee. As of June 30, 1999, our consolidated stockholders' equity was $6.742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80" w:lineRule="exact"/>
        <w:rPr>
          <w:sz w:val="20"/>
          <w:szCs w:val="20"/>
          <w:color w:val="auto"/>
        </w:rPr>
      </w:pPr>
    </w:p>
    <w:p>
      <w:pPr>
        <w:jc w:val="both"/>
        <w:ind w:right="3219" w:firstLine="636"/>
        <w:spacing w:after="0" w:line="247" w:lineRule="auto"/>
        <w:rPr>
          <w:sz w:val="20"/>
          <w:szCs w:val="20"/>
          <w:color w:val="auto"/>
        </w:rPr>
      </w:pPr>
      <w:r>
        <w:rPr>
          <w:rFonts w:ascii="Courier New" w:cs="Courier New" w:eastAsia="Courier New" w:hAnsi="Courier New"/>
          <w:sz w:val="15"/>
          <w:szCs w:val="15"/>
          <w:color w:val="auto"/>
        </w:rPr>
        <w:t>o limiting our ability to obtain any necessary financing in the future for working capital, capital expenditures, debt service requirements or other purposes;</w:t>
      </w:r>
    </w:p>
    <w:p>
      <w:pPr>
        <w:spacing w:after="0" w:line="174"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o requiring us to dedicate a substantial portion of our cash flows from operations to the payment of indebtedness and not for other purposes, such as working capital and capital expenditures;</w:t>
      </w:r>
    </w:p>
    <w:p>
      <w:pPr>
        <w:spacing w:after="0" w:line="174"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limiting our flexibility to plan for, or react to, changes in our businesses;</w:t>
      </w:r>
    </w:p>
    <w:p>
      <w:pPr>
        <w:spacing w:after="0" w:line="175"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making us more indebted than some of our competitors, which may place us at a competitive disadvantage; and</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making us more vulnerable to a downturn in our businesses.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34" w:name="page35"/>
    <w:bookmarkEnd w:id="34"/>
    <w:p>
      <w:pPr>
        <w:ind w:right="3219"/>
        <w:spacing w:after="0" w:line="247" w:lineRule="auto"/>
        <w:rPr>
          <w:sz w:val="20"/>
          <w:szCs w:val="20"/>
          <w:color w:val="auto"/>
        </w:rPr>
      </w:pPr>
      <w:r>
        <w:rPr>
          <w:rFonts w:ascii="Courier New" w:cs="Courier New" w:eastAsia="Courier New" w:hAnsi="Courier New"/>
          <w:sz w:val="15"/>
          <w:szCs w:val="15"/>
          <w:color w:val="auto"/>
        </w:rPr>
        <w:t>The Securities We Are Offering May Not Develop an Active Public Market, Which Could Depress the Resale Price of the Securities.</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78"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35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80" w:lineRule="exact"/>
        <w:rPr>
          <w:sz w:val="20"/>
          <w:szCs w:val="20"/>
          <w:color w:val="auto"/>
        </w:rPr>
      </w:pPr>
    </w:p>
    <w:p>
      <w:pPr>
        <w:ind w:right="3599" w:firstLine="636"/>
        <w:spacing w:after="0" w:line="247"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laws and regulations;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judicial and administrative decisions;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the competitive environment;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technology;</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franchise related matters;</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o market conditions that may adversely affect the availability of debt and equity financing for working capital, capital expenditures or other purposes; and demand for the programming content we distribute or the willingness of other video program providers to carry our content and general economic conditions.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35" w:name="page36"/>
    <w:bookmarkEnd w:id="35"/>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Our consolidated cable operations served approximately 5.6 million subscribers and passed approximately 9.2 million homes in the United States as of June 30, 1999. We own interests in other cable communications companies serving more than 238,000 subscribers as of June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June 30, 1999, QVC is available, on a full and part-time basis, to over 72.4 million homes in the United States, over 7.6 million homes in the United Kingdom and Ireland and over 14.9 million homes in Germany.</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1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TRUST SUBSIDIARIES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Each of our trust subsidiaries exists for the exclusive purposes of:</w:t>
      </w:r>
    </w:p>
    <w:p>
      <w:pPr>
        <w:spacing w:after="0" w:line="180" w:lineRule="exact"/>
        <w:rPr>
          <w:sz w:val="20"/>
          <w:szCs w:val="20"/>
          <w:color w:val="auto"/>
        </w:rPr>
      </w:pPr>
    </w:p>
    <w:p>
      <w:pPr>
        <w:jc w:val="both"/>
        <w:ind w:right="3959" w:firstLine="636"/>
        <w:spacing w:after="0" w:line="247" w:lineRule="auto"/>
        <w:rPr>
          <w:sz w:val="20"/>
          <w:szCs w:val="20"/>
          <w:color w:val="auto"/>
        </w:rPr>
      </w:pPr>
      <w:r>
        <w:rPr>
          <w:rFonts w:ascii="Courier New" w:cs="Courier New" w:eastAsia="Courier New" w:hAnsi="Courier New"/>
          <w:sz w:val="15"/>
          <w:szCs w:val="15"/>
          <w:color w:val="auto"/>
        </w:rPr>
        <w:t>o issuing the guaranteed trust preferred securities and common securities representing undivided beneficial interests in its assets;</w:t>
      </w:r>
    </w:p>
    <w:p>
      <w:pPr>
        <w:spacing w:after="0" w:line="175" w:lineRule="exact"/>
        <w:rPr>
          <w:sz w:val="20"/>
          <w:szCs w:val="20"/>
          <w:color w:val="auto"/>
        </w:rPr>
      </w:pPr>
    </w:p>
    <w:p>
      <w:pPr>
        <w:ind w:right="3599" w:firstLine="636"/>
        <w:spacing w:after="0" w:line="247" w:lineRule="auto"/>
        <w:rPr>
          <w:sz w:val="20"/>
          <w:szCs w:val="20"/>
          <w:color w:val="auto"/>
        </w:rPr>
      </w:pPr>
      <w:r>
        <w:rPr>
          <w:rFonts w:ascii="Courier New" w:cs="Courier New" w:eastAsia="Courier New" w:hAnsi="Courier New"/>
          <w:sz w:val="15"/>
          <w:szCs w:val="15"/>
          <w:color w:val="auto"/>
        </w:rPr>
        <w:t>o investing the gross proceeds of the guaranteed trust preferred securities and common securities in our subordinated debt securities; and</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engaging in only those other activities necessary or incidental to the first two purposes.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17" w:right="1440" w:bottom="1440" w:gutter="0" w:footer="0" w:header="0"/>
        </w:sectPr>
      </w:pPr>
    </w:p>
    <w:bookmarkStart w:id="36" w:name="page37"/>
    <w:bookmarkEnd w:id="36"/>
    <w:p>
      <w:pPr>
        <w:ind w:left="7" w:right="4340"/>
        <w:spacing w:after="0" w:line="246" w:lineRule="auto"/>
        <w:rPr>
          <w:sz w:val="20"/>
          <w:szCs w:val="20"/>
          <w:color w:val="auto"/>
        </w:rPr>
      </w:pPr>
      <w:r>
        <w:rPr>
          <w:rFonts w:ascii="Courier New" w:cs="Courier New" w:eastAsia="Courier New" w:hAnsi="Courier New"/>
          <w:sz w:val="15"/>
          <w:szCs w:val="15"/>
          <w:color w:val="auto"/>
        </w:rPr>
        <w:t>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184" w:lineRule="exact"/>
        <w:rPr>
          <w:sz w:val="20"/>
          <w:szCs w:val="20"/>
          <w:color w:val="auto"/>
        </w:rPr>
      </w:pPr>
    </w:p>
    <w:p>
      <w:pPr>
        <w:ind w:left="7" w:right="4900" w:firstLine="636"/>
        <w:spacing w:after="0" w:line="247" w:lineRule="auto"/>
        <w:rPr>
          <w:sz w:val="20"/>
          <w:szCs w:val="20"/>
          <w:color w:val="auto"/>
        </w:rPr>
      </w:pPr>
      <w:r>
        <w:rPr>
          <w:rFonts w:ascii="Courier New" w:cs="Courier New" w:eastAsia="Courier New" w:hAnsi="Courier New"/>
          <w:sz w:val="15"/>
          <w:szCs w:val="15"/>
          <w:color w:val="auto"/>
        </w:rPr>
        <w:t>Each trust subsidiary's principal place of business is c/o Comcast Corporation, 1500 Market Street, Philadelphia, Pennsylvania 19102-2148.</w:t>
      </w:r>
    </w:p>
    <w:p>
      <w:pPr>
        <w:spacing w:after="0" w:line="17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left="7" w:right="4340" w:firstLine="636"/>
        <w:spacing w:after="0" w:line="246" w:lineRule="auto"/>
        <w:rPr>
          <w:sz w:val="20"/>
          <w:szCs w:val="20"/>
          <w:color w:val="auto"/>
        </w:rPr>
      </w:pPr>
      <w:r>
        <w:rPr>
          <w:rFonts w:ascii="Courier New" w:cs="Courier New" w:eastAsia="Courier New" w:hAnsi="Courier New"/>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180" w:lineRule="exact"/>
        <w:rPr>
          <w:sz w:val="20"/>
          <w:szCs w:val="20"/>
          <w:color w:val="auto"/>
        </w:rPr>
      </w:pPr>
    </w:p>
    <w:p>
      <w:pPr>
        <w:jc w:val="center"/>
        <w:ind w:right="4333"/>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We paid quarterly dividends on our common stock of $0.012 per share in</w:t>
      </w:r>
    </w:p>
    <w:p>
      <w:pPr>
        <w:spacing w:after="0" w:line="5" w:lineRule="exact"/>
        <w:rPr>
          <w:sz w:val="20"/>
          <w:szCs w:val="20"/>
          <w:color w:val="auto"/>
        </w:rPr>
      </w:pPr>
    </w:p>
    <w:p>
      <w:pPr>
        <w:ind w:left="7" w:right="4900"/>
        <w:spacing w:after="0" w:line="247" w:lineRule="auto"/>
        <w:rPr>
          <w:sz w:val="20"/>
          <w:szCs w:val="20"/>
          <w:color w:val="auto"/>
        </w:rPr>
      </w:pPr>
      <w:r>
        <w:rPr>
          <w:rFonts w:ascii="Courier New" w:cs="Courier New" w:eastAsia="Courier New" w:hAnsi="Courier New"/>
          <w:sz w:val="15"/>
          <w:szCs w:val="15"/>
          <w:color w:val="auto"/>
        </w:rPr>
        <w:t>1997 and 1998 and in March 1999. We do not intend to pay dividends on our common stock for the foreseeable future.</w:t>
      </w:r>
    </w:p>
    <w:p>
      <w:pPr>
        <w:spacing w:after="0" w:line="175" w:lineRule="exact"/>
        <w:rPr>
          <w:sz w:val="20"/>
          <w:szCs w:val="20"/>
          <w:color w:val="auto"/>
        </w:rPr>
      </w:pPr>
    </w:p>
    <w:p>
      <w:pPr>
        <w:jc w:val="center"/>
        <w:ind w:right="4433"/>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p>
      <w:pPr>
        <w:spacing w:after="0" w:line="5" w:lineRule="exact"/>
        <w:rPr>
          <w:sz w:val="20"/>
          <w:szCs w:val="20"/>
          <w:color w:val="auto"/>
        </w:rPr>
      </w:pPr>
    </w:p>
    <w:p>
      <w:pPr>
        <w:jc w:val="center"/>
        <w:ind w:right="4333"/>
        <w:spacing w:after="0"/>
        <w:rPr>
          <w:sz w:val="20"/>
          <w:szCs w:val="20"/>
          <w:color w:val="auto"/>
        </w:rPr>
      </w:pPr>
      <w:r>
        <w:rPr>
          <w:rFonts w:ascii="Courier New" w:cs="Courier New" w:eastAsia="Courier New" w:hAnsi="Courier New"/>
          <w:sz w:val="15"/>
          <w:szCs w:val="15"/>
          <w:color w:val="auto"/>
        </w:rPr>
        <w:t>AND PREFERRED STOCK DIVIDENDS</w:t>
      </w:r>
    </w:p>
    <w:p>
      <w:pPr>
        <w:spacing w:after="0" w:line="180" w:lineRule="exact"/>
        <w:rPr>
          <w:sz w:val="20"/>
          <w:szCs w:val="20"/>
          <w:color w:val="auto"/>
        </w:rPr>
      </w:pPr>
    </w:p>
    <w:p>
      <w:pPr>
        <w:ind w:left="7" w:right="4340" w:firstLine="454"/>
        <w:spacing w:after="0" w:line="246" w:lineRule="auto"/>
        <w:rPr>
          <w:sz w:val="20"/>
          <w:szCs w:val="20"/>
          <w:color w:val="auto"/>
        </w:rPr>
      </w:pPr>
      <w:r>
        <w:rPr>
          <w:rFonts w:ascii="Courier New" w:cs="Courier New" w:eastAsia="Courier New" w:hAnsi="Courier New"/>
          <w:sz w:val="15"/>
          <w:szCs w:val="15"/>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00" w:lineRule="exact"/>
        <w:rPr>
          <w:sz w:val="20"/>
          <w:szCs w:val="20"/>
          <w:color w:val="auto"/>
        </w:rPr>
      </w:pPr>
    </w:p>
    <w:p>
      <w:pPr>
        <w:spacing w:after="0" w:line="33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1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June 30,</w:t>
            </w:r>
          </w:p>
        </w:tc>
        <w:tc>
          <w:tcPr>
            <w:tcW w:w="1100" w:type="dxa"/>
            <w:vAlign w:val="bottom"/>
          </w:tcPr>
          <w:p>
            <w:pPr>
              <w:spacing w:after="0"/>
              <w:rPr>
                <w:sz w:val="15"/>
                <w:szCs w:val="15"/>
                <w:color w:val="auto"/>
              </w:rPr>
            </w:pPr>
          </w:p>
        </w:tc>
        <w:tc>
          <w:tcPr>
            <w:tcW w:w="326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Years Ended December 31,</w:t>
            </w:r>
          </w:p>
        </w:tc>
        <w:tc>
          <w:tcPr>
            <w:tcW w:w="90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1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77"/>
              </w:rPr>
              <w:t>----------</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9"/>
              </w:rPr>
              <w:t>Ratio of earnings to</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fixed charges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7.49x</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1.41x</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5.54x</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1.45x</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1.45x</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1.48x</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9"/>
              </w:rPr>
              <w:t>Ratio of earnings to</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combined fixed charges</w:t>
            </w:r>
          </w:p>
        </w:tc>
        <w:tc>
          <w:tcPr>
            <w:tcW w:w="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and preferred stock</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dividends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6.87x</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1.29x</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5.05x</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1.38x</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1.44x</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1.48x</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4620" w:hanging="367"/>
        <w:spacing w:after="0" w:line="247" w:lineRule="auto"/>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and combined fixed charges and preferred stock dividends by $6.4 million for the year ended December 31, 1994.</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7"/>
          </w:cols>
          <w:pgMar w:left="233" w:top="643" w:right="139" w:bottom="1440" w:gutter="0" w:footer="0" w:header="0"/>
        </w:sectPr>
      </w:pPr>
    </w:p>
    <w:bookmarkStart w:id="37" w:name="page38"/>
    <w:bookmarkEnd w:id="37"/>
    <w:p>
      <w:pPr>
        <w:ind w:left="1540"/>
        <w:spacing w:after="0"/>
        <w:rPr>
          <w:sz w:val="20"/>
          <w:szCs w:val="20"/>
          <w:color w:val="auto"/>
        </w:rPr>
      </w:pPr>
      <w:r>
        <w:rPr>
          <w:rFonts w:ascii="Courier New" w:cs="Courier New" w:eastAsia="Courier New" w:hAnsi="Courier New"/>
          <w:sz w:val="15"/>
          <w:szCs w:val="15"/>
          <w:color w:val="auto"/>
        </w:rPr>
        <w:t>DESCRIPTION OF THE SENIOR DEBT SECURITIES AND</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SUBORDINATED DEBT SECURITIES</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Our debt securities, consisting of notes, debentures or other evidences of indebtedness, may be issued from time to time in one or more series:</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in the case of senior debt securities, under a senior indenture to be dated as of June 15, 1999 between us and Bank of Montreal Trust Company, as trustee; and</w:t>
      </w:r>
    </w:p>
    <w:p>
      <w:pPr>
        <w:spacing w:after="0" w:line="34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in the case of subordinated debt securities, under a subordinated indenture to be dated as of June 15, 1999 between us and Bankers Trust Company, as trustee.</w:t>
      </w:r>
    </w:p>
    <w:p>
      <w:pPr>
        <w:spacing w:after="0" w:line="174" w:lineRule="exact"/>
        <w:rPr>
          <w:sz w:val="20"/>
          <w:szCs w:val="20"/>
          <w:color w:val="auto"/>
        </w:rPr>
      </w:pPr>
    </w:p>
    <w:p>
      <w:pPr>
        <w:jc w:val="both"/>
        <w:ind w:right="3499" w:firstLine="636"/>
        <w:spacing w:after="0" w:line="247" w:lineRule="auto"/>
        <w:rPr>
          <w:sz w:val="20"/>
          <w:szCs w:val="20"/>
          <w:color w:val="auto"/>
        </w:rPr>
      </w:pPr>
      <w:r>
        <w:rPr>
          <w:rFonts w:ascii="Courier New" w:cs="Courier New" w:eastAsia="Courier New" w:hAnsi="Courier New"/>
          <w:sz w:val="15"/>
          <w:szCs w:val="15"/>
          <w:color w:val="auto"/>
        </w:rPr>
        <w:t>The senior indenture and the subordinated indenture are included as exhibits to the registration statement of which this prospectus is a part.</w:t>
      </w:r>
    </w:p>
    <w:p>
      <w:pPr>
        <w:spacing w:after="0" w:line="349"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17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are a holding company and conduct all of our 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361"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You should look in the prospectus supplement for the following terms of the debt securities being offered:</w:t>
      </w:r>
    </w:p>
    <w:p>
      <w:pPr>
        <w:spacing w:after="0" w:line="34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debt securities' designation;</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principal amount of the debt securities;</w:t>
      </w:r>
    </w:p>
    <w:p>
      <w:pPr>
        <w:spacing w:after="0" w:line="354"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the percentage of their principal amount (i.e. price) at which the debt securities will be issued;</w:t>
      </w:r>
    </w:p>
    <w:p>
      <w:pPr>
        <w:spacing w:after="0" w:line="349"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the date or dates on which the debt securities will mature and the right, if any, to extend such date or dates;</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the rate or rates, if any, per year, at which the debt securities will bear interest, or the method of determining such rate or rates;</w:t>
      </w:r>
    </w:p>
    <w:p>
      <w:pPr>
        <w:spacing w:after="0" w:line="175"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o 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78"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the right, if any, to extend the interest payment periods and the duration of that extension;</w:t>
      </w:r>
    </w:p>
    <w:p>
      <w:pPr>
        <w:sectPr>
          <w:pgSz w:w="11900" w:h="16838" w:orient="portrait"/>
          <w:cols w:equalWidth="0" w:num="1">
            <w:col w:w="10219"/>
          </w:cols>
          <w:pgMar w:left="240" w:top="817" w:right="1440" w:bottom="76" w:gutter="0" w:footer="0" w:header="0"/>
        </w:sectPr>
      </w:pPr>
    </w:p>
    <w:bookmarkStart w:id="38" w:name="page39"/>
    <w:bookmarkEnd w:id="38"/>
    <w:p>
      <w:pPr>
        <w:ind w:left="23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019"/>
          </w:cols>
          <w:pgMar w:left="1440" w:top="316" w:right="1440" w:bottom="1440" w:gutter="0" w:footer="0" w:header="0"/>
        </w:sectPr>
      </w:pPr>
    </w:p>
    <w:bookmarkStart w:id="39" w:name="page40"/>
    <w:bookmarkEnd w:id="39"/>
    <w:p>
      <w:pPr>
        <w:ind w:left="620"/>
        <w:spacing w:after="0"/>
        <w:rPr>
          <w:sz w:val="20"/>
          <w:szCs w:val="20"/>
          <w:color w:val="auto"/>
        </w:rPr>
      </w:pPr>
      <w:r>
        <w:rPr>
          <w:rFonts w:ascii="Courier New" w:cs="Courier New" w:eastAsia="Courier New" w:hAnsi="Courier New"/>
          <w:sz w:val="15"/>
          <w:szCs w:val="15"/>
          <w:color w:val="auto"/>
        </w:rPr>
        <w:t>o provisions for a sinking fund purchase or other analogous fund,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w:t>
      </w:r>
    </w:p>
    <w:p>
      <w:pPr>
        <w:spacing w:after="0" w:line="180"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o the period or periods, if any, within which, the price or prices of which, and the terms and conditions upon which the debt securities may be redeemed, in whole or in part, at our option or at your option;</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form of the debt securities;</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any provisions for payment of additional amounts for taxes and any provision for redemption, if we must pay such additional amounts in respect of any debt security;</w:t>
      </w:r>
    </w:p>
    <w:p>
      <w:pPr>
        <w:spacing w:after="0" w:line="174"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the terms and conditions, if any, upon which we may have to repay the debt securities early at your option and the price or prices in the currency or currency unit in which the debt securities are payable;</w:t>
      </w:r>
    </w:p>
    <w:p>
      <w:pPr>
        <w:spacing w:after="0" w:line="17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the currency, currencies or currency units for which you may purchase the debt securities and the currency, currencies or currency units in which principal and interest, if any, on the debt securities may be payable;</w:t>
      </w:r>
    </w:p>
    <w:p>
      <w:pPr>
        <w:spacing w:after="0" w:line="34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the terms and conditions, if any, pursuant to which the debt securities may be converted or exchanged for the cash value of other securities issued by us or by a third party; and</w:t>
      </w:r>
    </w:p>
    <w:p>
      <w:pPr>
        <w:spacing w:after="0" w:line="174" w:lineRule="exact"/>
        <w:rPr>
          <w:sz w:val="20"/>
          <w:szCs w:val="20"/>
          <w:color w:val="auto"/>
        </w:rPr>
      </w:pPr>
    </w:p>
    <w:p>
      <w:pPr>
        <w:ind w:right="3599" w:firstLine="636"/>
        <w:spacing w:after="0" w:line="246" w:lineRule="auto"/>
        <w:rPr>
          <w:sz w:val="20"/>
          <w:szCs w:val="20"/>
          <w:color w:val="auto"/>
        </w:rPr>
      </w:pPr>
      <w:r>
        <w:rPr>
          <w:rFonts w:ascii="Courier New" w:cs="Courier New" w:eastAsia="Courier New" w:hAnsi="Courier New"/>
          <w:sz w:val="15"/>
          <w:szCs w:val="15"/>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Senior Debt Securities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17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431" w:gutter="0" w:footer="0" w:header="0"/>
        </w:sectPr>
      </w:pPr>
    </w:p>
    <w:bookmarkStart w:id="40" w:name="page41"/>
    <w:bookmarkEnd w:id="40"/>
    <w:p>
      <w:pPr>
        <w:ind w:right="3039" w:firstLine="636"/>
        <w:spacing w:after="0" w:line="246" w:lineRule="auto"/>
        <w:rPr>
          <w:sz w:val="20"/>
          <w:szCs w:val="20"/>
          <w:color w:val="auto"/>
        </w:rPr>
      </w:pPr>
      <w:r>
        <w:rPr>
          <w:rFonts w:ascii="Courier New" w:cs="Courier New" w:eastAsia="Courier New" w:hAnsi="Courier New"/>
          <w:sz w:val="15"/>
          <w:szCs w:val="15"/>
          <w:color w:val="auto"/>
        </w:rPr>
        <w:t>o we are the continuing person or the person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179"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immediately after giving effect to such transaction, no default or event of default shall have occurred and be continuing; and</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An event of default for a series of senior debt securities is defined under the senior indenture as being:</w:t>
      </w:r>
    </w:p>
    <w:p>
      <w:pPr>
        <w:spacing w:after="0" w:line="175"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our default in the payment of principal or premium on the senior debt securities of such series when due and payable whether at maturity, upon acceleration, redemption, or otherwise;</w:t>
      </w:r>
    </w:p>
    <w:p>
      <w:pPr>
        <w:spacing w:after="0" w:line="174"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o our default in the payment of interest on any senior debt securities of such series when due and payable, if that default continues for a period of 30 days;</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of 25% or more in aggregate principal amount of the senior debt securities of such series;</w:t>
      </w:r>
    </w:p>
    <w:p>
      <w:pPr>
        <w:spacing w:after="0" w:line="17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court having jurisdiction enters a decree or order for:</w:t>
      </w:r>
    </w:p>
    <w:p>
      <w:pPr>
        <w:spacing w:after="0" w:line="180" w:lineRule="exact"/>
        <w:rPr>
          <w:sz w:val="20"/>
          <w:szCs w:val="20"/>
          <w:color w:val="auto"/>
        </w:rPr>
      </w:pPr>
    </w:p>
    <w:p>
      <w:pPr>
        <w:ind w:left="620" w:right="3039" w:firstLine="636"/>
        <w:spacing w:after="0" w:line="247" w:lineRule="auto"/>
        <w:rPr>
          <w:sz w:val="20"/>
          <w:szCs w:val="20"/>
          <w:color w:val="auto"/>
        </w:rPr>
      </w:pPr>
      <w:r>
        <w:rPr>
          <w:rFonts w:ascii="Courier New" w:cs="Courier New" w:eastAsia="Courier New" w:hAnsi="Courier New"/>
          <w:sz w:val="15"/>
          <w:szCs w:val="15"/>
          <w:color w:val="auto"/>
        </w:rPr>
        <w:t>o relief in respect of us in an involuntary case under any applicable bankruptcy, insolvency, or other similar law now or hereafter in effect;</w:t>
      </w:r>
    </w:p>
    <w:p>
      <w:pPr>
        <w:spacing w:after="0" w:line="349" w:lineRule="exact"/>
        <w:rPr>
          <w:sz w:val="20"/>
          <w:szCs w:val="20"/>
          <w:color w:val="auto"/>
        </w:rPr>
      </w:pPr>
    </w:p>
    <w:p>
      <w:pPr>
        <w:ind w:left="620" w:right="3419" w:firstLine="636"/>
        <w:spacing w:after="0" w:line="247" w:lineRule="auto"/>
        <w:rPr>
          <w:sz w:val="20"/>
          <w:szCs w:val="20"/>
          <w:color w:val="auto"/>
        </w:rPr>
      </w:pPr>
      <w:r>
        <w:rPr>
          <w:rFonts w:ascii="Courier New" w:cs="Courier New" w:eastAsia="Courier New" w:hAnsi="Courier New"/>
          <w:sz w:val="15"/>
          <w:szCs w:val="15"/>
          <w:color w:val="auto"/>
        </w:rPr>
        <w:t>o appointment of a receiver, liquidator, assignee, custodian, trustee, sequestrator, or similar official of us or for all or substantially all of our property and assets; or</w:t>
      </w:r>
    </w:p>
    <w:p>
      <w:pPr>
        <w:spacing w:after="0" w:line="174" w:lineRule="exact"/>
        <w:rPr>
          <w:sz w:val="20"/>
          <w:szCs w:val="20"/>
          <w:color w:val="auto"/>
        </w:rPr>
      </w:pPr>
    </w:p>
    <w:p>
      <w:pPr>
        <w:jc w:val="both"/>
        <w:ind w:left="620" w:right="2959" w:firstLine="636"/>
        <w:spacing w:after="0" w:line="247" w:lineRule="auto"/>
        <w:rPr>
          <w:sz w:val="20"/>
          <w:szCs w:val="20"/>
          <w:color w:val="auto"/>
        </w:rPr>
      </w:pPr>
      <w:r>
        <w:rPr>
          <w:rFonts w:ascii="Courier New" w:cs="Courier New" w:eastAsia="Courier New" w:hAnsi="Courier New"/>
          <w:sz w:val="15"/>
          <w:szCs w:val="15"/>
          <w:color w:val="auto"/>
        </w:rPr>
        <w:t>o the winding up or liquidation of our affairs and such decree or order shall remain unstayed and in effect for a period of 180 consecutive days.</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we:</w:t>
      </w:r>
    </w:p>
    <w:p>
      <w:pPr>
        <w:spacing w:after="0" w:line="180"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commence a voluntary case under any applicable bankruptcy, insolvency, or other similar law now or hereafter in effect, or consent to the entry of an order for relief in an involuntary case under any such law;</w:t>
      </w:r>
    </w:p>
    <w:p>
      <w:pPr>
        <w:spacing w:after="0" w:line="177" w:lineRule="exact"/>
        <w:rPr>
          <w:sz w:val="20"/>
          <w:szCs w:val="20"/>
          <w:color w:val="auto"/>
        </w:rPr>
      </w:pPr>
    </w:p>
    <w:p>
      <w:pPr>
        <w:ind w:left="620" w:right="3039" w:firstLine="636"/>
        <w:spacing w:after="0" w:line="246" w:lineRule="auto"/>
        <w:rPr>
          <w:sz w:val="20"/>
          <w:szCs w:val="20"/>
          <w:color w:val="auto"/>
        </w:rPr>
      </w:pPr>
      <w:r>
        <w:rPr>
          <w:rFonts w:ascii="Courier New" w:cs="Courier New" w:eastAsia="Courier New" w:hAnsi="Courier New"/>
          <w:sz w:val="15"/>
          <w:szCs w:val="15"/>
          <w:color w:val="auto"/>
        </w:rPr>
        <w:t>o consent to the appointment of or taking possession by a receiver, liquidator, assignee, custodian, trustee, sequestrator, or similar official of ours or for all or substantially all of our property and assets; or</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 effect any general assignment for the benefit of creditors.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3"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Upon a declaration of acceleration, such principal amount of and accrued interest, if any, 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2" w:right="1440" w:bottom="0" w:gutter="0" w:footer="0" w:header="0"/>
        </w:sectPr>
      </w:pPr>
    </w:p>
    <w:bookmarkStart w:id="41" w:name="page42"/>
    <w:bookmarkEnd w:id="41"/>
    <w:p>
      <w:pPr>
        <w:ind w:right="3039"/>
        <w:spacing w:after="0" w:line="246" w:lineRule="auto"/>
        <w:rPr>
          <w:sz w:val="20"/>
          <w:szCs w:val="20"/>
          <w:color w:val="auto"/>
        </w:rPr>
      </w:pPr>
      <w:r>
        <w:rPr>
          <w:rFonts w:ascii="Courier New" w:cs="Courier New" w:eastAsia="Courier New" w:hAnsi="Courier New"/>
          <w:sz w:val="15"/>
          <w:szCs w:val="15"/>
          <w:color w:val="auto"/>
        </w:rPr>
        <w:t>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183"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the holder gives the trustee written notice of a continuing event of default;</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the holders of at least 25% in aggregate principal amount of such series of senior debt securities make a written request to the trustee to pursue the remedy in respect of such event of default;</w:t>
      </w:r>
    </w:p>
    <w:p>
      <w:pPr>
        <w:spacing w:after="0" w:line="174" w:lineRule="exact"/>
        <w:rPr>
          <w:sz w:val="20"/>
          <w:szCs w:val="20"/>
          <w:color w:val="auto"/>
        </w:rPr>
      </w:pPr>
    </w:p>
    <w:p>
      <w:pPr>
        <w:jc w:val="both"/>
        <w:ind w:right="3959" w:firstLine="636"/>
        <w:spacing w:after="0" w:line="247" w:lineRule="auto"/>
        <w:rPr>
          <w:sz w:val="20"/>
          <w:szCs w:val="20"/>
          <w:color w:val="auto"/>
        </w:rPr>
      </w:pPr>
      <w:r>
        <w:rPr>
          <w:rFonts w:ascii="Courier New" w:cs="Courier New" w:eastAsia="Courier New" w:hAnsi="Courier New"/>
          <w:sz w:val="15"/>
          <w:szCs w:val="15"/>
          <w:color w:val="auto"/>
        </w:rPr>
        <w:t>o the requesting holder or holders offer the trustee indemnity satisfactory to the trustee against any costs, liability, or expense;</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the trustee does not comply with the request within 60 days after receipt of the request and the offer of indemnity; and</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during such 60-day period, the holders of a majority in aggregate principal amount of such series of senior debt securities do not give the trustee a direction that is inconsistent with the request.</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Discharge and Defeasance</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177"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all senior debt securities of such series previously authenticated and delivered with certain exceptions, have been delivered to the trustee for cancellation and we have paid all sums payable by it under the indenture; or</w:t>
      </w:r>
    </w:p>
    <w:p>
      <w:pPr>
        <w:spacing w:after="0" w:line="17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the senior debt securities of such series mature within one year or all of them are to be called for redemption within one year under arrangements satisfactory to the trustee for giving the notice of redemption;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130" w:gutter="0" w:footer="0" w:header="0"/>
        </w:sectPr>
      </w:pPr>
    </w:p>
    <w:bookmarkStart w:id="42" w:name="page43"/>
    <w:bookmarkEnd w:id="42"/>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182" w:lineRule="exact"/>
        <w:rPr>
          <w:sz w:val="20"/>
          <w:szCs w:val="20"/>
          <w:color w:val="auto"/>
        </w:rPr>
      </w:pPr>
    </w:p>
    <w:p>
      <w:pPr>
        <w:ind w:left="620" w:right="3039" w:firstLine="636"/>
        <w:spacing w:after="0" w:line="246" w:lineRule="auto"/>
        <w:rPr>
          <w:sz w:val="20"/>
          <w:szCs w:val="20"/>
          <w:color w:val="auto"/>
        </w:rPr>
      </w:pPr>
      <w:r>
        <w:rPr>
          <w:rFonts w:ascii="Courier New" w:cs="Courier New" w:eastAsia="Courier New" w:hAnsi="Courier New"/>
          <w:sz w:val="15"/>
          <w:szCs w:val="15"/>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With respect to the first bullet point, only our obligations to compensate and indemnify the trustee and our right to recover excess money held by the trustee under the indenture shall survive. With respect to the second bullet point,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83"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The senior indenture also provides that, except as otherwise provided in this paragraph, we:</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17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provided that the following conditions shall have been satisfied:</w:t>
      </w:r>
    </w:p>
    <w:p>
      <w:pPr>
        <w:spacing w:after="0" w:line="180"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83" w:lineRule="exact"/>
        <w:rPr>
          <w:sz w:val="20"/>
          <w:szCs w:val="20"/>
          <w:color w:val="auto"/>
        </w:rPr>
      </w:pPr>
    </w:p>
    <w:p>
      <w:pPr>
        <w:ind w:left="620" w:right="2959" w:firstLine="636"/>
        <w:spacing w:after="0" w:line="247" w:lineRule="auto"/>
        <w:rPr>
          <w:sz w:val="20"/>
          <w:szCs w:val="20"/>
          <w:color w:val="auto"/>
        </w:rPr>
      </w:pPr>
      <w:r>
        <w:rPr>
          <w:rFonts w:ascii="Courier New" w:cs="Courier New" w:eastAsia="Courier New" w:hAnsi="Courier New"/>
          <w:sz w:val="15"/>
          <w:szCs w:val="15"/>
          <w:color w:val="auto"/>
        </w:rPr>
        <w:t>o such deposit will not result in a breach or violation of, or constitute a default under, the indenture or any other material agreement or instrument to which we are a party or by which we are bound;</w:t>
      </w:r>
    </w:p>
    <w:p>
      <w:pPr>
        <w:spacing w:after="0" w:line="349" w:lineRule="exact"/>
        <w:rPr>
          <w:sz w:val="20"/>
          <w:szCs w:val="20"/>
          <w:color w:val="auto"/>
        </w:rPr>
      </w:pPr>
    </w:p>
    <w:p>
      <w:pPr>
        <w:jc w:val="both"/>
        <w:ind w:left="620" w:right="3139" w:firstLine="636"/>
        <w:spacing w:after="0" w:line="247" w:lineRule="auto"/>
        <w:rPr>
          <w:sz w:val="20"/>
          <w:szCs w:val="20"/>
          <w:color w:val="auto"/>
        </w:rPr>
      </w:pPr>
      <w:r>
        <w:rPr>
          <w:rFonts w:ascii="Courier New" w:cs="Courier New" w:eastAsia="Courier New" w:hAnsi="Courier New"/>
          <w:sz w:val="15"/>
          <w:szCs w:val="15"/>
          <w:color w:val="auto"/>
        </w:rPr>
        <w:t>o no default or event of default with respect to the senior debt securities of such series shall have occurred and be continuing on the date of such deposit;</w:t>
      </w:r>
    </w:p>
    <w:p>
      <w:pPr>
        <w:spacing w:after="0" w:line="349"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 we shall have delivered to the trustee:</w:t>
      </w:r>
    </w:p>
    <w:p>
      <w:pPr>
        <w:spacing w:after="0" w:line="180" w:lineRule="exact"/>
        <w:rPr>
          <w:sz w:val="20"/>
          <w:szCs w:val="20"/>
          <w:color w:val="auto"/>
        </w:rPr>
      </w:pPr>
    </w:p>
    <w:p>
      <w:pPr>
        <w:ind w:left="1820" w:right="3039" w:hanging="373"/>
        <w:spacing w:after="0" w:line="247" w:lineRule="auto"/>
        <w:tabs>
          <w:tab w:leader="none" w:pos="18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an opinion of counsel that the holders of the senior debt securities of</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130" w:gutter="0" w:footer="0" w:header="0"/>
        </w:sectPr>
      </w:pPr>
    </w:p>
    <w:bookmarkStart w:id="43" w:name="page44"/>
    <w:bookmarkEnd w:id="43"/>
    <w:p>
      <w:pPr>
        <w:ind w:left="1820" w:right="3039"/>
        <w:spacing w:after="0" w:line="246" w:lineRule="auto"/>
        <w:rPr>
          <w:sz w:val="20"/>
          <w:szCs w:val="20"/>
          <w:color w:val="auto"/>
        </w:rPr>
      </w:pPr>
      <w:r>
        <w:rPr>
          <w:rFonts w:ascii="Courier New" w:cs="Courier New" w:eastAsia="Courier New" w:hAnsi="Courier New"/>
          <w:sz w:val="15"/>
          <w:szCs w:val="15"/>
          <w:color w:val="auto"/>
        </w:rPr>
        <w:t>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56" w:lineRule="exact"/>
        <w:rPr>
          <w:sz w:val="20"/>
          <w:szCs w:val="20"/>
          <w:color w:val="auto"/>
        </w:rPr>
      </w:pPr>
    </w:p>
    <w:p>
      <w:pPr>
        <w:ind w:left="1820" w:right="3039" w:hanging="373"/>
        <w:spacing w:after="0" w:line="246" w:lineRule="auto"/>
        <w:tabs>
          <w:tab w:leader="none" w:pos="18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352"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352"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Modification and Waiver</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We and the trustee may amend or supplement the senior indenture or the senior debt securities without notice to or the consent of any holder:</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to cure any ambiguity, defect, or inconsistency in the senior indenture; provided that such amendments or supplements shall not adversely affect the interests of the holders in any material respect;</w:t>
      </w:r>
    </w:p>
    <w:p>
      <w:pPr>
        <w:spacing w:after="0" w:line="174" w:lineRule="exact"/>
        <w:rPr>
          <w:sz w:val="20"/>
          <w:szCs w:val="20"/>
          <w:color w:val="auto"/>
        </w:rPr>
      </w:pPr>
    </w:p>
    <w:p>
      <w:pPr>
        <w:ind w:right="4319" w:firstLine="636"/>
        <w:spacing w:after="0" w:line="247" w:lineRule="auto"/>
        <w:rPr>
          <w:sz w:val="20"/>
          <w:szCs w:val="20"/>
          <w:color w:val="auto"/>
        </w:rPr>
      </w:pPr>
      <w:r>
        <w:rPr>
          <w:rFonts w:ascii="Courier New" w:cs="Courier New" w:eastAsia="Courier New" w:hAnsi="Courier New"/>
          <w:sz w:val="15"/>
          <w:szCs w:val="15"/>
          <w:color w:val="auto"/>
        </w:rPr>
        <w:t>o to comply with the provisions described under "--Certain Covenants--Consolidation, Merger and Sale of Assets";</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to comply with any requirements of the SEC in connection with the qualification of the senior indenture under the Trust Indenture Act;</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to evidence and provide for the acceptance of appointment hereunder by a successor trustee;</w:t>
      </w:r>
    </w:p>
    <w:p>
      <w:pPr>
        <w:spacing w:after="0" w:line="175"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to establish the form or forms or terms of the senior debt securities as permitted by the senior indenture;</w:t>
      </w:r>
    </w:p>
    <w:p>
      <w:pPr>
        <w:spacing w:after="0" w:line="175"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to provide for uncertificated senior debt securities and to make all appropriate changes for such purpose;</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to make any change that does not adversely affect the rights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7" w:lineRule="exact"/>
        <w:rPr>
          <w:sz w:val="20"/>
          <w:szCs w:val="20"/>
          <w:color w:val="auto"/>
        </w:rPr>
      </w:pPr>
    </w:p>
    <w:p>
      <w:pPr>
        <w:ind w:right="4039" w:firstLine="636"/>
        <w:spacing w:after="0" w:line="247" w:lineRule="auto"/>
        <w:rPr>
          <w:sz w:val="20"/>
          <w:szCs w:val="20"/>
          <w:color w:val="auto"/>
        </w:rPr>
      </w:pPr>
      <w:r>
        <w:rPr>
          <w:rFonts w:ascii="Courier New" w:cs="Courier New" w:eastAsia="Courier New" w:hAnsi="Courier New"/>
          <w:sz w:val="15"/>
          <w:szCs w:val="15"/>
          <w:color w:val="auto"/>
        </w:rPr>
        <w:t>o to make any change so long as no senior debt securities are outstanding.</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130" w:gutter="0" w:footer="0" w:header="0"/>
        </w:sectPr>
      </w:pPr>
    </w:p>
    <w:bookmarkStart w:id="44" w:name="page45"/>
    <w:bookmarkEnd w:id="44"/>
    <w:p>
      <w:pPr>
        <w:ind w:right="3139"/>
        <w:spacing w:after="0" w:line="247" w:lineRule="auto"/>
        <w:rPr>
          <w:sz w:val="20"/>
          <w:szCs w:val="20"/>
          <w:color w:val="auto"/>
        </w:rPr>
      </w:pPr>
      <w:r>
        <w:rPr>
          <w:rFonts w:ascii="Courier New" w:cs="Courier New" w:eastAsia="Courier New" w:hAnsi="Courier New"/>
          <w:sz w:val="15"/>
          <w:szCs w:val="15"/>
          <w:color w:val="auto"/>
        </w:rPr>
        <w:t>principal amount of such series of senior debt securities outstanding; provided, however, that each affected holder must consent to any modification, amendment or waiver that,</w:t>
      </w:r>
    </w:p>
    <w:p>
      <w:pPr>
        <w:spacing w:after="0" w:line="34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changes the stated maturity of the principal of, or any installment of interest on, any senior debt securities of such series;</w:t>
      </w:r>
    </w:p>
    <w:p>
      <w:pPr>
        <w:spacing w:after="0" w:line="349"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reduces the principal amount of, or premium, if any, or interest on, any senior debt securities of such series;</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changes the place or currency of payment of principal of, or premium, if any, or interest on, any senior debt securities of such series;</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changes the provisions for calculating the optional redemption price, including the definitions relating thereto;</w:t>
      </w:r>
    </w:p>
    <w:p>
      <w:pPr>
        <w:spacing w:after="0" w:line="34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changes the provisions relating to the waiver of past defaults or change or impair the right of holders to receive payment or to institute suit for the enforcement of any payment of any senior debt securities of such series on or after the due date therefor;</w:t>
      </w:r>
    </w:p>
    <w:p>
      <w:pPr>
        <w:spacing w:after="0" w:line="352"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reduces the above-stated percentage of outstanding senior debt securities of such series the consent of whose holders is necessary to modify or amend or to waive certain provisions of or defaults under the indenture;</w:t>
      </w:r>
    </w:p>
    <w:p>
      <w:pPr>
        <w:spacing w:after="0" w:line="34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alters or impairs the right to convert the senior debt security at the rate and upon the terms provided in the indenture;</w:t>
      </w:r>
    </w:p>
    <w:p>
      <w:pPr>
        <w:spacing w:after="0" w:line="349"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waives a default in the payment of principal of or interest on the senior debt securities;</w:t>
      </w:r>
    </w:p>
    <w:p>
      <w:pPr>
        <w:spacing w:after="0" w:line="349"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adversely affects the rights of such holder under any mandatory redemption or repurchase provision or any right of redemption or repurchase at the option of such holder; or</w:t>
      </w:r>
    </w:p>
    <w:p>
      <w:pPr>
        <w:spacing w:after="0" w:line="349" w:lineRule="exact"/>
        <w:rPr>
          <w:sz w:val="20"/>
          <w:szCs w:val="20"/>
          <w:color w:val="auto"/>
        </w:rPr>
      </w:pPr>
    </w:p>
    <w:p>
      <w:pPr>
        <w:jc w:val="both"/>
        <w:ind w:right="3139" w:firstLine="636"/>
        <w:spacing w:after="0" w:line="246" w:lineRule="auto"/>
        <w:rPr>
          <w:sz w:val="20"/>
          <w:szCs w:val="20"/>
          <w:color w:val="auto"/>
        </w:rPr>
      </w:pPr>
      <w:r>
        <w:rPr>
          <w:rFonts w:ascii="Courier New" w:cs="Courier New" w:eastAsia="Courier New" w:hAnsi="Courier New"/>
          <w:sz w:val="15"/>
          <w:szCs w:val="15"/>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181" w:lineRule="exact"/>
        <w:rPr>
          <w:sz w:val="20"/>
          <w:szCs w:val="20"/>
          <w:color w:val="auto"/>
        </w:rPr>
      </w:pPr>
    </w:p>
    <w:p>
      <w:pPr>
        <w:ind w:left="540" w:right="3039" w:hanging="362"/>
        <w:spacing w:after="0" w:line="247"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Concerning the Trustee</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The senior indenture provides that, except during the continuance of a default, the trustee will not be liable, except for the performance of such</w:t>
      </w:r>
    </w:p>
    <w:p>
      <w:pPr>
        <w:sectPr>
          <w:pgSz w:w="11900" w:h="16838" w:orient="portrait"/>
          <w:cols w:equalWidth="0" w:num="1">
            <w:col w:w="10219"/>
          </w:cols>
          <w:pgMar w:left="240" w:top="643" w:right="1440" w:bottom="76" w:gutter="0" w:footer="0" w:header="0"/>
        </w:sectPr>
      </w:pPr>
    </w:p>
    <w:bookmarkStart w:id="45" w:name="page46"/>
    <w:bookmarkEnd w:id="45"/>
    <w:p>
      <w:pPr>
        <w:ind w:left="2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316" w:right="1440" w:bottom="1440" w:gutter="0" w:footer="0" w:header="0"/>
        </w:sectPr>
      </w:pPr>
    </w:p>
    <w:bookmarkStart w:id="46" w:name="page47"/>
    <w:bookmarkEnd w:id="46"/>
    <w:p>
      <w:pPr>
        <w:ind w:right="3039"/>
        <w:spacing w:after="0" w:line="246" w:lineRule="auto"/>
        <w:rPr>
          <w:sz w:val="20"/>
          <w:szCs w:val="20"/>
          <w:color w:val="auto"/>
        </w:rPr>
      </w:pPr>
      <w:r>
        <w:rPr>
          <w:rFonts w:ascii="Courier New" w:cs="Courier New" w:eastAsia="Courier New" w:hAnsi="Courier New"/>
          <w:sz w:val="15"/>
          <w:szCs w:val="15"/>
          <w:color w:val="auto"/>
        </w:rPr>
        <w:t>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599" w:firstLine="636"/>
        <w:spacing w:after="0" w:line="247" w:lineRule="auto"/>
        <w:rPr>
          <w:sz w:val="20"/>
          <w:szCs w:val="20"/>
          <w:color w:val="auto"/>
        </w:rPr>
      </w:pPr>
      <w:r>
        <w:rPr>
          <w:rFonts w:ascii="Courier New" w:cs="Courier New" w:eastAsia="Courier New" w:hAnsi="Courier New"/>
          <w:sz w:val="15"/>
          <w:szCs w:val="15"/>
          <w:color w:val="auto"/>
        </w:rPr>
        <w:t>The indentures and the debt securities will be governed by, and construed in accordance with, the internal laws of the State of New York.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Trustees</w:t>
      </w:r>
    </w:p>
    <w:p>
      <w:pPr>
        <w:spacing w:after="0" w:line="180"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We may have normal banking relationships with the trustees under the indentures in the ordinary course of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Subordinated Debt Securities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18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The term "Senior Indebtedness" means the principal of, premium, if any, interest on, and any other payment due pursuant to any of the following, whether outstanding today or incurred by us in the future:</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178"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all of our indebtedness evidences by notes, debentures, bonds or other securities sold by us for money;</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all of our lease obligations which are capitalized on our books in accordance with generally accepted accounting principles;</w:t>
      </w:r>
    </w:p>
    <w:p>
      <w:pPr>
        <w:spacing w:after="0" w:line="175"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47" w:name="page48"/>
    <w:bookmarkEnd w:id="47"/>
    <w:p>
      <w:pPr>
        <w:ind w:right="3039"/>
        <w:spacing w:after="0" w:line="247" w:lineRule="auto"/>
        <w:rPr>
          <w:sz w:val="20"/>
          <w:szCs w:val="20"/>
          <w:color w:val="auto"/>
        </w:rPr>
      </w:pPr>
      <w:r>
        <w:rPr>
          <w:rFonts w:ascii="Courier New" w:cs="Courier New" w:eastAsia="Courier New" w:hAnsi="Courier New"/>
          <w:sz w:val="15"/>
          <w:szCs w:val="15"/>
          <w:color w:val="auto"/>
        </w:rPr>
        <w:t>between us and Morgan Guaranty Trust Company of New York, as successor trustee to Harris Trust and Savings Bank constitute Senior Indebtedness for purposes of the subordinated debt indenture.</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Special Terms Applicable to the Issuance of Subordinated Debt Securities to one of our Trust Subsidiaries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 preferred securities by such trust subsidiary and:</w:t>
      </w:r>
    </w:p>
    <w:p>
      <w:pPr>
        <w:spacing w:after="0" w:line="17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there shall have occurred any event that would constitute an event of default; or</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we are in default with respect to our payment of any obligations under the related guaranteed trust preferred securities guarantee or common securities guarantee, then</w:t>
      </w:r>
    </w:p>
    <w:p>
      <w:pPr>
        <w:spacing w:after="0" w:line="174"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 (2) 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82"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178"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48" w:name="page49"/>
    <w:bookmarkEnd w:id="48"/>
    <w:p>
      <w:pPr>
        <w:ind w:right="3219"/>
        <w:spacing w:after="0" w:line="247" w:lineRule="auto"/>
        <w:rPr>
          <w:sz w:val="20"/>
          <w:szCs w:val="20"/>
          <w:color w:val="auto"/>
        </w:rPr>
      </w:pPr>
      <w:r>
        <w:rPr>
          <w:rFonts w:ascii="Courier New" w:cs="Courier New" w:eastAsia="Courier New" w:hAnsi="Courier New"/>
          <w:sz w:val="15"/>
          <w:szCs w:val="15"/>
          <w:color w:val="auto"/>
        </w:rPr>
        <w:t>preferred securities of such trust subsidiary, for so long as such guaranteed trust preferred securities remain outstanding, we will:</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use our reasonable efforts to cause such trust subsidiary:</w:t>
      </w:r>
    </w:p>
    <w:p>
      <w:pPr>
        <w:spacing w:after="0" w:line="180" w:lineRule="exact"/>
        <w:rPr>
          <w:sz w:val="20"/>
          <w:szCs w:val="20"/>
          <w:color w:val="auto"/>
        </w:rPr>
      </w:pPr>
    </w:p>
    <w:p>
      <w:pPr>
        <w:ind w:left="620" w:right="2959" w:firstLine="636"/>
        <w:spacing w:after="0" w:line="246" w:lineRule="auto"/>
        <w:rPr>
          <w:sz w:val="20"/>
          <w:szCs w:val="20"/>
          <w:color w:val="auto"/>
        </w:rPr>
      </w:pPr>
      <w:r>
        <w:rPr>
          <w:rFonts w:ascii="Courier New" w:cs="Courier New" w:eastAsia="Courier New" w:hAnsi="Courier New"/>
          <w:sz w:val="15"/>
          <w:szCs w:val="15"/>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 and</w:t>
      </w:r>
    </w:p>
    <w:p>
      <w:pPr>
        <w:spacing w:after="0" w:line="178" w:lineRule="exact"/>
        <w:rPr>
          <w:sz w:val="20"/>
          <w:szCs w:val="20"/>
          <w:color w:val="auto"/>
        </w:rPr>
      </w:pPr>
    </w:p>
    <w:p>
      <w:pPr>
        <w:ind w:left="620" w:right="3039" w:firstLine="636"/>
        <w:spacing w:after="0" w:line="247" w:lineRule="auto"/>
        <w:rPr>
          <w:sz w:val="20"/>
          <w:szCs w:val="20"/>
          <w:color w:val="auto"/>
        </w:rPr>
      </w:pPr>
      <w:r>
        <w:rPr>
          <w:rFonts w:ascii="Courier New" w:cs="Courier New" w:eastAsia="Courier New" w:hAnsi="Courier New"/>
          <w:sz w:val="15"/>
          <w:szCs w:val="15"/>
          <w:color w:val="auto"/>
        </w:rPr>
        <w:t>o to otherwise continue not to be treated as an association taxable as a corporation or partnership for United States federal income tax purposes; and</w:t>
      </w:r>
    </w:p>
    <w:p>
      <w:pPr>
        <w:spacing w:after="0" w:line="174" w:lineRule="exact"/>
        <w:rPr>
          <w:sz w:val="20"/>
          <w:szCs w:val="20"/>
          <w:color w:val="auto"/>
        </w:rPr>
      </w:pPr>
    </w:p>
    <w:p>
      <w:pPr>
        <w:ind w:left="620" w:right="2959" w:firstLine="636"/>
        <w:spacing w:after="0" w:line="247" w:lineRule="auto"/>
        <w:rPr>
          <w:sz w:val="20"/>
          <w:szCs w:val="20"/>
          <w:color w:val="auto"/>
        </w:rPr>
      </w:pPr>
      <w:r>
        <w:rPr>
          <w:rFonts w:ascii="Courier New" w:cs="Courier New" w:eastAsia="Courier New" w:hAnsi="Courier New"/>
          <w:sz w:val="15"/>
          <w:szCs w:val="15"/>
          <w:color w:val="auto"/>
        </w:rPr>
        <w:t>o to use our reasonable efforts to cause each holder of guaranteed trust preferred securities to be treated as owning an individual beneficial interest in the subordinated debt securities.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Events of Default, Waiver and Notice</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178" w:lineRule="exact"/>
        <w:rPr>
          <w:sz w:val="20"/>
          <w:szCs w:val="20"/>
          <w:color w:val="auto"/>
        </w:rPr>
      </w:pPr>
    </w:p>
    <w:p>
      <w:pPr>
        <w:ind w:left="620" w:right="3219"/>
        <w:spacing w:after="0" w:line="246" w:lineRule="auto"/>
        <w:rPr>
          <w:sz w:val="20"/>
          <w:szCs w:val="20"/>
          <w:color w:val="auto"/>
        </w:rPr>
      </w:pPr>
      <w:r>
        <w:rPr>
          <w:rFonts w:ascii="Courier New" w:cs="Courier New" w:eastAsia="Courier New" w:hAnsi="Courier New"/>
          <w:sz w:val="15"/>
          <w:szCs w:val="15"/>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 Securities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80" w:lineRule="exact"/>
        <w:rPr>
          <w:sz w:val="20"/>
          <w:szCs w:val="20"/>
          <w:color w:val="auto"/>
        </w:rPr>
      </w:pPr>
    </w:p>
    <w:p>
      <w:pPr>
        <w:jc w:val="both"/>
        <w:ind w:right="3219" w:firstLine="636"/>
        <w:spacing w:after="0" w:line="247"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debt securities being offered that may be exchanged for or converted into capital stock:</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79"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49" w:name="page50"/>
    <w:bookmarkEnd w:id="49"/>
    <w:p>
      <w:pPr>
        <w:ind w:right="3219" w:firstLine="636"/>
        <w:spacing w:after="0" w:line="247" w:lineRule="auto"/>
        <w:rPr>
          <w:sz w:val="20"/>
          <w:szCs w:val="20"/>
          <w:color w:val="auto"/>
        </w:rPr>
      </w:pPr>
      <w:r>
        <w:rPr>
          <w:rFonts w:ascii="Courier New" w:cs="Courier New" w:eastAsia="Courier New" w:hAnsi="Courier New"/>
          <w:sz w:val="15"/>
          <w:szCs w:val="15"/>
          <w:color w:val="auto"/>
        </w:rPr>
        <w:t>o the issuance of shares of any class of capital stock of ours as a dividend on the class of capital stock into which the debt securities of such series are convertible;</w:t>
      </w:r>
    </w:p>
    <w:p>
      <w:pPr>
        <w:spacing w:after="0" w:line="174" w:lineRule="exact"/>
        <w:rPr>
          <w:sz w:val="20"/>
          <w:szCs w:val="20"/>
          <w:color w:val="auto"/>
        </w:rPr>
      </w:pPr>
    </w:p>
    <w:p>
      <w:pPr>
        <w:ind w:right="3599" w:firstLine="636"/>
        <w:spacing w:after="0" w:line="247" w:lineRule="auto"/>
        <w:rPr>
          <w:sz w:val="20"/>
          <w:szCs w:val="20"/>
          <w:color w:val="auto"/>
        </w:rPr>
      </w:pPr>
      <w:r>
        <w:rPr>
          <w:rFonts w:ascii="Courier New" w:cs="Courier New" w:eastAsia="Courier New" w:hAnsi="Courier New"/>
          <w:sz w:val="15"/>
          <w:szCs w:val="15"/>
          <w:color w:val="auto"/>
        </w:rPr>
        <w:t>o subdivisions, combinations and reclassifications of the class of capital stock into which debt securities of such series are convertible;</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78" w:lineRule="exact"/>
        <w:rPr>
          <w:sz w:val="20"/>
          <w:szCs w:val="20"/>
          <w:color w:val="auto"/>
        </w:rPr>
      </w:pPr>
    </w:p>
    <w:p>
      <w:pPr>
        <w:ind w:right="3419" w:firstLine="636"/>
        <w:spacing w:after="0" w:line="246" w:lineRule="auto"/>
        <w:rPr>
          <w:sz w:val="20"/>
          <w:szCs w:val="20"/>
          <w:color w:val="auto"/>
        </w:rPr>
      </w:pPr>
      <w:r>
        <w:rPr>
          <w:rFonts w:ascii="Courier New" w:cs="Courier New" w:eastAsia="Courier New" w:hAnsi="Courier New"/>
          <w:sz w:val="15"/>
          <w:szCs w:val="15"/>
          <w:color w:val="auto"/>
        </w:rPr>
        <w:t>o 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distributions of cash in excess of certain threshold amounts.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35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DESCRIPTION OF WARRANTS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81"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The applicable prospectus supplement will describe the following terms of any warrants in respect of which this prospectus is being delivered:</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title of such warrants;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number of such warrants;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price or prices at which such warrants will be issued;</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the currency or currencies, including composite currencies, in which the price of such warrants may be payable;</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78"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the price at which and the currency or currencies, including composite currencies, in which the securities purchasable upon exercise of such warrants may be purchased;</w:t>
      </w:r>
    </w:p>
    <w:p>
      <w:pPr>
        <w:spacing w:after="0" w:line="174"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the date on which the right to exercise such warrants shall commence and the date on which such right shall expire;</w:t>
      </w:r>
    </w:p>
    <w:p>
      <w:pPr>
        <w:spacing w:after="0" w:line="175"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o if applicable, the minimum or maximum amount of such warrants which may be exercised at any one time;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50" w:name="page51"/>
    <w:bookmarkEnd w:id="50"/>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o if applicable, the designation and terms of the securities with which such warrants are issued and the number of such warrants issued with each such Security;</w:t>
      </w:r>
    </w:p>
    <w:p>
      <w:pPr>
        <w:spacing w:after="0" w:line="174" w:lineRule="exact"/>
        <w:rPr>
          <w:sz w:val="20"/>
          <w:szCs w:val="20"/>
          <w:color w:val="auto"/>
        </w:rPr>
      </w:pPr>
    </w:p>
    <w:p>
      <w:pPr>
        <w:ind w:right="3599" w:firstLine="636"/>
        <w:spacing w:after="0" w:line="247" w:lineRule="auto"/>
        <w:rPr>
          <w:sz w:val="20"/>
          <w:szCs w:val="20"/>
          <w:color w:val="auto"/>
        </w:rPr>
      </w:pPr>
      <w:r>
        <w:rPr>
          <w:rFonts w:ascii="Courier New" w:cs="Courier New" w:eastAsia="Courier New" w:hAnsi="Courier New"/>
          <w:sz w:val="15"/>
          <w:szCs w:val="15"/>
          <w:color w:val="auto"/>
        </w:rPr>
        <w:t>o if applicable, the date on and after which such warrants and the related securities will be separately transferable;</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information with respect to book-entry procedures, if any;</w:t>
      </w:r>
    </w:p>
    <w:p>
      <w:pPr>
        <w:spacing w:after="0" w:line="180"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o if applicable, a discussion of certain United States Federal income tax considerations; and</w:t>
      </w:r>
    </w:p>
    <w:p>
      <w:pPr>
        <w:spacing w:after="0" w:line="175" w:lineRule="exact"/>
        <w:rPr>
          <w:sz w:val="20"/>
          <w:szCs w:val="20"/>
          <w:color w:val="auto"/>
        </w:rPr>
      </w:pPr>
    </w:p>
    <w:p>
      <w:pPr>
        <w:ind w:right="3499" w:firstLine="636"/>
        <w:spacing w:after="0" w:line="247" w:lineRule="auto"/>
        <w:rPr>
          <w:sz w:val="20"/>
          <w:szCs w:val="20"/>
          <w:color w:val="auto"/>
        </w:rPr>
      </w:pPr>
      <w:r>
        <w:rPr>
          <w:rFonts w:ascii="Courier New" w:cs="Courier New" w:eastAsia="Courier New" w:hAnsi="Courier New"/>
          <w:sz w:val="15"/>
          <w:szCs w:val="15"/>
          <w:color w:val="auto"/>
        </w:rPr>
        <w:t>o any other terms of such warrants, including terms, procedures and limitations relating to the exchange and exercise of such warrants.</w:t>
      </w:r>
    </w:p>
    <w:p>
      <w:pPr>
        <w:spacing w:after="0" w:line="349"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DESCRIPTION OF PURCHASE CONTRACTS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may issue purchase contracts for the purchase or sale of:</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currencies or composite currencies; or</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commodities.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356"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UNITS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3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description of the terms of any unit agreement governing the units;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354"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a description of the provisions for the payment, settlement, transfer or exchange of the units.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51" w:name="page52"/>
    <w:bookmarkEnd w:id="51"/>
    <w:p>
      <w:pPr>
        <w:ind w:left="1000"/>
        <w:spacing w:after="0"/>
        <w:rPr>
          <w:sz w:val="20"/>
          <w:szCs w:val="20"/>
          <w:color w:val="auto"/>
        </w:rPr>
      </w:pPr>
      <w:r>
        <w:rPr>
          <w:rFonts w:ascii="Courier New" w:cs="Courier New" w:eastAsia="Courier New" w:hAnsi="Courier New"/>
          <w:sz w:val="15"/>
          <w:szCs w:val="15"/>
          <w:color w:val="auto"/>
        </w:rPr>
        <w:t>DESCRIPTION OF THE GUARANTEED TRUST PREFERRED SECURITIES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358" w:lineRule="exact"/>
        <w:rPr>
          <w:sz w:val="20"/>
          <w:szCs w:val="20"/>
          <w:color w:val="auto"/>
        </w:rPr>
      </w:pPr>
    </w:p>
    <w:p>
      <w:pPr>
        <w:ind w:right="3779" w:firstLine="636"/>
        <w:spacing w:after="0" w:line="247" w:lineRule="auto"/>
        <w:rPr>
          <w:sz w:val="20"/>
          <w:szCs w:val="20"/>
          <w:color w:val="auto"/>
        </w:rPr>
      </w:pPr>
      <w:r>
        <w:rPr>
          <w:rFonts w:ascii="Courier New" w:cs="Courier New" w:eastAsia="Courier New" w:hAnsi="Courier New"/>
          <w:sz w:val="15"/>
          <w:szCs w:val="15"/>
          <w:color w:val="auto"/>
        </w:rPr>
        <w:t>o the distinctive designation and number of the guaranteed trust preferred securities;</w:t>
      </w:r>
    </w:p>
    <w:p>
      <w:pPr>
        <w:spacing w:after="0" w:line="34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179"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178" w:lineRule="exact"/>
        <w:rPr>
          <w:sz w:val="20"/>
          <w:szCs w:val="20"/>
          <w:color w:val="auto"/>
        </w:rPr>
      </w:pPr>
    </w:p>
    <w:p>
      <w:pPr>
        <w:ind w:right="3319" w:firstLine="636"/>
        <w:spacing w:after="0" w:line="247" w:lineRule="auto"/>
        <w:rPr>
          <w:sz w:val="20"/>
          <w:szCs w:val="20"/>
          <w:color w:val="auto"/>
        </w:rPr>
      </w:pPr>
      <w:r>
        <w:rPr>
          <w:rFonts w:ascii="Courier New" w:cs="Courier New" w:eastAsia="Courier New" w:hAnsi="Courier New"/>
          <w:sz w:val="15"/>
          <w:szCs w:val="15"/>
          <w:color w:val="auto"/>
        </w:rPr>
        <w:t>o the amount or amounts which shall be paid out of the assets of our trust subsidiary to the holders of its guaranteed trust preferred securities upon its voluntary or involuntary dissolution, winding-up or termination;</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178"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o the terms and conditions, if any, upon which the underlying subordinated debt securities may be distributed to holders of guaranteed trust preferred securities;</w:t>
      </w:r>
    </w:p>
    <w:p>
      <w:pPr>
        <w:spacing w:after="0" w:line="174"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if applicable, any securities exchange upon which the guaranteed trust preferred securities shall be listed; and</w:t>
      </w:r>
    </w:p>
    <w:p>
      <w:pPr>
        <w:spacing w:after="0" w:line="175"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any other relevant rights, preferences, privileges, limitations or restrictions of guaranteed trust preferred securities not inconsistent with the declaration of our trust subsidiary or with applicable law.</w:t>
      </w:r>
    </w:p>
    <w:p>
      <w:pPr>
        <w:spacing w:after="0" w:line="174"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52" w:name="page53"/>
    <w:bookmarkEnd w:id="52"/>
    <w:p>
      <w:pPr>
        <w:ind w:right="3039" w:firstLine="636"/>
        <w:spacing w:after="0" w:line="246" w:lineRule="auto"/>
        <w:rPr>
          <w:sz w:val="20"/>
          <w:szCs w:val="20"/>
          <w:color w:val="auto"/>
        </w:rPr>
      </w:pPr>
      <w:r>
        <w:rPr>
          <w:rFonts w:ascii="Courier New" w:cs="Courier New" w:eastAsia="Courier New" w:hAnsi="Courier New"/>
          <w:sz w:val="15"/>
          <w:szCs w:val="15"/>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186"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Enforcement of Certain Rights by Holders of Guaranteed Trust Preferred Securities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DESCRIPTION OF THE GUARANTEED TRUST PREFERRED SECURITIES GUARANTEES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3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53" w:name="page54"/>
    <w:bookmarkEnd w:id="53"/>
    <w:p>
      <w:pPr>
        <w:ind w:left="7"/>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355" w:lineRule="exact"/>
        <w:rPr>
          <w:sz w:val="20"/>
          <w:szCs w:val="20"/>
          <w:color w:val="auto"/>
        </w:rPr>
      </w:pPr>
    </w:p>
    <w:p>
      <w:pPr>
        <w:jc w:val="both"/>
        <w:ind w:left="7" w:right="3139" w:firstLine="636"/>
        <w:spacing w:after="0" w:line="247" w:lineRule="auto"/>
        <w:rPr>
          <w:sz w:val="20"/>
          <w:szCs w:val="20"/>
          <w:color w:val="auto"/>
        </w:rPr>
      </w:pPr>
      <w:r>
        <w:rPr>
          <w:rFonts w:ascii="Courier New" w:cs="Courier New" w:eastAsia="Courier New" w:hAnsi="Courier New"/>
          <w:sz w:val="15"/>
          <w:szCs w:val="15"/>
          <w:color w:val="auto"/>
        </w:rPr>
        <w:t>o any accrued and unpaid distributions which are required to be paid on such guaranteed trust preferred securities, to the extent the applicable trust subsidiary has funds available for such payment;</w:t>
      </w:r>
    </w:p>
    <w:p>
      <w:pPr>
        <w:spacing w:after="0" w:line="349" w:lineRule="exact"/>
        <w:rPr>
          <w:sz w:val="20"/>
          <w:szCs w:val="20"/>
          <w:color w:val="auto"/>
        </w:rPr>
      </w:pPr>
    </w:p>
    <w:p>
      <w:pPr>
        <w:ind w:left="7" w:right="3139" w:firstLine="636"/>
        <w:spacing w:after="0" w:line="246" w:lineRule="auto"/>
        <w:rPr>
          <w:sz w:val="20"/>
          <w:szCs w:val="20"/>
          <w:color w:val="auto"/>
        </w:rPr>
      </w:pPr>
      <w:r>
        <w:rPr>
          <w:rFonts w:ascii="Courier New" w:cs="Courier New" w:eastAsia="Courier New" w:hAnsi="Courier New"/>
          <w:sz w:val="15"/>
          <w:szCs w:val="15"/>
          <w:color w:val="auto"/>
        </w:rPr>
        <w:t>o 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352"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353" w:lineRule="exact"/>
        <w:rPr>
          <w:sz w:val="20"/>
          <w:szCs w:val="20"/>
          <w:color w:val="auto"/>
        </w:rPr>
      </w:pPr>
    </w:p>
    <w:p>
      <w:pPr>
        <w:ind w:left="627" w:right="2959" w:firstLine="636"/>
        <w:spacing w:after="0" w:line="246" w:lineRule="auto"/>
        <w:rPr>
          <w:sz w:val="20"/>
          <w:szCs w:val="20"/>
          <w:color w:val="auto"/>
        </w:rPr>
      </w:pPr>
      <w:r>
        <w:rPr>
          <w:rFonts w:ascii="Courier New" w:cs="Courier New" w:eastAsia="Courier New" w:hAnsi="Courier New"/>
          <w:sz w:val="15"/>
          <w:szCs w:val="15"/>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352" w:lineRule="exact"/>
        <w:rPr>
          <w:sz w:val="20"/>
          <w:szCs w:val="20"/>
          <w:color w:val="auto"/>
        </w:rPr>
      </w:pPr>
    </w:p>
    <w:p>
      <w:pPr>
        <w:ind w:left="627" w:right="3039" w:firstLine="636"/>
        <w:spacing w:after="0" w:line="247" w:lineRule="auto"/>
        <w:rPr>
          <w:sz w:val="20"/>
          <w:szCs w:val="20"/>
          <w:color w:val="auto"/>
        </w:rPr>
      </w:pPr>
      <w:r>
        <w:rPr>
          <w:rFonts w:ascii="Courier New" w:cs="Courier New" w:eastAsia="Courier New" w:hAnsi="Courier New"/>
          <w:sz w:val="15"/>
          <w:szCs w:val="15"/>
          <w:color w:val="auto"/>
        </w:rPr>
        <w:t>o the amount of assets of such trust subsidiary remaining available for distribution to holders of such guaranteed trust preferred securities in liquidation of such trust subsidiary.</w:t>
      </w:r>
    </w:p>
    <w:p>
      <w:pPr>
        <w:spacing w:after="0" w:line="349" w:lineRule="exact"/>
        <w:rPr>
          <w:sz w:val="20"/>
          <w:szCs w:val="20"/>
          <w:color w:val="auto"/>
        </w:rPr>
      </w:pPr>
    </w:p>
    <w:p>
      <w:pPr>
        <w:ind w:left="7" w:right="3139" w:firstLine="636"/>
        <w:spacing w:after="0" w:line="246" w:lineRule="auto"/>
        <w:rPr>
          <w:sz w:val="20"/>
          <w:szCs w:val="20"/>
          <w:color w:val="auto"/>
        </w:rPr>
      </w:pPr>
      <w:r>
        <w:rPr>
          <w:rFonts w:ascii="Courier New" w:cs="Courier New" w:eastAsia="Courier New" w:hAnsi="Courier New"/>
          <w:sz w:val="15"/>
          <w:szCs w:val="15"/>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178"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35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178"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w:t>
      </w:r>
    </w:p>
    <w:p>
      <w:pPr>
        <w:spacing w:after="0" w:line="4" w:lineRule="exact"/>
        <w:rPr>
          <w:sz w:val="20"/>
          <w:szCs w:val="20"/>
          <w:color w:val="auto"/>
        </w:rPr>
      </w:pPr>
    </w:p>
    <w:p>
      <w:pPr>
        <w:ind w:left="7" w:right="3039" w:hanging="7"/>
        <w:spacing w:after="0" w:line="247" w:lineRule="auto"/>
        <w:tabs>
          <w:tab w:leader="none" w:pos="46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our class or series of capital stock for another of our class or series of capital stock or,</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43" w:right="1440" w:bottom="780" w:gutter="0" w:footer="0" w:header="0"/>
        </w:sectPr>
      </w:pPr>
    </w:p>
    <w:bookmarkStart w:id="54" w:name="page55"/>
    <w:bookmarkEnd w:id="54"/>
    <w:p>
      <w:pPr>
        <w:ind w:left="7" w:right="3139" w:hanging="7"/>
        <w:spacing w:after="0" w:line="246" w:lineRule="auto"/>
        <w:tabs>
          <w:tab w:leader="none" w:pos="55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177"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178" w:lineRule="exact"/>
        <w:rPr>
          <w:sz w:val="20"/>
          <w:szCs w:val="20"/>
          <w:color w:val="auto"/>
        </w:rPr>
      </w:pPr>
    </w:p>
    <w:p>
      <w:pPr>
        <w:ind w:left="7" w:right="3959"/>
        <w:spacing w:after="0" w:line="247" w:lineRule="auto"/>
        <w:rPr>
          <w:sz w:val="20"/>
          <w:szCs w:val="20"/>
          <w:color w:val="auto"/>
        </w:rPr>
      </w:pPr>
      <w:r>
        <w:rPr>
          <w:rFonts w:ascii="Courier New" w:cs="Courier New" w:eastAsia="Courier New" w:hAnsi="Courier New"/>
          <w:sz w:val="15"/>
          <w:szCs w:val="15"/>
          <w:color w:val="auto"/>
        </w:rPr>
        <w:t>Modification of the Guaranteed Trust Preferred Securities Guarantees; Assignment</w:t>
      </w:r>
    </w:p>
    <w:p>
      <w:pPr>
        <w:spacing w:after="0" w:line="175" w:lineRule="exact"/>
        <w:rPr>
          <w:sz w:val="20"/>
          <w:szCs w:val="20"/>
          <w:color w:val="auto"/>
        </w:rPr>
      </w:pPr>
    </w:p>
    <w:p>
      <w:pPr>
        <w:ind w:left="7" w:right="3139" w:firstLine="636"/>
        <w:spacing w:after="0" w:line="246" w:lineRule="auto"/>
        <w:rPr>
          <w:sz w:val="20"/>
          <w:szCs w:val="20"/>
          <w:color w:val="auto"/>
        </w:rPr>
      </w:pPr>
      <w:r>
        <w:rPr>
          <w:rFonts w:ascii="Courier New" w:cs="Courier New" w:eastAsia="Courier New" w:hAnsi="Courier New"/>
          <w:sz w:val="15"/>
          <w:szCs w:val="15"/>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3219" w:firstLine="636"/>
        <w:spacing w:after="0" w:line="247" w:lineRule="auto"/>
        <w:rPr>
          <w:sz w:val="20"/>
          <w:szCs w:val="20"/>
          <w:color w:val="auto"/>
        </w:rPr>
      </w:pPr>
      <w:r>
        <w:rPr>
          <w:rFonts w:ascii="Courier New" w:cs="Courier New" w:eastAsia="Courier New" w:hAnsi="Courier New"/>
          <w:sz w:val="15"/>
          <w:szCs w:val="15"/>
          <w:color w:val="auto"/>
        </w:rPr>
        <w:t>Each guaranteed trust preferred securities guarantee will terminate as to the guaranteed trust preferred securities issued by the applicable trust subsidiary:</w:t>
      </w:r>
    </w:p>
    <w:p>
      <w:pPr>
        <w:spacing w:after="0" w:line="174" w:lineRule="exact"/>
        <w:rPr>
          <w:sz w:val="20"/>
          <w:szCs w:val="20"/>
          <w:color w:val="auto"/>
        </w:rPr>
      </w:pPr>
    </w:p>
    <w:p>
      <w:pPr>
        <w:ind w:left="7" w:right="3219" w:firstLine="636"/>
        <w:spacing w:after="0" w:line="247" w:lineRule="auto"/>
        <w:rPr>
          <w:sz w:val="20"/>
          <w:szCs w:val="20"/>
          <w:color w:val="auto"/>
        </w:rPr>
      </w:pPr>
      <w:r>
        <w:rPr>
          <w:rFonts w:ascii="Courier New" w:cs="Courier New" w:eastAsia="Courier New" w:hAnsi="Courier New"/>
          <w:sz w:val="15"/>
          <w:szCs w:val="15"/>
          <w:color w:val="auto"/>
        </w:rPr>
        <w:t>o upon full payment of the redemption price, including all accrued and unpaid distributions, of all its guaranteed trust preferred securities;</w:t>
      </w:r>
    </w:p>
    <w:p>
      <w:pPr>
        <w:spacing w:after="0" w:line="175" w:lineRule="exact"/>
        <w:rPr>
          <w:sz w:val="20"/>
          <w:szCs w:val="20"/>
          <w:color w:val="auto"/>
        </w:rPr>
      </w:pPr>
    </w:p>
    <w:p>
      <w:pPr>
        <w:ind w:left="7" w:right="3319" w:firstLine="636"/>
        <w:spacing w:after="0" w:line="247" w:lineRule="auto"/>
        <w:rPr>
          <w:sz w:val="20"/>
          <w:szCs w:val="20"/>
          <w:color w:val="auto"/>
        </w:rPr>
      </w:pPr>
      <w:r>
        <w:rPr>
          <w:rFonts w:ascii="Courier New" w:cs="Courier New" w:eastAsia="Courier New" w:hAnsi="Courier New"/>
          <w:sz w:val="15"/>
          <w:szCs w:val="15"/>
          <w:color w:val="auto"/>
        </w:rPr>
        <w:t>o upon distribution of the subordinated debt securities held by it to the holders of its guaranteed trust preferred securities; or</w:t>
      </w:r>
    </w:p>
    <w:p>
      <w:pPr>
        <w:spacing w:after="0" w:line="175" w:lineRule="exact"/>
        <w:rPr>
          <w:sz w:val="20"/>
          <w:szCs w:val="20"/>
          <w:color w:val="auto"/>
        </w:rPr>
      </w:pPr>
    </w:p>
    <w:p>
      <w:pPr>
        <w:ind w:left="7" w:right="3679" w:firstLine="636"/>
        <w:spacing w:after="0" w:line="247" w:lineRule="auto"/>
        <w:rPr>
          <w:sz w:val="20"/>
          <w:szCs w:val="20"/>
          <w:color w:val="auto"/>
        </w:rPr>
      </w:pPr>
      <w:r>
        <w:rPr>
          <w:rFonts w:ascii="Courier New" w:cs="Courier New" w:eastAsia="Courier New" w:hAnsi="Courier New"/>
          <w:sz w:val="15"/>
          <w:szCs w:val="15"/>
          <w:color w:val="auto"/>
        </w:rPr>
        <w:t>o upon full payment of the amounts payable in accordance with its declaration upon its liquidation.</w:t>
      </w:r>
    </w:p>
    <w:p>
      <w:pPr>
        <w:spacing w:after="0" w:line="175"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jc w:val="both"/>
        <w:ind w:left="7" w:right="3219" w:firstLine="636"/>
        <w:spacing w:after="0" w:line="247" w:lineRule="auto"/>
        <w:rPr>
          <w:sz w:val="20"/>
          <w:szCs w:val="20"/>
          <w:color w:val="auto"/>
        </w:rPr>
      </w:pPr>
      <w:r>
        <w:rPr>
          <w:rFonts w:ascii="Courier New" w:cs="Courier New" w:eastAsia="Courier New" w:hAnsi="Courier New"/>
          <w:sz w:val="15"/>
          <w:szCs w:val="15"/>
          <w:color w:val="auto"/>
        </w:rPr>
        <w:t>An event of default under a preferred securities guarantee will occur upon our failure to perform any of our payment or other obligations under the guarantee.</w:t>
      </w:r>
    </w:p>
    <w:p>
      <w:pPr>
        <w:spacing w:after="0" w:line="174" w:lineRule="exact"/>
        <w:rPr>
          <w:sz w:val="20"/>
          <w:szCs w:val="20"/>
          <w:color w:val="auto"/>
        </w:rPr>
      </w:pPr>
    </w:p>
    <w:p>
      <w:pPr>
        <w:ind w:left="7" w:right="3039" w:firstLine="636"/>
        <w:spacing w:after="0" w:line="246" w:lineRule="auto"/>
        <w:rPr>
          <w:sz w:val="20"/>
          <w:szCs w:val="20"/>
          <w:color w:val="auto"/>
        </w:rPr>
      </w:pPr>
      <w:r>
        <w:rPr>
          <w:rFonts w:ascii="Courier New" w:cs="Courier New" w:eastAsia="Courier New" w:hAnsi="Courier New"/>
          <w:sz w:val="15"/>
          <w:szCs w:val="15"/>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187" w:lineRule="exact"/>
        <w:rPr>
          <w:sz w:val="20"/>
          <w:szCs w:val="20"/>
          <w:color w:val="auto"/>
        </w:rPr>
      </w:pPr>
    </w:p>
    <w:p>
      <w:pPr>
        <w:ind w:left="7" w:right="3219" w:firstLine="636"/>
        <w:spacing w:after="0" w:line="246" w:lineRule="auto"/>
        <w:rPr>
          <w:sz w:val="20"/>
          <w:szCs w:val="20"/>
          <w:color w:val="auto"/>
        </w:rPr>
      </w:pPr>
      <w:r>
        <w:rPr>
          <w:rFonts w:ascii="Courier New" w:cs="Courier New" w:eastAsia="Courier New" w:hAnsi="Courier New"/>
          <w:sz w:val="15"/>
          <w:szCs w:val="15"/>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43" w:right="1440" w:bottom="1130" w:gutter="0" w:footer="0" w:header="0"/>
        </w:sectPr>
      </w:pPr>
    </w:p>
    <w:bookmarkStart w:id="55" w:name="page56"/>
    <w:bookmarkEnd w:id="55"/>
    <w:p>
      <w:pPr>
        <w:ind w:right="3039"/>
        <w:spacing w:after="0" w:line="246" w:lineRule="auto"/>
        <w:rPr>
          <w:sz w:val="20"/>
          <w:szCs w:val="20"/>
          <w:color w:val="auto"/>
        </w:rPr>
      </w:pPr>
      <w:r>
        <w:rPr>
          <w:rFonts w:ascii="Courier New" w:cs="Courier New" w:eastAsia="Courier New" w:hAnsi="Courier New"/>
          <w:sz w:val="15"/>
          <w:szCs w:val="15"/>
          <w:color w:val="auto"/>
        </w:rPr>
        <w:t>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Preferred Securities Guarantees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guaranteed trust preferred securities guarantees will constitute a guarantee of payment and not of collection. In other words, the guaranteed party may institute a legal proceeding directly against us, as guarantor, to enforce its rights under the preferred securities guarantee without instituting a legal proceeding against any other person or entity.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Preferred Guarantee Trustee</w:t>
      </w:r>
    </w:p>
    <w:p>
      <w:pPr>
        <w:spacing w:after="0" w:line="180"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We and certain of our affiliates may maintain a banking relationship with the preferred guarantee trustee.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jc w:val="both"/>
        <w:ind w:right="3219" w:firstLine="636"/>
        <w:spacing w:after="0" w:line="247" w:lineRule="auto"/>
        <w:rPr>
          <w:sz w:val="20"/>
          <w:szCs w:val="20"/>
          <w:color w:val="auto"/>
        </w:rPr>
      </w:pPr>
      <w:r>
        <w:rPr>
          <w:rFonts w:ascii="Courier New" w:cs="Courier New" w:eastAsia="Courier New" w:hAnsi="Courier New"/>
          <w:sz w:val="15"/>
          <w:szCs w:val="15"/>
          <w:color w:val="auto"/>
        </w:rPr>
        <w:t>The guaranteed trust preferred securities guarantees will be governed by, and construed and interpreted in accordance with the laws of the State of New York.</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GLOBAL SECURITIES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4"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56" w:name="page57"/>
    <w:bookmarkEnd w:id="56"/>
    <w:p>
      <w:pPr>
        <w:ind w:right="3039"/>
        <w:spacing w:after="0" w:line="246" w:lineRule="auto"/>
        <w:rPr>
          <w:sz w:val="20"/>
          <w:szCs w:val="20"/>
          <w:color w:val="auto"/>
        </w:rPr>
      </w:pPr>
      <w:r>
        <w:rPr>
          <w:rFonts w:ascii="Courier New" w:cs="Courier New" w:eastAsia="Courier New" w:hAnsi="Courier New"/>
          <w:sz w:val="15"/>
          <w:szCs w:val="15"/>
          <w:color w:val="auto"/>
        </w:rPr>
        <w:t>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9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2"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3" w:right="1440" w:bottom="1440" w:gutter="0" w:footer="0" w:header="0"/>
        </w:sectPr>
      </w:pPr>
    </w:p>
    <w:bookmarkStart w:id="57" w:name="page58"/>
    <w:bookmarkEnd w:id="57"/>
    <w:p>
      <w:pPr>
        <w:ind w:right="3219"/>
        <w:spacing w:after="0" w:line="246" w:lineRule="auto"/>
        <w:rPr>
          <w:sz w:val="20"/>
          <w:szCs w:val="20"/>
          <w:color w:val="auto"/>
        </w:rPr>
      </w:pPr>
      <w:r>
        <w:rPr>
          <w:rFonts w:ascii="Courier New" w:cs="Courier New" w:eastAsia="Courier New" w:hAnsi="Courier New"/>
          <w:sz w:val="15"/>
          <w:szCs w:val="15"/>
          <w:color w:val="auto"/>
        </w:rPr>
        <w:t>trustee, warrant agent or other relevant agent of ours. We expect that such instructions will be based upon directions received by the depositary from participants with respect to ownership of beneficial interests in such global security.</w:t>
      </w:r>
    </w:p>
    <w:p>
      <w:pPr>
        <w:spacing w:after="0" w:line="17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DESCRIPTION OF PREFERRED STOCK</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80" w:lineRule="exact"/>
        <w:rPr>
          <w:sz w:val="20"/>
          <w:szCs w:val="20"/>
          <w:color w:val="auto"/>
        </w:rPr>
      </w:pPr>
    </w:p>
    <w:p>
      <w:pPr>
        <w:jc w:val="both"/>
        <w:ind w:right="3139" w:firstLine="636"/>
        <w:spacing w:after="0" w:line="247" w:lineRule="auto"/>
        <w:rPr>
          <w:sz w:val="20"/>
          <w:szCs w:val="20"/>
          <w:color w:val="auto"/>
        </w:rPr>
      </w:pPr>
      <w:r>
        <w:rPr>
          <w:rFonts w:ascii="Courier New" w:cs="Courier New" w:eastAsia="Courier New" w:hAnsi="Courier New"/>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specific designation, number of shares, seniority and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liquidation preference per share;</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date of maturity;</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redemption, repayment or sinking fund provisions;</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any dividend rate or rates and the dates on which any such dividends will be payable (or the method by which such rates or dates will be determined);</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voting rights;</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o if other than the currency of the United States of America, the currency or currencies including composite currencies in which such preferred stock is denominated and/or in which payments will or may be payable;</w:t>
      </w:r>
    </w:p>
    <w:p>
      <w:pPr>
        <w:spacing w:after="0" w:line="174"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the method by which amounts in respect of such preferred stock may be calculated and any commodities, currencies or indices, or value, rate or price, relevant to such calculation;</w:t>
      </w:r>
    </w:p>
    <w:p>
      <w:pPr>
        <w:spacing w:after="0" w:line="349"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 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178" w:lineRule="exact"/>
        <w:rPr>
          <w:sz w:val="20"/>
          <w:szCs w:val="20"/>
          <w:color w:val="auto"/>
        </w:rPr>
      </w:pPr>
    </w:p>
    <w:p>
      <w:pPr>
        <w:ind w:right="3859" w:firstLine="636"/>
        <w:spacing w:after="0" w:line="247" w:lineRule="auto"/>
        <w:rPr>
          <w:sz w:val="20"/>
          <w:szCs w:val="20"/>
          <w:color w:val="auto"/>
        </w:rPr>
      </w:pPr>
      <w:r>
        <w:rPr>
          <w:rFonts w:ascii="Courier New" w:cs="Courier New" w:eastAsia="Courier New" w:hAnsi="Courier New"/>
          <w:sz w:val="15"/>
          <w:szCs w:val="15"/>
          <w:color w:val="auto"/>
        </w:rPr>
        <w:t>o the place or places where dividends and other payments on the preferred stock will be payable; and</w:t>
      </w:r>
    </w:p>
    <w:p>
      <w:pPr>
        <w:spacing w:after="0" w:line="175" w:lineRule="exact"/>
        <w:rPr>
          <w:sz w:val="20"/>
          <w:szCs w:val="20"/>
          <w:color w:val="auto"/>
        </w:rPr>
      </w:pPr>
    </w:p>
    <w:p>
      <w:pPr>
        <w:ind w:right="3419" w:firstLine="636"/>
        <w:spacing w:after="0" w:line="247" w:lineRule="auto"/>
        <w:rPr>
          <w:sz w:val="20"/>
          <w:szCs w:val="20"/>
          <w:color w:val="auto"/>
        </w:rPr>
      </w:pPr>
      <w:r>
        <w:rPr>
          <w:rFonts w:ascii="Courier New" w:cs="Courier New" w:eastAsia="Courier New" w:hAnsi="Courier New"/>
          <w:sz w:val="15"/>
          <w:szCs w:val="15"/>
          <w:color w:val="auto"/>
        </w:rPr>
        <w:t>o any additional voting, dividend, liquidation, redemption and other rights, preferences, privileges, limitations and restrictions.</w:t>
      </w:r>
    </w:p>
    <w:p>
      <w:pPr>
        <w:spacing w:after="0" w:line="175"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58" w:name="page59"/>
    <w:bookmarkEnd w:id="58"/>
    <w:p>
      <w:pPr>
        <w:ind w:left="2080"/>
        <w:spacing w:after="0"/>
        <w:rPr>
          <w:sz w:val="20"/>
          <w:szCs w:val="20"/>
          <w:color w:val="auto"/>
        </w:rPr>
      </w:pPr>
      <w:r>
        <w:rPr>
          <w:rFonts w:ascii="Courier New" w:cs="Courier New" w:eastAsia="Courier New" w:hAnsi="Courier New"/>
          <w:sz w:val="15"/>
          <w:szCs w:val="15"/>
          <w:color w:val="auto"/>
        </w:rPr>
        <w:t>DESCRIPTION OF DEPOSITARY SHARES</w:t>
      </w:r>
    </w:p>
    <w:p>
      <w:pPr>
        <w:spacing w:after="0" w:line="180" w:lineRule="exact"/>
        <w:rPr>
          <w:sz w:val="20"/>
          <w:szCs w:val="20"/>
          <w:color w:val="auto"/>
        </w:rPr>
      </w:pPr>
    </w:p>
    <w:p>
      <w:pPr>
        <w:ind w:right="3319" w:firstLine="636"/>
        <w:spacing w:after="0" w:line="246" w:lineRule="auto"/>
        <w:rPr>
          <w:sz w:val="20"/>
          <w:szCs w:val="20"/>
          <w:color w:val="auto"/>
        </w:rPr>
      </w:pPr>
      <w:r>
        <w:rPr>
          <w:rFonts w:ascii="Courier New" w:cs="Courier New" w:eastAsia="Courier New" w:hAnsi="Courier New"/>
          <w:sz w:val="15"/>
          <w:szCs w:val="15"/>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1"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77" w:lineRule="exact"/>
        <w:rPr>
          <w:sz w:val="20"/>
          <w:szCs w:val="20"/>
          <w:color w:val="auto"/>
        </w:rPr>
      </w:pPr>
    </w:p>
    <w:p>
      <w:pPr>
        <w:jc w:val="both"/>
        <w:ind w:right="3419" w:firstLine="636"/>
        <w:spacing w:after="0" w:line="247" w:lineRule="auto"/>
        <w:rPr>
          <w:sz w:val="20"/>
          <w:szCs w:val="20"/>
          <w:color w:val="auto"/>
        </w:rPr>
      </w:pPr>
      <w:r>
        <w:rPr>
          <w:rFonts w:ascii="Courier New" w:cs="Courier New" w:eastAsia="Courier New" w:hAnsi="Courier New"/>
          <w:sz w:val="15"/>
          <w:szCs w:val="15"/>
          <w:color w:val="auto"/>
        </w:rPr>
        <w:t>Unless otherwise specified in the prospectus supplement, a holder of depositary shares is not entitled to receive the shares of preferred stock underlying the depositary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Other Distributions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8" w:lineRule="exact"/>
        <w:rPr>
          <w:sz w:val="20"/>
          <w:szCs w:val="20"/>
          <w:color w:val="auto"/>
        </w:rPr>
      </w:pPr>
    </w:p>
    <w:p>
      <w:pPr>
        <w:jc w:val="both"/>
        <w:ind w:right="3219" w:firstLine="636"/>
        <w:spacing w:after="0" w:line="246" w:lineRule="auto"/>
        <w:rPr>
          <w:sz w:val="20"/>
          <w:szCs w:val="20"/>
          <w:color w:val="auto"/>
        </w:rPr>
      </w:pPr>
      <w:r>
        <w:rPr>
          <w:rFonts w:ascii="Courier New" w:cs="Courier New" w:eastAsia="Courier New" w:hAnsi="Courier New"/>
          <w:sz w:val="15"/>
          <w:szCs w:val="15"/>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77"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The deposit agreement also contains provisions relating to the manner in which any subscription or similar rights offered by us to holders of preferred stock shall be made available to holders of depositary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Depositary Shares</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59" w:name="page60"/>
    <w:bookmarkEnd w:id="59"/>
    <w:p>
      <w:pPr>
        <w:ind w:right="3499"/>
        <w:spacing w:after="0" w:line="247" w:lineRule="auto"/>
        <w:rPr>
          <w:sz w:val="20"/>
          <w:szCs w:val="20"/>
          <w:color w:val="auto"/>
        </w:rPr>
      </w:pPr>
      <w:r>
        <w:rPr>
          <w:rFonts w:ascii="Courier New" w:cs="Courier New" w:eastAsia="Courier New" w:hAnsi="Courier New"/>
          <w:sz w:val="15"/>
          <w:szCs w:val="15"/>
          <w:color w:val="auto"/>
        </w:rPr>
        <w:t>returned to us after a period of two years from the date such funds are so deposited.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Deposit Agreement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of Depositary</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We, or at our option, the depositary, will forward to the holders of depositary shares all reports and communications from us which we are required to furnish to the holders of preferred stock.</w:t>
      </w:r>
    </w:p>
    <w:p>
      <w:pPr>
        <w:spacing w:after="0" w:line="17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and Removal of Depositary; Termination of the Deposit Agreement</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w:t>
      </w: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2" w:right="1440" w:bottom="1440" w:gutter="0" w:footer="0" w:header="0"/>
        </w:sectPr>
      </w:pPr>
    </w:p>
    <w:bookmarkStart w:id="60" w:name="page61"/>
    <w:bookmarkEnd w:id="60"/>
    <w:p>
      <w:pPr>
        <w:ind w:right="3039"/>
        <w:spacing w:after="0" w:line="247" w:lineRule="auto"/>
        <w:rPr>
          <w:sz w:val="20"/>
          <w:szCs w:val="20"/>
          <w:color w:val="auto"/>
        </w:rPr>
      </w:pPr>
      <w:r>
        <w:rPr>
          <w:rFonts w:ascii="Courier New" w:cs="Courier New" w:eastAsia="Courier New" w:hAnsi="Courier New"/>
          <w:sz w:val="15"/>
          <w:szCs w:val="15"/>
          <w:color w:val="auto"/>
        </w:rPr>
        <w:t>our request, the depositary shall deliver all books, records, certificates evidencing preferred stock, depositary receipts and other documents relating to the subject matter of the depositary agreement to us.</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DESCRIPTION OF COMMON STOCK</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7"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June 30, 1999, there were 708,502,767 shares of class A special common stock, 31,494,976 shares of class A common stock and 9,444,375 shares of class B common stock outstanding.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class A special common stock, class A common stock and class B common stock are entitled to receive pro rata per share cash dividends as from time to time may be declared by our board of directors out of funds legally available therefor. Each class of our common stock is to receive dividends, as declared, on an equal basis per share.</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Stock dividends on, and stock splits of, any class of common stock shall not be paid or issued unless paid or issued on all classes of common stock, in which case they are to be paid or issued only in shares of that class or in shares of either class common stock or class A special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At June 30, 1999, Sural Corporation,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w:t>
      </w: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61" w:name="page62"/>
    <w:bookmarkEnd w:id="61"/>
    <w:p>
      <w:pPr>
        <w:ind w:right="4139"/>
        <w:spacing w:after="0" w:line="247" w:lineRule="auto"/>
        <w:rPr>
          <w:sz w:val="20"/>
          <w:szCs w:val="20"/>
          <w:color w:val="auto"/>
        </w:rPr>
      </w:pPr>
      <w:r>
        <w:rPr>
          <w:rFonts w:ascii="Courier New" w:cs="Courier New" w:eastAsia="Courier New" w:hAnsi="Courier New"/>
          <w:sz w:val="15"/>
          <w:szCs w:val="15"/>
          <w:color w:val="auto"/>
        </w:rPr>
        <w:t>beneficially own 9,585,349 shares of class A common stock, which is approximately 24% of the class A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80"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80"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We have been advised that the class A special common stock and class A common stock are exempt from existing Pennsylvania personal property tax.</w:t>
      </w:r>
    </w:p>
    <w:p>
      <w:pPr>
        <w:spacing w:after="0" w:line="182" w:lineRule="exact"/>
        <w:rPr>
          <w:sz w:val="20"/>
          <w:szCs w:val="20"/>
          <w:color w:val="auto"/>
        </w:rPr>
      </w:pPr>
    </w:p>
    <w:p>
      <w:pPr>
        <w:jc w:val="both"/>
        <w:ind w:right="3319" w:firstLine="636"/>
        <w:spacing w:after="0" w:line="247"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The Bank of New York, One Wall Street, New York, New York 10286.</w:t>
      </w:r>
    </w:p>
    <w:p>
      <w:pPr>
        <w:spacing w:after="0" w:line="17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We and/or our trust subsidiaries may sell the Securities being offered hereby in four ways:</w:t>
      </w:r>
    </w:p>
    <w:p>
      <w:pPr>
        <w:spacing w:after="0" w:line="34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directly to purchasers;</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agents;</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underwriters; and</w:t>
      </w:r>
    </w:p>
    <w:p>
      <w:pPr>
        <w:spacing w:after="0" w:line="35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dealers.</w:t>
      </w:r>
    </w:p>
    <w:p>
      <w:pPr>
        <w:spacing w:after="0" w:line="354"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1" w:lineRule="exact"/>
        <w:rPr>
          <w:sz w:val="20"/>
          <w:szCs w:val="20"/>
          <w:color w:val="auto"/>
        </w:rPr>
      </w:pPr>
    </w:p>
    <w:p>
      <w:pPr>
        <w:ind w:right="3319" w:firstLine="636"/>
        <w:spacing w:after="0" w:line="246" w:lineRule="auto"/>
        <w:rPr>
          <w:sz w:val="20"/>
          <w:szCs w:val="20"/>
          <w:color w:val="auto"/>
        </w:rPr>
      </w:pPr>
      <w:r>
        <w:rPr>
          <w:rFonts w:ascii="Courier New" w:cs="Courier New" w:eastAsia="Courier New" w:hAnsi="Courier New"/>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78" w:lineRule="exact"/>
        <w:rPr>
          <w:sz w:val="20"/>
          <w:szCs w:val="20"/>
          <w:color w:val="auto"/>
        </w:rPr>
      </w:pPr>
    </w:p>
    <w:p>
      <w:pPr>
        <w:ind w:right="3139" w:firstLine="636"/>
        <w:spacing w:after="0" w:line="246" w:lineRule="auto"/>
        <w:rPr>
          <w:sz w:val="20"/>
          <w:szCs w:val="20"/>
          <w:color w:val="auto"/>
        </w:rPr>
      </w:pPr>
      <w:r>
        <w:rPr>
          <w:rFonts w:ascii="Courier New" w:cs="Courier New" w:eastAsia="Courier New" w:hAnsi="Courier New"/>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77" w:lineRule="exact"/>
        <w:rPr>
          <w:sz w:val="20"/>
          <w:szCs w:val="20"/>
          <w:color w:val="auto"/>
        </w:rPr>
      </w:pPr>
    </w:p>
    <w:p>
      <w:pPr>
        <w:ind w:right="3219" w:firstLine="636"/>
        <w:spacing w:after="0" w:line="246" w:lineRule="auto"/>
        <w:rPr>
          <w:sz w:val="20"/>
          <w:szCs w:val="20"/>
          <w:color w:val="auto"/>
        </w:rPr>
      </w:pPr>
      <w:r>
        <w:rPr>
          <w:rFonts w:ascii="Courier New" w:cs="Courier New" w:eastAsia="Courier New" w:hAnsi="Courier New"/>
          <w:sz w:val="15"/>
          <w:szCs w:val="15"/>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78" w:lineRule="exact"/>
        <w:rPr>
          <w:sz w:val="20"/>
          <w:szCs w:val="20"/>
          <w:color w:val="auto"/>
        </w:rPr>
      </w:pPr>
    </w:p>
    <w:p>
      <w:pPr>
        <w:ind w:right="3139" w:firstLine="636"/>
        <w:spacing w:after="0" w:line="247" w:lineRule="auto"/>
        <w:rPr>
          <w:sz w:val="20"/>
          <w:szCs w:val="20"/>
          <w:color w:val="auto"/>
        </w:rPr>
      </w:pPr>
      <w:r>
        <w:rPr>
          <w:rFonts w:ascii="Courier New" w:cs="Courier New" w:eastAsia="Courier New" w:hAnsi="Courier New"/>
          <w:sz w:val="15"/>
          <w:szCs w:val="15"/>
          <w:color w:val="auto"/>
        </w:rPr>
        <w:t>In order to facilitate the offering of the securities, any underwriters may engage in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431" w:gutter="0" w:footer="0" w:header="0"/>
        </w:sectPr>
      </w:pPr>
    </w:p>
    <w:bookmarkStart w:id="62" w:name="page63"/>
    <w:bookmarkEnd w:id="62"/>
    <w:p>
      <w:pPr>
        <w:ind w:right="3039"/>
        <w:spacing w:after="0" w:line="246" w:lineRule="auto"/>
        <w:rPr>
          <w:sz w:val="20"/>
          <w:szCs w:val="20"/>
          <w:color w:val="auto"/>
        </w:rPr>
      </w:pPr>
      <w:r>
        <w:rPr>
          <w:rFonts w:ascii="Courier New" w:cs="Courier New" w:eastAsia="Courier New" w:hAnsi="Courier New"/>
          <w:sz w:val="15"/>
          <w:szCs w:val="15"/>
          <w:color w:val="auto"/>
        </w:rPr>
        <w:t>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4" w:lineRule="exact"/>
        <w:rPr>
          <w:sz w:val="20"/>
          <w:szCs w:val="20"/>
          <w:color w:val="auto"/>
        </w:rPr>
      </w:pPr>
    </w:p>
    <w:p>
      <w:pPr>
        <w:ind w:right="3419" w:firstLine="636"/>
        <w:spacing w:after="0" w:line="246" w:lineRule="auto"/>
        <w:rPr>
          <w:sz w:val="20"/>
          <w:szCs w:val="20"/>
          <w:color w:val="auto"/>
        </w:rPr>
      </w:pPr>
      <w:r>
        <w:rPr>
          <w:rFonts w:ascii="Courier New" w:cs="Courier New" w:eastAsia="Courier New" w:hAnsi="Courier New"/>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7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499" w:firstLine="636"/>
        <w:spacing w:after="0" w:line="246" w:lineRule="auto"/>
        <w:rPr>
          <w:sz w:val="20"/>
          <w:szCs w:val="20"/>
          <w:color w:val="auto"/>
        </w:rPr>
      </w:pPr>
      <w:r>
        <w:rPr>
          <w:rFonts w:ascii="Courier New" w:cs="Courier New" w:eastAsia="Courier New" w:hAnsi="Courier New"/>
          <w:sz w:val="15"/>
          <w:szCs w:val="15"/>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178"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17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2959" w:firstLine="636"/>
        <w:spacing w:after="0" w:line="246" w:lineRule="auto"/>
        <w:rPr>
          <w:sz w:val="20"/>
          <w:szCs w:val="20"/>
          <w:color w:val="auto"/>
        </w:rPr>
      </w:pPr>
      <w:r>
        <w:rPr>
          <w:rFonts w:ascii="Courier New" w:cs="Courier New" w:eastAsia="Courier New" w:hAnsi="Courier New"/>
          <w:sz w:val="15"/>
          <w:szCs w:val="15"/>
          <w:color w:val="auto"/>
        </w:rPr>
        <w:t>We, along with our trust subsidiaries, have filed this prospectus as part of a combine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to be adopted in connection with the issuance of any guaranteed trust preferred securities, a form of</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63" w:name="page64"/>
    <w:bookmarkEnd w:id="63"/>
    <w:p>
      <w:pPr>
        <w:ind w:right="2959"/>
        <w:spacing w:after="0" w:line="246" w:lineRule="auto"/>
        <w:rPr>
          <w:sz w:val="20"/>
          <w:szCs w:val="20"/>
          <w:color w:val="auto"/>
        </w:rPr>
      </w:pPr>
      <w:r>
        <w:rPr>
          <w:rFonts w:ascii="Courier New" w:cs="Courier New" w:eastAsia="Courier New" w:hAnsi="Courier New"/>
          <w:sz w:val="15"/>
          <w:szCs w:val="15"/>
          <w:color w:val="auto"/>
        </w:rPr>
        <w:t>trust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alone, a form of warrant for warrants sold alone, a form of warrant agreement for warrants sold attached to securities, a form of warrant for warrants sold attached to securities, a form of deposit agreement and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357"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 SEC-0330 for further information on the public reference rooms. You may also read our SEC filings, including the complete registration statement and all of the exhibits to it, through the SEC's web site at http://www.sec.gov.</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181"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file with the Securities and Exchange Commission.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0" w:lineRule="exact"/>
        <w:rPr>
          <w:sz w:val="20"/>
          <w:szCs w:val="20"/>
          <w:color w:val="auto"/>
        </w:rPr>
      </w:pPr>
    </w:p>
    <w:p>
      <w:pPr>
        <w:ind w:right="3039" w:firstLine="636"/>
        <w:spacing w:after="0" w:line="246"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Our annual report on Form 10-K for the year ended December 31, 1998;</w:t>
      </w:r>
    </w:p>
    <w:p>
      <w:pPr>
        <w:spacing w:after="0" w:line="180" w:lineRule="exact"/>
        <w:rPr>
          <w:sz w:val="20"/>
          <w:szCs w:val="20"/>
          <w:color w:val="auto"/>
        </w:rPr>
      </w:pPr>
    </w:p>
    <w:p>
      <w:pPr>
        <w:ind w:right="3039" w:firstLine="636"/>
        <w:spacing w:after="0" w:line="247" w:lineRule="auto"/>
        <w:rPr>
          <w:sz w:val="20"/>
          <w:szCs w:val="20"/>
          <w:color w:val="auto"/>
        </w:rPr>
      </w:pPr>
      <w:r>
        <w:rPr>
          <w:rFonts w:ascii="Courier New" w:cs="Courier New" w:eastAsia="Courier New" w:hAnsi="Courier New"/>
          <w:sz w:val="15"/>
          <w:szCs w:val="15"/>
          <w:color w:val="auto"/>
        </w:rPr>
        <w:t>o Our quarterly reports on Form 10-Q for the fiscal quarters ended March 31, 1999 and June 30, 1999;</w:t>
      </w:r>
    </w:p>
    <w:p>
      <w:pPr>
        <w:spacing w:after="0" w:line="175" w:lineRule="exact"/>
        <w:rPr>
          <w:sz w:val="20"/>
          <w:szCs w:val="20"/>
          <w:color w:val="auto"/>
        </w:rPr>
      </w:pPr>
    </w:p>
    <w:p>
      <w:pPr>
        <w:jc w:val="both"/>
        <w:ind w:right="3219" w:firstLine="636"/>
        <w:spacing w:after="0" w:line="247" w:lineRule="auto"/>
        <w:rPr>
          <w:sz w:val="20"/>
          <w:szCs w:val="20"/>
          <w:color w:val="auto"/>
        </w:rPr>
      </w:pPr>
      <w:r>
        <w:rPr>
          <w:rFonts w:ascii="Courier New" w:cs="Courier New" w:eastAsia="Courier New" w:hAnsi="Courier New"/>
          <w:sz w:val="15"/>
          <w:szCs w:val="15"/>
          <w:color w:val="auto"/>
        </w:rPr>
        <w:t>o Our current reports on Form 8-K dated August 9, 1999, July 7, 1999, May 26, 1999, May 26, 1999, May 4, 1999, April 7, 1999, March 22, 1999, March 9, 1999, March 9, 1999 and January 20, 1999; and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64" w:name="page65"/>
    <w:bookmarkEnd w:id="64"/>
    <w:p>
      <w:pPr>
        <w:ind w:right="3039" w:firstLine="636"/>
        <w:spacing w:after="0" w:line="247" w:lineRule="auto"/>
        <w:rPr>
          <w:sz w:val="20"/>
          <w:szCs w:val="20"/>
          <w:color w:val="auto"/>
        </w:rPr>
      </w:pPr>
      <w:r>
        <w:rPr>
          <w:rFonts w:ascii="Courier New" w:cs="Courier New" w:eastAsia="Courier New" w:hAnsi="Courier New"/>
          <w:sz w:val="15"/>
          <w:szCs w:val="15"/>
          <w:color w:val="auto"/>
        </w:rPr>
        <w:t>o The description of our class A special common stock and class A common stock contained in the first amendment to our registration statement on Form 8-A/A dated July 16, 1996.</w:t>
      </w:r>
    </w:p>
    <w:p>
      <w:pPr>
        <w:spacing w:after="0" w:line="174" w:lineRule="exact"/>
        <w:rPr>
          <w:sz w:val="20"/>
          <w:szCs w:val="20"/>
          <w:color w:val="auto"/>
        </w:rPr>
      </w:pPr>
    </w:p>
    <w:p>
      <w:pPr>
        <w:ind w:right="3219" w:firstLine="636"/>
        <w:spacing w:after="0" w:line="247"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3" w:right="1440" w:bottom="1440" w:gutter="0" w:footer="0" w:header="0"/>
        </w:sectPr>
      </w:pPr>
    </w:p>
    <w:bookmarkStart w:id="65" w:name="page66"/>
    <w:bookmarkEnd w:id="65"/>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13,982,103 ZONES</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Comcast Corporation</w:t>
      </w:r>
    </w:p>
    <w:p>
      <w:pPr>
        <w:spacing w:after="0" w:line="35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2.0% Exchangeable Subordinated Debentures due 2029</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(Exchangeable for Cash Based on Value of Sprint Corporation PCS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[GRAPHIC OMITTED]</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PROSPECTUS SUPPLEMENT</w:t>
      </w:r>
    </w:p>
    <w:p>
      <w:pPr>
        <w:spacing w:after="0" w:line="354"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October 12, 1999</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Salomon Smith Barney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6"/>
      </w:cols>
      <w:pgMar w:left="233"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o"/>
      <w:numFmt w:val="bullet"/>
      <w:start w:val="1"/>
    </w:lvl>
  </w:abstractNum>
  <w:abstractNum w:abstractNumId="6">
    <w:nsid w:val="431BD7B7"/>
    <w:multiLevelType w:val="hybridMultilevel"/>
    <w:lvl w:ilvl="0">
      <w:lvlJc w:val="left"/>
      <w:lvlText w:val="o"/>
      <w:numFmt w:val="bullet"/>
      <w:start w:val="1"/>
    </w:lvl>
  </w:abstractNum>
  <w:abstractNum w:abstractNumId="7">
    <w:nsid w:val="3F2DBA31"/>
    <w:multiLevelType w:val="hybridMultilevel"/>
    <w:lvl w:ilvl="0">
      <w:lvlJc w:val="left"/>
      <w:lvlText w:val="o"/>
      <w:numFmt w:val="bullet"/>
      <w:start w:val="1"/>
    </w:lvl>
  </w:abstractNum>
  <w:abstractNum w:abstractNumId="8">
    <w:nsid w:val="7C83E458"/>
    <w:multiLevelType w:val="hybridMultilevel"/>
    <w:lvl w:ilvl="0">
      <w:lvlJc w:val="left"/>
      <w:lvlText w:val="o"/>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o"/>
      <w:numFmt w:val="bullet"/>
      <w:start w:val="1"/>
    </w:lvl>
    <w:lvl w:ilvl="1">
      <w:lvlJc w:val="left"/>
      <w:lvlText w:val="--"/>
      <w:numFmt w:val="bullet"/>
      <w:start w:val="1"/>
    </w:lvl>
  </w:abstractNum>
  <w:abstractNum w:abstractNumId="11">
    <w:nsid w:val="436C6125"/>
    <w:multiLevelType w:val="hybridMultilevel"/>
    <w:lvl w:ilvl="0">
      <w:lvlJc w:val="left"/>
      <w:lvlText w:val="o"/>
      <w:numFmt w:val="bullet"/>
      <w:start w:val="1"/>
    </w:lvl>
  </w:abstractNum>
  <w:abstractNum w:abstractNumId="12">
    <w:nsid w:val="628C895D"/>
    <w:multiLevelType w:val="hybridMultilevel"/>
    <w:lvl w:ilvl="0">
      <w:lvlJc w:val="left"/>
      <w:lvlText w:val="o"/>
      <w:numFmt w:val="bullet"/>
      <w:start w:val="1"/>
    </w:lvl>
  </w:abstractNum>
  <w:abstractNum w:abstractNumId="13">
    <w:nsid w:val="333AB105"/>
    <w:multiLevelType w:val="hybridMultilevel"/>
    <w:lvl w:ilvl="0">
      <w:lvlJc w:val="left"/>
      <w:lvlText w:val="o"/>
      <w:numFmt w:val="bullet"/>
      <w:start w:val="1"/>
    </w:lvl>
  </w:abstractNum>
  <w:abstractNum w:abstractNumId="14">
    <w:nsid w:val="721DA317"/>
    <w:multiLevelType w:val="hybridMultilevel"/>
    <w:lvl w:ilvl="0">
      <w:lvlJc w:val="left"/>
      <w:lvlText w:val="o"/>
      <w:numFmt w:val="bullet"/>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o"/>
      <w:numFmt w:val="bullet"/>
      <w:start w:val="1"/>
    </w:lvl>
  </w:abstractNum>
  <w:abstractNum w:abstractNumId="17">
    <w:nsid w:val="6763845E"/>
    <w:multiLevelType w:val="hybridMultilevel"/>
    <w:lvl w:ilvl="0">
      <w:lvlJc w:val="left"/>
      <w:lvlText w:val="o"/>
      <w:numFmt w:val="bullet"/>
      <w:start w:val="1"/>
    </w:lvl>
  </w:abstractNum>
  <w:abstractNum w:abstractNumId="18">
    <w:nsid w:val="75A2A8D4"/>
    <w:multiLevelType w:val="hybridMultilevel"/>
    <w:lvl w:ilvl="0">
      <w:lvlJc w:val="left"/>
      <w:lvlText w:val="o"/>
      <w:numFmt w:val="bullet"/>
      <w:start w:val="1"/>
    </w:lvl>
  </w:abstractNum>
  <w:abstractNum w:abstractNumId="19">
    <w:nsid w:val="8EDBDAB"/>
    <w:multiLevelType w:val="hybridMultilevel"/>
    <w:lvl w:ilvl="0">
      <w:lvlJc w:val="left"/>
      <w:lvlText w:val="-"/>
      <w:numFmt w:val="bullet"/>
      <w:start w:val="1"/>
    </w:lvl>
    <w:lvl w:ilvl="1">
      <w:lvlJc w:val="left"/>
      <w:lvlText w:val="(%2)"/>
      <w:numFmt w:val="decimal"/>
      <w:start w:val="215"/>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lowerRoman"/>
      <w:start w:val="2"/>
    </w:lvl>
  </w:abstractNum>
  <w:abstractNum w:abstractNumId="26">
    <w:nsid w:val="2CA88611"/>
    <w:multiLevelType w:val="hybridMultilevel"/>
    <w:lvl w:ilvl="0">
      <w:lvlJc w:val="left"/>
      <w:lvlText w:val="(%1)"/>
      <w:numFmt w:val="lowerRoman"/>
      <w:start w:val="3"/>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2020-02-22T17:50:04Z</dcterms:created>
  <dcterms:modified xsi:type="dcterms:W3CDTF">2020-02-22T17:50:04Z</dcterms:modified>
</cp:coreProperties>
</file>