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1340" w:right="760" w:hanging="8"/>
        <w:spacing w:after="0" w:line="280" w:lineRule="auto"/>
        <w:rPr>
          <w:sz w:val="20"/>
          <w:szCs w:val="20"/>
          <w:color w:val="auto"/>
        </w:rPr>
      </w:pPr>
      <w:r>
        <w:rPr>
          <w:rFonts w:ascii="Arial" w:cs="Arial" w:eastAsia="Arial" w:hAnsi="Arial"/>
          <w:sz w:val="21"/>
          <w:szCs w:val="21"/>
          <w:b w:val="1"/>
          <w:bCs w:val="1"/>
          <w:color w:val="auto"/>
        </w:rPr>
        <w:t>FOR ANNUAL REPORTS OF EMPLOYEE STOCK PURCHASE, SAVINGS AND SIMILAR PLANS PURSUANT TO SECTION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148590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405765</wp:posOffset>
            </wp:positionV>
            <wp:extent cx="3009900" cy="771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990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17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71"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 Full title of the plan and the address of the plan, if different from that of the issuer named below:</w:t>
      </w:r>
    </w:p>
    <w:p>
      <w:pPr>
        <w:spacing w:after="0" w:line="17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COMCAST SPECTACOR 401(k) PLAN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 Name of issuer of the securities held pursuant to the plan and the address of its principal executive office:</w:t>
      </w:r>
    </w:p>
    <w:p>
      <w:pPr>
        <w:spacing w:after="0" w:line="171"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230" w:right="7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SPECTACOR 401(k) PLAN</w:t>
      </w:r>
    </w:p>
    <w:p>
      <w:pPr>
        <w:spacing w:after="0" w:line="96" w:lineRule="exact"/>
        <w:rPr>
          <w:sz w:val="20"/>
          <w:szCs w:val="20"/>
          <w:color w:val="auto"/>
        </w:rPr>
      </w:pPr>
    </w:p>
    <w:p>
      <w:pPr>
        <w:ind w:right="3119"/>
        <w:spacing w:after="0" w:line="254" w:lineRule="auto"/>
        <w:rPr>
          <w:sz w:val="20"/>
          <w:szCs w:val="20"/>
          <w:color w:val="auto"/>
        </w:rPr>
      </w:pPr>
      <w:r>
        <w:rPr>
          <w:rFonts w:ascii="Arial" w:cs="Arial" w:eastAsia="Arial" w:hAnsi="Arial"/>
          <w:sz w:val="18"/>
          <w:szCs w:val="18"/>
          <w:color w:val="auto"/>
        </w:rPr>
        <w:t>Financial Statements as of December 31, 2011 and 2010 and for the Year Ended December 31, 2011; Supplemental Schedules as of December 31, 2011;</w:t>
      </w:r>
    </w:p>
    <w:p>
      <w:pPr>
        <w:spacing w:after="0"/>
        <w:rPr>
          <w:sz w:val="20"/>
          <w:szCs w:val="20"/>
          <w:color w:val="auto"/>
        </w:rPr>
      </w:pPr>
      <w:r>
        <w:rPr>
          <w:rFonts w:ascii="Arial" w:cs="Arial" w:eastAsia="Arial" w:hAnsi="Arial"/>
          <w:sz w:val="18"/>
          <w:szCs w:val="18"/>
          <w:color w:val="auto"/>
        </w:rPr>
        <w:t>and Report of Independent Registered Public Accounting Firm</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1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0"/>
            <w:vMerge w:val="continue"/>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56"/>
        </w:trPr>
        <w:tc>
          <w:tcPr>
            <w:tcW w:w="56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36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2011 and 2010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9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Statement of Changes in Net Assets Available for Benefits for the Year Ended December 31, 2011</w:t>
              </w:r>
            </w:hyperlink>
          </w:p>
        </w:tc>
        <w:tc>
          <w:tcPr>
            <w:tcW w:w="36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1020" w:type="dxa"/>
            <w:vAlign w:val="bottom"/>
            <w:gridSpan w:val="10"/>
          </w:tcPr>
          <w:p>
            <w:pPr>
              <w:spacing w:after="0"/>
              <w:rPr>
                <w:sz w:val="20"/>
                <w:szCs w:val="20"/>
                <w:color w:val="auto"/>
              </w:rPr>
            </w:pPr>
            <w:r>
              <w:rPr>
                <w:rFonts w:ascii="Arial" w:cs="Arial" w:eastAsia="Arial" w:hAnsi="Arial"/>
                <w:sz w:val="18"/>
                <w:szCs w:val="18"/>
                <w:color w:val="auto"/>
              </w:rPr>
              <w:t>SUPPLEMENTAL SCHEDULE -</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7800" w:type="dxa"/>
            <w:vAlign w:val="bottom"/>
            <w:tcBorders>
              <w:bottom w:val="single" w:sz="8" w:color="0000EE"/>
            </w:tcBorders>
            <w:gridSpan w:val="7"/>
          </w:tcPr>
          <w:p>
            <w:pPr>
              <w:spacing w:after="0" w:line="184"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Form 5500, Schedule H—Part IV, Line 4i—Schedule of Assets (Held at End of Year) as of December 31, 2011</w:t>
              </w:r>
            </w:hyperlink>
          </w:p>
        </w:tc>
        <w:tc>
          <w:tcPr>
            <w:tcW w:w="2780" w:type="dxa"/>
            <w:vAlign w:val="bottom"/>
            <w:gridSpan w:val="2"/>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Form 5500, Schedule H—Part IV, Line 4a—Schedule of Delinquent Participant Contributions for years ended December 31, 2011, 2010 and 2009</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3"/>
            <w:shd w:val="clear" w:color="auto" w:fill="0000EE"/>
          </w:tcPr>
          <w:p>
            <w:pPr>
              <w:spacing w:after="0" w:line="20" w:lineRule="exact"/>
              <w:rPr>
                <w:sz w:val="1"/>
                <w:szCs w:val="1"/>
                <w:color w:val="auto"/>
              </w:rPr>
            </w:pPr>
          </w:p>
        </w:tc>
        <w:tc>
          <w:tcPr>
            <w:tcW w:w="49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CONSENT OF INDEPENDENT REGISTERED PUBLIC ACCOUNTING FIRM</w:t>
              </w:r>
            </w:hyperlink>
          </w:p>
        </w:tc>
        <w:tc>
          <w:tcPr>
            <w:tcW w:w="520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1020" w:type="dxa"/>
            <w:vAlign w:val="bottom"/>
            <w:gridSpan w:val="1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SIGNATURE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500" w:right="1400"/>
        <w:spacing w:after="0" w:line="259" w:lineRule="auto"/>
        <w:rPr>
          <w:sz w:val="20"/>
          <w:szCs w:val="20"/>
          <w:color w:val="auto"/>
        </w:rPr>
      </w:pPr>
      <w:r>
        <w:rPr>
          <w:rFonts w:ascii="Arial" w:cs="Arial" w:eastAsia="Arial" w:hAnsi="Arial"/>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statements of net assets available for benefits of the Comcast Spectacor 401(k) Plan (the “Plan”) as of December 31, 2011 and 2010, and the related statement of changes in net assets available for benefits for the year ended December 31, 2011. These financial statements are the responsibility of the Plan’s management. Our responsibility is to express an opinion on these financial statements based on our audits.</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2011 and 2010, and the changes in net assets available for benefits for the year ended December 31, 2011 in conformity with accounting principles generally accepted in the United States of America.</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audits were conducted for the purpose of forming an opinion on the basic financial statements taken as a whole. The supplemental schedules of (1) assets (held at year end) as of December 31, 2011 and (2) delinquent participant contributions for the years ended December 31, 2011, 2010 and 2009,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schedules are the responsibility of the Plan’s management. These schedules have been subjected to the auditing procedures applied in our audit of the basic financial statements and, in our opinion, are fairly stated in all material respects when considered in relation to the basic financial statements taken as a whole.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80" w:type="dxa"/>
            <w:vAlign w:val="bottom"/>
            <w:tcBorders>
              <w:top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2011</w:t>
            </w:r>
          </w:p>
        </w:tc>
        <w:tc>
          <w:tcPr>
            <w:tcW w:w="120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4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440"/>
              <w:spacing w:after="0"/>
              <w:rPr>
                <w:sz w:val="20"/>
                <w:szCs w:val="20"/>
                <w:color w:val="auto"/>
              </w:rPr>
            </w:pPr>
            <w:r>
              <w:rPr>
                <w:rFonts w:ascii="Arial" w:cs="Arial" w:eastAsia="Arial" w:hAnsi="Arial"/>
                <w:sz w:val="18"/>
                <w:szCs w:val="18"/>
                <w:color w:val="auto"/>
              </w:rPr>
              <w:t>Participant-directed investments, at fair value</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$62,408,138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$56,170,440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4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Notes receivable from participants</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1,672,211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1,322,136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Contributions receivable from participants</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199,722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880"/>
              <w:spacing w:after="0"/>
              <w:rPr>
                <w:sz w:val="20"/>
                <w:szCs w:val="20"/>
                <w:color w:val="auto"/>
              </w:rPr>
            </w:pPr>
            <w:r>
              <w:rPr>
                <w:rFonts w:ascii="Arial" w:cs="Arial" w:eastAsia="Arial" w:hAnsi="Arial"/>
                <w:sz w:val="18"/>
                <w:szCs w:val="18"/>
                <w:color w:val="auto"/>
              </w:rPr>
              <w:t>Contributions receivable from employer</w:t>
            </w:r>
          </w:p>
        </w:tc>
        <w:tc>
          <w:tcPr>
            <w:tcW w:w="44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135,980</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2,007,913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1,623,770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5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64,416,051</w:t>
            </w: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57,794,210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4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vMerge w:val="continue"/>
          </w:tcPr>
          <w:p>
            <w:pPr>
              <w:spacing w:after="0"/>
              <w:rPr>
                <w:sz w:val="24"/>
                <w:szCs w:val="24"/>
                <w:color w:val="auto"/>
              </w:rPr>
            </w:pPr>
          </w:p>
        </w:tc>
        <w:tc>
          <w:tcPr>
            <w:tcW w:w="4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4480" w:type="dxa"/>
            <w:vAlign w:val="bottom"/>
          </w:tcPr>
          <w:p>
            <w:pPr>
              <w:jc w:val="right"/>
              <w:ind w:right="3392"/>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 ATTRIBUTED TO: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Investment income (loss):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appreciation (depreciation) in fair value of investments</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 (2,845,305)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ind w:left="860"/>
              <w:spacing w:after="0"/>
              <w:rPr>
                <w:sz w:val="20"/>
                <w:szCs w:val="20"/>
                <w:color w:val="auto"/>
              </w:rPr>
            </w:pPr>
            <w:r>
              <w:rPr>
                <w:rFonts w:ascii="Arial" w:cs="Arial" w:eastAsia="Arial" w:hAnsi="Arial"/>
                <w:sz w:val="18"/>
                <w:szCs w:val="18"/>
                <w:color w:val="auto"/>
              </w:rPr>
              <w:t>Dividends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investment income (loss)</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(1,108,829)</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Participant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ind w:left="860"/>
              <w:spacing w:after="0"/>
              <w:rPr>
                <w:sz w:val="20"/>
                <w:szCs w:val="20"/>
                <w:color w:val="auto"/>
              </w:rPr>
            </w:pPr>
            <w:r>
              <w:rPr>
                <w:rFonts w:ascii="Arial" w:cs="Arial" w:eastAsia="Arial" w:hAnsi="Arial"/>
                <w:sz w:val="18"/>
                <w:szCs w:val="18"/>
                <w:color w:val="auto"/>
              </w:rPr>
              <w:t>Employer</w:t>
            </w:r>
          </w:p>
        </w:tc>
        <w:tc>
          <w:tcPr>
            <w:tcW w:w="900" w:type="dxa"/>
            <w:vAlign w:val="bottom"/>
          </w:tcPr>
          <w:p>
            <w:pPr>
              <w:jc w:val="right"/>
              <w:spacing w:after="0"/>
              <w:rPr>
                <w:sz w:val="20"/>
                <w:szCs w:val="20"/>
                <w:color w:val="auto"/>
              </w:rPr>
            </w:pPr>
            <w:r>
              <w:rPr>
                <w:rFonts w:ascii="Arial" w:cs="Arial" w:eastAsia="Arial" w:hAnsi="Arial"/>
                <w:sz w:val="18"/>
                <w:szCs w:val="18"/>
                <w:color w:val="auto"/>
              </w:rPr>
              <w:t>3,744,728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Rollover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400" w:type="dxa"/>
            <w:vAlign w:val="bottom"/>
          </w:tcPr>
          <w:p>
            <w:pPr>
              <w:ind w:left="1280"/>
              <w:spacing w:after="0"/>
              <w:rPr>
                <w:sz w:val="20"/>
                <w:szCs w:val="20"/>
                <w:color w:val="auto"/>
              </w:rPr>
            </w:pPr>
            <w:r>
              <w:rPr>
                <w:rFonts w:ascii="Arial" w:cs="Arial" w:eastAsia="Arial" w:hAnsi="Arial"/>
                <w:sz w:val="18"/>
                <w:szCs w:val="18"/>
                <w:color w:val="auto"/>
              </w:rPr>
              <w:t>Total contributions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10,246,868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on notes receivable from participants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20" w:type="dxa"/>
            <w:vAlign w:val="bottom"/>
            <w:gridSpan w:val="2"/>
          </w:tcPr>
          <w:p>
            <w:pPr>
              <w:spacing w:after="0"/>
              <w:rPr>
                <w:sz w:val="20"/>
                <w:szCs w:val="20"/>
                <w:color w:val="auto"/>
              </w:rPr>
            </w:pPr>
            <w:r>
              <w:rPr>
                <w:rFonts w:ascii="Arial" w:cs="Arial" w:eastAsia="Arial" w:hAnsi="Arial"/>
                <w:sz w:val="18"/>
                <w:szCs w:val="18"/>
                <w:color w:val="auto"/>
              </w:rPr>
              <w:t>Total additions, net</w:t>
            </w:r>
          </w:p>
        </w:tc>
        <w:tc>
          <w:tcPr>
            <w:tcW w:w="900" w:type="dxa"/>
            <w:vAlign w:val="bottom"/>
          </w:tcPr>
          <w:p>
            <w:pPr>
              <w:jc w:val="right"/>
              <w:spacing w:after="0"/>
              <w:rPr>
                <w:sz w:val="20"/>
                <w:szCs w:val="20"/>
                <w:color w:val="auto"/>
              </w:rPr>
            </w:pPr>
            <w:r>
              <w:rPr>
                <w:rFonts w:ascii="Arial" w:cs="Arial" w:eastAsia="Arial" w:hAnsi="Arial"/>
                <w:sz w:val="18"/>
                <w:szCs w:val="18"/>
                <w:color w:val="auto"/>
              </w:rPr>
              <w:t>9,217,377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ATTRIBUTED TO:</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Benefits paid to participants</w:t>
            </w:r>
          </w:p>
        </w:tc>
        <w:tc>
          <w:tcPr>
            <w:tcW w:w="900" w:type="dxa"/>
            <w:vAlign w:val="bottom"/>
          </w:tcPr>
          <w:p>
            <w:pPr>
              <w:jc w:val="right"/>
              <w:spacing w:after="0"/>
              <w:rPr>
                <w:sz w:val="20"/>
                <w:szCs w:val="20"/>
                <w:color w:val="auto"/>
              </w:rPr>
            </w:pPr>
            <w:r>
              <w:rPr>
                <w:rFonts w:ascii="Arial" w:cs="Arial" w:eastAsia="Arial" w:hAnsi="Arial"/>
                <w:sz w:val="18"/>
                <w:szCs w:val="18"/>
                <w:color w:val="auto"/>
              </w:rPr>
              <w:t>2,490,998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expenses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20" w:type="dxa"/>
            <w:vAlign w:val="bottom"/>
            <w:gridSpan w:val="2"/>
          </w:tcPr>
          <w:p>
            <w:pPr>
              <w:spacing w:after="0"/>
              <w:rPr>
                <w:sz w:val="20"/>
                <w:szCs w:val="20"/>
                <w:color w:val="auto"/>
              </w:rPr>
            </w:pPr>
            <w:r>
              <w:rPr>
                <w:rFonts w:ascii="Arial" w:cs="Arial" w:eastAsia="Arial" w:hAnsi="Arial"/>
                <w:sz w:val="18"/>
                <w:szCs w:val="18"/>
                <w:color w:val="auto"/>
              </w:rPr>
              <w:t>Total deductions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0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Net increase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042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57,794,210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0" w:type="dxa"/>
            <w:vAlign w:val="bottom"/>
          </w:tcPr>
          <w:p>
            <w:pPr>
              <w:ind w:left="420"/>
              <w:spacing w:after="0"/>
              <w:rPr>
                <w:sz w:val="20"/>
                <w:szCs w:val="20"/>
                <w:color w:val="auto"/>
              </w:rPr>
            </w:pPr>
            <w:r>
              <w:rPr>
                <w:rFonts w:ascii="Arial" w:cs="Arial" w:eastAsia="Arial" w:hAnsi="Arial"/>
                <w:sz w:val="18"/>
                <w:szCs w:val="18"/>
                <w:color w:val="auto"/>
              </w:rPr>
              <w:t>End of year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64,416,051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460" w:right="9200" w:hanging="452"/>
        <w:spacing w:after="0" w:line="391" w:lineRule="auto"/>
        <w:tabs>
          <w:tab w:leader="none" w:pos="4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DESCRIPTION </w:t>
      </w:r>
      <w:r>
        <w:rPr>
          <w:rFonts w:ascii="Arial" w:cs="Arial" w:eastAsia="Arial" w:hAnsi="Arial"/>
          <w:sz w:val="16"/>
          <w:szCs w:val="16"/>
          <w:u w:val="single" w:color="auto"/>
          <w:color w:val="auto"/>
        </w:rPr>
        <w:t>General</w:t>
      </w:r>
    </w:p>
    <w:p>
      <w:pPr>
        <w:ind w:left="460" w:right="12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The following description of the Comcast Spectacor 401(k) Plan (the “Plan”) provides only general information. Plan participants should refer to the Plan document for a complete description of the Plan’s provisions.</w:t>
      </w:r>
    </w:p>
    <w:p>
      <w:pPr>
        <w:spacing w:after="0" w:line="50" w:lineRule="exact"/>
        <w:rPr>
          <w:rFonts w:ascii="Arial" w:cs="Arial" w:eastAsia="Arial" w:hAnsi="Arial"/>
          <w:sz w:val="16"/>
          <w:szCs w:val="16"/>
          <w:b w:val="1"/>
          <w:bCs w:val="1"/>
          <w:color w:val="auto"/>
        </w:rPr>
      </w:pPr>
    </w:p>
    <w:p>
      <w:pPr>
        <w:ind w:left="460" w:right="1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The effective date of the Plan is January 1, 1992. The Plan is a defined contribution plan and is subject to the provisions of the Employee Retirement Income Security Act of 1974 (“ERISA”). The Plan covers “eligible employees,” who have completed the requisite hours of service, as defined in the Plan document, and have attained age 21. The following entities participate in the Plan, referred to collectively as “the Company”:</w:t>
      </w:r>
    </w:p>
    <w:p>
      <w:pPr>
        <w:spacing w:after="0" w:line="25" w:lineRule="exact"/>
        <w:rPr>
          <w:rFonts w:ascii="Arial" w:cs="Arial" w:eastAsia="Arial" w:hAnsi="Arial"/>
          <w:sz w:val="16"/>
          <w:szCs w:val="16"/>
          <w:b w:val="1"/>
          <w:bCs w:val="1"/>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 Spectacor, L.P. (Plan Sponsor or Plan Administrator)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Spectrum Arena Limited Partnership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Flyers,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76ers,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Comcast-Spectacor Foundation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Flyers Skate Zone,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Spectrum,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Spectacor,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Patron Solutions,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FPS Rink,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Disson Skating, LLC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Pilots,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Ed Snider Youth Hockey Foundation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Front Row Marketing 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Paciolan,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2011, Comcast Spectacor sold the Philadelphia 76ers; however, they continue to participate in the Plan, as allowed by the Plan document.</w:t>
      </w:r>
    </w:p>
    <w:p>
      <w:pPr>
        <w:spacing w:after="0" w:line="113"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Each participant may make a pretax contribution deferring not less than 1% or more than 100% of eligible compensation (as defined in the Plan document), subject to applicable Internal Revenue Service (“IRS”) limitations.</w:t>
      </w:r>
    </w:p>
    <w:p>
      <w:pPr>
        <w:spacing w:after="0" w:line="51"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Effective January 1, 2005, the Company matching contribution formula provides a safe-harbor matching contribution on behalf of each participant who has made salary deferrals in the Plan year. This contribution is equal to 100% of the first 4% and 50% of the next 2% of the participant’s annual salary deferral contributions. This contribution shall be determined on an annual basis and shall be adjusted to the extent necessary after the end of each Plan year.</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also provides for discretionary profit sharing contributions. There were no such contributions for the 2011 Plan year.</w:t>
      </w:r>
    </w:p>
    <w:p>
      <w:pPr>
        <w:spacing w:after="0" w:line="90" w:lineRule="exact"/>
        <w:rPr>
          <w:sz w:val="20"/>
          <w:szCs w:val="20"/>
          <w:color w:val="auto"/>
        </w:rPr>
      </w:pPr>
    </w:p>
    <w:p>
      <w:pPr>
        <w:jc w:val="both"/>
        <w:ind w:left="460" w:right="340"/>
        <w:spacing w:after="0" w:line="256" w:lineRule="auto"/>
        <w:rPr>
          <w:sz w:val="20"/>
          <w:szCs w:val="20"/>
          <w:color w:val="auto"/>
        </w:rPr>
      </w:pPr>
      <w:r>
        <w:rPr>
          <w:rFonts w:ascii="Arial" w:cs="Arial" w:eastAsia="Arial" w:hAnsi="Arial"/>
          <w:sz w:val="18"/>
          <w:szCs w:val="18"/>
          <w:color w:val="auto"/>
        </w:rPr>
        <w:t>Each participant’s account is credited with the participant’s elective deferral contribution, an allocation of the Company’s contribution, if any, and Plan earnings, net of expenses. Allocations of Company matching contributions are based on participant elective deferrals to the Plan. Allocations of profit sharing contributions are in proportion to total compensation. Upon enrollment, or as requested from the Plan Administrator, participants can receive a description of each investment fund in the Plan Enrollment Guide.</w:t>
      </w:r>
    </w:p>
    <w:p>
      <w:pPr>
        <w:spacing w:after="0" w:line="62"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for Plan years beginning on or after January 1, 2005 are fully and immediately vested. Company matching contributions for Plan years prior to January 1, 2005 vest according to years of service.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benefits under the Plan are paid as lump-sum distributions. In-kind distributions are not provided for under the Plan.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Trustee may make loans from the Plan to participants in accordance with the Plan document. Interest accrues at the rate of prime plus 2% as of the month the loan application is approved and all loans are to be repaid within five years unless the loan is used to acquire a principal residence, in which case the term may be longer.</w:t>
      </w:r>
    </w:p>
    <w:p>
      <w:pPr>
        <w:spacing w:after="0" w:line="59"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Amounts contributed by the Company which are forfeited by participants as a result of the participants’ separation from service prior to becoming 100% vested may be used to pay Plan expenses including legal, consulting, education materials, etc. and/or to reduce the Company’s required contributions. Pending application of the forfeitures, the Company may direct the Trustee to hold the forfeitures in cash or under investment in a suspense account. There were no forfeitures applied to reduce Plan administrative expenses for the year ended December 31, 2011. Outstanding forfeitures not yet applied as of December 31, 2011 were $10,350.</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Trustee</w:t>
      </w:r>
    </w:p>
    <w:p>
      <w:pPr>
        <w:spacing w:after="0" w:line="90" w:lineRule="exact"/>
        <w:rPr>
          <w:sz w:val="20"/>
          <w:szCs w:val="20"/>
          <w:color w:val="auto"/>
        </w:rPr>
      </w:pPr>
    </w:p>
    <w:p>
      <w:pPr>
        <w:jc w:val="both"/>
        <w:ind w:left="460" w:right="40"/>
        <w:spacing w:after="0" w:line="259" w:lineRule="auto"/>
        <w:rPr>
          <w:sz w:val="20"/>
          <w:szCs w:val="20"/>
          <w:color w:val="auto"/>
        </w:rPr>
      </w:pPr>
      <w:r>
        <w:rPr>
          <w:rFonts w:ascii="Arial" w:cs="Arial" w:eastAsia="Arial" w:hAnsi="Arial"/>
          <w:sz w:val="18"/>
          <w:szCs w:val="18"/>
          <w:color w:val="auto"/>
        </w:rPr>
        <w:t>The Trustee for the Comcast stock held in the Plan is Benefit Trust Company. The Trustee for all other investment options is Reliance Trust Company (the “Trustee”). See Note 8. The Record-keeper for the Plan is ING Institutional Plan Services, LLC. Generally, all costs associated with administering the Plan are paid by the Plan administrator.</w:t>
      </w:r>
    </w:p>
    <w:p>
      <w:pPr>
        <w:spacing w:after="0" w:line="25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The Plan’s investments are stated at fair value. Shares of mutual funds are valued at the net asset value of shares held by the Plan at year-end. The value of the Comcast Stock Fund, which includes shares of Comcast Corporation Class A common stock (CMCSA) and a mutual fund account, is based on the fair market value of the stock held in the fund as well as the market value of the mutual fund on the last trading day of the Plan year. Notes receivable from participants are measured at their unpaid principal balance plus any accrued but unpaid interest.</w:t>
      </w:r>
    </w:p>
    <w:p>
      <w:pPr>
        <w:spacing w:after="0" w:line="61" w:lineRule="exact"/>
        <w:rPr>
          <w:rFonts w:ascii="Arial" w:cs="Arial" w:eastAsia="Arial" w:hAnsi="Arial"/>
          <w:sz w:val="18"/>
          <w:szCs w:val="18"/>
          <w:b w:val="1"/>
          <w:bCs w:val="1"/>
          <w:color w:val="auto"/>
        </w:rPr>
      </w:pPr>
    </w:p>
    <w:p>
      <w:pPr>
        <w:ind w:left="4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change in fair value of assets during the year is measured by the difference between the fair value at year-end and the fair value at the beginning of the year and the impact of any purchases and/or sales during the year and is reflected in the Statement of Changes in Net Assets Available for Benefits as net appreciation (depreciation) in fair value of investments. Purchases and sales of securities are recorded on a trade-date basis. Dividends are recorded on the ex-dividend date. Benefits are recorded when paid.</w:t>
      </w:r>
    </w:p>
    <w:p>
      <w:pPr>
        <w:spacing w:after="0" w:line="62"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Statement of Net Assets Available for Benefits.</w:t>
      </w:r>
    </w:p>
    <w:p>
      <w:pPr>
        <w:spacing w:after="0" w:line="59"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changes therein, and disclosure of contingent assets and liabilities. Actual results could differ from those estimates.</w:t>
      </w:r>
    </w:p>
    <w:p>
      <w:pPr>
        <w:spacing w:after="0" w:line="59"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In January 2010, the Financial Accounting Standards Board (FASB) issued Accounting Standards Update (ASU) No. 2010-06,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Disclosures</w:t>
      </w:r>
      <w:r>
        <w:rPr>
          <w:rFonts w:ascii="Arial" w:cs="Arial" w:eastAsia="Arial" w:hAnsi="Arial"/>
          <w:sz w:val="18"/>
          <w:szCs w:val="18"/>
          <w:color w:val="auto"/>
        </w:rPr>
        <w:t>, which amends ASC 820,</w:t>
      </w:r>
      <w:r>
        <w:rPr>
          <w:rFonts w:ascii="Arial" w:cs="Arial" w:eastAsia="Arial" w:hAnsi="Arial"/>
          <w:sz w:val="18"/>
          <w:szCs w:val="18"/>
          <w:i w:val="1"/>
          <w:iCs w:val="1"/>
          <w:color w:val="auto"/>
        </w:rPr>
        <w:t xml:space="preserve"> Fair Value Measurements and Disclosures</w:t>
      </w:r>
      <w:r>
        <w:rPr>
          <w:rFonts w:ascii="Arial" w:cs="Arial" w:eastAsia="Arial" w:hAnsi="Arial"/>
          <w:sz w:val="18"/>
          <w:szCs w:val="18"/>
          <w:color w:val="auto"/>
        </w:rPr>
        <w:t>, adding a new disclosure requirement to provide Level 3 activity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sales, issuances, and settlements on a gross basis. This requirement is effective for fiscal years beginning after December 15, 2010. The adoption in 2011 did not materially affect the Plan’s financial statements.</w:t>
      </w:r>
    </w:p>
    <w:p>
      <w:pPr>
        <w:spacing w:after="0" w:line="143" w:lineRule="exact"/>
        <w:rPr>
          <w:rFonts w:ascii="Arial" w:cs="Arial" w:eastAsia="Arial" w:hAnsi="Arial"/>
          <w:sz w:val="18"/>
          <w:szCs w:val="18"/>
          <w:b w:val="1"/>
          <w:bCs w:val="1"/>
          <w:color w:val="auto"/>
        </w:rPr>
      </w:pPr>
    </w:p>
    <w:p>
      <w:pPr>
        <w:ind w:left="460"/>
        <w:spacing w:after="0" w:line="310" w:lineRule="auto"/>
        <w:rPr>
          <w:rFonts w:ascii="Arial" w:cs="Arial" w:eastAsia="Arial" w:hAnsi="Arial"/>
          <w:sz w:val="18"/>
          <w:szCs w:val="18"/>
          <w:b w:val="1"/>
          <w:bCs w:val="1"/>
          <w:color w:val="auto"/>
        </w:rPr>
      </w:pPr>
      <w:r>
        <w:rPr>
          <w:rFonts w:ascii="Arial" w:cs="Arial" w:eastAsia="Arial" w:hAnsi="Arial"/>
          <w:sz w:val="15"/>
          <w:szCs w:val="15"/>
          <w:color w:val="auto"/>
        </w:rPr>
        <w:t xml:space="preserve">In May 2011, the FASB issued ASU No. 2011-04, </w:t>
      </w:r>
      <w:r>
        <w:rPr>
          <w:rFonts w:ascii="Arial" w:cs="Arial" w:eastAsia="Arial" w:hAnsi="Arial"/>
          <w:sz w:val="15"/>
          <w:szCs w:val="15"/>
          <w:i w:val="1"/>
          <w:iCs w:val="1"/>
          <w:color w:val="auto"/>
        </w:rPr>
        <w:t>Amendments to Achieve Common Fair Value Measurement and Disclosure Requirements in U.S. GAAP</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IFRSs, </w:t>
      </w:r>
      <w:r>
        <w:rPr>
          <w:rFonts w:ascii="Arial" w:cs="Arial" w:eastAsia="Arial" w:hAnsi="Arial"/>
          <w:sz w:val="15"/>
          <w:szCs w:val="15"/>
          <w:color w:val="auto"/>
        </w:rPr>
        <w:t>which amends ASC 820. ASU No. 2011-04 clarifies the FASB’s intent about the application of existing fair value measurement and disclosure</w:t>
      </w:r>
      <w:r>
        <w:rPr>
          <w:rFonts w:ascii="Arial" w:cs="Arial" w:eastAsia="Arial" w:hAnsi="Arial"/>
          <w:sz w:val="15"/>
          <w:szCs w:val="15"/>
          <w:i w:val="1"/>
          <w:iCs w:val="1"/>
          <w:color w:val="auto"/>
        </w:rPr>
        <w:t xml:space="preserve"> </w:t>
      </w:r>
      <w:r>
        <w:rPr>
          <w:rFonts w:ascii="Arial" w:cs="Arial" w:eastAsia="Arial" w:hAnsi="Arial"/>
          <w:sz w:val="15"/>
          <w:szCs w:val="15"/>
          <w:color w:val="auto"/>
        </w:rPr>
        <w:t>requirements under ASC 820. This ASU requires the categorization by level for items that are required to be disclosed, but not measured, at fair value. This ASU also requires additional disclosure of information about transfers between Level 1 and Level 2 of the fair value hierarchy and additional disclosure regarding the sensitivity of Level 3 measurements of fair value to changes in unobservable inputs and any interrelationships between those inputs. In addition, the ASU provides guidance on measuring the fair value of financial instruments managed within a portfolio and the application of premiums and discounts on fair value measurements. The new guidance is effective for reporting periods beginning after December 15, 2011. The adoption will not have a material effect on the Statement of Net Assets Available for Benefits and Statement of Changes in Net Assets Available for Benefits.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fair market value of investments, held by the Plan, representing 5% or more of the Plan’s assets are identified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200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420" w:type="dxa"/>
            <w:vAlign w:val="bottom"/>
          </w:tcPr>
          <w:p>
            <w:pPr>
              <w:spacing w:after="0"/>
              <w:rPr>
                <w:sz w:val="12"/>
                <w:szCs w:val="12"/>
                <w:color w:val="auto"/>
              </w:rPr>
            </w:pPr>
          </w:p>
        </w:tc>
        <w:tc>
          <w:tcPr>
            <w:tcW w:w="8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Comcast Stock Fund</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$4,696,246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$4,102,719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Mutual Funds: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EuroPacific Growth Fund—F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3,553,732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5,212,875</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Washington Mutual Investors Fund—F Share</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7,057,730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6,597,285</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Growth Fund of America—F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9,579,770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8,777,110</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Dreyfus Premier Emerging Markets Fund</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5,885,784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6,676,654</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Baron Growth Fund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4,568,119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4,142,352</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Janus Balanced Fund</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4,786,918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4,282,732</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Wells Fargo Advantage Government Securities Fund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5,902,322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3,446,246</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Western Asset Government Money Market Exchange Class 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3,392,075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2,995,819</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Royce Total Return Fund</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3,108,326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During 2011, the Plan’s investments, including investments purchased and sold, as well as held during the year, appreciated (depreciated) in fair value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436,948</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 Stock Fund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(2,476,174)</w:t>
            </w: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Balanced Funds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(1,184,164)</w:t>
            </w: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Bond Fund</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378,085</w:t>
            </w:r>
          </w:p>
        </w:tc>
        <w:tc>
          <w:tcPr>
            <w:tcW w:w="100" w:type="dxa"/>
            <w:vAlign w:val="bottom"/>
            <w:shd w:val="clear" w:color="auto" w:fill="CCEEFF"/>
          </w:tcPr>
          <w:p>
            <w:pPr>
              <w:spacing w:after="0"/>
              <w:rPr>
                <w:sz w:val="18"/>
                <w:szCs w:val="18"/>
                <w:color w:val="auto"/>
              </w:rPr>
            </w:pPr>
          </w:p>
        </w:tc>
      </w:tr>
      <w:tr>
        <w:trPr>
          <w:trHeight w:val="222"/>
        </w:trPr>
        <w:tc>
          <w:tcPr>
            <w:tcW w:w="9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(2,845,305)</w:t>
            </w:r>
          </w:p>
        </w:tc>
      </w:tr>
      <w:tr>
        <w:trPr>
          <w:trHeight w:val="20"/>
        </w:trPr>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ASC 820 establishes a hierarchy that prioritizes fair value measurements based on the types of inputs used for the various valuation techniques. The levels of the hierarchy are described below:</w:t>
      </w:r>
    </w:p>
    <w:p>
      <w:pPr>
        <w:spacing w:after="0" w:line="51" w:lineRule="exact"/>
        <w:rPr>
          <w:sz w:val="20"/>
          <w:szCs w:val="20"/>
          <w:color w:val="auto"/>
        </w:rPr>
      </w:pPr>
    </w:p>
    <w:p>
      <w:pPr>
        <w:ind w:left="1880" w:right="1000" w:hanging="944"/>
        <w:spacing w:after="0" w:line="268" w:lineRule="auto"/>
        <w:tabs>
          <w:tab w:leader="none" w:pos="18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Consists of financial instruments whose values are based on quoted market prices for identical financial instruments in an active market.</w:t>
      </w:r>
    </w:p>
    <w:p>
      <w:pPr>
        <w:spacing w:after="0" w:line="78" w:lineRule="exact"/>
        <w:rPr>
          <w:sz w:val="20"/>
          <w:szCs w:val="20"/>
          <w:color w:val="auto"/>
        </w:rPr>
      </w:pPr>
    </w:p>
    <w:p>
      <w:pPr>
        <w:ind w:left="1880" w:right="1000" w:hanging="944"/>
        <w:spacing w:after="0" w:line="268" w:lineRule="auto"/>
        <w:tabs>
          <w:tab w:leader="none" w:pos="18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Consists of financial instruments that are valued using models or other valuation methodologies. These models use inputs that are observable either directly or indirectly and include:</w:t>
      </w:r>
    </w:p>
    <w:p>
      <w:pPr>
        <w:spacing w:after="0" w:line="78" w:lineRule="exact"/>
        <w:rPr>
          <w:sz w:val="20"/>
          <w:szCs w:val="20"/>
          <w:color w:val="auto"/>
        </w:rPr>
      </w:pPr>
    </w:p>
    <w:p>
      <w:pPr>
        <w:ind w:left="2380" w:hanging="306"/>
        <w:spacing w:after="0"/>
        <w:tabs>
          <w:tab w:leader="none" w:pos="2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2380" w:hanging="306"/>
        <w:spacing w:after="0"/>
        <w:tabs>
          <w:tab w:leader="none" w:pos="2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17" w:lineRule="exact"/>
        <w:rPr>
          <w:rFonts w:ascii="Arial" w:cs="Arial" w:eastAsia="Arial" w:hAnsi="Arial"/>
          <w:sz w:val="18"/>
          <w:szCs w:val="18"/>
          <w:color w:val="auto"/>
        </w:rPr>
      </w:pPr>
    </w:p>
    <w:p>
      <w:pPr>
        <w:ind w:left="2380" w:hanging="306"/>
        <w:spacing w:after="0"/>
        <w:tabs>
          <w:tab w:leader="none" w:pos="2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w:t>
      </w:r>
    </w:p>
    <w:p>
      <w:pPr>
        <w:spacing w:after="0" w:line="117" w:lineRule="exact"/>
        <w:rPr>
          <w:rFonts w:ascii="Arial" w:cs="Arial" w:eastAsia="Arial" w:hAnsi="Arial"/>
          <w:sz w:val="18"/>
          <w:szCs w:val="18"/>
          <w:color w:val="auto"/>
        </w:rPr>
      </w:pPr>
    </w:p>
    <w:p>
      <w:pPr>
        <w:ind w:left="2380" w:right="1400" w:hanging="306"/>
        <w:spacing w:after="0" w:line="268" w:lineRule="auto"/>
        <w:tabs>
          <w:tab w:leader="none" w:pos="2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78" w:lineRule="exact"/>
        <w:rPr>
          <w:sz w:val="20"/>
          <w:szCs w:val="20"/>
          <w:color w:val="auto"/>
        </w:rPr>
      </w:pPr>
    </w:p>
    <w:p>
      <w:pPr>
        <w:ind w:left="1880" w:right="1100" w:hanging="944"/>
        <w:spacing w:after="0" w:line="259" w:lineRule="auto"/>
        <w:tabs>
          <w:tab w:leader="none" w:pos="18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judgment or estimation.</w:t>
      </w:r>
    </w:p>
    <w:p>
      <w:pPr>
        <w:spacing w:after="0" w:line="59"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Mutual funds: Valued at the net asset value of shares held by the Plan at year end.</w:t>
      </w:r>
    </w:p>
    <w:p>
      <w:pPr>
        <w:spacing w:after="0" w:line="90"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Common stock fund: Valued at the market value of the CMCSA stock and the cost plus accrued interest of certain short-term investments, which approximates their fair value, at year end.</w:t>
      </w:r>
    </w:p>
    <w:p>
      <w:pPr>
        <w:spacing w:after="0" w:line="51"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other market participants, the use of different methodologies or assumptions to determine the fair value of certain financial instruments could result in a different fair value measurement at the reporting date.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by level, within the fair value hierarchy, the Plan’s assets at fair value as of December 31, 2011 and 2010:</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Assets at Fair Value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Level 2</w:t>
            </w: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3</w:t>
            </w:r>
          </w:p>
        </w:tc>
        <w:tc>
          <w:tcPr>
            <w:tcW w:w="320" w:type="dxa"/>
            <w:vAlign w:val="bottom"/>
          </w:tcPr>
          <w:p>
            <w:pPr>
              <w:spacing w:after="0"/>
              <w:rPr>
                <w:sz w:val="14"/>
                <w:szCs w:val="14"/>
                <w:color w:val="auto"/>
              </w:rPr>
            </w:pPr>
          </w:p>
        </w:tc>
        <w:tc>
          <w:tcPr>
            <w:tcW w:w="9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4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Balanced Funds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$42,074,151</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$42,074,151</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 Stock Fund</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5,885,784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5,885,784</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Bond Fund</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9,751,957</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9,751,957</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4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4,696,246</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4,696,246</w:t>
            </w:r>
          </w:p>
        </w:tc>
        <w:tc>
          <w:tcPr>
            <w:tcW w:w="100" w:type="dxa"/>
            <w:vAlign w:val="bottom"/>
            <w:shd w:val="clear" w:color="auto" w:fill="CCEEFF"/>
          </w:tcPr>
          <w:p>
            <w:pPr>
              <w:spacing w:after="0"/>
              <w:rPr>
                <w:sz w:val="18"/>
                <w:szCs w:val="18"/>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Total investments at fair value</w:t>
            </w:r>
          </w:p>
        </w:tc>
        <w:tc>
          <w:tcPr>
            <w:tcW w:w="5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57,711,892</w:t>
            </w:r>
          </w:p>
        </w:tc>
        <w:tc>
          <w:tcPr>
            <w:tcW w:w="32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4,696,246</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62,408,138</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5"/>
        </w:trPr>
        <w:tc>
          <w:tcPr>
            <w:tcW w:w="32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Assets at Fair Value as of December 31, 2010</w:t>
            </w: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6"/>
        </w:trPr>
        <w:tc>
          <w:tcPr>
            <w:tcW w:w="32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Level 2</w:t>
            </w: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3</w:t>
            </w:r>
          </w:p>
        </w:tc>
        <w:tc>
          <w:tcPr>
            <w:tcW w:w="320" w:type="dxa"/>
            <w:vAlign w:val="bottom"/>
          </w:tcPr>
          <w:p>
            <w:pPr>
              <w:spacing w:after="0"/>
              <w:rPr>
                <w:sz w:val="17"/>
                <w:szCs w:val="17"/>
                <w:color w:val="auto"/>
              </w:rPr>
            </w:pPr>
          </w:p>
        </w:tc>
        <w:tc>
          <w:tcPr>
            <w:tcW w:w="9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4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Balanced Funds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$39,783,361</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$39,783,361</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 Stock Fund</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6,676,654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6,676,654</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Bond Fund</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5,607,706</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5,607,706</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4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4,102,719</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4,102,719</w:t>
            </w:r>
          </w:p>
        </w:tc>
        <w:tc>
          <w:tcPr>
            <w:tcW w:w="100" w:type="dxa"/>
            <w:vAlign w:val="bottom"/>
            <w:shd w:val="clear" w:color="auto" w:fill="CCEEFF"/>
          </w:tcPr>
          <w:p>
            <w:pPr>
              <w:spacing w:after="0"/>
              <w:rPr>
                <w:sz w:val="18"/>
                <w:szCs w:val="18"/>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Total investments at fair value</w:t>
            </w:r>
          </w:p>
        </w:tc>
        <w:tc>
          <w:tcPr>
            <w:tcW w:w="5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52,067,721</w:t>
            </w:r>
          </w:p>
        </w:tc>
        <w:tc>
          <w:tcPr>
            <w:tcW w:w="32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4,102,719</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56,170,440</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96" w:lineRule="exact"/>
        <w:rPr>
          <w:rFonts w:ascii="Arial" w:cs="Arial" w:eastAsia="Arial" w:hAnsi="Arial"/>
          <w:sz w:val="18"/>
          <w:szCs w:val="18"/>
          <w:b w:val="1"/>
          <w:bCs w:val="1"/>
          <w:color w:val="auto"/>
        </w:rPr>
      </w:pPr>
    </w:p>
    <w:p>
      <w:pPr>
        <w:ind w:left="460" w:right="2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Although no participating employer has expressed any intent to do so, each participating employer has the right under the Plan to discontinue its contributions and to terminate the Plan, with respect to its eligible employees, subject to the provisions of ERISA. Additionally, Comcast Spectacor, L.P. has the right to terminate the Plan. In the event of Plan termination, participants will become 100% vested in their accounts.</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96" w:lineRule="exact"/>
        <w:rPr>
          <w:rFonts w:ascii="Arial" w:cs="Arial" w:eastAsia="Arial" w:hAnsi="Arial"/>
          <w:sz w:val="18"/>
          <w:szCs w:val="18"/>
          <w:b w:val="1"/>
          <w:bCs w:val="1"/>
          <w:color w:val="auto"/>
        </w:rPr>
      </w:pPr>
    </w:p>
    <w:p>
      <w:pPr>
        <w:ind w:left="1480" w:right="140" w:hanging="567"/>
        <w:spacing w:after="0" w:line="294"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 Status of the Plan</w:t>
      </w:r>
      <w:r>
        <w:rPr>
          <w:rFonts w:ascii="Arial" w:cs="Arial" w:eastAsia="Arial" w:hAnsi="Arial"/>
          <w:sz w:val="16"/>
          <w:szCs w:val="16"/>
          <w:color w:val="auto"/>
        </w:rPr>
        <w:t>— In June 2009 the Plan received a determination letter from the IRS stating that the Plan is qualified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401(a) of the Internal Revenue Code (the “Code”) subject to the adoption of an amendment which was adopted on August 14, 2009 and effective January 1, 2007. As a result, the Plan remains exempt from taxation. The Plan is required to operate in conformity with the Code to maintain its qualified status. The Plan Administrator believes the Plan is being operated in compliance with the applicable requirements of the Code and no provision for income taxes has been included in the Plan’s financial statements.</w:t>
      </w:r>
    </w:p>
    <w:p>
      <w:pPr>
        <w:spacing w:after="0" w:line="34" w:lineRule="exact"/>
        <w:rPr>
          <w:rFonts w:ascii="Arial" w:cs="Arial" w:eastAsia="Arial" w:hAnsi="Arial"/>
          <w:sz w:val="16"/>
          <w:szCs w:val="16"/>
          <w:color w:val="auto"/>
        </w:rPr>
      </w:pPr>
    </w:p>
    <w:p>
      <w:pPr>
        <w:ind w:left="1480" w:right="40" w:hanging="567"/>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—Matching contributions and salary reduction contributions, as well as earnings on Plan assets, are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subject to federal income tax until distributed from a qualified plan that meets the requirements of Sections 401(a), 401(k) and 401(m) of the Code.</w:t>
      </w:r>
    </w:p>
    <w:p>
      <w:pPr>
        <w:spacing w:after="0" w:line="59" w:lineRule="exact"/>
        <w:rPr>
          <w:rFonts w:ascii="Arial" w:cs="Arial" w:eastAsia="Arial" w:hAnsi="Arial"/>
          <w:sz w:val="18"/>
          <w:szCs w:val="18"/>
          <w:color w:val="auto"/>
        </w:rPr>
      </w:pPr>
    </w:p>
    <w:p>
      <w:pPr>
        <w:ind w:left="1480" w:right="60" w:hanging="567"/>
        <w:spacing w:after="0" w:line="294"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Evaluation of Tax Position</w:t>
      </w:r>
      <w:r>
        <w:rPr>
          <w:rFonts w:ascii="Arial" w:cs="Arial" w:eastAsia="Arial" w:hAnsi="Arial"/>
          <w:sz w:val="16"/>
          <w:szCs w:val="16"/>
          <w:color w:val="auto"/>
        </w:rPr>
        <w:t>— In accordance with Accounting Standards Codification (ASC) 740-10-50-15 c – e, the Plan Administrator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analyzed the tax positions taken by the Plan and has concluded that as of December 31, 2011,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years prior to 2008.</w:t>
      </w:r>
    </w:p>
    <w:p>
      <w:pPr>
        <w:spacing w:after="0" w:line="231"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NON EXEMPT PARTY IN INTEREST TRANSACTIONS</w:t>
      </w:r>
    </w:p>
    <w:p>
      <w:pPr>
        <w:spacing w:after="0" w:line="96"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Plan years 2011, 2010 and 2009 , the Company has not remitted certain participant contributions and loan repayments to the Trustee in a timely manner based on when the participant contributions and loan repayments were withheld from participant paychecks as required under Department of Labor Regulation §2510.3-102.</w:t>
      </w:r>
    </w:p>
    <w:p>
      <w:pPr>
        <w:spacing w:after="0" w:line="59"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February 2012 the Company filed IRS Form 5330 to report and pay an excise tax with respect to the 2010 and 2009 late remittances as required pursuant to Section 4975 of the Code. In addition, participant accounts were credited with the amount of investment income that would have been earned had the participant contributions been remitted on a timely basis. The Company is in the process of filing IRS Form 5330 to report and pay an excise tax with respect to the 2011 late remittances,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participant accounts will be credited with the amount of investment income that would have been earned had the participant contributions been remitted on a timely basis. Such amounts are not material to the Plan’s financial statements.</w:t>
      </w:r>
    </w:p>
    <w:p>
      <w:pPr>
        <w:spacing w:after="0" w:line="24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Effective March 9, 2012, the Plan changed its trustee from Reliance Trust Company to ING National Trust.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H—PART IV—LINE 4i-SCHEDULE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40" w:type="dxa"/>
            <w:vAlign w:val="bottom"/>
            <w:gridSpan w:val="5"/>
          </w:tcPr>
          <w:p>
            <w:pPr>
              <w:jc w:val="right"/>
              <w:spacing w:after="0"/>
              <w:rPr>
                <w:sz w:val="20"/>
                <w:szCs w:val="20"/>
                <w:color w:val="auto"/>
              </w:rPr>
            </w:pPr>
            <w:r>
              <w:rPr>
                <w:rFonts w:ascii="Arial" w:cs="Arial" w:eastAsia="Arial" w:hAnsi="Arial"/>
                <w:sz w:val="18"/>
                <w:szCs w:val="18"/>
                <w:b w:val="1"/>
                <w:bCs w:val="1"/>
                <w:color w:val="auto"/>
              </w:rPr>
              <w:t>EIN 23-2303756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PLAN #004</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tcPr>
          <w:p>
            <w:pPr>
              <w:jc w:val="center"/>
              <w:ind w:left="57"/>
              <w:spacing w:after="0"/>
              <w:rPr>
                <w:sz w:val="20"/>
                <w:szCs w:val="20"/>
                <w:color w:val="auto"/>
              </w:rPr>
            </w:pPr>
            <w:r>
              <w:rPr>
                <w:rFonts w:ascii="Arial" w:cs="Arial" w:eastAsia="Arial" w:hAnsi="Arial"/>
                <w:sz w:val="14"/>
                <w:szCs w:val="14"/>
                <w:b w:val="1"/>
                <w:bCs w:val="1"/>
                <w:color w:val="auto"/>
                <w:w w:val="86"/>
              </w:rPr>
              <w:t>(c) Description of</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87"/>
              </w:rPr>
              <w:t>Investment,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87"/>
              </w:rPr>
              <w:t>Rate of Interest, Collateral,</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90"/>
              </w:rPr>
              <w:t>Par, or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(e) Current</w:t>
            </w:r>
          </w:p>
        </w:tc>
        <w:tc>
          <w:tcPr>
            <w:tcW w:w="0" w:type="dxa"/>
            <w:vAlign w:val="bottom"/>
          </w:tcPr>
          <w:p>
            <w:pPr>
              <w:spacing w:after="0"/>
              <w:rPr>
                <w:sz w:val="1"/>
                <w:szCs w:val="1"/>
                <w:color w:val="auto"/>
              </w:rPr>
            </w:pPr>
          </w:p>
        </w:tc>
      </w:tr>
      <w:tr>
        <w:trPr>
          <w:trHeight w:val="175"/>
        </w:trPr>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6700" w:type="dxa"/>
            <w:vAlign w:val="bottom"/>
            <w:gridSpan w:val="4"/>
          </w:tcPr>
          <w:p>
            <w:pPr>
              <w:ind w:left="22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820" w:type="dxa"/>
            <w:vAlign w:val="bottom"/>
          </w:tcPr>
          <w:p>
            <w:pPr>
              <w:jc w:val="center"/>
              <w:ind w:left="57"/>
              <w:spacing w:after="0"/>
              <w:rPr>
                <w:sz w:val="20"/>
                <w:szCs w:val="20"/>
                <w:color w:val="auto"/>
              </w:rPr>
            </w:pPr>
            <w:r>
              <w:rPr>
                <w:rFonts w:ascii="Arial" w:cs="Arial" w:eastAsia="Arial" w:hAnsi="Arial"/>
                <w:sz w:val="14"/>
                <w:szCs w:val="14"/>
                <w:b w:val="1"/>
                <w:bCs w:val="1"/>
                <w:color w:val="auto"/>
                <w:w w:val="91"/>
              </w:rPr>
              <w:t>Maturity Value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2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gridSpan w:val="2"/>
          </w:tcPr>
          <w:p>
            <w:pPr>
              <w:ind w:left="60"/>
              <w:spacing w:after="0"/>
              <w:rPr>
                <w:sz w:val="20"/>
                <w:szCs w:val="20"/>
                <w:color w:val="auto"/>
              </w:rPr>
            </w:pPr>
            <w:r>
              <w:rPr>
                <w:rFonts w:ascii="Arial" w:cs="Arial" w:eastAsia="Arial" w:hAnsi="Arial"/>
                <w:sz w:val="18"/>
                <w:szCs w:val="18"/>
                <w:color w:val="auto"/>
              </w:rPr>
              <w:t>EuroPacific Growth Fund - F Share</w:t>
            </w:r>
          </w:p>
        </w:tc>
        <w:tc>
          <w:tcPr>
            <w:tcW w:w="2820" w:type="dxa"/>
            <w:vAlign w:val="bottom"/>
          </w:tcPr>
          <w:p>
            <w:pPr>
              <w:jc w:val="center"/>
              <w:ind w:left="57"/>
              <w:spacing w:after="0"/>
              <w:rPr>
                <w:sz w:val="20"/>
                <w:szCs w:val="20"/>
                <w:color w:val="auto"/>
              </w:rPr>
            </w:pPr>
            <w:r>
              <w:rPr>
                <w:rFonts w:ascii="Arial" w:cs="Arial" w:eastAsia="Arial" w:hAnsi="Arial"/>
                <w:sz w:val="18"/>
                <w:szCs w:val="18"/>
                <w:color w:val="auto"/>
                <w:w w:val="93"/>
              </w:rPr>
              <w:t>Mutual fund</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3,553,732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Washington Mutual Investors Fund - F Share</w:t>
            </w:r>
          </w:p>
        </w:tc>
        <w:tc>
          <w:tcPr>
            <w:tcW w:w="28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7,057,730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gridSpan w:val="2"/>
          </w:tcPr>
          <w:p>
            <w:pPr>
              <w:ind w:left="60"/>
              <w:spacing w:after="0"/>
              <w:rPr>
                <w:sz w:val="20"/>
                <w:szCs w:val="20"/>
                <w:color w:val="auto"/>
              </w:rPr>
            </w:pPr>
            <w:r>
              <w:rPr>
                <w:rFonts w:ascii="Arial" w:cs="Arial" w:eastAsia="Arial" w:hAnsi="Arial"/>
                <w:sz w:val="18"/>
                <w:szCs w:val="18"/>
                <w:color w:val="auto"/>
              </w:rPr>
              <w:t>The Growth Fund of America - F Share</w:t>
            </w:r>
          </w:p>
        </w:tc>
        <w:tc>
          <w:tcPr>
            <w:tcW w:w="2820" w:type="dxa"/>
            <w:vAlign w:val="bottom"/>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9,579,770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Baron Growth Fund</w:t>
            </w:r>
          </w:p>
        </w:tc>
        <w:tc>
          <w:tcPr>
            <w:tcW w:w="28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4,568,119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gridSpan w:val="2"/>
          </w:tcPr>
          <w:p>
            <w:pPr>
              <w:ind w:left="60"/>
              <w:spacing w:after="0"/>
              <w:rPr>
                <w:sz w:val="20"/>
                <w:szCs w:val="20"/>
                <w:color w:val="auto"/>
              </w:rPr>
            </w:pPr>
            <w:r>
              <w:rPr>
                <w:rFonts w:ascii="Arial" w:cs="Arial" w:eastAsia="Arial" w:hAnsi="Arial"/>
                <w:sz w:val="18"/>
                <w:szCs w:val="18"/>
                <w:color w:val="auto"/>
              </w:rPr>
              <w:t>Cohen and Steers Realty Shares</w:t>
            </w:r>
          </w:p>
        </w:tc>
        <w:tc>
          <w:tcPr>
            <w:tcW w:w="2820" w:type="dxa"/>
            <w:vAlign w:val="bottom"/>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1,631,439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Dreyfus Appreciation Fund</w:t>
            </w:r>
          </w:p>
        </w:tc>
        <w:tc>
          <w:tcPr>
            <w:tcW w:w="28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1,425,296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gridSpan w:val="2"/>
          </w:tcPr>
          <w:p>
            <w:pPr>
              <w:ind w:left="60"/>
              <w:spacing w:after="0"/>
              <w:rPr>
                <w:sz w:val="20"/>
                <w:szCs w:val="20"/>
                <w:color w:val="auto"/>
              </w:rPr>
            </w:pPr>
            <w:r>
              <w:rPr>
                <w:rFonts w:ascii="Arial" w:cs="Arial" w:eastAsia="Arial" w:hAnsi="Arial"/>
                <w:sz w:val="18"/>
                <w:szCs w:val="18"/>
                <w:color w:val="auto"/>
              </w:rPr>
              <w:t>ING GNMA Income Fund</w:t>
            </w:r>
          </w:p>
        </w:tc>
        <w:tc>
          <w:tcPr>
            <w:tcW w:w="2820" w:type="dxa"/>
            <w:vAlign w:val="bottom"/>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1,642,493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Dreyfus US Treasury Long Term Fund</w:t>
            </w:r>
          </w:p>
        </w:tc>
        <w:tc>
          <w:tcPr>
            <w:tcW w:w="28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1,865,802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gridSpan w:val="2"/>
          </w:tcPr>
          <w:p>
            <w:pPr>
              <w:ind w:left="60"/>
              <w:spacing w:after="0"/>
              <w:rPr>
                <w:sz w:val="20"/>
                <w:szCs w:val="20"/>
                <w:color w:val="auto"/>
              </w:rPr>
            </w:pPr>
            <w:r>
              <w:rPr>
                <w:rFonts w:ascii="Arial" w:cs="Arial" w:eastAsia="Arial" w:hAnsi="Arial"/>
                <w:sz w:val="18"/>
                <w:szCs w:val="18"/>
                <w:color w:val="auto"/>
              </w:rPr>
              <w:t>Dreyfus Premier Emerging Markets Fund</w:t>
            </w:r>
          </w:p>
        </w:tc>
        <w:tc>
          <w:tcPr>
            <w:tcW w:w="2820" w:type="dxa"/>
            <w:vAlign w:val="bottom"/>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5,885,784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Janus Balanced Fund</w:t>
            </w:r>
          </w:p>
        </w:tc>
        <w:tc>
          <w:tcPr>
            <w:tcW w:w="28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4,786,918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gridSpan w:val="2"/>
          </w:tcPr>
          <w:p>
            <w:pPr>
              <w:ind w:left="60"/>
              <w:spacing w:after="0"/>
              <w:rPr>
                <w:sz w:val="20"/>
                <w:szCs w:val="20"/>
                <w:color w:val="auto"/>
              </w:rPr>
            </w:pPr>
            <w:r>
              <w:rPr>
                <w:rFonts w:ascii="Arial" w:cs="Arial" w:eastAsia="Arial" w:hAnsi="Arial"/>
                <w:sz w:val="18"/>
                <w:szCs w:val="18"/>
                <w:color w:val="auto"/>
              </w:rPr>
              <w:t>Wells Fargo Advantage Government Securities Fund</w:t>
            </w:r>
          </w:p>
        </w:tc>
        <w:tc>
          <w:tcPr>
            <w:tcW w:w="2820" w:type="dxa"/>
            <w:vAlign w:val="bottom"/>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5,902,322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Royce Total Return Fund</w:t>
            </w:r>
          </w:p>
        </w:tc>
        <w:tc>
          <w:tcPr>
            <w:tcW w:w="28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3,194,448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gridSpan w:val="2"/>
          </w:tcPr>
          <w:p>
            <w:pPr>
              <w:ind w:left="60"/>
              <w:spacing w:after="0"/>
              <w:rPr>
                <w:sz w:val="20"/>
                <w:szCs w:val="20"/>
                <w:color w:val="auto"/>
              </w:rPr>
            </w:pPr>
            <w:r>
              <w:rPr>
                <w:rFonts w:ascii="Arial" w:cs="Arial" w:eastAsia="Arial" w:hAnsi="Arial"/>
                <w:sz w:val="18"/>
                <w:szCs w:val="18"/>
                <w:color w:val="auto"/>
              </w:rPr>
              <w:t>Western Asset Government Money Market Exchange Class A</w:t>
            </w:r>
          </w:p>
        </w:tc>
        <w:tc>
          <w:tcPr>
            <w:tcW w:w="2820" w:type="dxa"/>
            <w:vAlign w:val="bottom"/>
          </w:tcPr>
          <w:p>
            <w:pPr>
              <w:jc w:val="center"/>
              <w:ind w:left="57"/>
              <w:spacing w:after="0"/>
              <w:rPr>
                <w:sz w:val="20"/>
                <w:szCs w:val="20"/>
                <w:color w:val="auto"/>
              </w:rPr>
            </w:pPr>
            <w:r>
              <w:rPr>
                <w:rFonts w:ascii="Arial" w:cs="Arial" w:eastAsia="Arial" w:hAnsi="Arial"/>
                <w:sz w:val="18"/>
                <w:szCs w:val="18"/>
                <w:color w:val="auto"/>
                <w:w w:val="91"/>
              </w:rPr>
              <w:t>Money Market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3,392,075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 Rowe Price International Bond Advisor</w:t>
            </w:r>
          </w:p>
        </w:tc>
        <w:tc>
          <w:tcPr>
            <w:tcW w:w="28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1,790,382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gridSpan w:val="2"/>
          </w:tcPr>
          <w:p>
            <w:pPr>
              <w:ind w:left="60"/>
              <w:spacing w:after="0"/>
              <w:rPr>
                <w:sz w:val="20"/>
                <w:szCs w:val="20"/>
                <w:color w:val="auto"/>
              </w:rPr>
            </w:pPr>
            <w:r>
              <w:rPr>
                <w:rFonts w:ascii="Arial" w:cs="Arial" w:eastAsia="Arial" w:hAnsi="Arial"/>
                <w:sz w:val="18"/>
                <w:szCs w:val="18"/>
                <w:color w:val="auto"/>
              </w:rPr>
              <w:t>American Century Vista Advisors</w:t>
            </w:r>
          </w:p>
        </w:tc>
        <w:tc>
          <w:tcPr>
            <w:tcW w:w="2820" w:type="dxa"/>
            <w:vAlign w:val="bottom"/>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890,457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Pru, Jenn Resources</w:t>
            </w:r>
          </w:p>
        </w:tc>
        <w:tc>
          <w:tcPr>
            <w:tcW w:w="28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gridSpan w:val="2"/>
          </w:tcPr>
          <w:p>
            <w:pPr>
              <w:ind w:left="60"/>
              <w:spacing w:after="0"/>
              <w:rPr>
                <w:sz w:val="20"/>
                <w:szCs w:val="20"/>
                <w:color w:val="auto"/>
              </w:rPr>
            </w:pPr>
            <w:r>
              <w:rPr>
                <w:rFonts w:ascii="Arial" w:cs="Arial" w:eastAsia="Arial" w:hAnsi="Arial"/>
                <w:sz w:val="18"/>
                <w:szCs w:val="18"/>
                <w:color w:val="auto"/>
              </w:rPr>
              <w:t>Pimco Real Return</w:t>
            </w:r>
          </w:p>
        </w:tc>
        <w:tc>
          <w:tcPr>
            <w:tcW w:w="2820" w:type="dxa"/>
            <w:vAlign w:val="bottom"/>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 Rowe Price Retirement Target Funds</w:t>
            </w:r>
          </w:p>
        </w:tc>
        <w:tc>
          <w:tcPr>
            <w:tcW w:w="28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3"/>
              </w:rPr>
              <w:t>Mutual fund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57,711,892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Comcast Stock Fund</w:t>
            </w:r>
          </w:p>
        </w:tc>
        <w:tc>
          <w:tcPr>
            <w:tcW w:w="282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2"/>
              </w:rPr>
              <w:t>Unitized stock fund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4,696,246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00" w:type="dxa"/>
            <w:vAlign w:val="bottom"/>
            <w:gridSpan w:val="4"/>
          </w:tcPr>
          <w:p>
            <w:pPr>
              <w:ind w:left="220"/>
              <w:spacing w:after="0"/>
              <w:rPr>
                <w:sz w:val="20"/>
                <w:szCs w:val="20"/>
                <w:color w:val="auto"/>
              </w:rPr>
            </w:pPr>
            <w:r>
              <w:rPr>
                <w:rFonts w:ascii="Arial" w:cs="Arial" w:eastAsia="Arial" w:hAnsi="Arial"/>
                <w:sz w:val="18"/>
                <w:szCs w:val="18"/>
                <w:color w:val="auto"/>
              </w:rPr>
              <w:t>Notes receivable from participants</w:t>
            </w:r>
          </w:p>
        </w:tc>
        <w:tc>
          <w:tcPr>
            <w:tcW w:w="2820" w:type="dxa"/>
            <w:vAlign w:val="bottom"/>
          </w:tcPr>
          <w:p>
            <w:pPr>
              <w:jc w:val="center"/>
              <w:ind w:left="57"/>
              <w:spacing w:after="0"/>
              <w:rPr>
                <w:sz w:val="20"/>
                <w:szCs w:val="20"/>
                <w:color w:val="auto"/>
              </w:rPr>
            </w:pPr>
            <w:r>
              <w:rPr>
                <w:rFonts w:ascii="Arial" w:cs="Arial" w:eastAsia="Arial" w:hAnsi="Arial"/>
                <w:sz w:val="18"/>
                <w:szCs w:val="18"/>
                <w:color w:val="auto"/>
                <w:w w:val="88"/>
              </w:rPr>
              <w:t>Interest rates from 4.25%-10.25%;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gridSpan w:val="4"/>
          </w:tcPr>
          <w:p>
            <w:pPr>
              <w:ind w:left="220"/>
              <w:spacing w:after="0"/>
              <w:rPr>
                <w:sz w:val="20"/>
                <w:szCs w:val="20"/>
                <w:color w:val="auto"/>
              </w:rPr>
            </w:pPr>
            <w:r>
              <w:rPr>
                <w:rFonts w:ascii="Arial" w:cs="Arial" w:eastAsia="Arial" w:hAnsi="Arial"/>
                <w:sz w:val="18"/>
                <w:szCs w:val="18"/>
                <w:color w:val="auto"/>
              </w:rPr>
              <w:t>(principal balance plus accrued but unpaid interest)</w:t>
            </w:r>
          </w:p>
        </w:tc>
        <w:tc>
          <w:tcPr>
            <w:tcW w:w="2820" w:type="dxa"/>
            <w:vAlign w:val="bottom"/>
          </w:tcPr>
          <w:p>
            <w:pPr>
              <w:jc w:val="center"/>
              <w:ind w:left="57"/>
              <w:spacing w:after="0"/>
              <w:rPr>
                <w:sz w:val="20"/>
                <w:szCs w:val="20"/>
                <w:color w:val="auto"/>
              </w:rPr>
            </w:pPr>
            <w:r>
              <w:rPr>
                <w:rFonts w:ascii="Arial" w:cs="Arial" w:eastAsia="Arial" w:hAnsi="Arial"/>
                <w:sz w:val="18"/>
                <w:szCs w:val="18"/>
                <w:color w:val="auto"/>
                <w:w w:val="89"/>
              </w:rPr>
              <w:t>maturities from 2012-2041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1,672,211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64,080,349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90" w:lineRule="exact"/>
        <w:rPr>
          <w:sz w:val="20"/>
          <w:szCs w:val="20"/>
          <w:color w:val="auto"/>
        </w:rPr>
      </w:pPr>
    </w:p>
    <w:p>
      <w:pPr>
        <w:ind w:right="1020"/>
        <w:spacing w:after="0" w:line="275" w:lineRule="auto"/>
        <w:rPr>
          <w:sz w:val="20"/>
          <w:szCs w:val="20"/>
          <w:color w:val="auto"/>
        </w:rPr>
      </w:pPr>
      <w:r>
        <w:rPr>
          <w:rFonts w:ascii="Arial" w:cs="Arial" w:eastAsia="Arial" w:hAnsi="Arial"/>
          <w:sz w:val="18"/>
          <w:szCs w:val="18"/>
          <w:b w:val="1"/>
          <w:bCs w:val="1"/>
          <w:color w:val="auto"/>
        </w:rPr>
        <w:t>SCHEDULE H—PART IV—LINE 4a—SCHEDULE OF DELINQUENT PARTICIPANT CONTRIBUTIONS FOR THE YEARS ENDED DECEMBER 31, 2011,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Participant Contributions</w:t>
      </w:r>
    </w:p>
    <w:p>
      <w:pPr>
        <w:spacing w:after="0" w:line="15" w:lineRule="exact"/>
        <w:rPr>
          <w:sz w:val="20"/>
          <w:szCs w:val="20"/>
          <w:color w:val="auto"/>
        </w:rPr>
      </w:pPr>
    </w:p>
    <w:p>
      <w:pPr>
        <w:ind w:right="1620"/>
        <w:spacing w:after="0" w:line="261" w:lineRule="auto"/>
        <w:rPr>
          <w:sz w:val="20"/>
          <w:szCs w:val="20"/>
          <w:color w:val="auto"/>
        </w:rPr>
      </w:pPr>
      <w:r>
        <w:rPr>
          <w:rFonts w:ascii="Arial" w:cs="Arial" w:eastAsia="Arial" w:hAnsi="Arial"/>
          <w:sz w:val="18"/>
          <w:szCs w:val="18"/>
          <w:color w:val="auto"/>
        </w:rPr>
        <w:t>Transferred Late to Plan for year ended 12/31/2011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Participant Contributions</w:t>
      </w:r>
    </w:p>
    <w:p>
      <w:pPr>
        <w:spacing w:after="0" w:line="15" w:lineRule="exact"/>
        <w:rPr>
          <w:sz w:val="20"/>
          <w:szCs w:val="20"/>
          <w:color w:val="auto"/>
        </w:rPr>
      </w:pPr>
    </w:p>
    <w:p>
      <w:pPr>
        <w:ind w:right="1620"/>
        <w:spacing w:after="0" w:line="261" w:lineRule="auto"/>
        <w:rPr>
          <w:sz w:val="20"/>
          <w:szCs w:val="20"/>
          <w:color w:val="auto"/>
        </w:rPr>
      </w:pPr>
      <w:r>
        <w:rPr>
          <w:rFonts w:ascii="Arial" w:cs="Arial" w:eastAsia="Arial" w:hAnsi="Arial"/>
          <w:sz w:val="18"/>
          <w:szCs w:val="18"/>
          <w:color w:val="auto"/>
        </w:rPr>
        <w:t>Transferred Late to Plan for year ended 12/31/2010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Participant Contributions</w:t>
      </w:r>
    </w:p>
    <w:p>
      <w:pPr>
        <w:spacing w:after="0" w:line="15" w:lineRule="exact"/>
        <w:rPr>
          <w:sz w:val="20"/>
          <w:szCs w:val="20"/>
          <w:color w:val="auto"/>
        </w:rPr>
      </w:pPr>
    </w:p>
    <w:p>
      <w:pPr>
        <w:ind w:right="1620"/>
        <w:spacing w:after="0" w:line="261" w:lineRule="auto"/>
        <w:rPr>
          <w:sz w:val="20"/>
          <w:szCs w:val="20"/>
          <w:color w:val="auto"/>
        </w:rPr>
      </w:pPr>
      <w:r>
        <w:rPr>
          <w:rFonts w:ascii="Arial" w:cs="Arial" w:eastAsia="Arial" w:hAnsi="Arial"/>
          <w:sz w:val="18"/>
          <w:szCs w:val="18"/>
          <w:color w:val="auto"/>
        </w:rPr>
        <w:t>Transferred Late to Plan for year ended 12/31/2009</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EIN 23-2303756</w:t>
            </w:r>
          </w:p>
        </w:tc>
      </w:tr>
      <w:tr>
        <w:trPr>
          <w:trHeight w:val="228"/>
        </w:trPr>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#004</w:t>
            </w:r>
          </w:p>
        </w:tc>
      </w:tr>
      <w:tr>
        <w:trPr>
          <w:trHeight w:val="412"/>
        </w:trPr>
        <w:tc>
          <w:tcPr>
            <w:tcW w:w="4320" w:type="dxa"/>
            <w:vAlign w:val="bottom"/>
            <w:gridSpan w:val="7"/>
          </w:tcPr>
          <w:p>
            <w:pPr>
              <w:jc w:val="center"/>
              <w:spacing w:after="0"/>
              <w:rPr>
                <w:sz w:val="20"/>
                <w:szCs w:val="20"/>
                <w:color w:val="auto"/>
              </w:rPr>
            </w:pPr>
            <w:r>
              <w:rPr>
                <w:rFonts w:ascii="Arial" w:cs="Arial" w:eastAsia="Arial" w:hAnsi="Arial"/>
                <w:sz w:val="18"/>
                <w:szCs w:val="18"/>
                <w:color w:val="auto"/>
                <w:w w:val="88"/>
              </w:rPr>
              <w:t>Total that Constitute Nonexempt Prohibited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Transactions</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gridSpan w:val="2"/>
          </w:tcPr>
          <w:p>
            <w:pPr>
              <w:spacing w:after="0" w:line="203" w:lineRule="exact"/>
              <w:rPr>
                <w:sz w:val="20"/>
                <w:szCs w:val="20"/>
                <w:color w:val="auto"/>
              </w:rPr>
            </w:pPr>
            <w:r>
              <w:rPr>
                <w:rFonts w:ascii="Arial" w:cs="Arial" w:eastAsia="Arial" w:hAnsi="Arial"/>
                <w:sz w:val="18"/>
                <w:szCs w:val="18"/>
                <w:color w:val="auto"/>
                <w:w w:val="88"/>
              </w:rPr>
              <w:t>Contributions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line="203" w:lineRule="exact"/>
              <w:rPr>
                <w:sz w:val="20"/>
                <w:szCs w:val="20"/>
                <w:color w:val="auto"/>
              </w:rPr>
            </w:pPr>
            <w:r>
              <w:rPr>
                <w:rFonts w:ascii="Arial" w:cs="Arial" w:eastAsia="Arial" w:hAnsi="Arial"/>
                <w:sz w:val="18"/>
                <w:szCs w:val="18"/>
                <w:color w:val="auto"/>
                <w:w w:val="91"/>
              </w:rPr>
              <w:t>Total Fully</w:t>
            </w:r>
          </w:p>
        </w:tc>
      </w:tr>
      <w:tr>
        <w:trPr>
          <w:trHeight w:val="216"/>
        </w:trPr>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Contributions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2"/>
              <w:spacing w:after="0"/>
              <w:rPr>
                <w:sz w:val="20"/>
                <w:szCs w:val="20"/>
                <w:color w:val="auto"/>
              </w:rPr>
            </w:pPr>
            <w:r>
              <w:rPr>
                <w:rFonts w:ascii="Arial" w:cs="Arial" w:eastAsia="Arial" w:hAnsi="Arial"/>
                <w:sz w:val="18"/>
                <w:szCs w:val="18"/>
                <w:color w:val="auto"/>
                <w:w w:val="84"/>
              </w:rPr>
              <w:t>Pending</w:t>
            </w:r>
          </w:p>
        </w:tc>
        <w:tc>
          <w:tcPr>
            <w:tcW w:w="1980" w:type="dxa"/>
            <w:vAlign w:val="bottom"/>
            <w:gridSpan w:val="4"/>
          </w:tcPr>
          <w:p>
            <w:pPr>
              <w:ind w:left="720"/>
              <w:spacing w:after="0"/>
              <w:rPr>
                <w:sz w:val="20"/>
                <w:szCs w:val="20"/>
                <w:color w:val="auto"/>
              </w:rPr>
            </w:pPr>
            <w:r>
              <w:rPr>
                <w:rFonts w:ascii="Arial" w:cs="Arial" w:eastAsia="Arial" w:hAnsi="Arial"/>
                <w:sz w:val="18"/>
                <w:szCs w:val="18"/>
                <w:color w:val="auto"/>
                <w:w w:val="93"/>
              </w:rPr>
              <w:t>Corrected Under</w:t>
            </w:r>
          </w:p>
        </w:tc>
      </w:tr>
      <w:tr>
        <w:trPr>
          <w:trHeight w:val="216"/>
        </w:trPr>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Contributions</w:t>
            </w:r>
          </w:p>
        </w:tc>
        <w:tc>
          <w:tcPr>
            <w:tcW w:w="100" w:type="dxa"/>
            <w:vAlign w:val="bottom"/>
          </w:tcPr>
          <w:p>
            <w:pPr>
              <w:spacing w:after="0"/>
              <w:rPr>
                <w:sz w:val="18"/>
                <w:szCs w:val="18"/>
                <w:color w:val="auto"/>
              </w:rPr>
            </w:pPr>
          </w:p>
        </w:tc>
        <w:tc>
          <w:tcPr>
            <w:tcW w:w="940" w:type="dxa"/>
            <w:vAlign w:val="bottom"/>
          </w:tcPr>
          <w:p>
            <w:pPr>
              <w:jc w:val="center"/>
              <w:ind w:right="12"/>
              <w:spacing w:after="0"/>
              <w:rPr>
                <w:sz w:val="20"/>
                <w:szCs w:val="20"/>
                <w:color w:val="auto"/>
              </w:rPr>
            </w:pPr>
            <w:r>
              <w:rPr>
                <w:rFonts w:ascii="Arial" w:cs="Arial" w:eastAsia="Arial" w:hAnsi="Arial"/>
                <w:sz w:val="18"/>
                <w:szCs w:val="18"/>
                <w:color w:val="auto"/>
                <w:w w:val="85"/>
              </w:rPr>
              <w:t>Corrected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2"/>
              <w:spacing w:after="0"/>
              <w:rPr>
                <w:sz w:val="20"/>
                <w:szCs w:val="20"/>
                <w:color w:val="auto"/>
              </w:rPr>
            </w:pPr>
            <w:r>
              <w:rPr>
                <w:rFonts w:ascii="Arial" w:cs="Arial" w:eastAsia="Arial" w:hAnsi="Arial"/>
                <w:sz w:val="18"/>
                <w:szCs w:val="18"/>
                <w:color w:val="auto"/>
                <w:w w:val="91"/>
              </w:rPr>
              <w:t>Correction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VFCP and</w:t>
            </w:r>
          </w:p>
        </w:tc>
      </w:tr>
      <w:tr>
        <w:trPr>
          <w:trHeight w:val="223"/>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Not Corrected</w:t>
            </w:r>
          </w:p>
        </w:tc>
        <w:tc>
          <w:tcPr>
            <w:tcW w:w="600" w:type="dxa"/>
            <w:vAlign w:val="bottom"/>
          </w:tcPr>
          <w:p>
            <w:pPr>
              <w:spacing w:after="0"/>
              <w:rPr>
                <w:sz w:val="19"/>
                <w:szCs w:val="19"/>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Outside VFCP</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VFCP</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PTE 2002-51</w:t>
            </w:r>
          </w:p>
        </w:tc>
        <w:tc>
          <w:tcPr>
            <w:tcW w:w="100" w:type="dxa"/>
            <w:vAlign w:val="bottom"/>
          </w:tcPr>
          <w:p>
            <w:pPr>
              <w:spacing w:after="0"/>
              <w:rPr>
                <w:sz w:val="19"/>
                <w:szCs w:val="19"/>
                <w:color w:val="auto"/>
              </w:rPr>
            </w:pPr>
          </w:p>
        </w:tc>
      </w:tr>
      <w:tr>
        <w:trPr>
          <w:trHeight w:val="749"/>
        </w:trPr>
        <w:tc>
          <w:tcPr>
            <w:tcW w:w="1020" w:type="dxa"/>
            <w:vAlign w:val="bottom"/>
          </w:tcPr>
          <w:p>
            <w:pPr>
              <w:jc w:val="center"/>
              <w:spacing w:after="0"/>
              <w:rPr>
                <w:sz w:val="20"/>
                <w:szCs w:val="20"/>
                <w:color w:val="auto"/>
              </w:rPr>
            </w:pPr>
            <w:r>
              <w:rPr>
                <w:rFonts w:ascii="Arial" w:cs="Arial" w:eastAsia="Arial" w:hAnsi="Arial"/>
                <w:sz w:val="18"/>
                <w:szCs w:val="18"/>
                <w:color w:val="auto"/>
                <w:w w:val="89"/>
              </w:rPr>
              <w:t>$30,157</w:t>
            </w:r>
          </w:p>
        </w:tc>
        <w:tc>
          <w:tcPr>
            <w:tcW w:w="6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770"/>
        </w:trPr>
        <w:tc>
          <w:tcPr>
            <w:tcW w:w="1020" w:type="dxa"/>
            <w:vAlign w:val="bottom"/>
          </w:tcPr>
          <w:p>
            <w:pPr>
              <w:jc w:val="center"/>
              <w:spacing w:after="0"/>
              <w:rPr>
                <w:sz w:val="20"/>
                <w:szCs w:val="20"/>
                <w:color w:val="auto"/>
              </w:rPr>
            </w:pPr>
            <w:r>
              <w:rPr>
                <w:rFonts w:ascii="Arial" w:cs="Arial" w:eastAsia="Arial" w:hAnsi="Arial"/>
                <w:sz w:val="18"/>
                <w:szCs w:val="18"/>
                <w:color w:val="auto"/>
                <w:w w:val="89"/>
              </w:rPr>
              <w:t>$48,218</w:t>
            </w:r>
          </w:p>
        </w:tc>
        <w:tc>
          <w:tcPr>
            <w:tcW w:w="6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770"/>
        </w:trPr>
        <w:tc>
          <w:tcPr>
            <w:tcW w:w="1020" w:type="dxa"/>
            <w:vAlign w:val="bottom"/>
          </w:tcPr>
          <w:p>
            <w:pPr>
              <w:jc w:val="center"/>
              <w:spacing w:after="0"/>
              <w:rPr>
                <w:sz w:val="20"/>
                <w:szCs w:val="20"/>
                <w:color w:val="auto"/>
              </w:rPr>
            </w:pPr>
            <w:r>
              <w:rPr>
                <w:rFonts w:ascii="Arial" w:cs="Arial" w:eastAsia="Arial" w:hAnsi="Arial"/>
                <w:sz w:val="18"/>
                <w:szCs w:val="18"/>
                <w:color w:val="auto"/>
                <w:w w:val="89"/>
              </w:rPr>
              <w:t>$22,137</w:t>
            </w:r>
          </w:p>
        </w:tc>
        <w:tc>
          <w:tcPr>
            <w:tcW w:w="6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365"/>
        </w:trPr>
        <w:tc>
          <w:tcPr>
            <w:tcW w:w="102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-1627505</wp:posOffset>
            </wp:positionV>
            <wp:extent cx="7246620" cy="420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-649605</wp:posOffset>
            </wp:positionV>
            <wp:extent cx="7246620"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ectPr>
          <w:pgSz w:w="11900" w:h="16838" w:orient="portrait"/>
          <w:cols w:equalWidth="0" w:num="2">
            <w:col w:w="4400" w:space="720"/>
            <w:col w:w="630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 333-101295 of Comcast Corporation on Form S-8 of our report dated June 26, 2012, relating to the statements of net assets available for benefits as of December 31, 2011 and 2010, the related statement of changes in net assets available for benefits for the year ended December 31, 2011 and the related supplemental Schedule H—Part IV—Line 4i-Schedule of Assets (Held at End of Year) as of December 31, 2011 and Schedule H—Line 4a—Schedule of Delinquent Participant Contributions for the years ended December 31, 2011, 2010 and 2009, which report appears in the December 31, 2011 Annual Report on Form 11-K of the Comcast Spectacor 401(k)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COMCAST SPECTACOR</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401(k) PLAN</w:t>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6985</wp:posOffset>
            </wp:positionV>
            <wp:extent cx="3404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Controller</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5"/>
    </w:lvl>
    <w:lvl w:ilvl="1">
      <w:lvlJc w:val="left"/>
      <w:lvlText w:val="%2."/>
      <w:numFmt w:val="lowerLetter"/>
      <w:start w:val="1"/>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2019-12-09T15:19:47Z</dcterms:created>
  <dcterms:modified xsi:type="dcterms:W3CDTF">2019-12-09T15:19:47Z</dcterms:modified>
</cp:coreProperties>
</file>