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2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14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00" w:type="dxa"/>
            <w:vAlign w:val="bottom"/>
            <w:tcBorders>
              <w:left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Borders>
              <w:left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Title Of Each Class Of</w:t>
            </w:r>
          </w:p>
        </w:tc>
        <w:tc>
          <w:tcPr>
            <w:tcW w:w="20" w:type="dxa"/>
            <w:vAlign w:val="bottom"/>
            <w:shd w:val="clear" w:color="auto" w:fill="000000"/>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Borders>
              <w:left w:val="single" w:sz="8" w:color="auto"/>
            </w:tcBorders>
          </w:tcPr>
          <w:p>
            <w:pPr>
              <w:spacing w:after="0"/>
              <w:rPr>
                <w:sz w:val="13"/>
                <w:szCs w:val="13"/>
                <w:color w:val="auto"/>
              </w:rPr>
            </w:pPr>
          </w:p>
        </w:tc>
        <w:tc>
          <w:tcPr>
            <w:tcW w:w="1480" w:type="dxa"/>
            <w:vAlign w:val="bottom"/>
          </w:tcPr>
          <w:p>
            <w:pPr>
              <w:jc w:val="right"/>
              <w:ind w:right="302"/>
              <w:spacing w:after="0" w:line="158"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20" w:type="dxa"/>
            <w:vAlign w:val="bottom"/>
            <w:tcBorders>
              <w:bottom w:val="single" w:sz="8" w:color="auto"/>
            </w:tcBorders>
            <w:shd w:val="clear" w:color="auto" w:fill="000000"/>
          </w:tcPr>
          <w:p>
            <w:pPr>
              <w:spacing w:after="0"/>
              <w:rPr>
                <w:sz w:val="15"/>
                <w:szCs w:val="15"/>
                <w:color w:val="auto"/>
              </w:rPr>
            </w:pPr>
          </w:p>
        </w:tc>
        <w:tc>
          <w:tcPr>
            <w:tcW w:w="100" w:type="dxa"/>
            <w:vAlign w:val="bottom"/>
            <w:tcBorders>
              <w:left w:val="single" w:sz="8" w:color="auto"/>
              <w:bottom w:val="single" w:sz="8" w:color="auto"/>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00" w:type="dxa"/>
            <w:vAlign w:val="bottom"/>
            <w:tcBorders>
              <w:left w:val="single" w:sz="8" w:color="auto"/>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20" w:type="dxa"/>
            <w:vAlign w:val="bottom"/>
          </w:tcPr>
          <w:p>
            <w:pPr>
              <w:spacing w:after="0" w:line="195" w:lineRule="exact"/>
              <w:rPr>
                <w:sz w:val="20"/>
                <w:szCs w:val="20"/>
                <w:color w:val="auto"/>
              </w:rPr>
            </w:pPr>
            <w:r>
              <w:rPr>
                <w:rFonts w:ascii="Arial" w:cs="Arial" w:eastAsia="Arial" w:hAnsi="Arial"/>
                <w:sz w:val="18"/>
                <w:szCs w:val="18"/>
                <w:color w:val="auto"/>
              </w:rPr>
              <w:t>2.75% Notes due 2023</w:t>
            </w:r>
          </w:p>
        </w:tc>
        <w:tc>
          <w:tcPr>
            <w:tcW w:w="20" w:type="dxa"/>
            <w:vAlign w:val="bottom"/>
            <w:shd w:val="clear" w:color="auto" w:fill="000000"/>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1480" w:type="dxa"/>
            <w:vAlign w:val="bottom"/>
          </w:tcPr>
          <w:p>
            <w:pPr>
              <w:jc w:val="right"/>
              <w:ind w:right="22"/>
              <w:spacing w:after="0" w:line="195" w:lineRule="exact"/>
              <w:rPr>
                <w:sz w:val="20"/>
                <w:szCs w:val="20"/>
                <w:color w:val="auto"/>
              </w:rPr>
            </w:pPr>
            <w:r>
              <w:rPr>
                <w:rFonts w:ascii="Arial" w:cs="Arial" w:eastAsia="Arial" w:hAnsi="Arial"/>
                <w:sz w:val="18"/>
                <w:szCs w:val="18"/>
                <w:color w:val="auto"/>
              </w:rPr>
              <w:t>$750,000,000</w:t>
            </w:r>
          </w:p>
        </w:tc>
        <w:tc>
          <w:tcPr>
            <w:tcW w:w="1580" w:type="dxa"/>
            <w:vAlign w:val="bottom"/>
            <w:tcBorders>
              <w:left w:val="single" w:sz="8" w:color="auto"/>
            </w:tcBorders>
            <w:gridSpan w:val="2"/>
          </w:tcPr>
          <w:p>
            <w:pPr>
              <w:jc w:val="right"/>
              <w:ind w:right="2"/>
              <w:spacing w:after="0" w:line="195" w:lineRule="exact"/>
              <w:rPr>
                <w:sz w:val="20"/>
                <w:szCs w:val="20"/>
                <w:color w:val="auto"/>
              </w:rPr>
            </w:pPr>
            <w:r>
              <w:rPr>
                <w:rFonts w:ascii="Arial" w:cs="Arial" w:eastAsia="Arial" w:hAnsi="Arial"/>
                <w:sz w:val="18"/>
                <w:szCs w:val="18"/>
                <w:color w:val="auto"/>
              </w:rPr>
              <w:t>$75,525</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3.15% Notes due 2026</w:t>
            </w:r>
          </w:p>
        </w:tc>
        <w:tc>
          <w:tcPr>
            <w:tcW w:w="20" w:type="dxa"/>
            <w:vAlign w:val="bottom"/>
            <w:shd w:val="clear" w:color="auto" w:fill="000000"/>
          </w:tcPr>
          <w:p>
            <w:pPr>
              <w:spacing w:after="0"/>
              <w:rPr>
                <w:sz w:val="20"/>
                <w:szCs w:val="20"/>
                <w:color w:val="auto"/>
              </w:rPr>
            </w:pPr>
          </w:p>
        </w:tc>
        <w:tc>
          <w:tcPr>
            <w:tcW w:w="100" w:type="dxa"/>
            <w:vAlign w:val="bottom"/>
            <w:tcBorders>
              <w:left w:val="single" w:sz="8" w:color="auto"/>
            </w:tcBorders>
          </w:tcPr>
          <w:p>
            <w:pPr>
              <w:spacing w:after="0"/>
              <w:rPr>
                <w:sz w:val="20"/>
                <w:szCs w:val="20"/>
                <w:color w:val="auto"/>
              </w:rPr>
            </w:pPr>
          </w:p>
        </w:tc>
        <w:tc>
          <w:tcPr>
            <w:tcW w:w="1480" w:type="dxa"/>
            <w:vAlign w:val="bottom"/>
          </w:tcPr>
          <w:p>
            <w:pPr>
              <w:jc w:val="right"/>
              <w:ind w:right="2"/>
              <w:spacing w:after="0"/>
              <w:rPr>
                <w:sz w:val="20"/>
                <w:szCs w:val="20"/>
                <w:color w:val="auto"/>
              </w:rPr>
            </w:pPr>
            <w:r>
              <w:rPr>
                <w:rFonts w:ascii="Arial" w:cs="Arial" w:eastAsia="Arial" w:hAnsi="Arial"/>
                <w:sz w:val="18"/>
                <w:szCs w:val="18"/>
                <w:color w:val="auto"/>
              </w:rPr>
              <w:t>$1,500,000,000</w:t>
            </w:r>
          </w:p>
        </w:tc>
        <w:tc>
          <w:tcPr>
            <w:tcW w:w="1580" w:type="dxa"/>
            <w:vAlign w:val="bottom"/>
            <w:tcBorders>
              <w:left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$151,050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8"/>
                <w:szCs w:val="18"/>
                <w:color w:val="auto"/>
              </w:rPr>
              <w:t>$2,250,000,000</w:t>
            </w:r>
          </w:p>
        </w:tc>
        <w:tc>
          <w:tcPr>
            <w:tcW w:w="100" w:type="dxa"/>
            <w:vAlign w:val="bottom"/>
          </w:tcPr>
          <w:p>
            <w:pPr>
              <w:spacing w:after="0" w:line="20" w:lineRule="exact"/>
              <w:rPr>
                <w:sz w:val="1"/>
                <w:szCs w:val="1"/>
                <w:color w:val="auto"/>
              </w:rPr>
            </w:pPr>
          </w:p>
        </w:tc>
        <w:tc>
          <w:tcPr>
            <w:tcW w:w="14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8"/>
                <w:szCs w:val="18"/>
                <w:color w:val="auto"/>
              </w:rPr>
              <w:t>$226,575</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left w:val="single" w:sz="8" w:color="auto"/>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6226810</wp:posOffset>
            </wp:positionH>
            <wp:positionV relativeFrom="paragraph">
              <wp:posOffset>-338455</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-325755</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333-191239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187325</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80"/>
        <w:spacing w:after="0"/>
        <w:tabs>
          <w:tab w:leader="none" w:pos="5340" w:val="left"/>
        </w:tabs>
        <w:rPr>
          <w:sz w:val="20"/>
          <w:szCs w:val="20"/>
          <w:color w:val="auto"/>
        </w:rPr>
      </w:pPr>
      <w:r>
        <w:rPr>
          <w:rFonts w:ascii="Arial" w:cs="Arial" w:eastAsia="Arial" w:hAnsi="Arial"/>
          <w:sz w:val="32"/>
          <w:szCs w:val="32"/>
          <w:b w:val="1"/>
          <w:bCs w:val="1"/>
          <w:color w:val="auto"/>
        </w:rPr>
        <w:t>$750,000,000</w:t>
      </w:r>
      <w:r>
        <w:rPr>
          <w:sz w:val="20"/>
          <w:szCs w:val="20"/>
          <w:color w:val="auto"/>
        </w:rPr>
        <w:tab/>
      </w:r>
      <w:r>
        <w:rPr>
          <w:rFonts w:ascii="Arial" w:cs="Arial" w:eastAsia="Arial" w:hAnsi="Arial"/>
          <w:sz w:val="29"/>
          <w:szCs w:val="29"/>
          <w:b w:val="1"/>
          <w:bCs w:val="1"/>
          <w:color w:val="auto"/>
        </w:rPr>
        <w:t>2.75% Notes due 2023</w:t>
      </w:r>
    </w:p>
    <w:p>
      <w:pPr>
        <w:spacing w:after="0" w:line="33" w:lineRule="exact"/>
        <w:rPr>
          <w:sz w:val="20"/>
          <w:szCs w:val="20"/>
          <w:color w:val="auto"/>
        </w:rPr>
      </w:pPr>
    </w:p>
    <w:p>
      <w:pPr>
        <w:ind w:left="2960"/>
        <w:spacing w:after="0"/>
        <w:tabs>
          <w:tab w:leader="none" w:pos="5380" w:val="left"/>
        </w:tabs>
        <w:rPr>
          <w:sz w:val="20"/>
          <w:szCs w:val="20"/>
          <w:color w:val="auto"/>
        </w:rPr>
      </w:pPr>
      <w:r>
        <w:rPr>
          <w:rFonts w:ascii="Arial" w:cs="Arial" w:eastAsia="Arial" w:hAnsi="Arial"/>
          <w:sz w:val="32"/>
          <w:szCs w:val="32"/>
          <w:b w:val="1"/>
          <w:bCs w:val="1"/>
          <w:color w:val="auto"/>
        </w:rPr>
        <w:t>$1,500,000,000</w:t>
      </w:r>
      <w:r>
        <w:rPr>
          <w:sz w:val="20"/>
          <w:szCs w:val="20"/>
          <w:color w:val="auto"/>
        </w:rPr>
        <w:tab/>
      </w:r>
      <w:r>
        <w:rPr>
          <w:rFonts w:ascii="Arial" w:cs="Arial" w:eastAsia="Arial" w:hAnsi="Arial"/>
          <w:sz w:val="29"/>
          <w:szCs w:val="29"/>
          <w:b w:val="1"/>
          <w:bCs w:val="1"/>
          <w:color w:val="auto"/>
        </w:rPr>
        <w:t>3.15%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Notes due 2023 will bear interest at a rate of 2.75% per year and will mature on March 1, 2023, and the Notes due 2026 will bear interest at a rate of 3.15% per year and will mature on March 1, 2026. We refer to the Notes due 2023, and the Notes due 2026 collectively as the “notes.” We will pay interest on the notes on March 1 and September 1 of each year, beginning September 1, 2016. We may redeem any of the notes at any time by paying the applicable Redemption Price described under the heading “Description of the Notes—Optional Redemption.”</w:t>
      </w:r>
    </w:p>
    <w:p>
      <w:pPr>
        <w:spacing w:after="0" w:line="19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right="120" w:firstLine="456"/>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beginning on page 25 of Comcast Corporation’s (“Comcast”) Annual Report on Form 10-K for the year ended December 31, 2015, which is incorporated by reference herein.</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Proceeds to Us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6"/>
              </w:rPr>
              <w:t>Price to Investors</w:t>
            </w:r>
          </w:p>
        </w:tc>
        <w:tc>
          <w:tcPr>
            <w:tcW w:w="860" w:type="dxa"/>
            <w:vAlign w:val="bottom"/>
            <w:vMerge w:val="restart"/>
          </w:tcPr>
          <w:p>
            <w:pPr>
              <w:spacing w:after="0"/>
              <w:rPr>
                <w:sz w:val="12"/>
                <w:szCs w:val="12"/>
                <w:color w:val="auto"/>
              </w:rPr>
            </w:pPr>
          </w:p>
        </w:tc>
        <w:tc>
          <w:tcPr>
            <w:tcW w:w="16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8"/>
              </w:rPr>
              <w:t>Underwriters’</w:t>
            </w: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680" w:type="dxa"/>
            <w:vAlign w:val="bottom"/>
            <w:gridSpan w:val="2"/>
          </w:tcPr>
          <w:p>
            <w:pPr>
              <w:jc w:val="right"/>
              <w:ind w:right="1000"/>
              <w:spacing w:after="0" w:line="148" w:lineRule="exact"/>
              <w:rPr>
                <w:sz w:val="20"/>
                <w:szCs w:val="20"/>
                <w:color w:val="auto"/>
              </w:rPr>
            </w:pPr>
            <w:r>
              <w:rPr>
                <w:rFonts w:ascii="Arial" w:cs="Arial" w:eastAsia="Arial" w:hAnsi="Arial"/>
                <w:sz w:val="14"/>
                <w:szCs w:val="14"/>
                <w:b w:val="1"/>
                <w:bCs w:val="1"/>
                <w:color w:val="auto"/>
              </w:rPr>
              <w:t>Discount</w:t>
            </w:r>
          </w:p>
        </w:tc>
        <w:tc>
          <w:tcPr>
            <w:tcW w:w="80" w:type="dxa"/>
            <w:vAlign w:val="bottom"/>
          </w:tcPr>
          <w:p>
            <w:pPr>
              <w:spacing w:after="0"/>
              <w:rPr>
                <w:sz w:val="12"/>
                <w:szCs w:val="12"/>
                <w:color w:val="auto"/>
              </w:rPr>
            </w:pPr>
          </w:p>
        </w:tc>
        <w:tc>
          <w:tcPr>
            <w:tcW w:w="1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2"/>
              </w:rPr>
              <w:t>Expenses</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 due 2023</w:t>
            </w:r>
            <w:r>
              <w:rPr>
                <w:rFonts w:ascii="Arial" w:cs="Arial" w:eastAsia="Arial" w:hAnsi="Arial"/>
                <w:sz w:val="11"/>
                <w:szCs w:val="11"/>
                <w:color w:val="auto"/>
              </w:rPr>
              <w:t>(1)</w:t>
            </w:r>
          </w:p>
        </w:tc>
        <w:tc>
          <w:tcPr>
            <w:tcW w:w="1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gridSpan w:val="2"/>
            <w:vMerge w:val="restart"/>
            <w:shd w:val="clear" w:color="auto" w:fill="CCEEFF"/>
          </w:tcPr>
          <w:p>
            <w:pPr>
              <w:jc w:val="right"/>
              <w:ind w:right="700"/>
              <w:spacing w:after="0"/>
              <w:rPr>
                <w:sz w:val="20"/>
                <w:szCs w:val="20"/>
                <w:color w:val="auto"/>
              </w:rPr>
            </w:pPr>
            <w:r>
              <w:rPr>
                <w:rFonts w:ascii="Arial" w:cs="Arial" w:eastAsia="Arial" w:hAnsi="Arial"/>
                <w:sz w:val="18"/>
                <w:szCs w:val="18"/>
                <w:color w:val="auto"/>
              </w:rPr>
              <w:t>99.847%</w:t>
            </w: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2"/>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0.350%</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99.497%</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w w:val="99"/>
              </w:rPr>
              <w:t>748,852,500</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$ 2,625,000</w:t>
            </w:r>
          </w:p>
        </w:tc>
        <w:tc>
          <w:tcPr>
            <w:tcW w:w="8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746,227,500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2026</w:t>
            </w:r>
            <w:r>
              <w:rPr>
                <w:rFonts w:ascii="Arial" w:cs="Arial" w:eastAsia="Arial" w:hAnsi="Arial"/>
                <w:sz w:val="11"/>
                <w:szCs w:val="11"/>
                <w:color w:val="auto"/>
              </w:rPr>
              <w:t>(1)</w:t>
            </w: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99.812%</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0.450%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99.362%</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w w:val="86"/>
              </w:rPr>
              <w:t>1,497,180,000</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$ 6,750,000</w:t>
            </w:r>
          </w:p>
        </w:tc>
        <w:tc>
          <w:tcPr>
            <w:tcW w:w="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1,490,430,000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February 23, 2016, if settlement occurs after that date.</w:t>
      </w:r>
    </w:p>
    <w:p>
      <w:pPr>
        <w:spacing w:after="0" w:line="246"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1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February 23, 2016, which is the fifth business day following the date of this prospectus supplement. See “Underwriting.”</w:t>
      </w:r>
    </w:p>
    <w:p>
      <w:pPr>
        <w:sectPr>
          <w:pgSz w:w="11900" w:h="16838" w:orient="portrait"/>
          <w:cols w:equalWidth="0" w:num="1">
            <w:col w:w="11380"/>
          </w:cols>
          <w:pgMar w:left="240" w:top="459" w:right="2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i w:val="1"/>
          <w:iCs w:val="1"/>
          <w:color w:val="auto"/>
        </w:rPr>
        <w:t>Joint Book-Running Managers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80" w:type="dxa"/>
            <w:vAlign w:val="bottom"/>
          </w:tcPr>
          <w:p>
            <w:pPr>
              <w:jc w:val="center"/>
              <w:ind w:right="1292"/>
              <w:spacing w:after="0"/>
              <w:rPr>
                <w:sz w:val="20"/>
                <w:szCs w:val="20"/>
                <w:color w:val="auto"/>
              </w:rPr>
            </w:pPr>
            <w:r>
              <w:rPr>
                <w:rFonts w:ascii="Arial" w:cs="Arial" w:eastAsia="Arial" w:hAnsi="Arial"/>
                <w:sz w:val="22"/>
                <w:szCs w:val="22"/>
                <w:b w:val="1"/>
                <w:bCs w:val="1"/>
                <w:color w:val="auto"/>
                <w:w w:val="94"/>
              </w:rPr>
              <w:t>BofA Merrill Lynch</w:t>
            </w:r>
          </w:p>
        </w:tc>
        <w:tc>
          <w:tcPr>
            <w:tcW w:w="2380" w:type="dxa"/>
            <w:vAlign w:val="bottom"/>
          </w:tcPr>
          <w:p>
            <w:pPr>
              <w:jc w:val="center"/>
              <w:ind w:left="177"/>
              <w:spacing w:after="0"/>
              <w:rPr>
                <w:sz w:val="20"/>
                <w:szCs w:val="20"/>
                <w:color w:val="auto"/>
              </w:rPr>
            </w:pPr>
            <w:r>
              <w:rPr>
                <w:rFonts w:ascii="Arial" w:cs="Arial" w:eastAsia="Arial" w:hAnsi="Arial"/>
                <w:sz w:val="22"/>
                <w:szCs w:val="22"/>
                <w:b w:val="1"/>
                <w:bCs w:val="1"/>
                <w:color w:val="auto"/>
                <w:w w:val="94"/>
              </w:rPr>
              <w:t>RBC Capital Markets</w:t>
            </w:r>
          </w:p>
        </w:tc>
        <w:tc>
          <w:tcPr>
            <w:tcW w:w="3720" w:type="dxa"/>
            <w:vAlign w:val="bottom"/>
          </w:tcPr>
          <w:p>
            <w:pPr>
              <w:jc w:val="center"/>
              <w:ind w:left="1572"/>
              <w:spacing w:after="0"/>
              <w:rPr>
                <w:sz w:val="20"/>
                <w:szCs w:val="20"/>
                <w:color w:val="auto"/>
              </w:rPr>
            </w:pPr>
            <w:r>
              <w:rPr>
                <w:rFonts w:ascii="Arial" w:cs="Arial" w:eastAsia="Arial" w:hAnsi="Arial"/>
                <w:sz w:val="22"/>
                <w:szCs w:val="22"/>
                <w:b w:val="1"/>
                <w:bCs w:val="1"/>
                <w:color w:val="auto"/>
                <w:w w:val="87"/>
              </w:rPr>
              <w:t>Wells Fargo Securities</w:t>
            </w:r>
          </w:p>
        </w:tc>
      </w:tr>
      <w:tr>
        <w:trPr>
          <w:trHeight w:val="281"/>
        </w:trPr>
        <w:tc>
          <w:tcPr>
            <w:tcW w:w="3780" w:type="dxa"/>
            <w:vAlign w:val="bottom"/>
          </w:tcPr>
          <w:p>
            <w:pPr>
              <w:ind w:left="1680"/>
              <w:spacing w:after="0"/>
              <w:rPr>
                <w:sz w:val="20"/>
                <w:szCs w:val="20"/>
                <w:color w:val="auto"/>
              </w:rPr>
            </w:pPr>
            <w:r>
              <w:rPr>
                <w:rFonts w:ascii="Arial" w:cs="Arial" w:eastAsia="Arial" w:hAnsi="Arial"/>
                <w:sz w:val="22"/>
                <w:szCs w:val="22"/>
                <w:b w:val="1"/>
                <w:bCs w:val="1"/>
                <w:color w:val="auto"/>
              </w:rPr>
              <w:t>Barclays</w:t>
            </w:r>
          </w:p>
        </w:tc>
        <w:tc>
          <w:tcPr>
            <w:tcW w:w="2380" w:type="dxa"/>
            <w:vAlign w:val="bottom"/>
          </w:tcPr>
          <w:p>
            <w:pPr>
              <w:spacing w:after="0"/>
              <w:rPr>
                <w:sz w:val="24"/>
                <w:szCs w:val="24"/>
                <w:color w:val="auto"/>
              </w:rPr>
            </w:pPr>
          </w:p>
        </w:tc>
        <w:tc>
          <w:tcPr>
            <w:tcW w:w="3720" w:type="dxa"/>
            <w:vAlign w:val="bottom"/>
          </w:tcPr>
          <w:p>
            <w:pPr>
              <w:jc w:val="center"/>
              <w:ind w:right="52"/>
              <w:spacing w:after="0"/>
              <w:rPr>
                <w:sz w:val="20"/>
                <w:szCs w:val="20"/>
                <w:color w:val="auto"/>
              </w:rPr>
            </w:pPr>
            <w:r>
              <w:rPr>
                <w:rFonts w:ascii="Arial" w:cs="Arial" w:eastAsia="Arial" w:hAnsi="Arial"/>
                <w:sz w:val="22"/>
                <w:szCs w:val="22"/>
                <w:b w:val="1"/>
                <w:bCs w:val="1"/>
                <w:color w:val="auto"/>
                <w:w w:val="93"/>
              </w:rPr>
              <w:t>BNP PARIBAS</w:t>
            </w:r>
          </w:p>
        </w:tc>
      </w:tr>
      <w:tr>
        <w:trPr>
          <w:trHeight w:val="274"/>
        </w:trPr>
        <w:tc>
          <w:tcPr>
            <w:tcW w:w="37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3720" w:type="dxa"/>
            <w:vAlign w:val="bottom"/>
          </w:tcPr>
          <w:p>
            <w:pPr>
              <w:spacing w:after="0"/>
              <w:rPr>
                <w:sz w:val="23"/>
                <w:szCs w:val="23"/>
                <w:color w:val="auto"/>
              </w:rPr>
            </w:pPr>
          </w:p>
        </w:tc>
      </w:tr>
      <w:tr>
        <w:trPr>
          <w:trHeight w:val="370"/>
        </w:trPr>
        <w:tc>
          <w:tcPr>
            <w:tcW w:w="3780" w:type="dxa"/>
            <w:vAlign w:val="bottom"/>
          </w:tcPr>
          <w:p>
            <w:pPr>
              <w:spacing w:after="0"/>
              <w:rPr>
                <w:sz w:val="24"/>
                <w:szCs w:val="24"/>
                <w:color w:val="auto"/>
              </w:rPr>
            </w:pPr>
          </w:p>
        </w:tc>
        <w:tc>
          <w:tcPr>
            <w:tcW w:w="2380" w:type="dxa"/>
            <w:vAlign w:val="bottom"/>
          </w:tcPr>
          <w:p>
            <w:pPr>
              <w:ind w:left="700"/>
              <w:spacing w:after="0"/>
              <w:rPr>
                <w:sz w:val="20"/>
                <w:szCs w:val="20"/>
                <w:color w:val="auto"/>
              </w:rPr>
            </w:pPr>
            <w:r>
              <w:rPr>
                <w:rFonts w:ascii="Arial" w:cs="Arial" w:eastAsia="Arial" w:hAnsi="Arial"/>
                <w:sz w:val="18"/>
                <w:szCs w:val="18"/>
                <w:i w:val="1"/>
                <w:iCs w:val="1"/>
                <w:color w:val="auto"/>
              </w:rPr>
              <w:t>Co-Managers</w:t>
            </w:r>
          </w:p>
        </w:tc>
        <w:tc>
          <w:tcPr>
            <w:tcW w:w="3720" w:type="dxa"/>
            <w:vAlign w:val="bottom"/>
          </w:tcPr>
          <w:p>
            <w:pPr>
              <w:spacing w:after="0"/>
              <w:rPr>
                <w:sz w:val="24"/>
                <w:szCs w:val="24"/>
                <w:color w:val="auto"/>
              </w:rPr>
            </w:pPr>
          </w:p>
        </w:tc>
      </w:tr>
      <w:tr>
        <w:trPr>
          <w:trHeight w:val="487"/>
        </w:trPr>
        <w:tc>
          <w:tcPr>
            <w:tcW w:w="3780" w:type="dxa"/>
            <w:vAlign w:val="bottom"/>
          </w:tcPr>
          <w:p>
            <w:pPr>
              <w:jc w:val="center"/>
              <w:ind w:right="1392"/>
              <w:spacing w:after="0"/>
              <w:rPr>
                <w:sz w:val="20"/>
                <w:szCs w:val="20"/>
                <w:color w:val="auto"/>
              </w:rPr>
            </w:pPr>
            <w:r>
              <w:rPr>
                <w:rFonts w:ascii="Arial" w:cs="Arial" w:eastAsia="Arial" w:hAnsi="Arial"/>
                <w:sz w:val="18"/>
                <w:szCs w:val="18"/>
                <w:b w:val="1"/>
                <w:bCs w:val="1"/>
                <w:color w:val="auto"/>
                <w:w w:val="92"/>
              </w:rPr>
              <w:t>Citigroup</w:t>
            </w:r>
          </w:p>
        </w:tc>
        <w:tc>
          <w:tcPr>
            <w:tcW w:w="2380" w:type="dxa"/>
            <w:vAlign w:val="bottom"/>
          </w:tcPr>
          <w:p>
            <w:pPr>
              <w:jc w:val="center"/>
              <w:ind w:left="57"/>
              <w:spacing w:after="0"/>
              <w:rPr>
                <w:sz w:val="20"/>
                <w:szCs w:val="20"/>
                <w:color w:val="auto"/>
              </w:rPr>
            </w:pPr>
            <w:r>
              <w:rPr>
                <w:rFonts w:ascii="Arial" w:cs="Arial" w:eastAsia="Arial" w:hAnsi="Arial"/>
                <w:sz w:val="18"/>
                <w:szCs w:val="18"/>
                <w:b w:val="1"/>
                <w:bCs w:val="1"/>
                <w:color w:val="auto"/>
                <w:w w:val="86"/>
              </w:rPr>
              <w:t>Credit Suisse</w:t>
            </w:r>
          </w:p>
        </w:tc>
        <w:tc>
          <w:tcPr>
            <w:tcW w:w="3720" w:type="dxa"/>
            <w:vAlign w:val="bottom"/>
          </w:tcPr>
          <w:p>
            <w:pPr>
              <w:jc w:val="center"/>
              <w:ind w:left="1572"/>
              <w:spacing w:after="0"/>
              <w:rPr>
                <w:sz w:val="20"/>
                <w:szCs w:val="20"/>
                <w:color w:val="auto"/>
              </w:rPr>
            </w:pPr>
            <w:r>
              <w:rPr>
                <w:rFonts w:ascii="Arial" w:cs="Arial" w:eastAsia="Arial" w:hAnsi="Arial"/>
                <w:sz w:val="18"/>
                <w:szCs w:val="18"/>
                <w:b w:val="1"/>
                <w:bCs w:val="1"/>
                <w:color w:val="auto"/>
                <w:w w:val="85"/>
              </w:rPr>
              <w:t>Deutsche Bank Securities</w:t>
            </w:r>
          </w:p>
        </w:tc>
      </w:tr>
      <w:tr>
        <w:trPr>
          <w:trHeight w:val="216"/>
        </w:trPr>
        <w:tc>
          <w:tcPr>
            <w:tcW w:w="3780" w:type="dxa"/>
            <w:vAlign w:val="bottom"/>
          </w:tcPr>
          <w:p>
            <w:pPr>
              <w:jc w:val="center"/>
              <w:ind w:right="1392"/>
              <w:spacing w:after="0"/>
              <w:rPr>
                <w:sz w:val="20"/>
                <w:szCs w:val="20"/>
                <w:color w:val="auto"/>
              </w:rPr>
            </w:pPr>
            <w:r>
              <w:rPr>
                <w:rFonts w:ascii="Arial" w:cs="Arial" w:eastAsia="Arial" w:hAnsi="Arial"/>
                <w:sz w:val="18"/>
                <w:szCs w:val="18"/>
                <w:b w:val="1"/>
                <w:bCs w:val="1"/>
                <w:color w:val="auto"/>
                <w:w w:val="88"/>
              </w:rPr>
              <w:t>Goldman, Sachs &amp; Co.</w:t>
            </w:r>
          </w:p>
        </w:tc>
        <w:tc>
          <w:tcPr>
            <w:tcW w:w="2380" w:type="dxa"/>
            <w:vAlign w:val="bottom"/>
          </w:tcPr>
          <w:p>
            <w:pPr>
              <w:jc w:val="center"/>
              <w:ind w:left="57"/>
              <w:spacing w:after="0"/>
              <w:rPr>
                <w:sz w:val="20"/>
                <w:szCs w:val="20"/>
                <w:color w:val="auto"/>
              </w:rPr>
            </w:pPr>
            <w:r>
              <w:rPr>
                <w:rFonts w:ascii="Arial" w:cs="Arial" w:eastAsia="Arial" w:hAnsi="Arial"/>
                <w:sz w:val="18"/>
                <w:szCs w:val="18"/>
                <w:b w:val="1"/>
                <w:bCs w:val="1"/>
                <w:color w:val="auto"/>
                <w:w w:val="90"/>
              </w:rPr>
              <w:t>J.P. Morgan</w:t>
            </w:r>
          </w:p>
        </w:tc>
        <w:tc>
          <w:tcPr>
            <w:tcW w:w="3720" w:type="dxa"/>
            <w:vAlign w:val="bottom"/>
          </w:tcPr>
          <w:p>
            <w:pPr>
              <w:jc w:val="center"/>
              <w:ind w:left="1592"/>
              <w:spacing w:after="0"/>
              <w:rPr>
                <w:sz w:val="20"/>
                <w:szCs w:val="20"/>
                <w:color w:val="auto"/>
              </w:rPr>
            </w:pPr>
            <w:r>
              <w:rPr>
                <w:rFonts w:ascii="Arial" w:cs="Arial" w:eastAsia="Arial" w:hAnsi="Arial"/>
                <w:sz w:val="18"/>
                <w:szCs w:val="18"/>
                <w:b w:val="1"/>
                <w:bCs w:val="1"/>
                <w:color w:val="auto"/>
                <w:w w:val="85"/>
              </w:rPr>
              <w:t>Lloyds Securities</w:t>
            </w:r>
          </w:p>
        </w:tc>
      </w:tr>
      <w:tr>
        <w:trPr>
          <w:trHeight w:val="216"/>
        </w:trPr>
        <w:tc>
          <w:tcPr>
            <w:tcW w:w="3780" w:type="dxa"/>
            <w:vAlign w:val="bottom"/>
          </w:tcPr>
          <w:p>
            <w:pPr>
              <w:jc w:val="center"/>
              <w:ind w:right="1392"/>
              <w:spacing w:after="0"/>
              <w:rPr>
                <w:sz w:val="20"/>
                <w:szCs w:val="20"/>
                <w:color w:val="auto"/>
              </w:rPr>
            </w:pPr>
            <w:r>
              <w:rPr>
                <w:rFonts w:ascii="Arial" w:cs="Arial" w:eastAsia="Arial" w:hAnsi="Arial"/>
                <w:sz w:val="18"/>
                <w:szCs w:val="18"/>
                <w:b w:val="1"/>
                <w:bCs w:val="1"/>
                <w:color w:val="auto"/>
                <w:w w:val="87"/>
              </w:rPr>
              <w:t>Mizuho Securities</w:t>
            </w:r>
          </w:p>
        </w:tc>
        <w:tc>
          <w:tcPr>
            <w:tcW w:w="2380" w:type="dxa"/>
            <w:vAlign w:val="bottom"/>
          </w:tcPr>
          <w:p>
            <w:pPr>
              <w:jc w:val="center"/>
              <w:ind w:left="57"/>
              <w:spacing w:after="0"/>
              <w:rPr>
                <w:sz w:val="20"/>
                <w:szCs w:val="20"/>
                <w:color w:val="auto"/>
              </w:rPr>
            </w:pPr>
            <w:r>
              <w:rPr>
                <w:rFonts w:ascii="Arial" w:cs="Arial" w:eastAsia="Arial" w:hAnsi="Arial"/>
                <w:sz w:val="18"/>
                <w:szCs w:val="18"/>
                <w:b w:val="1"/>
                <w:bCs w:val="1"/>
                <w:color w:val="auto"/>
                <w:w w:val="89"/>
              </w:rPr>
              <w:t>Morgan Stanley</w:t>
            </w:r>
          </w:p>
        </w:tc>
        <w:tc>
          <w:tcPr>
            <w:tcW w:w="3720" w:type="dxa"/>
            <w:vAlign w:val="bottom"/>
          </w:tcPr>
          <w:p>
            <w:pPr>
              <w:jc w:val="center"/>
              <w:ind w:left="1592"/>
              <w:spacing w:after="0"/>
              <w:rPr>
                <w:sz w:val="20"/>
                <w:szCs w:val="20"/>
                <w:color w:val="auto"/>
              </w:rPr>
            </w:pPr>
            <w:r>
              <w:rPr>
                <w:rFonts w:ascii="Arial" w:cs="Arial" w:eastAsia="Arial" w:hAnsi="Arial"/>
                <w:sz w:val="18"/>
                <w:szCs w:val="18"/>
                <w:b w:val="1"/>
                <w:bCs w:val="1"/>
                <w:color w:val="auto"/>
                <w:w w:val="93"/>
              </w:rPr>
              <w:t>SMBC Nikko</w:t>
            </w:r>
          </w:p>
        </w:tc>
      </w:tr>
      <w:tr>
        <w:trPr>
          <w:trHeight w:val="228"/>
        </w:trPr>
        <w:tc>
          <w:tcPr>
            <w:tcW w:w="3780" w:type="dxa"/>
            <w:vAlign w:val="bottom"/>
          </w:tcPr>
          <w:p>
            <w:pPr>
              <w:jc w:val="center"/>
              <w:ind w:right="1372"/>
              <w:spacing w:after="0"/>
              <w:rPr>
                <w:sz w:val="20"/>
                <w:szCs w:val="20"/>
                <w:color w:val="auto"/>
              </w:rPr>
            </w:pPr>
            <w:r>
              <w:rPr>
                <w:rFonts w:ascii="Arial" w:cs="Arial" w:eastAsia="Arial" w:hAnsi="Arial"/>
                <w:sz w:val="18"/>
                <w:szCs w:val="18"/>
                <w:b w:val="1"/>
                <w:bCs w:val="1"/>
                <w:color w:val="auto"/>
                <w:w w:val="88"/>
              </w:rPr>
              <w:t>SunTrust Robinson Humphrey</w:t>
            </w:r>
          </w:p>
        </w:tc>
        <w:tc>
          <w:tcPr>
            <w:tcW w:w="2380" w:type="dxa"/>
            <w:vAlign w:val="bottom"/>
          </w:tcPr>
          <w:p>
            <w:pPr>
              <w:spacing w:after="0"/>
              <w:rPr>
                <w:sz w:val="19"/>
                <w:szCs w:val="19"/>
                <w:color w:val="auto"/>
              </w:rPr>
            </w:pPr>
          </w:p>
        </w:tc>
        <w:tc>
          <w:tcPr>
            <w:tcW w:w="3720" w:type="dxa"/>
            <w:vAlign w:val="bottom"/>
          </w:tcPr>
          <w:p>
            <w:pPr>
              <w:jc w:val="center"/>
              <w:ind w:left="1592"/>
              <w:spacing w:after="0"/>
              <w:rPr>
                <w:sz w:val="20"/>
                <w:szCs w:val="20"/>
                <w:color w:val="auto"/>
              </w:rPr>
            </w:pPr>
            <w:r>
              <w:rPr>
                <w:rFonts w:ascii="Arial" w:cs="Arial" w:eastAsia="Arial" w:hAnsi="Arial"/>
                <w:sz w:val="18"/>
                <w:szCs w:val="18"/>
                <w:b w:val="1"/>
                <w:bCs w:val="1"/>
                <w:color w:val="auto"/>
                <w:w w:val="89"/>
              </w:rPr>
              <w:t>UBS Investment Bank</w:t>
            </w:r>
          </w:p>
        </w:tc>
      </w:tr>
      <w:tr>
        <w:trPr>
          <w:trHeight w:val="297"/>
        </w:trPr>
        <w:tc>
          <w:tcPr>
            <w:tcW w:w="3780" w:type="dxa"/>
            <w:vAlign w:val="bottom"/>
          </w:tcPr>
          <w:p>
            <w:pPr>
              <w:ind w:left="1680"/>
              <w:spacing w:after="0"/>
              <w:rPr>
                <w:sz w:val="20"/>
                <w:szCs w:val="20"/>
                <w:color w:val="auto"/>
              </w:rPr>
            </w:pPr>
            <w:r>
              <w:rPr>
                <w:rFonts w:ascii="Arial" w:cs="Arial" w:eastAsia="Arial" w:hAnsi="Arial"/>
                <w:sz w:val="18"/>
                <w:szCs w:val="18"/>
                <w:b w:val="1"/>
                <w:bCs w:val="1"/>
                <w:color w:val="auto"/>
              </w:rPr>
              <w:t>Santander</w:t>
            </w:r>
          </w:p>
        </w:tc>
        <w:tc>
          <w:tcPr>
            <w:tcW w:w="2380" w:type="dxa"/>
            <w:vAlign w:val="bottom"/>
          </w:tcPr>
          <w:p>
            <w:pPr>
              <w:spacing w:after="0"/>
              <w:rPr>
                <w:sz w:val="24"/>
                <w:szCs w:val="24"/>
                <w:color w:val="auto"/>
              </w:rPr>
            </w:pPr>
          </w:p>
        </w:tc>
        <w:tc>
          <w:tcPr>
            <w:tcW w:w="372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US Bancorp</w:t>
            </w:r>
          </w:p>
        </w:tc>
      </w:tr>
      <w:tr>
        <w:trPr>
          <w:trHeight w:val="297"/>
        </w:trPr>
        <w:tc>
          <w:tcPr>
            <w:tcW w:w="3780" w:type="dxa"/>
            <w:vAlign w:val="bottom"/>
          </w:tcPr>
          <w:p>
            <w:pPr>
              <w:jc w:val="center"/>
              <w:ind w:right="1272"/>
              <w:spacing w:after="0"/>
              <w:rPr>
                <w:sz w:val="20"/>
                <w:szCs w:val="20"/>
                <w:color w:val="auto"/>
              </w:rPr>
            </w:pPr>
            <w:r>
              <w:rPr>
                <w:rFonts w:ascii="Arial" w:cs="Arial" w:eastAsia="Arial" w:hAnsi="Arial"/>
                <w:sz w:val="18"/>
                <w:szCs w:val="18"/>
                <w:b w:val="1"/>
                <w:bCs w:val="1"/>
                <w:color w:val="auto"/>
                <w:w w:val="94"/>
              </w:rPr>
              <w:t>DNB Markets</w:t>
            </w:r>
          </w:p>
        </w:tc>
        <w:tc>
          <w:tcPr>
            <w:tcW w:w="2380" w:type="dxa"/>
            <w:vAlign w:val="bottom"/>
          </w:tcPr>
          <w:p>
            <w:pPr>
              <w:jc w:val="center"/>
              <w:ind w:left="177"/>
              <w:spacing w:after="0"/>
              <w:rPr>
                <w:sz w:val="20"/>
                <w:szCs w:val="20"/>
                <w:color w:val="auto"/>
              </w:rPr>
            </w:pPr>
            <w:r>
              <w:rPr>
                <w:rFonts w:ascii="Arial" w:cs="Arial" w:eastAsia="Arial" w:hAnsi="Arial"/>
                <w:sz w:val="18"/>
                <w:szCs w:val="18"/>
                <w:b w:val="1"/>
                <w:bCs w:val="1"/>
                <w:color w:val="auto"/>
                <w:w w:val="94"/>
              </w:rPr>
              <w:t>PNC Capital Markets LLC</w:t>
            </w:r>
          </w:p>
        </w:tc>
        <w:tc>
          <w:tcPr>
            <w:tcW w:w="3720" w:type="dxa"/>
            <w:vAlign w:val="bottom"/>
          </w:tcPr>
          <w:p>
            <w:pPr>
              <w:jc w:val="center"/>
              <w:ind w:left="1572"/>
              <w:spacing w:after="0"/>
              <w:rPr>
                <w:sz w:val="20"/>
                <w:szCs w:val="20"/>
                <w:color w:val="auto"/>
              </w:rPr>
            </w:pPr>
            <w:r>
              <w:rPr>
                <w:rFonts w:ascii="Arial" w:cs="Arial" w:eastAsia="Arial" w:hAnsi="Arial"/>
                <w:sz w:val="18"/>
                <w:szCs w:val="18"/>
                <w:b w:val="1"/>
                <w:bCs w:val="1"/>
                <w:color w:val="auto"/>
                <w:w w:val="88"/>
              </w:rPr>
              <w:t>TD Securities</w:t>
            </w:r>
          </w:p>
        </w:tc>
      </w:tr>
      <w:tr>
        <w:trPr>
          <w:trHeight w:val="219"/>
        </w:trPr>
        <w:tc>
          <w:tcPr>
            <w:tcW w:w="3780" w:type="dxa"/>
            <w:vAlign w:val="bottom"/>
          </w:tcPr>
          <w:p>
            <w:pPr>
              <w:spacing w:after="0"/>
              <w:rPr>
                <w:sz w:val="19"/>
                <w:szCs w:val="19"/>
                <w:color w:val="auto"/>
              </w:rPr>
            </w:pPr>
          </w:p>
        </w:tc>
        <w:tc>
          <w:tcPr>
            <w:tcW w:w="2380" w:type="dxa"/>
            <w:vAlign w:val="bottom"/>
          </w:tcPr>
          <w:p>
            <w:pPr>
              <w:jc w:val="center"/>
              <w:ind w:left="197"/>
              <w:spacing w:after="0"/>
              <w:rPr>
                <w:sz w:val="20"/>
                <w:szCs w:val="20"/>
                <w:color w:val="auto"/>
              </w:rPr>
            </w:pPr>
            <w:r>
              <w:rPr>
                <w:rFonts w:ascii="Arial" w:cs="Arial" w:eastAsia="Arial" w:hAnsi="Arial"/>
                <w:sz w:val="14"/>
                <w:szCs w:val="14"/>
                <w:b w:val="1"/>
                <w:bCs w:val="1"/>
                <w:color w:val="auto"/>
                <w:w w:val="90"/>
              </w:rPr>
              <w:t>The Williams Capital Group, L.P.</w:t>
            </w:r>
          </w:p>
        </w:tc>
        <w:tc>
          <w:tcPr>
            <w:tcW w:w="3720" w:type="dxa"/>
            <w:vAlign w:val="bottom"/>
          </w:tcPr>
          <w:p>
            <w:pPr>
              <w:spacing w:after="0"/>
              <w:rPr>
                <w:sz w:val="19"/>
                <w:szCs w:val="19"/>
                <w:color w:val="auto"/>
              </w:rPr>
            </w:pPr>
          </w:p>
        </w:tc>
      </w:tr>
      <w:tr>
        <w:trPr>
          <w:trHeight w:val="149"/>
        </w:trPr>
        <w:tc>
          <w:tcPr>
            <w:tcW w:w="3780" w:type="dxa"/>
            <w:vAlign w:val="bottom"/>
          </w:tcPr>
          <w:p>
            <w:pPr>
              <w:jc w:val="center"/>
              <w:ind w:right="1272"/>
              <w:spacing w:after="0" w:line="149" w:lineRule="exact"/>
              <w:rPr>
                <w:sz w:val="20"/>
                <w:szCs w:val="20"/>
                <w:color w:val="auto"/>
              </w:rPr>
            </w:pPr>
            <w:r>
              <w:rPr>
                <w:rFonts w:ascii="Arial" w:cs="Arial" w:eastAsia="Arial" w:hAnsi="Arial"/>
                <w:sz w:val="14"/>
                <w:szCs w:val="14"/>
                <w:b w:val="1"/>
                <w:bCs w:val="1"/>
                <w:color w:val="auto"/>
                <w:w w:val="87"/>
              </w:rPr>
              <w:t>C.L. King &amp; Associates</w:t>
            </w:r>
          </w:p>
        </w:tc>
        <w:tc>
          <w:tcPr>
            <w:tcW w:w="238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90"/>
              </w:rPr>
              <w:t>Drexel Hamilton</w:t>
            </w:r>
          </w:p>
        </w:tc>
        <w:tc>
          <w:tcPr>
            <w:tcW w:w="3720" w:type="dxa"/>
            <w:vAlign w:val="bottom"/>
          </w:tcPr>
          <w:p>
            <w:pPr>
              <w:jc w:val="center"/>
              <w:ind w:left="1592"/>
              <w:spacing w:after="0" w:line="149" w:lineRule="exact"/>
              <w:rPr>
                <w:sz w:val="20"/>
                <w:szCs w:val="20"/>
                <w:color w:val="auto"/>
              </w:rPr>
            </w:pPr>
            <w:r>
              <w:rPr>
                <w:rFonts w:ascii="Arial" w:cs="Arial" w:eastAsia="Arial" w:hAnsi="Arial"/>
                <w:sz w:val="14"/>
                <w:szCs w:val="14"/>
                <w:b w:val="1"/>
                <w:bCs w:val="1"/>
                <w:color w:val="auto"/>
                <w:w w:val="89"/>
              </w:rPr>
              <w:t>Lebenthal Capital Markets</w:t>
            </w:r>
          </w:p>
        </w:tc>
      </w:tr>
      <w:tr>
        <w:trPr>
          <w:trHeight w:val="174"/>
        </w:trPr>
        <w:tc>
          <w:tcPr>
            <w:tcW w:w="3780" w:type="dxa"/>
            <w:vAlign w:val="bottom"/>
          </w:tcPr>
          <w:p>
            <w:pPr>
              <w:jc w:val="center"/>
              <w:ind w:right="1292"/>
              <w:spacing w:after="0"/>
              <w:rPr>
                <w:sz w:val="20"/>
                <w:szCs w:val="20"/>
                <w:color w:val="auto"/>
              </w:rPr>
            </w:pPr>
            <w:r>
              <w:rPr>
                <w:rFonts w:ascii="Arial" w:cs="Arial" w:eastAsia="Arial" w:hAnsi="Arial"/>
                <w:sz w:val="14"/>
                <w:szCs w:val="14"/>
                <w:b w:val="1"/>
                <w:bCs w:val="1"/>
                <w:color w:val="auto"/>
                <w:w w:val="90"/>
              </w:rPr>
              <w:t>Loop Capital Markets</w:t>
            </w:r>
          </w:p>
        </w:tc>
        <w:tc>
          <w:tcPr>
            <w:tcW w:w="2380" w:type="dxa"/>
            <w:vAlign w:val="bottom"/>
          </w:tcPr>
          <w:p>
            <w:pPr>
              <w:jc w:val="center"/>
              <w:ind w:left="177"/>
              <w:spacing w:after="0"/>
              <w:rPr>
                <w:sz w:val="20"/>
                <w:szCs w:val="20"/>
                <w:color w:val="auto"/>
              </w:rPr>
            </w:pPr>
            <w:r>
              <w:rPr>
                <w:rFonts w:ascii="Arial" w:cs="Arial" w:eastAsia="Arial" w:hAnsi="Arial"/>
                <w:sz w:val="14"/>
                <w:szCs w:val="14"/>
                <w:b w:val="1"/>
                <w:bCs w:val="1"/>
                <w:color w:val="auto"/>
                <w:w w:val="90"/>
              </w:rPr>
              <w:t>Mischler Financial Group, Inc.</w:t>
            </w:r>
          </w:p>
        </w:tc>
        <w:tc>
          <w:tcPr>
            <w:tcW w:w="3720" w:type="dxa"/>
            <w:vAlign w:val="bottom"/>
          </w:tcPr>
          <w:p>
            <w:pPr>
              <w:jc w:val="center"/>
              <w:ind w:left="1572"/>
              <w:spacing w:after="0"/>
              <w:rPr>
                <w:sz w:val="20"/>
                <w:szCs w:val="20"/>
                <w:color w:val="auto"/>
              </w:rPr>
            </w:pPr>
            <w:r>
              <w:rPr>
                <w:rFonts w:ascii="Arial" w:cs="Arial" w:eastAsia="Arial" w:hAnsi="Arial"/>
                <w:sz w:val="14"/>
                <w:szCs w:val="14"/>
                <w:b w:val="1"/>
                <w:bCs w:val="1"/>
                <w:color w:val="auto"/>
                <w:w w:val="88"/>
              </w:rPr>
              <w:t>Ramirez and Co.,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180340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supplement is February 16, 2016.</w:t>
      </w:r>
    </w:p>
    <w:p>
      <w:pPr>
        <w:sectPr>
          <w:pgSz w:w="11900" w:h="16838" w:orient="portrait"/>
          <w:cols w:equalWidth="0" w:num="1">
            <w:col w:w="9880"/>
          </w:cols>
          <w:pgMar w:left="980" w:top="131"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17"/>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420" w:type="dxa"/>
            <w:vAlign w:val="bottom"/>
            <w:tcBorders>
              <w:top w:val="single" w:sz="8" w:color="0000EE"/>
            </w:tcBorders>
          </w:tcPr>
          <w:p>
            <w:pPr>
              <w:spacing w:after="0"/>
              <w:rPr>
                <w:sz w:val="18"/>
                <w:szCs w:val="18"/>
                <w:color w:val="auto"/>
              </w:rPr>
            </w:pPr>
          </w:p>
        </w:tc>
        <w:tc>
          <w:tcPr>
            <w:tcW w:w="8140" w:type="dxa"/>
            <w:vAlign w:val="bottom"/>
            <w:gridSpan w:val="5"/>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Ratios of Earnings to Fixed Charges and of Earnings to Combined Fixed Charges and Preferred Dividends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the Notes</w:t>
              </w:r>
            </w:hyperlink>
          </w:p>
        </w:tc>
        <w:tc>
          <w:tcPr>
            <w:tcW w:w="346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Material U.S. Federal Income Tax Consequences for Non-U.S. Holders</w:t>
              </w:r>
            </w:hyperlink>
          </w:p>
        </w:tc>
        <w:tc>
          <w:tcPr>
            <w:tcW w:w="59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Underwriting</w:t>
              </w:r>
            </w:hyperlink>
          </w:p>
        </w:tc>
        <w:tc>
          <w:tcPr>
            <w:tcW w:w="998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The Companies</w:t>
              </w:r>
            </w:hyperlink>
          </w:p>
        </w:tc>
        <w:tc>
          <w:tcPr>
            <w:tcW w:w="98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Caution Concerning Forward-Looking Statements</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978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Global Securities</w:t>
              </w:r>
            </w:hyperlink>
          </w:p>
        </w:tc>
        <w:tc>
          <w:tcPr>
            <w:tcW w:w="76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Description of Capital Stock</w:t>
              </w:r>
            </w:hyperlink>
          </w:p>
        </w:tc>
        <w:tc>
          <w:tcPr>
            <w:tcW w:w="89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95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Incorporation of Certain Documents by Reference</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0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were incorporated under the laws of Pennsylvania in 2001. Through our predecessors, we have developed, managed and operated cable systems since 1963. In 2011, we acquired control of the businesses of NBCUniversal from General Electric Company, and in 2013, we acquired the remaining 49% common equity interest in NBCUniversal, LLC that we did not already own.</w:t>
      </w:r>
    </w:p>
    <w:p>
      <w:pPr>
        <w:spacing w:after="0" w:line="143"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w:t>
      </w:r>
    </w:p>
    <w:p>
      <w:pPr>
        <w:spacing w:after="0" w:line="45" w:lineRule="exact"/>
        <w:rPr>
          <w:sz w:val="20"/>
          <w:szCs w:val="20"/>
          <w:color w:val="auto"/>
        </w:rPr>
      </w:pPr>
    </w:p>
    <w:p>
      <w:pPr>
        <w:ind w:left="1060" w:right="440" w:hanging="323"/>
        <w:spacing w:after="0" w:line="26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1060" w:right="16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production operations.</w:t>
      </w:r>
    </w:p>
    <w:p>
      <w:pPr>
        <w:spacing w:after="0" w:line="38" w:lineRule="exact"/>
        <w:rPr>
          <w:rFonts w:ascii="Arial" w:cs="Arial" w:eastAsia="Arial" w:hAnsi="Arial"/>
          <w:sz w:val="18"/>
          <w:szCs w:val="18"/>
          <w:color w:val="auto"/>
        </w:rPr>
      </w:pPr>
    </w:p>
    <w:p>
      <w:pPr>
        <w:ind w:left="1060" w:right="62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studio production operations.</w:t>
      </w:r>
    </w:p>
    <w:p>
      <w:pPr>
        <w:spacing w:after="0" w:line="38" w:lineRule="exact"/>
        <w:rPr>
          <w:rFonts w:ascii="Arial" w:cs="Arial" w:eastAsia="Arial" w:hAnsi="Arial"/>
          <w:sz w:val="18"/>
          <w:szCs w:val="18"/>
          <w:color w:val="auto"/>
        </w:rPr>
      </w:pPr>
    </w:p>
    <w:p>
      <w:pPr>
        <w:ind w:left="1060" w:right="24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1060" w:right="860" w:hanging="323"/>
        <w:spacing w:after="0" w:line="339"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and Hollywood, California. In November 2015,</w:t>
      </w:r>
      <w:r>
        <w:rPr>
          <w:rFonts w:ascii="Arial" w:cs="Arial" w:eastAsia="Arial" w:hAnsi="Arial"/>
          <w:sz w:val="16"/>
          <w:szCs w:val="16"/>
          <w:b w:val="1"/>
          <w:bCs w:val="1"/>
          <w:color w:val="auto"/>
        </w:rPr>
        <w:t xml:space="preserve"> </w:t>
      </w:r>
      <w:r>
        <w:rPr>
          <w:rFonts w:ascii="Arial" w:cs="Arial" w:eastAsia="Arial" w:hAnsi="Arial"/>
          <w:sz w:val="16"/>
          <w:szCs w:val="16"/>
          <w:color w:val="auto"/>
        </w:rPr>
        <w:t>NBCUniversal acquired a 51% interest in the Universal Studios theme park located in Osaka, Japan.</w:t>
      </w:r>
    </w:p>
    <w:p>
      <w:pPr>
        <w:spacing w:after="0" w:line="80" w:lineRule="exact"/>
        <w:rPr>
          <w:sz w:val="20"/>
          <w:szCs w:val="20"/>
          <w:color w:val="auto"/>
        </w:rPr>
      </w:pPr>
    </w:p>
    <w:p>
      <w:pPr>
        <w:ind w:left="200" w:right="580" w:firstLine="443"/>
        <w:spacing w:after="0" w:line="268"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32" w:lineRule="exact"/>
        <w:rPr>
          <w:sz w:val="20"/>
          <w:szCs w:val="20"/>
          <w:color w:val="auto"/>
        </w:rPr>
      </w:pPr>
    </w:p>
    <w:p>
      <w:pPr>
        <w:ind w:left="200" w:right="820" w:firstLine="443"/>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ind w:left="200" w:right="20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38" w:lineRule="exact"/>
        <w:rPr>
          <w:sz w:val="20"/>
          <w:szCs w:val="20"/>
          <w:color w:val="auto"/>
        </w:rPr>
      </w:pPr>
    </w:p>
    <w:p>
      <w:pPr>
        <w:ind w:left="200" w:right="400" w:hanging="3"/>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96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7964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68" w:lineRule="auto"/>
        <w:rPr>
          <w:sz w:val="20"/>
          <w:szCs w:val="20"/>
          <w:color w:val="auto"/>
        </w:rPr>
      </w:pPr>
      <w:r>
        <w:rPr>
          <w:rFonts w:ascii="Arial" w:cs="Arial" w:eastAsia="Arial" w:hAnsi="Arial"/>
          <w:sz w:val="18"/>
          <w:szCs w:val="18"/>
          <w:color w:val="auto"/>
        </w:rPr>
        <w:t>guarantors and to these guarantees as the guarantees. Effective October 1, 2015, three former guarantors, Comcast Cable Holdings, LLC, Comcast MO of Delaware, LLC and Comcast MO Group, LLC, merged with and into Comcast Cable Communications.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2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94" w:lineRule="exact"/>
        <w:rPr>
          <w:sz w:val="20"/>
          <w:szCs w:val="20"/>
          <w:color w:val="auto"/>
        </w:rPr>
      </w:pPr>
    </w:p>
    <w:p>
      <w:pPr>
        <w:ind w:left="200" w:right="280" w:firstLine="443"/>
        <w:spacing w:after="0" w:line="268"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NY 10112-0015.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Comcast Corporation.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$750,000,000 aggregate principal amount of 2.75% Notes due 2023.</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0"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$1,500,000,000 aggregate principal amount of 3.15% Notes due 2026.</w:t>
      </w:r>
    </w:p>
    <w:p>
      <w:pPr>
        <w:sectPr>
          <w:pgSz w:w="11900" w:h="16838" w:orient="portrait"/>
          <w:cols w:equalWidth="0" w:num="1">
            <w:col w:w="11240"/>
          </w:cols>
          <w:pgMar w:left="240" w:top="459" w:right="419" w:bottom="1440" w:gutter="0" w:footer="0" w:header="0"/>
          <w:type w:val="continuous"/>
        </w:sect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3240"/>
        <w:spacing w:after="0"/>
        <w:rPr>
          <w:sz w:val="20"/>
          <w:szCs w:val="20"/>
          <w:color w:val="auto"/>
        </w:rPr>
      </w:pPr>
      <w:r>
        <w:rPr>
          <w:rFonts w:ascii="Arial" w:cs="Arial" w:eastAsia="Arial" w:hAnsi="Arial"/>
          <w:sz w:val="16"/>
          <w:szCs w:val="16"/>
          <w:color w:val="auto"/>
        </w:rPr>
        <w:t>The Notes due 2023 will mature on March 1, 2023.</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The Notes due 2026 will mature on March 1, 2026.</w:t>
      </w:r>
    </w:p>
    <w:p>
      <w:pPr>
        <w:sectPr>
          <w:pgSz w:w="11900" w:h="16838" w:orient="portrait"/>
          <w:cols w:equalWidth="0" w:num="1">
            <w:col w:w="11240"/>
          </w:cols>
          <w:pgMar w:left="240" w:top="459" w:right="419" w:bottom="1440" w:gutter="0" w:footer="0" w:header="0"/>
          <w:type w:val="continuous"/>
        </w:sect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Interest on the Notes due 2023 will accrue at the rate of 2.75% per year, payable semiannually in cash in arrears on March 1 and September 1, beginning September 1, 2016. Interest on the Notes due 2026 will accrue at the rate of 3.15% per year, payable semiannually in cash in arrears on March 1 and September 1, beginning September 1, 2016.</w:t>
      </w:r>
    </w:p>
    <w:p>
      <w:pPr>
        <w:spacing w:after="0" w:line="15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The notes will be unsecured and will rank equally with all of our and the guarantors’ unsecured and unsubordinated indebtedness.</w:t>
      </w:r>
    </w:p>
    <w:p>
      <w:pPr>
        <w:spacing w:after="0" w:line="17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Guarantors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6"/>
          <w:szCs w:val="16"/>
          <w:color w:val="auto"/>
        </w:rPr>
        <w:t>Comcast Cable Communications and NBCUniversal.</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Guarantees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guarantors will fully and unconditionally guarantee the notes, including the payment of principal, premium, if any, and interest. The guarantees will rank equally with all other general unsecured and unsubordinated obligations of the guarantors.</w:t>
      </w:r>
    </w:p>
    <w:p>
      <w:pPr>
        <w:spacing w:after="0" w:line="14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We may, at our option, redeem any series of notes, in whole or in part, at any time at the applicable Redemption Price determined as set forth under the heading “Description of the Notes —Optional Redemption.”</w:t>
      </w:r>
    </w:p>
    <w:p>
      <w:pPr>
        <w:spacing w:after="0" w:line="18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94" w:lineRule="auto"/>
        <w:rPr>
          <w:sz w:val="20"/>
          <w:szCs w:val="20"/>
          <w:color w:val="auto"/>
        </w:rPr>
      </w:pPr>
      <w:r>
        <w:rPr>
          <w:rFonts w:ascii="Arial" w:cs="Arial" w:eastAsia="Arial" w:hAnsi="Arial"/>
          <w:sz w:val="16"/>
          <w:szCs w:val="16"/>
          <w:color w:val="auto"/>
        </w:rPr>
        <w:t>We intend to use the net proceeds from the offering, after deducting underwriters’ discount and expenses, for working capital and general corporate purposes, which may include redemption or repayment of our 2.875% notes due April 2016 ($1 billion principal amount outstanding) and of our 4.95% notes due June 2016 ($750 million principal amount outstanding). See “Use of Proceeds” in this prospectus supplement.</w:t>
      </w:r>
    </w:p>
    <w:p>
      <w:pPr>
        <w:spacing w:after="0" w:line="156"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DTC and registered in the name of DTC or its nominees. Beneficial interests in any of the notes will be shown on, and transfers will be effected only through, records maintained by DTC or its nominee or indirectly through organizations that have accounts with DTC, including Euroclear and Clearstream, and these beneficial interests may not be exchanged for certificated notes, except in limited circumstances. See “Description of the Notes—Book-Entry System” in this prospectus supplement.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for working capital and general corporate purposes, which may include redemption or repayment of our 2.875% notes due April 2016 ($1 billion principal amount outstanding) and of our 4.95% notes due June 2016 ($750 million principal amount outstanding).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40" w:type="dxa"/>
            <w:vAlign w:val="bottom"/>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4"/>
        </w:trPr>
        <w:tc>
          <w:tcPr>
            <w:tcW w:w="244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2015</w:t>
            </w:r>
          </w:p>
        </w:tc>
        <w:tc>
          <w:tcPr>
            <w:tcW w:w="18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3740" w:type="dxa"/>
            <w:vAlign w:val="bottom"/>
            <w:tcBorders>
              <w:bottom w:val="single" w:sz="8" w:color="auto"/>
            </w:tcBorders>
          </w:tcPr>
          <w:p>
            <w:pPr>
              <w:jc w:val="right"/>
              <w:ind w:right="1866"/>
              <w:spacing w:after="0"/>
              <w:rPr>
                <w:sz w:val="20"/>
                <w:szCs w:val="20"/>
                <w:color w:val="auto"/>
              </w:rPr>
            </w:pPr>
            <w:r>
              <w:rPr>
                <w:rFonts w:ascii="Arial" w:cs="Arial" w:eastAsia="Arial" w:hAnsi="Arial"/>
                <w:sz w:val="14"/>
                <w:szCs w:val="14"/>
                <w:b w:val="1"/>
                <w:bCs w:val="1"/>
                <w:color w:val="auto"/>
              </w:rPr>
              <w:t>2013</w:t>
            </w:r>
          </w:p>
        </w:tc>
        <w:tc>
          <w:tcPr>
            <w:tcW w:w="132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2012</w:t>
            </w:r>
          </w:p>
        </w:tc>
        <w:tc>
          <w:tcPr>
            <w:tcW w:w="20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2011</w:t>
            </w:r>
          </w:p>
        </w:tc>
      </w:tr>
      <w:tr>
        <w:trPr>
          <w:trHeight w:val="210"/>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86"/>
              </w:rPr>
              <w:t>Ratio of earnings to fixed charges and ratio of earnings to combined fixed charges and preferred dividends:</w:t>
            </w:r>
          </w:p>
        </w:tc>
        <w:tc>
          <w:tcPr>
            <w:tcW w:w="13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6"/>
              </w:rPr>
              <w:t>5.48x</w:t>
            </w:r>
          </w:p>
        </w:tc>
        <w:tc>
          <w:tcPr>
            <w:tcW w:w="1860" w:type="dxa"/>
            <w:vAlign w:val="bottom"/>
          </w:tcPr>
          <w:p>
            <w:pPr>
              <w:jc w:val="center"/>
              <w:ind w:left="542"/>
              <w:spacing w:after="0"/>
              <w:rPr>
                <w:sz w:val="20"/>
                <w:szCs w:val="20"/>
                <w:color w:val="auto"/>
              </w:rPr>
            </w:pPr>
            <w:r>
              <w:rPr>
                <w:rFonts w:ascii="Arial" w:cs="Arial" w:eastAsia="Arial" w:hAnsi="Arial"/>
                <w:sz w:val="18"/>
                <w:szCs w:val="18"/>
                <w:color w:val="auto"/>
                <w:w w:val="90"/>
              </w:rPr>
              <w:t>5.22x</w:t>
            </w:r>
          </w:p>
        </w:tc>
        <w:tc>
          <w:tcPr>
            <w:tcW w:w="3740" w:type="dxa"/>
            <w:vAlign w:val="bottom"/>
          </w:tcPr>
          <w:p>
            <w:pPr>
              <w:jc w:val="center"/>
              <w:ind w:right="326"/>
              <w:spacing w:after="0"/>
              <w:rPr>
                <w:sz w:val="20"/>
                <w:szCs w:val="20"/>
                <w:color w:val="auto"/>
              </w:rPr>
            </w:pPr>
            <w:r>
              <w:rPr>
                <w:rFonts w:ascii="Arial" w:cs="Arial" w:eastAsia="Arial" w:hAnsi="Arial"/>
                <w:sz w:val="18"/>
                <w:szCs w:val="18"/>
                <w:color w:val="auto"/>
                <w:w w:val="86"/>
              </w:rPr>
              <w:t>4.85x</w:t>
            </w:r>
          </w:p>
        </w:tc>
        <w:tc>
          <w:tcPr>
            <w:tcW w:w="1320" w:type="dxa"/>
            <w:vAlign w:val="bottom"/>
          </w:tcPr>
          <w:p>
            <w:pPr>
              <w:jc w:val="center"/>
              <w:ind w:right="842"/>
              <w:spacing w:after="0"/>
              <w:rPr>
                <w:sz w:val="20"/>
                <w:szCs w:val="20"/>
                <w:color w:val="auto"/>
              </w:rPr>
            </w:pPr>
            <w:r>
              <w:rPr>
                <w:rFonts w:ascii="Arial" w:cs="Arial" w:eastAsia="Arial" w:hAnsi="Arial"/>
                <w:sz w:val="18"/>
                <w:szCs w:val="18"/>
                <w:color w:val="auto"/>
                <w:w w:val="90"/>
              </w:rPr>
              <w:t>4.82x</w:t>
            </w:r>
          </w:p>
        </w:tc>
        <w:tc>
          <w:tcPr>
            <w:tcW w:w="2060" w:type="dxa"/>
            <w:vAlign w:val="bottom"/>
          </w:tcPr>
          <w:p>
            <w:pPr>
              <w:jc w:val="center"/>
              <w:ind w:left="62"/>
              <w:spacing w:after="0"/>
              <w:rPr>
                <w:sz w:val="20"/>
                <w:szCs w:val="20"/>
                <w:color w:val="auto"/>
              </w:rPr>
            </w:pPr>
            <w:r>
              <w:rPr>
                <w:rFonts w:ascii="Arial" w:cs="Arial" w:eastAsia="Arial" w:hAnsi="Arial"/>
                <w:sz w:val="18"/>
                <w:szCs w:val="18"/>
                <w:color w:val="auto"/>
                <w:w w:val="90"/>
              </w:rPr>
              <w:t>4.04x</w:t>
            </w:r>
          </w:p>
        </w:tc>
      </w:tr>
    </w:tbl>
    <w:p>
      <w:pPr>
        <w:spacing w:after="0" w:line="161"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We are offering $750,000,000 aggregate principal amount of our 2.75% Notes due 2023 and $1,500,000,000 aggregate principal amount of our 3.15% Notes due 2026. The Notes due 2023 and the Notes due 2026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guarantees described below;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$2,250,000,000 comprised as follows:</w:t>
      </w:r>
    </w:p>
    <w:p>
      <w:pPr>
        <w:spacing w:after="0" w:line="90" w:lineRule="exact"/>
        <w:rPr>
          <w:rFonts w:ascii="Arial" w:cs="Arial" w:eastAsia="Arial" w:hAnsi="Arial"/>
          <w:sz w:val="18"/>
          <w:szCs w:val="18"/>
          <w:color w:val="auto"/>
        </w:rPr>
      </w:pPr>
    </w:p>
    <w:p>
      <w:pPr>
        <w:ind w:left="1480" w:right="140" w:hanging="446"/>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$750,000,000 initial aggregate principal amount of 2.75% Notes due 2023, maturing on March 1, 2023, with interest payable semiannually on each March 1 and September 1, beginning September 1, 2016, to holders of record on the preceding February 15 and August 15;</w:t>
      </w:r>
    </w:p>
    <w:p>
      <w:pPr>
        <w:spacing w:after="0" w:line="4" w:lineRule="exact"/>
        <w:rPr>
          <w:rFonts w:ascii="Arial" w:cs="Arial" w:eastAsia="Arial" w:hAnsi="Arial"/>
          <w:sz w:val="16"/>
          <w:szCs w:val="16"/>
          <w:color w:val="auto"/>
        </w:rPr>
      </w:pPr>
    </w:p>
    <w:p>
      <w:pPr>
        <w:ind w:left="1480" w:hanging="446"/>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$1,500,000,000 initial aggregate principal amount of 3.15% Notes due 2026, maturing on March 1, 2026, with interest payable semiannually on each March 1 and September 1, beginning September 1, 2016, to holders of record on the preceding February 15 and August 15;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February 23, 2016 and the date of original issuance or (ii) from the most recent interest payment date to which interest has been paid, and will be payable semiannually on interest payment dates described for each year.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will have the right at our option to redeem any of the notes of each series in whole or in part, at any time or from time to time prior to their maturity, on at least 30 days, but not more than 60 days, prior notice mailed to the registered address of each holder of notes, at the applicable Redemption Price.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Price” means:</w:t>
      </w:r>
    </w:p>
    <w:p>
      <w:pPr>
        <w:spacing w:after="0" w:line="171" w:lineRule="exact"/>
        <w:rPr>
          <w:sz w:val="20"/>
          <w:szCs w:val="20"/>
          <w:color w:val="auto"/>
        </w:rPr>
      </w:pPr>
    </w:p>
    <w:p>
      <w:pPr>
        <w:ind w:left="700" w:hanging="236"/>
        <w:spacing w:after="0"/>
        <w:tabs>
          <w:tab w:leader="none" w:pos="700" w:val="left"/>
        </w:tabs>
        <w:numPr>
          <w:ilvl w:val="1"/>
          <w:numId w:val="8"/>
        </w:numPr>
        <w:rPr>
          <w:rFonts w:ascii="Arial" w:cs="Arial" w:eastAsia="Arial" w:hAnsi="Arial"/>
          <w:sz w:val="16"/>
          <w:szCs w:val="16"/>
          <w:color w:val="auto"/>
        </w:rPr>
      </w:pPr>
      <w:r>
        <w:rPr>
          <w:rFonts w:ascii="Arial" w:cs="Arial" w:eastAsia="Arial" w:hAnsi="Arial"/>
          <w:sz w:val="16"/>
          <w:szCs w:val="16"/>
          <w:color w:val="auto"/>
        </w:rPr>
        <w:t>with respect to the Notes due 2023, at any time prior to February 1, 2023 (one month prior to the maturity of the Notes due 2023), the greater of</w:t>
      </w:r>
    </w:p>
    <w:p>
      <w:pPr>
        <w:spacing w:after="0" w:line="38" w:lineRule="exact"/>
        <w:rPr>
          <w:rFonts w:ascii="Arial" w:cs="Arial" w:eastAsia="Arial" w:hAnsi="Arial"/>
          <w:sz w:val="16"/>
          <w:szCs w:val="16"/>
          <w:color w:val="auto"/>
        </w:rPr>
      </w:pPr>
    </w:p>
    <w:p>
      <w:pPr>
        <w:ind w:right="20" w:firstLine="8"/>
        <w:spacing w:after="0" w:line="253"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such notes and (ii) the sum of the present values of the principal amount of such notes and the scheduled payments of interest thereon (exclusive of interest accrued to the date of redemption) from the redemption date to February 1, 2023, in each case discounted to the redemption date on a semiannual basis (assuming a 360-day year consisting of twelve 30-day months) at the Treasury Rate plus 20 basis points; provided that, if the Notes due 2023 are redeemed on or after February 1, 2023 (one month prior to the maturity of the Notes due 2023) the Redemption Price will equal 100% of the principal amount of such notes; and</w:t>
      </w:r>
    </w:p>
    <w:p>
      <w:pPr>
        <w:spacing w:after="0" w:line="145" w:lineRule="exact"/>
        <w:rPr>
          <w:rFonts w:ascii="Arial" w:cs="Arial" w:eastAsia="Arial" w:hAnsi="Arial"/>
          <w:sz w:val="18"/>
          <w:szCs w:val="18"/>
          <w:color w:val="auto"/>
        </w:rPr>
      </w:pPr>
    </w:p>
    <w:p>
      <w:pPr>
        <w:ind w:left="720" w:hanging="256"/>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with respect to the Notes due 2026, at any time prior to December 1, 2025 (three months prior to the maturity of the Notes due 2026), the greater of</w:t>
      </w:r>
    </w:p>
    <w:p>
      <w:pPr>
        <w:spacing w:after="0" w:line="38" w:lineRule="exact"/>
        <w:rPr>
          <w:sz w:val="20"/>
          <w:szCs w:val="20"/>
          <w:color w:val="auto"/>
        </w:rPr>
      </w:pPr>
    </w:p>
    <w:p>
      <w:pPr>
        <w:ind w:right="40" w:firstLine="8"/>
        <w:spacing w:after="0" w:line="253" w:lineRule="auto"/>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such notes and (ii) the sum of the present values of the principal amount of such notes and the scheduled payments of interest thereon (exclusive of interest accrued to the date of redemption) from the redemption date to December 1, 2025, in each case discounted to the redemption date on a semiannual basis (assuming a 360-day year consisting of twelve 30-day months) at the Treasury Rate plus 25 basis points; provided that, if the Notes due 2026 are redeemed on or after December 1, 2025 (three months prior to the maturity of the Notes due 2026) the Redemption Price will equal 100% of the principal amount of such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“Independent Investment Banker” means one of the Reference Treasury Dealers appointed by us. “Comparable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“Reference Treasury Dealer” means each of Merrill Lynch, Pierce, Fenner &amp; Smith Incorporated, RBC Capital Markets,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participants, or the relationship between such participants or indirect participants, and the owners of beneficial interests in the Global Notes owning through such participants.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summary is based on the Internal Revenue Code of 1986, as amended to the date hereof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as appropriate, under penalties of perjury, that it is not a U.S. person.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Underwriter</w:t>
            </w:r>
          </w:p>
        </w:tc>
        <w:tc>
          <w:tcPr>
            <w:tcW w:w="3600" w:type="dxa"/>
            <w:vAlign w:val="bottom"/>
          </w:tcPr>
          <w:p>
            <w:pPr>
              <w:spacing w:after="0"/>
              <w:rPr>
                <w:sz w:val="14"/>
                <w:szCs w:val="14"/>
                <w:color w:val="auto"/>
              </w:rPr>
            </w:pPr>
          </w:p>
        </w:tc>
        <w:tc>
          <w:tcPr>
            <w:tcW w:w="1860" w:type="dxa"/>
            <w:vAlign w:val="bottom"/>
            <w:gridSpan w:val="3"/>
          </w:tcPr>
          <w:p>
            <w:pPr>
              <w:ind w:left="60"/>
              <w:spacing w:after="0"/>
              <w:rPr>
                <w:sz w:val="20"/>
                <w:szCs w:val="20"/>
                <w:color w:val="auto"/>
              </w:rPr>
            </w:pPr>
            <w:r>
              <w:rPr>
                <w:rFonts w:ascii="Arial" w:cs="Arial" w:eastAsia="Arial" w:hAnsi="Arial"/>
                <w:sz w:val="14"/>
                <w:szCs w:val="14"/>
                <w:b w:val="1"/>
                <w:bCs w:val="1"/>
                <w:color w:val="auto"/>
              </w:rPr>
              <w:t>Principal Amount</w:t>
            </w: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of Notes due 2023</w:t>
            </w:r>
          </w:p>
        </w:tc>
        <w:tc>
          <w:tcPr>
            <w:tcW w:w="80" w:type="dxa"/>
            <w:vAlign w:val="bottom"/>
          </w:tcPr>
          <w:p>
            <w:pPr>
              <w:spacing w:after="0"/>
              <w:rPr>
                <w:sz w:val="14"/>
                <w:szCs w:val="14"/>
                <w:color w:val="auto"/>
              </w:rPr>
            </w:pPr>
          </w:p>
        </w:tc>
        <w:tc>
          <w:tcPr>
            <w:tcW w:w="12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of Notes due 2026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Merrill Lynch, Pierce, Fenner &amp; Smith</w:t>
            </w:r>
          </w:p>
        </w:tc>
        <w:tc>
          <w:tcPr>
            <w:tcW w:w="3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8"/>
              </w:rPr>
              <w:t>$112,500,000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w w:val="97"/>
              </w:rPr>
              <w:t>112,500,000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7"/>
              </w:rPr>
              <w:t>112,500,000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75,000,000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75,000,000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Securities Inc.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16,875,000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11,250,000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11,250,000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9,375,000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9,375,000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9,375,000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 King &amp; Associates, Inc.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Drexel Hamilton, LLC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Lebenthal &amp; Co., LLC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Mischler Financial Group, Inc.</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3,750,000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3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7"/>
              </w:rPr>
              <w:t>750,000,000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opinions. The underwriters reserve the right to withdraw, cancel or modify offers to the public and to reject orders in whole or in part.</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February 23, 2016,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0.20% and 0.25% of the principal amount of the Notes due 2023 and the Notes due 2026, respectively. The underwriters may allow, and the dealers may reallow, a discount not in excess of 0.15% and 0.20% of the principal amount of the Notes due 2023 and the Notes due 2026, respectively, to other dealers. After the initial public offering, the public offering prices, concessions and discounts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$650,000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2.875% notes due April 2016 and the 4.95% notes due June 2016, and therefore, the underwriters and/or their respective affiliates may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Canada</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bonds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bonds must be made in accordance with an exemption from, or in a transaction not subject to, the prospectus requirements of applicable securities laws.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Prospectus Directive), as permitted under the Prospectus Directive, subject to obtaining the prior consent of the representative; or</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firstLine="443"/>
        <w:spacing w:after="0" w:line="268" w:lineRule="auto"/>
        <w:tabs>
          <w:tab w:leader="none" w:pos="11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Various legal matters relating to the offering will be passed upon for us by Arthur R. Block, Esquire, Executive Vice President, General Counsel and Secretary of Comcast Corporation, Francis M. Buono, Senior Vice President, Legal Regulatory Affairs and Senior Deputy General Counsel of Comcast Corporation, and by Davis Polk &amp; Wardwell LLP, Menlo Park, California. Cahill Gordon &amp; Reindel LLP, New York, New York, is representing the underwriters.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2015,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2015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November 20, 2015, the reported last sale prices on the Nasdaq Global Select Market for our Class A common stock and our Class A Special common stock were $62.90 and $63.01,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30 of Comcast’s and NBCUniversal’s combined annual report on Form 10-K for the year ended December 31, 2014,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23, 2015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377"/>
        </w:trPr>
        <w:tc>
          <w:tcPr>
            <w:tcW w:w="1120" w:type="dxa"/>
            <w:vAlign w:val="bottom"/>
            <w:gridSpan w:val="3"/>
            <w:vMerge w:val="restart"/>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The Companies</w:t>
              </w:r>
            </w:hyperlink>
          </w:p>
        </w:tc>
        <w:tc>
          <w:tcPr>
            <w:tcW w:w="9920" w:type="dxa"/>
            <w:vAlign w:val="bottom"/>
            <w:gridSpan w:val="12"/>
            <w:vMerge w:val="restart"/>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Caution Concerning Forward-Looking Statements</w:t>
              </w:r>
            </w:hyperlink>
          </w:p>
        </w:tc>
        <w:tc>
          <w:tcPr>
            <w:tcW w:w="750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9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Global Securities</w:t>
              </w:r>
            </w:hyperlink>
          </w:p>
        </w:tc>
        <w:tc>
          <w:tcPr>
            <w:tcW w:w="7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Description of Capital Stock</w:t>
              </w:r>
            </w:hyperlink>
          </w:p>
        </w:tc>
        <w:tc>
          <w:tcPr>
            <w:tcW w:w="9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9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10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Incorporation of Certain Documents by Reference</w:t>
              </w:r>
            </w:hyperlink>
          </w:p>
        </w:tc>
        <w:tc>
          <w:tcPr>
            <w:tcW w:w="7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56" w:lineRule="exact"/>
        <w:rPr>
          <w:sz w:val="20"/>
          <w:szCs w:val="20"/>
          <w:color w:val="auto"/>
        </w:rPr>
      </w:pPr>
    </w:p>
    <w:p>
      <w:pPr>
        <w:ind w:left="900" w:right="240" w:hanging="325"/>
        <w:spacing w:after="0" w:line="262"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businesses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production operations.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the NBC Universo national cable network, and our broadcast television production operations.</w:t>
      </w:r>
    </w:p>
    <w:p>
      <w:pPr>
        <w:spacing w:after="0" w:line="38" w:lineRule="exact"/>
        <w:rPr>
          <w:rFonts w:ascii="Arial" w:cs="Arial" w:eastAsia="Arial" w:hAnsi="Arial"/>
          <w:sz w:val="18"/>
          <w:szCs w:val="18"/>
          <w:color w:val="auto"/>
        </w:rPr>
      </w:pPr>
    </w:p>
    <w:p>
      <w:pPr>
        <w:ind w:left="900" w:right="160" w:hanging="325"/>
        <w:spacing w:after="0" w:line="27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2014, our Cable Communications segment generated 64% of our consolidated revenue and 79% of our operating income before depreciation and amortization. The Cable Networks, Broadcast Television, Filmed Entertainment and Theme Parks segments comprise NBCUniversal’s businesses.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2014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consumer behavior driven by new products and services may adversely affect our businesses and challenge existing business models;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businesses;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 ;</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retains the right to change our dividend policy at any time.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91"/>
              </w:rPr>
              <w:t>For the Nine Months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3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7"/>
              </w:rPr>
              <w:t>Ended September 30,</w:t>
            </w:r>
          </w:p>
        </w:tc>
        <w:tc>
          <w:tcPr>
            <w:tcW w:w="6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jc w:val="right"/>
              <w:ind w:right="446"/>
              <w:spacing w:after="0"/>
              <w:rPr>
                <w:sz w:val="20"/>
                <w:szCs w:val="20"/>
                <w:color w:val="auto"/>
              </w:rPr>
            </w:pPr>
            <w:r>
              <w:rPr>
                <w:rFonts w:ascii="Arial" w:cs="Arial" w:eastAsia="Arial" w:hAnsi="Arial"/>
                <w:sz w:val="14"/>
                <w:szCs w:val="14"/>
                <w:b w:val="1"/>
                <w:bCs w:val="1"/>
                <w:color w:val="auto"/>
              </w:rPr>
              <w:t>2015</w:t>
            </w:r>
          </w:p>
        </w:tc>
        <w:tc>
          <w:tcPr>
            <w:tcW w:w="238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3"/>
        </w:trPr>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5.51x</w:t>
            </w:r>
          </w:p>
        </w:tc>
        <w:tc>
          <w:tcPr>
            <w:tcW w:w="6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5.22x</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Arial" w:cs="Arial" w:eastAsia="Arial" w:hAnsi="Arial"/>
                <w:sz w:val="18"/>
                <w:szCs w:val="18"/>
                <w:color w:val="auto"/>
                <w:w w:val="86"/>
              </w:rPr>
              <w:t>4.85x</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4.04x</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3.57x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31"/>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31"/>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terminate our obligations and the obligations of the Guarantors under the indenture with respect to the senior debt securities of any series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20" w:hanging="325"/>
        <w:spacing w:after="0" w:line="370"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1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0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“Dividend Policy”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As of December 31, 2014,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2014,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September 30, 2015, if Mr. Roberts were to convert the Class B common stock he beneficially owns into Class A common stock, Mr. Roberts would beneficially own 15,182,592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will, when issued, be, fully paid and nonassessable. We have been advised that the Class A common stock and Class A Special common stock are exempt from existing Pennsylvania personal property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 ’s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2014, filed on February 27, 2015.</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2015 annual meeting of shareholders incorporated by reference in Comcast’s Annual Report on Form 10-K for the year ended December 31, 2014.</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685800</wp:posOffset>
            </wp:positionV>
            <wp:extent cx="1397635" cy="488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20"/>
        <w:spacing w:after="0"/>
        <w:tabs>
          <w:tab w:leader="none" w:pos="5300" w:val="left"/>
        </w:tabs>
        <w:rPr>
          <w:sz w:val="20"/>
          <w:szCs w:val="20"/>
          <w:color w:val="auto"/>
        </w:rPr>
      </w:pPr>
      <w:r>
        <w:rPr>
          <w:rFonts w:ascii="Arial" w:cs="Arial" w:eastAsia="Arial" w:hAnsi="Arial"/>
          <w:sz w:val="32"/>
          <w:szCs w:val="32"/>
          <w:b w:val="1"/>
          <w:bCs w:val="1"/>
          <w:color w:val="auto"/>
        </w:rPr>
        <w:t>$750,000,000</w:t>
      </w:r>
      <w:r>
        <w:rPr>
          <w:sz w:val="20"/>
          <w:szCs w:val="20"/>
          <w:color w:val="auto"/>
        </w:rPr>
        <w:tab/>
      </w:r>
      <w:r>
        <w:rPr>
          <w:rFonts w:ascii="Arial" w:cs="Arial" w:eastAsia="Arial" w:hAnsi="Arial"/>
          <w:sz w:val="29"/>
          <w:szCs w:val="29"/>
          <w:b w:val="1"/>
          <w:bCs w:val="1"/>
          <w:color w:val="auto"/>
        </w:rPr>
        <w:t>2.75% Notes due 2023</w:t>
      </w:r>
    </w:p>
    <w:p>
      <w:pPr>
        <w:spacing w:after="0" w:line="33" w:lineRule="exact"/>
        <w:rPr>
          <w:sz w:val="20"/>
          <w:szCs w:val="20"/>
          <w:color w:val="auto"/>
        </w:rPr>
      </w:pPr>
    </w:p>
    <w:p>
      <w:pPr>
        <w:ind w:left="3000"/>
        <w:spacing w:after="0"/>
        <w:tabs>
          <w:tab w:leader="none" w:pos="5340" w:val="left"/>
        </w:tabs>
        <w:rPr>
          <w:sz w:val="20"/>
          <w:szCs w:val="20"/>
          <w:color w:val="auto"/>
        </w:rPr>
      </w:pPr>
      <w:r>
        <w:rPr>
          <w:rFonts w:ascii="Arial" w:cs="Arial" w:eastAsia="Arial" w:hAnsi="Arial"/>
          <w:sz w:val="32"/>
          <w:szCs w:val="32"/>
          <w:b w:val="1"/>
          <w:bCs w:val="1"/>
          <w:color w:val="auto"/>
        </w:rPr>
        <w:t>$1,500,000,000</w:t>
      </w:r>
      <w:r>
        <w:rPr>
          <w:sz w:val="20"/>
          <w:szCs w:val="20"/>
          <w:color w:val="auto"/>
        </w:rPr>
        <w:tab/>
      </w:r>
      <w:r>
        <w:rPr>
          <w:rFonts w:ascii="Arial" w:cs="Arial" w:eastAsia="Arial" w:hAnsi="Arial"/>
          <w:sz w:val="29"/>
          <w:szCs w:val="29"/>
          <w:b w:val="1"/>
          <w:bCs w:val="1"/>
          <w:color w:val="auto"/>
        </w:rPr>
        <w:t>3.15%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549910</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40" w:type="dxa"/>
            <w:vAlign w:val="bottom"/>
          </w:tcPr>
          <w:p>
            <w:pPr>
              <w:spacing w:after="0"/>
              <w:rPr>
                <w:sz w:val="23"/>
                <w:szCs w:val="23"/>
                <w:color w:val="auto"/>
              </w:rPr>
            </w:pPr>
          </w:p>
        </w:tc>
        <w:tc>
          <w:tcPr>
            <w:tcW w:w="3660" w:type="dxa"/>
            <w:vAlign w:val="bottom"/>
            <w:gridSpan w:val="3"/>
          </w:tcPr>
          <w:p>
            <w:pPr>
              <w:jc w:val="center"/>
              <w:spacing w:after="0"/>
              <w:rPr>
                <w:sz w:val="20"/>
                <w:szCs w:val="20"/>
                <w:color w:val="auto"/>
              </w:rPr>
            </w:pPr>
            <w:r>
              <w:rPr>
                <w:rFonts w:ascii="Arial" w:cs="Arial" w:eastAsia="Arial" w:hAnsi="Arial"/>
                <w:sz w:val="22"/>
                <w:szCs w:val="22"/>
                <w:i w:val="1"/>
                <w:iCs w:val="1"/>
                <w:color w:val="auto"/>
                <w:w w:val="89"/>
              </w:rPr>
              <w:t>Joint Book-Running Managers</w:t>
            </w:r>
          </w:p>
        </w:tc>
        <w:tc>
          <w:tcPr>
            <w:tcW w:w="3920" w:type="dxa"/>
            <w:vAlign w:val="bottom"/>
          </w:tcPr>
          <w:p>
            <w:pPr>
              <w:spacing w:after="0"/>
              <w:rPr>
                <w:sz w:val="23"/>
                <w:szCs w:val="23"/>
                <w:color w:val="auto"/>
              </w:rPr>
            </w:pPr>
          </w:p>
        </w:tc>
      </w:tr>
      <w:tr>
        <w:trPr>
          <w:trHeight w:val="422"/>
        </w:trPr>
        <w:tc>
          <w:tcPr>
            <w:tcW w:w="384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680" w:type="dxa"/>
            <w:vAlign w:val="bottom"/>
          </w:tcPr>
          <w:p>
            <w:pPr>
              <w:spacing w:after="0"/>
              <w:rPr>
                <w:sz w:val="24"/>
                <w:szCs w:val="24"/>
                <w:color w:val="auto"/>
              </w:rPr>
            </w:pPr>
          </w:p>
        </w:tc>
        <w:tc>
          <w:tcPr>
            <w:tcW w:w="29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94"/>
              </w:rPr>
              <w:t>RBC Capital Markets</w:t>
            </w:r>
          </w:p>
        </w:tc>
        <w:tc>
          <w:tcPr>
            <w:tcW w:w="3920" w:type="dxa"/>
            <w:vAlign w:val="bottom"/>
          </w:tcPr>
          <w:p>
            <w:pPr>
              <w:jc w:val="center"/>
              <w:ind w:left="172"/>
              <w:spacing w:after="0"/>
              <w:rPr>
                <w:sz w:val="20"/>
                <w:szCs w:val="20"/>
                <w:color w:val="auto"/>
              </w:rPr>
            </w:pPr>
            <w:r>
              <w:rPr>
                <w:rFonts w:ascii="Arial" w:cs="Arial" w:eastAsia="Arial" w:hAnsi="Arial"/>
                <w:sz w:val="22"/>
                <w:szCs w:val="22"/>
                <w:b w:val="1"/>
                <w:bCs w:val="1"/>
                <w:color w:val="auto"/>
                <w:w w:val="87"/>
              </w:rPr>
              <w:t>Wells Fargo Securities</w:t>
            </w:r>
          </w:p>
        </w:tc>
      </w:tr>
      <w:tr>
        <w:trPr>
          <w:trHeight w:val="281"/>
        </w:trPr>
        <w:tc>
          <w:tcPr>
            <w:tcW w:w="3840" w:type="dxa"/>
            <w:vAlign w:val="bottom"/>
          </w:tcPr>
          <w:p>
            <w:pPr>
              <w:ind w:left="2500"/>
              <w:spacing w:after="0"/>
              <w:rPr>
                <w:sz w:val="20"/>
                <w:szCs w:val="20"/>
                <w:color w:val="auto"/>
              </w:rPr>
            </w:pPr>
            <w:r>
              <w:rPr>
                <w:rFonts w:ascii="Arial" w:cs="Arial" w:eastAsia="Arial" w:hAnsi="Arial"/>
                <w:sz w:val="22"/>
                <w:szCs w:val="22"/>
                <w:b w:val="1"/>
                <w:bCs w:val="1"/>
                <w:color w:val="auto"/>
              </w:rPr>
              <w:t>Barclays</w:t>
            </w: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tcPr>
          <w:p>
            <w:pPr>
              <w:jc w:val="center"/>
              <w:ind w:right="1532"/>
              <w:spacing w:after="0"/>
              <w:rPr>
                <w:sz w:val="20"/>
                <w:szCs w:val="20"/>
                <w:color w:val="auto"/>
              </w:rPr>
            </w:pPr>
            <w:r>
              <w:rPr>
                <w:rFonts w:ascii="Arial" w:cs="Arial" w:eastAsia="Arial" w:hAnsi="Arial"/>
                <w:sz w:val="22"/>
                <w:szCs w:val="22"/>
                <w:b w:val="1"/>
                <w:bCs w:val="1"/>
                <w:color w:val="auto"/>
                <w:w w:val="93"/>
              </w:rPr>
              <w:t>BNP PARIBAS</w:t>
            </w:r>
          </w:p>
        </w:tc>
      </w:tr>
      <w:tr>
        <w:trPr>
          <w:trHeight w:val="287"/>
        </w:trPr>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70"/>
        </w:trPr>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80" w:type="dxa"/>
            <w:vAlign w:val="bottom"/>
            <w:gridSpan w:val="2"/>
          </w:tcPr>
          <w:p>
            <w:pPr>
              <w:jc w:val="center"/>
              <w:ind w:right="600"/>
              <w:spacing w:after="0"/>
              <w:rPr>
                <w:sz w:val="20"/>
                <w:szCs w:val="20"/>
                <w:color w:val="auto"/>
              </w:rPr>
            </w:pPr>
            <w:r>
              <w:rPr>
                <w:rFonts w:ascii="Arial" w:cs="Arial" w:eastAsia="Arial" w:hAnsi="Arial"/>
                <w:sz w:val="18"/>
                <w:szCs w:val="18"/>
                <w:i w:val="1"/>
                <w:iCs w:val="1"/>
                <w:color w:val="auto"/>
                <w:w w:val="89"/>
              </w:rPr>
              <w:t>Co-Managers</w:t>
            </w:r>
          </w:p>
        </w:tc>
        <w:tc>
          <w:tcPr>
            <w:tcW w:w="3920" w:type="dxa"/>
            <w:vAlign w:val="bottom"/>
          </w:tcPr>
          <w:p>
            <w:pPr>
              <w:spacing w:after="0"/>
              <w:rPr>
                <w:sz w:val="24"/>
                <w:szCs w:val="24"/>
                <w:color w:val="auto"/>
              </w:rPr>
            </w:pPr>
          </w:p>
        </w:tc>
      </w:tr>
      <w:tr>
        <w:trPr>
          <w:trHeight w:val="406"/>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2"/>
              </w:rPr>
              <w:t>Citigroup</w:t>
            </w:r>
          </w:p>
        </w:tc>
        <w:tc>
          <w:tcPr>
            <w:tcW w:w="680" w:type="dxa"/>
            <w:vAlign w:val="bottom"/>
          </w:tcPr>
          <w:p>
            <w:pPr>
              <w:spacing w:after="0"/>
              <w:rPr>
                <w:sz w:val="24"/>
                <w:szCs w:val="24"/>
                <w:color w:val="auto"/>
              </w:rPr>
            </w:pPr>
          </w:p>
        </w:tc>
        <w:tc>
          <w:tcPr>
            <w:tcW w:w="2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Credit Suisse</w:t>
            </w:r>
          </w:p>
        </w:tc>
        <w:tc>
          <w:tcPr>
            <w:tcW w:w="3920" w:type="dxa"/>
            <w:vAlign w:val="bottom"/>
          </w:tcPr>
          <w:p>
            <w:pPr>
              <w:jc w:val="center"/>
              <w:ind w:left="172"/>
              <w:spacing w:after="0"/>
              <w:rPr>
                <w:sz w:val="20"/>
                <w:szCs w:val="20"/>
                <w:color w:val="auto"/>
              </w:rPr>
            </w:pPr>
            <w:r>
              <w:rPr>
                <w:rFonts w:ascii="Arial" w:cs="Arial" w:eastAsia="Arial" w:hAnsi="Arial"/>
                <w:sz w:val="18"/>
                <w:szCs w:val="18"/>
                <w:b w:val="1"/>
                <w:bCs w:val="1"/>
                <w:color w:val="auto"/>
                <w:w w:val="85"/>
              </w:rPr>
              <w:t>Deutsche Bank Securities</w:t>
            </w:r>
          </w:p>
        </w:tc>
      </w:tr>
      <w:tr>
        <w:trPr>
          <w:trHeight w:val="216"/>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8"/>
              </w:rPr>
              <w:t>Goldman, Sachs &amp; Co.</w:t>
            </w:r>
          </w:p>
        </w:tc>
        <w:tc>
          <w:tcPr>
            <w:tcW w:w="680" w:type="dxa"/>
            <w:vAlign w:val="bottom"/>
          </w:tcPr>
          <w:p>
            <w:pPr>
              <w:spacing w:after="0"/>
              <w:rPr>
                <w:sz w:val="18"/>
                <w:szCs w:val="18"/>
                <w:color w:val="auto"/>
              </w:rPr>
            </w:pPr>
          </w:p>
        </w:tc>
        <w:tc>
          <w:tcPr>
            <w:tcW w:w="2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J.P. Morgan</w:t>
            </w:r>
          </w:p>
        </w:tc>
        <w:tc>
          <w:tcPr>
            <w:tcW w:w="3920" w:type="dxa"/>
            <w:vAlign w:val="bottom"/>
          </w:tcPr>
          <w:p>
            <w:pPr>
              <w:jc w:val="center"/>
              <w:ind w:left="192"/>
              <w:spacing w:after="0"/>
              <w:rPr>
                <w:sz w:val="20"/>
                <w:szCs w:val="20"/>
                <w:color w:val="auto"/>
              </w:rPr>
            </w:pPr>
            <w:r>
              <w:rPr>
                <w:rFonts w:ascii="Arial" w:cs="Arial" w:eastAsia="Arial" w:hAnsi="Arial"/>
                <w:sz w:val="18"/>
                <w:szCs w:val="18"/>
                <w:b w:val="1"/>
                <w:bCs w:val="1"/>
                <w:color w:val="auto"/>
                <w:w w:val="85"/>
              </w:rPr>
              <w:t>Lloyds Securities</w:t>
            </w:r>
          </w:p>
        </w:tc>
      </w:tr>
      <w:tr>
        <w:trPr>
          <w:trHeight w:val="216"/>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Mizuho Securities</w:t>
            </w:r>
          </w:p>
        </w:tc>
        <w:tc>
          <w:tcPr>
            <w:tcW w:w="680" w:type="dxa"/>
            <w:vAlign w:val="bottom"/>
          </w:tcPr>
          <w:p>
            <w:pPr>
              <w:spacing w:after="0"/>
              <w:rPr>
                <w:sz w:val="18"/>
                <w:szCs w:val="18"/>
                <w:color w:val="auto"/>
              </w:rPr>
            </w:pPr>
          </w:p>
        </w:tc>
        <w:tc>
          <w:tcPr>
            <w:tcW w:w="2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Morgan Stanley</w:t>
            </w:r>
          </w:p>
        </w:tc>
        <w:tc>
          <w:tcPr>
            <w:tcW w:w="3920" w:type="dxa"/>
            <w:vAlign w:val="bottom"/>
          </w:tcPr>
          <w:p>
            <w:pPr>
              <w:jc w:val="center"/>
              <w:ind w:left="192"/>
              <w:spacing w:after="0"/>
              <w:rPr>
                <w:sz w:val="20"/>
                <w:szCs w:val="20"/>
                <w:color w:val="auto"/>
              </w:rPr>
            </w:pPr>
            <w:r>
              <w:rPr>
                <w:rFonts w:ascii="Arial" w:cs="Arial" w:eastAsia="Arial" w:hAnsi="Arial"/>
                <w:sz w:val="18"/>
                <w:szCs w:val="18"/>
                <w:b w:val="1"/>
                <w:bCs w:val="1"/>
                <w:color w:val="auto"/>
                <w:w w:val="93"/>
              </w:rPr>
              <w:t>SMBC Nikko</w:t>
            </w:r>
          </w:p>
        </w:tc>
      </w:tr>
      <w:tr>
        <w:trPr>
          <w:trHeight w:val="228"/>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8"/>
              </w:rPr>
              <w:t>SunTrust Robinson Humphrey</w:t>
            </w:r>
          </w:p>
        </w:tc>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20" w:type="dxa"/>
            <w:vAlign w:val="bottom"/>
          </w:tcPr>
          <w:p>
            <w:pPr>
              <w:jc w:val="center"/>
              <w:ind w:left="192"/>
              <w:spacing w:after="0"/>
              <w:rPr>
                <w:sz w:val="20"/>
                <w:szCs w:val="20"/>
                <w:color w:val="auto"/>
              </w:rPr>
            </w:pPr>
            <w:r>
              <w:rPr>
                <w:rFonts w:ascii="Arial" w:cs="Arial" w:eastAsia="Arial" w:hAnsi="Arial"/>
                <w:sz w:val="18"/>
                <w:szCs w:val="18"/>
                <w:b w:val="1"/>
                <w:bCs w:val="1"/>
                <w:color w:val="auto"/>
                <w:w w:val="89"/>
              </w:rPr>
              <w:t>UBS Investment Bank</w:t>
            </w:r>
          </w:p>
        </w:tc>
      </w:tr>
      <w:tr>
        <w:trPr>
          <w:trHeight w:val="297"/>
        </w:trPr>
        <w:tc>
          <w:tcPr>
            <w:tcW w:w="3840" w:type="dxa"/>
            <w:vAlign w:val="bottom"/>
          </w:tcPr>
          <w:p>
            <w:pPr>
              <w:ind w:left="2500"/>
              <w:spacing w:after="0"/>
              <w:rPr>
                <w:sz w:val="20"/>
                <w:szCs w:val="20"/>
                <w:color w:val="auto"/>
              </w:rPr>
            </w:pPr>
            <w:r>
              <w:rPr>
                <w:rFonts w:ascii="Arial" w:cs="Arial" w:eastAsia="Arial" w:hAnsi="Arial"/>
                <w:sz w:val="18"/>
                <w:szCs w:val="18"/>
                <w:b w:val="1"/>
                <w:bCs w:val="1"/>
                <w:color w:val="auto"/>
              </w:rPr>
              <w:t>Santander</w:t>
            </w: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tcPr>
          <w:p>
            <w:pPr>
              <w:jc w:val="center"/>
              <w:ind w:right="1532"/>
              <w:spacing w:after="0"/>
              <w:rPr>
                <w:sz w:val="20"/>
                <w:szCs w:val="20"/>
                <w:color w:val="auto"/>
              </w:rPr>
            </w:pPr>
            <w:r>
              <w:rPr>
                <w:rFonts w:ascii="Arial" w:cs="Arial" w:eastAsia="Arial" w:hAnsi="Arial"/>
                <w:sz w:val="18"/>
                <w:szCs w:val="18"/>
                <w:b w:val="1"/>
                <w:bCs w:val="1"/>
                <w:color w:val="auto"/>
                <w:w w:val="87"/>
              </w:rPr>
              <w:t>US Bancorp</w:t>
            </w:r>
          </w:p>
        </w:tc>
      </w:tr>
      <w:tr>
        <w:trPr>
          <w:trHeight w:val="297"/>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4"/>
              </w:rPr>
              <w:t>DNB Markets</w:t>
            </w:r>
          </w:p>
        </w:tc>
        <w:tc>
          <w:tcPr>
            <w:tcW w:w="680" w:type="dxa"/>
            <w:vAlign w:val="bottom"/>
          </w:tcPr>
          <w:p>
            <w:pPr>
              <w:spacing w:after="0"/>
              <w:rPr>
                <w:sz w:val="24"/>
                <w:szCs w:val="24"/>
                <w:color w:val="auto"/>
              </w:rPr>
            </w:pPr>
          </w:p>
        </w:tc>
        <w:tc>
          <w:tcPr>
            <w:tcW w:w="2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PNC Capital Markets LLC</w:t>
            </w:r>
          </w:p>
        </w:tc>
        <w:tc>
          <w:tcPr>
            <w:tcW w:w="392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TD Securities</w:t>
            </w:r>
          </w:p>
        </w:tc>
      </w:tr>
      <w:tr>
        <w:trPr>
          <w:trHeight w:val="219"/>
        </w:trPr>
        <w:tc>
          <w:tcPr>
            <w:tcW w:w="3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The Williams Capital Group, L.P.</w:t>
            </w:r>
          </w:p>
        </w:tc>
        <w:tc>
          <w:tcPr>
            <w:tcW w:w="3920" w:type="dxa"/>
            <w:vAlign w:val="bottom"/>
          </w:tcPr>
          <w:p>
            <w:pPr>
              <w:spacing w:after="0"/>
              <w:rPr>
                <w:sz w:val="19"/>
                <w:szCs w:val="19"/>
                <w:color w:val="auto"/>
              </w:rPr>
            </w:pPr>
          </w:p>
        </w:tc>
      </w:tr>
      <w:tr>
        <w:trPr>
          <w:trHeight w:val="149"/>
        </w:trPr>
        <w:tc>
          <w:tcPr>
            <w:tcW w:w="3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C.L. King &amp; Associates</w:t>
            </w:r>
          </w:p>
        </w:tc>
        <w:tc>
          <w:tcPr>
            <w:tcW w:w="680" w:type="dxa"/>
            <w:vAlign w:val="bottom"/>
          </w:tcPr>
          <w:p>
            <w:pPr>
              <w:spacing w:after="0"/>
              <w:rPr>
                <w:sz w:val="12"/>
                <w:szCs w:val="12"/>
                <w:color w:val="auto"/>
              </w:rPr>
            </w:pPr>
          </w:p>
        </w:tc>
        <w:tc>
          <w:tcPr>
            <w:tcW w:w="2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Drexel Hamilton</w:t>
            </w:r>
          </w:p>
        </w:tc>
        <w:tc>
          <w:tcPr>
            <w:tcW w:w="39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Lebenthal Capital Markets</w:t>
            </w:r>
          </w:p>
        </w:tc>
      </w:tr>
      <w:tr>
        <w:trPr>
          <w:trHeight w:val="174"/>
        </w:trPr>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0"/>
              </w:rPr>
              <w:t>Loop Capital Markets</w:t>
            </w:r>
          </w:p>
        </w:tc>
        <w:tc>
          <w:tcPr>
            <w:tcW w:w="680" w:type="dxa"/>
            <w:vAlign w:val="bottom"/>
          </w:tcPr>
          <w:p>
            <w:pPr>
              <w:spacing w:after="0"/>
              <w:rPr>
                <w:sz w:val="15"/>
                <w:szCs w:val="15"/>
                <w:color w:val="auto"/>
              </w:rPr>
            </w:pPr>
          </w:p>
        </w:tc>
        <w:tc>
          <w:tcPr>
            <w:tcW w:w="2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Mischler Financial Group, Inc.</w:t>
            </w:r>
          </w:p>
        </w:tc>
        <w:tc>
          <w:tcPr>
            <w:tcW w:w="392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Ramirez and Co., Inc.</w:t>
            </w:r>
          </w:p>
        </w:tc>
      </w:tr>
      <w:tr>
        <w:trPr>
          <w:trHeight w:val="876"/>
        </w:trPr>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February 16, 2016</w:t>
            </w:r>
          </w:p>
        </w:tc>
        <w:tc>
          <w:tcPr>
            <w:tcW w:w="3920" w:type="dxa"/>
            <w:vAlign w:val="bottom"/>
          </w:tcPr>
          <w:p>
            <w:pPr>
              <w:spacing w:after="0"/>
              <w:rPr>
                <w:sz w:val="24"/>
                <w:szCs w:val="24"/>
                <w:color w:val="auto"/>
              </w:rPr>
            </w:pPr>
          </w:p>
        </w:tc>
      </w:tr>
      <w:tr>
        <w:trPr>
          <w:trHeight w:val="522"/>
        </w:trPr>
        <w:tc>
          <w:tcPr>
            <w:tcW w:w="3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215"/>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lowerLetter"/>
      <w:start w:val="3"/>
    </w:lvl>
  </w:abstractNum>
  <w:abstractNum w:abstractNumId="6">
    <w:nsid w:val="2CA88611"/>
    <w:multiLevelType w:val="hybridMultilevel"/>
    <w:lvl w:ilvl="0">
      <w:lvlJc w:val="left"/>
      <w:lvlText w:val="•"/>
      <w:numFmt w:val="bullet"/>
      <w:start w:val="1"/>
    </w:lvl>
    <w:lvl w:ilvl="1">
      <w:lvlJc w:val="left"/>
      <w:lvlText w:val="•"/>
      <w:numFmt w:val="bullet"/>
      <w:start w:val="1"/>
    </w:lvl>
  </w:abstractNum>
  <w:abstractNum w:abstractNumId="7">
    <w:nsid w:val="836C40E"/>
    <w:multiLevelType w:val="hybridMultilevel"/>
    <w:lvl w:ilvl="0">
      <w:lvlJc w:val="left"/>
      <w:lvlText w:val="%1"/>
      <w:numFmt w:val="lowerLetter"/>
      <w:start w:val="1"/>
    </w:lvl>
    <w:lvl w:ilvl="1">
      <w:lvlJc w:val="left"/>
      <w:lvlText w:val="(%2)"/>
      <w:numFmt w:val="lowerLetter"/>
      <w:start w:val="1"/>
    </w:lvl>
  </w:abstractNum>
  <w:abstractNum w:abstractNumId="8">
    <w:nsid w:val="2901D82"/>
    <w:multiLevelType w:val="hybridMultilevel"/>
    <w:lvl w:ilvl="0">
      <w:lvlJc w:val="left"/>
      <w:lvlText w:val="(%1)"/>
      <w:numFmt w:val="lowerLetter"/>
      <w:start w:val="9"/>
    </w:lvl>
    <w:lvl w:ilvl="1">
      <w:lvlJc w:val="left"/>
      <w:lvlText w:val="(%2)"/>
      <w:numFmt w:val="lowerLetter"/>
      <w:start w:val="2"/>
    </w:lvl>
  </w:abstractNum>
  <w:abstractNum w:abstractNumId="9">
    <w:nsid w:val="3A95F874"/>
    <w:multiLevelType w:val="hybridMultilevel"/>
    <w:lvl w:ilvl="0">
      <w:lvlJc w:val="left"/>
      <w:lvlText w:val="(%1)"/>
      <w:numFmt w:val="lowerRoman"/>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upperLetter"/>
      <w:start w:val="1"/>
    </w:lvl>
  </w:abstractNum>
  <w:abstractNum w:abstractNumId="16">
    <w:nsid w:val="4516DDE9"/>
    <w:multiLevelType w:val="hybridMultilevel"/>
    <w:lvl w:ilvl="0">
      <w:lvlJc w:val="left"/>
      <w:lvlText w:val="%1."/>
      <w:numFmt w:val="upperLetter"/>
      <w:start w:val="3"/>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3"/>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3"/>
    </w:lvl>
  </w:abstractNum>
  <w:abstractNum w:abstractNumId="30">
    <w:nsid w:val="2D517796"/>
    <w:multiLevelType w:val="hybridMultilevel"/>
    <w:lvl w:ilvl="0">
      <w:lvlJc w:val="left"/>
      <w:lvlText w:val="%1"/>
      <w:numFmt w:val="lowerLetter"/>
      <w:start w:val="1"/>
    </w:lvl>
    <w:lvl w:ilvl="1">
      <w:lvlJc w:val="left"/>
      <w:lvlText w:val="(%2)"/>
      <w:numFmt w:val="lowerLetter"/>
      <w:start w:val="13"/>
    </w:lvl>
  </w:abstractNum>
  <w:abstractNum w:abstractNumId="31">
    <w:nsid w:val="580BD78F"/>
    <w:multiLevelType w:val="hybridMultilevel"/>
    <w:lvl w:ilvl="0">
      <w:lvlJc w:val="left"/>
      <w:lvlText w:val="(%1)"/>
      <w:numFmt w:val="lowerLetter"/>
      <w:start w:val="61"/>
    </w:lvl>
    <w:lvl w:ilvl="1">
      <w:lvlJc w:val="left"/>
      <w:lvlText w:val="(%2)"/>
      <w:numFmt w:val="lowerLetter"/>
      <w:start w:val="19"/>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
      <w:numFmt w:val="bullet"/>
      <w:start w:val="1"/>
    </w:lvl>
    <w:lvl w:ilvl="1">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lvl w:ilvl="1">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2019-12-07T15:42:11Z</dcterms:created>
  <dcterms:modified xsi:type="dcterms:W3CDTF">2019-12-07T15:42:11Z</dcterms:modified>
</cp:coreProperties>
</file>