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FORM 10-Q</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1800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CMCS32A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CMCS36A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CMCS40A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As of October 15, 2025, there were 3,634,450,130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173355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139065</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7"/>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9"/>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6: Significant Transactions</w:t>
            </w:r>
          </w:p>
        </w:tc>
        <w:tc>
          <w:tcPr>
            <w:tcW w:w="370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7: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8: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9: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10: Commitments and Contingencies</w:t>
            </w:r>
          </w:p>
        </w:tc>
        <w:tc>
          <w:tcPr>
            <w:tcW w:w="2960" w:type="dxa"/>
            <w:vAlign w:val="bottom"/>
            <w:gridSpan w:val="1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20"/>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7"/>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and nine months ended September 30, 2025.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“would,” “will,” “continue,” “will likely result” and similar expressions. In evaluating these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99"/>
              </w:rPr>
              <w:t>2024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31,198</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32,070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91,397</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8,655</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10,216</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24,646</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2,196</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1,989</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6,435</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10,795</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10,128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31,109</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2,353</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2,219</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6,934</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1,666</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1,659</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5,089</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25,665</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26,211</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74,213</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5,534</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5,859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17,184</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(1,128)</w:t>
            </w:r>
          </w:p>
        </w:tc>
        <w:tc>
          <w:tcPr>
            <w:tcW w:w="64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(1,037)</w:t>
            </w:r>
          </w:p>
        </w:tc>
        <w:tc>
          <w:tcPr>
            <w:tcW w:w="4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(3,283)</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9,705</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4,468</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4,819</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23,607</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(1,218)</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(1,243)</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(6,017)</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3,249</w:t>
            </w:r>
          </w:p>
        </w:tc>
        <w:tc>
          <w:tcPr>
            <w:tcW w:w="64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3,576</w:t>
            </w:r>
          </w:p>
        </w:tc>
        <w:tc>
          <w:tcPr>
            <w:tcW w:w="4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17,590</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3,332</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3,629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17,830</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11,415</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0.91</w:t>
            </w:r>
          </w:p>
        </w:tc>
        <w:tc>
          <w:tcPr>
            <w:tcW w:w="6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4.79</w:t>
            </w:r>
          </w:p>
        </w:tc>
        <w:tc>
          <w:tcPr>
            <w:tcW w:w="6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0.90</w:t>
            </w:r>
          </w:p>
        </w:tc>
        <w:tc>
          <w:tcPr>
            <w:tcW w:w="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4.78</w:t>
            </w:r>
          </w:p>
        </w:tc>
        <w:tc>
          <w:tcPr>
            <w:tcW w:w="6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0" w:type="dxa"/>
            <w:vAlign w:val="bottom"/>
          </w:tcPr>
          <w:p>
            <w:pPr>
              <w:spacing w:after="0"/>
              <w:rPr>
                <w:sz w:val="1"/>
                <w:szCs w:val="1"/>
                <w:color w:val="auto"/>
              </w:rPr>
            </w:pPr>
          </w:p>
        </w:tc>
      </w:tr>
      <w:tr>
        <w:trPr>
          <w:trHeight w:val="245"/>
        </w:trPr>
        <w:tc>
          <w:tcPr>
            <w:tcW w:w="5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80" w:type="dxa"/>
            <w:vAlign w:val="bottom"/>
          </w:tcPr>
          <w:p>
            <w:pPr>
              <w:jc w:val="center"/>
              <w:ind w:right="908"/>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21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49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908"/>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828"/>
              <w:spacing w:after="0"/>
              <w:rPr>
                <w:sz w:val="20"/>
                <w:szCs w:val="20"/>
                <w:color w:val="auto"/>
              </w:rPr>
            </w:pPr>
            <w:r>
              <w:rPr>
                <w:rFonts w:ascii="Times New Roman" w:cs="Times New Roman" w:eastAsia="Times New Roman" w:hAnsi="Times New Roman"/>
                <w:sz w:val="14"/>
                <w:szCs w:val="14"/>
                <w:color w:val="auto"/>
              </w:rPr>
              <w:t>September 30,</w:t>
            </w:r>
          </w:p>
        </w:tc>
      </w:tr>
      <w:tr>
        <w:trPr>
          <w:trHeight w:val="18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2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1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3"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p>
      <w:pPr>
        <w:spacing w:after="0" w:line="23" w:lineRule="exact"/>
        <w:rPr>
          <w:sz w:val="20"/>
          <w:szCs w:val="20"/>
          <w:color w:val="auto"/>
        </w:rPr>
      </w:pPr>
    </w:p>
    <w:p>
      <w:pPr>
        <w:ind w:left="300" w:right="600" w:hanging="161"/>
        <w:spacing w:after="0" w:line="234" w:lineRule="auto"/>
        <w:rPr>
          <w:sz w:val="20"/>
          <w:szCs w:val="20"/>
          <w:color w:val="auto"/>
        </w:rPr>
      </w:pPr>
      <w:r>
        <w:rPr>
          <w:rFonts w:ascii="Times New Roman" w:cs="Times New Roman" w:eastAsia="Times New Roman" w:hAnsi="Times New Roman"/>
          <w:sz w:val="18"/>
          <w:szCs w:val="18"/>
          <w:color w:val="auto"/>
        </w:rPr>
        <w:t>Currency translation adjustments, net of deferred taxes of $4, $(31), $202 and $(74)</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flow hedges:</w:t>
      </w:r>
    </w:p>
    <w:p>
      <w:pPr>
        <w:spacing w:after="0" w:line="27" w:lineRule="exact"/>
        <w:rPr>
          <w:sz w:val="20"/>
          <w:szCs w:val="20"/>
          <w:color w:val="auto"/>
        </w:rPr>
      </w:pPr>
    </w:p>
    <w:p>
      <w:pPr>
        <w:ind w:left="460" w:right="400" w:hanging="161"/>
        <w:spacing w:after="0" w:line="234" w:lineRule="auto"/>
        <w:rPr>
          <w:sz w:val="20"/>
          <w:szCs w:val="20"/>
          <w:color w:val="auto"/>
        </w:rPr>
      </w:pPr>
      <w:r>
        <w:rPr>
          <w:rFonts w:ascii="Times New Roman" w:cs="Times New Roman" w:eastAsia="Times New Roman" w:hAnsi="Times New Roman"/>
          <w:sz w:val="18"/>
          <w:szCs w:val="18"/>
          <w:color w:val="auto"/>
        </w:rPr>
        <w:t>Deferred gains (losses), net of deferred taxes of $3, $3, $(12), and $1</w:t>
      </w:r>
    </w:p>
    <w:p>
      <w:pPr>
        <w:spacing w:after="0" w:line="10" w:lineRule="exact"/>
        <w:rPr>
          <w:sz w:val="20"/>
          <w:szCs w:val="20"/>
          <w:color w:val="auto"/>
        </w:rPr>
      </w:pPr>
    </w:p>
    <w:p>
      <w:pPr>
        <w:ind w:left="460" w:right="800" w:hanging="161"/>
        <w:spacing w:after="0" w:line="237" w:lineRule="auto"/>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$(6), $11, $13 and $11</w:t>
      </w:r>
    </w:p>
    <w:p>
      <w:pPr>
        <w:spacing w:after="0" w:line="10" w:lineRule="exact"/>
        <w:rPr>
          <w:sz w:val="20"/>
          <w:szCs w:val="20"/>
          <w:color w:val="auto"/>
        </w:rPr>
      </w:pPr>
    </w:p>
    <w:p>
      <w:pPr>
        <w:ind w:left="300" w:right="420" w:hanging="161"/>
        <w:spacing w:after="0" w:line="237" w:lineRule="auto"/>
        <w:rPr>
          <w:sz w:val="20"/>
          <w:szCs w:val="20"/>
          <w:color w:val="auto"/>
        </w:rPr>
      </w:pPr>
      <w:r>
        <w:rPr>
          <w:rFonts w:ascii="Times New Roman" w:cs="Times New Roman" w:eastAsia="Times New Roman" w:hAnsi="Times New Roman"/>
          <w:sz w:val="18"/>
          <w:szCs w:val="18"/>
          <w:color w:val="auto"/>
        </w:rPr>
        <w:t>Employee benefit obligations and other, net of deferred taxes of $10, $2, $30 and $10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3,249</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3,576</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17,590</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64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64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1,889</w:t>
            </w:r>
          </w:p>
        </w:tc>
        <w:tc>
          <w:tcPr>
            <w:tcW w:w="6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2,120</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64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-1207770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-796290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-264795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6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1,829</w:t>
            </w:r>
          </w:p>
        </w:tc>
        <w:tc>
          <w:tcPr>
            <w:tcW w:w="6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1,962</w:t>
            </w: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2,636</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5,405</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19,552</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Other comprehensive income (loss) attributable to</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   $</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2,716</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5,443</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19,783</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17,590</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12,023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1,014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(9,282)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3,250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24,802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(11,720)</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(11,124)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1,994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7,377</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9,371</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20" w:type="dxa"/>
            <w:vAlign w:val="bottom"/>
          </w:tcPr>
          <w:p>
            <w:pPr>
              <w:spacing w:after="0"/>
              <w:rPr>
                <w:sz w:val="13"/>
                <w:szCs w:val="13"/>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9,325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13,214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6,319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28,857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12,959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8,324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$61,772 and $59,534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64,773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61,406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$39,023 and $33,994</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23,379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13,932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272,995</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11,689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10,942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5,852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32,702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93,211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28,357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21,089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4,517,861,156 and</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4,651,093,045; outstanding, 3,645,070,128 and 3,778,302,017</w:t>
            </w:r>
          </w:p>
        </w:tc>
        <w:tc>
          <w:tcPr>
            <w:tcW w:w="3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37,768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66,875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97,081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97,416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272,995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252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224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41"/>
        </w:trPr>
        <w:tc>
          <w:tcPr>
            <w:tcW w:w="5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75"/>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2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2"/>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30"/>
        </w:trPr>
        <w:tc>
          <w:tcPr>
            <w:tcW w:w="528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340" w:type="dxa"/>
            <w:vAlign w:val="bottom"/>
            <w:tcBorders>
              <w:top w:val="single" w:sz="8" w:color="CCEEFF"/>
              <w:bottom w:val="single" w:sz="8" w:color="auto"/>
            </w:tcBorders>
          </w:tcPr>
          <w:p>
            <w:pPr>
              <w:spacing w:after="0"/>
              <w:rPr>
                <w:sz w:val="19"/>
                <w:szCs w:val="19"/>
                <w:color w:val="auto"/>
              </w:rPr>
            </w:pPr>
          </w:p>
        </w:tc>
        <w:tc>
          <w:tcPr>
            <w:tcW w:w="1080" w:type="dxa"/>
            <w:vAlign w:val="bottom"/>
            <w:tcBorders>
              <w:top w:val="single" w:sz="8" w:color="CCEEFF"/>
              <w:bottom w:val="single" w:sz="8" w:color="auto"/>
            </w:tcBorders>
          </w:tcPr>
          <w:p>
            <w:pPr>
              <w:spacing w:after="0"/>
              <w:rPr>
                <w:sz w:val="19"/>
                <w:szCs w:val="19"/>
                <w:color w:val="auto"/>
              </w:rPr>
            </w:pPr>
          </w:p>
        </w:tc>
        <w:tc>
          <w:tcPr>
            <w:tcW w:w="500" w:type="dxa"/>
            <w:vAlign w:val="bottom"/>
            <w:tcBorders>
              <w:top w:val="single" w:sz="8" w:color="CCEEFF"/>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spacing w:after="0"/>
              <w:rPr>
                <w:sz w:val="19"/>
                <w:szCs w:val="19"/>
                <w:color w:val="auto"/>
              </w:rPr>
            </w:pPr>
          </w:p>
        </w:tc>
        <w:tc>
          <w:tcPr>
            <w:tcW w:w="440" w:type="dxa"/>
            <w:vAlign w:val="bottom"/>
            <w:tcBorders>
              <w:top w:val="single" w:sz="8" w:color="CCEEFF"/>
              <w:bottom w:val="single" w:sz="8" w:color="auto"/>
            </w:tcBorders>
          </w:tcPr>
          <w:p>
            <w:pPr>
              <w:spacing w:after="0"/>
              <w:rPr>
                <w:sz w:val="19"/>
                <w:szCs w:val="19"/>
                <w:color w:val="auto"/>
              </w:rPr>
            </w:pPr>
          </w:p>
        </w:tc>
        <w:tc>
          <w:tcPr>
            <w:tcW w:w="1100" w:type="dxa"/>
            <w:vAlign w:val="bottom"/>
            <w:tcBorders>
              <w:top w:val="single" w:sz="8" w:color="CCEEFF"/>
              <w:bottom w:val="single" w:sz="8" w:color="auto"/>
            </w:tcBorders>
          </w:tcPr>
          <w:p>
            <w:pPr>
              <w:spacing w:after="0"/>
              <w:rPr>
                <w:sz w:val="19"/>
                <w:szCs w:val="19"/>
                <w:color w:val="auto"/>
              </w:rPr>
            </w:pPr>
          </w:p>
        </w:tc>
        <w:tc>
          <w:tcPr>
            <w:tcW w:w="480" w:type="dxa"/>
            <w:vAlign w:val="bottom"/>
            <w:tcBorders>
              <w:top w:val="single" w:sz="8" w:color="CCEEFF"/>
              <w:bottom w:val="single" w:sz="8" w:color="auto"/>
            </w:tcBorders>
          </w:tcPr>
          <w:p>
            <w:pPr>
              <w:spacing w:after="0"/>
              <w:rPr>
                <w:sz w:val="19"/>
                <w:szCs w:val="19"/>
                <w:color w:val="auto"/>
              </w:rPr>
            </w:pPr>
          </w:p>
        </w:tc>
        <w:tc>
          <w:tcPr>
            <w:tcW w:w="940" w:type="dxa"/>
            <w:vAlign w:val="bottom"/>
            <w:tcBorders>
              <w:top w:val="single" w:sz="8" w:color="CCEEFF"/>
              <w:bottom w:val="single" w:sz="8" w:color="auto"/>
            </w:tcBorders>
          </w:tcPr>
          <w:p>
            <w:pPr>
              <w:spacing w:after="0"/>
              <w:rPr>
                <w:sz w:val="19"/>
                <w:szCs w:val="19"/>
                <w:color w:val="auto"/>
              </w:rPr>
            </w:pP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38,203</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272</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176"/>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38,147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37,768</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38,147</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54,308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r>
      <w:tr>
        <w:trPr>
          <w:trHeight w:val="175"/>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5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3,629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66,875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55,105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66,875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55,105</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229"/>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1,814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544</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r>
      <w:tr>
        <w:trPr>
          <w:trHeight w:val="216"/>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86,318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97,416</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86,318</w:t>
            </w:r>
          </w:p>
        </w:tc>
      </w:tr>
      <w:tr>
        <w:trPr>
          <w:trHeight w:val="23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0.31</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2024 Annual Report on Form 10-K.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announced our intention to create Versant Media Group, Inc. (“Versant”), a new, independent, publicly traded company comprised of certain cable television networks and complementary digital platforms through a tax-free spin-off. We are targeting to complete the separation in early 2026, subject to the satisfaction of customary conditions, including obtaining final approval from our Board of Directors, satisfactory completion of Versant financings, receipt of tax opinions and receipt of any regulatory approvals. There can be no assurance that a separation transaction will occur, or, if one does, of its terms or timing. The condensed consolidated financial statements and related notes do not reflect the proposed separation.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Refer to Note 3 for a discussion of the changes in our presentation of disaggregated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ending December 31, 2025.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in our Annual Report on Form 10-K for the year ending December 31, 2027.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updated the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1"/>
                <w:szCs w:val="11"/>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91,397</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30,985</w:t>
            </w: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1"/>
                <w:szCs w:val="11"/>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89,802</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3" w:lineRule="exact"/>
        <w:rPr>
          <w:sz w:val="20"/>
          <w:szCs w:val="20"/>
          <w:color w:val="auto"/>
        </w:rPr>
      </w:pP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5"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Xfinity Mobile Arena in Philadelphia, Pennsylvania; and Xumo, our consolidated streaming platform joint venture with Charter Communications. Corporate and other also includes overhead and personnel costs for Corporate.</w:t>
      </w: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direct product costs; marketing and promotion; customer service; administrative personnel costs; franchise and other regulatory fees; fees paid to third parties where we sell advertising on their behalf;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55" w:lineRule="exact"/>
        <w:rPr>
          <w:rFonts w:ascii="Times New Roman" w:cs="Times New Roman" w:eastAsia="Times New Roman" w:hAnsi="Times New Roman"/>
          <w:sz w:val="14"/>
          <w:szCs w:val="14"/>
          <w:color w:val="auto"/>
        </w:rPr>
      </w:pPr>
    </w:p>
    <w:p>
      <w:pPr>
        <w:ind w:left="34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From time to time we may report the impact of certain events, gains, losses or other charges related to our segments within Corporate and other. The three and nine months ended September 30, 2025 includes $116 million and $248 million, respectively, of transaction and transaction-related costs associated with our proposed separation of Versant.</w:t>
      </w:r>
    </w:p>
    <w:p>
      <w:pPr>
        <w:spacing w:after="0" w:line="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0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line="202"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(a)</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4"/>
                <w:szCs w:val="14"/>
                <w:color w:val="auto"/>
                <w:w w:val="91"/>
              </w:rPr>
              <w:t>2024</w:t>
            </w:r>
            <w:r>
              <w:rPr>
                <w:rFonts w:ascii="Times New Roman" w:cs="Times New Roman" w:eastAsia="Times New Roman" w:hAnsi="Times New Roman"/>
                <w:sz w:val="18"/>
                <w:szCs w:val="18"/>
                <w:color w:val="auto"/>
                <w:w w:val="91"/>
                <w:vertAlign w:val="superscript"/>
              </w:rPr>
              <w:t>(a)</w:t>
            </w: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6,433</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6,400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19,521</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1,246</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3,565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1,275</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1,150</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3,626</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8,954</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8,644</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26,712</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6,591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6,938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20,031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864</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987</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2,680</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1,192</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1,298</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3,635</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17,601</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17,866</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53,057</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53,558</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2,576</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2,425</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7,647</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1,964</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3,347</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5,698</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2,841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3,272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8,575</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1,252</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1,070</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3,681</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532</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542</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1,516</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6,589</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8,231</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19,470</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20" w:type="dxa"/>
            <w:vAlign w:val="bottom"/>
          </w:tcPr>
          <w:p>
            <w:pPr>
              <w:spacing w:after="0"/>
              <w:rPr>
                <w:sz w:val="19"/>
                <w:szCs w:val="19"/>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2,035</w:t>
            </w:r>
          </w:p>
        </w:tc>
        <w:tc>
          <w:tcPr>
            <w:tcW w:w="52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1,865</w:t>
            </w:r>
          </w:p>
        </w:tc>
        <w:tc>
          <w:tcPr>
            <w:tcW w:w="4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6,014</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639</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1,209</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326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1,035</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3,000</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2,826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8,258</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2,717</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2,289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6,943</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752</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2,221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30"/>
        </w:trPr>
        <w:tc>
          <w:tcPr>
            <w:tcW w:w="50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(6,198)</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31,198</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32,070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91,397</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91,817</w:t>
            </w:r>
          </w:p>
        </w:tc>
      </w:tr>
    </w:tbl>
    <w:p>
      <w:pPr>
        <w:spacing w:after="0" w:line="139" w:lineRule="exact"/>
        <w:rPr>
          <w:sz w:val="20"/>
          <w:szCs w:val="20"/>
          <w:color w:val="auto"/>
        </w:rPr>
      </w:pPr>
    </w:p>
    <w:p>
      <w:pPr>
        <w:ind w:left="340" w:hanging="332"/>
        <w:spacing w:after="0" w:line="302" w:lineRule="auto"/>
        <w:tabs>
          <w:tab w:leader="none" w:pos="33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additional information on intersegment revenue transactions.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and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13"/>
                <w:szCs w:val="13"/>
                <w:color w:val="auto"/>
              </w:rPr>
            </w:pPr>
          </w:p>
        </w:tc>
        <w:tc>
          <w:tcPr>
            <w:tcW w:w="1300" w:type="dxa"/>
            <w:vAlign w:val="bottom"/>
          </w:tcPr>
          <w:p>
            <w:pPr>
              <w:jc w:val="center"/>
              <w:ind w:right="196"/>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14,030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13,214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1,810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724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358"/>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23"/>
                <w:szCs w:val="23"/>
                <w:color w:val="auto"/>
              </w:rPr>
            </w:pPr>
          </w:p>
        </w:tc>
        <w:tc>
          <w:tcPr>
            <w:tcW w:w="1300" w:type="dxa"/>
            <w:vAlign w:val="bottom"/>
          </w:tcPr>
          <w:p>
            <w:pPr>
              <w:jc w:val="center"/>
              <w:ind w:right="176"/>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23"/>
                <w:szCs w:val="23"/>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color w:val="auto"/>
                <w:w w:val="99"/>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1,955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1,216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3,172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99"/>
              </w:rPr>
              <w:t>2024</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2,467</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2,783</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7,637</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2,551</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2,111</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7,438</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2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3,262</w:t>
            </w:r>
          </w:p>
        </w:tc>
        <w:tc>
          <w:tcPr>
            <w:tcW w:w="66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4,991</w:t>
            </w:r>
          </w:p>
        </w:tc>
        <w:tc>
          <w:tcPr>
            <w:tcW w:w="46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8,540</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30"/>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375</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330</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1,031</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8,655</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10,216</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24,646</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27,000</w:t>
            </w:r>
          </w:p>
        </w:tc>
      </w:tr>
    </w:tbl>
    <w:p>
      <w:pPr>
        <w:spacing w:after="0" w:line="166" w:lineRule="exact"/>
        <w:rPr>
          <w:sz w:val="20"/>
          <w:szCs w:val="20"/>
          <w:color w:val="auto"/>
        </w:rPr>
      </w:pPr>
    </w:p>
    <w:p>
      <w:pPr>
        <w:ind w:right="60" w:firstLine="8"/>
        <w:spacing w:after="0" w:line="30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$2.0 billion and $6.0 billion for the three and nine months ended September 30, 2025, respectively, and $1.6 billion and $5.6 billion for the three and nine months ended September 30, 2024, respectively, as well as participations and residuals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40" w:type="dxa"/>
            <w:vAlign w:val="bottom"/>
          </w:tcPr>
          <w:p>
            <w:pPr>
              <w:spacing w:after="0"/>
              <w:rPr>
                <w:sz w:val="13"/>
                <w:szCs w:val="13"/>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2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2,899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3,962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7,386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2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5,573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2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12,959</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12,541</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our debt had a carrying value of $99.1 billion and an estimated fair value of $91.7 billion. As of December 31, 2024, our debt had a carrying value of $99.1 billion and an estimated fair value of $89.8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we acquired Nitel, a network-as-a-service managed service provider, for total cash consideration of $1.3 billion. The acquisition enhances our ability to serve and provide connectivity solutions to enterprise customers. Nitel’s results of operations are included in our condensed consolidated results of operations since the date of acquisition and are reported in our Business Services Connectivity segment. We have recorded a preliminary estimate of Nitel’s assets and liabilities with approximately $1.1 billion recorded to goodwill and the remainder primarily attributed to customer relationship intangible assets. These estimates are not yet final and are subject to change. The acquisition was not material to our consolidated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5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September 30,</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11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9"/>
                <w:szCs w:val="19"/>
                <w:color w:val="auto"/>
              </w:rPr>
            </w:pPr>
          </w:p>
        </w:tc>
        <w:tc>
          <w:tcPr>
            <w:tcW w:w="9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212</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9,966</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6"/>
              </w:rPr>
              <w:t>461</w:t>
            </w: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61</w:t>
            </w:r>
          </w:p>
        </w:tc>
        <w:tc>
          <w:tcPr>
            <w:tcW w:w="10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9,705</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b w:val="1"/>
                <w:bCs w:val="1"/>
                <w:color w:val="auto"/>
              </w:rPr>
              <w:t>(140)</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September 30, 2025 and 2024 that related to marketable and nonmarketable equity securities still held as of the end of each reporting period was $(55) million and $(15) million, respectively. The amount of unrealized gains (losses), net recognized in the nine months ended September 30, 2025 and 2024 that related to marketable and nonmarketable equity securities still held as of the end of each reporting period was $(85) million and $(117)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00" w:type="dxa"/>
            <w:vAlign w:val="bottom"/>
          </w:tcPr>
          <w:p>
            <w:pPr>
              <w:spacing w:after="0"/>
              <w:rPr>
                <w:sz w:val="13"/>
                <w:szCs w:val="13"/>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7,016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10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8,346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8,324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nine months ended September 30, 2025 and 2024 was $113 million and $244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2025 and 2024, we made cash capital contributions totaling $117 million and $60 million, respectively, to Atairos. As of September 30, 2025 and December 31, 2024, our investment, inclusive of advances classified within other investments, was $5.0 billion and $5.1 billion, respectively. As of September 30, 2025, our remaining unfunded capital commitment was $1.3 billion.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we sold our 33% interest in Hulu following the finalization of a third-party appraisal of Hulu’s fair value performed pursuant to the terms of our put right exercised in November 2023. We received total cash proceeds of $9.6 billion for our interest, consisting of $439 million in the second quarter of 2025 and a $9.2 billion advance received in the fourth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quarter of 2023. The advance represented our guaranteed share of Hulu’s minimum equity value pursuant to the terms of our put right and was reduced by $557 million in 2023 for our share of prior capital calls. Upon the sale of our interest in Hulu in the second quarter of 2025, we recorded a receivable of $792 million relating to our right to receive 50% of the estimated future tax benefits resulting from the transaction and we recognized a pre-tax gain of $9.4 billion.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on the sale of our investment in Hulu is presented in “other income (loss), net” within “investment and other income (loss), net” in our condensed consolidated statement of income. The additional proceeds received in the current year period are presented in “proceeds from sales of businesses and investments” in investing activities in our condensed consolidated statement of cash flows. The receivable relating to our right to receive estimated future tax benefits is presented in “other current assets” and “other noncurrent assets, net” in our condensed consolidated balance sheet.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We had no short-term instruments as of September 30, 2025 and December 31, 2024. There were no proceeds from or purchases of short-term instruments for the nine months ended September 30, 2025. Proceeds from short-term instruments were $632 million and purchases of short-term instruments were $443 million for the nine months ended September 30, 2024.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September 30, 2025, Universal Beijing Resort had $3.5 billion of debt outstanding, including $3.1 billion principal amount of a term loan outstanding under the debt financing agreement. As of December 31, 2024, Universal Beijing Resort had $3.4 billion of debt outstanding, including $3.0 billion principal amount of a term loan outstanding under the debt financing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our condensed consolidated balance sheet included assets and liabilities of Universal Beijing Resort totaling $7.4 billion and $7.2 billion, respectively. As of December 31, 2024, our condensed consolidated balance sheet included assets and liabilities of Universal Beijing Resort totaling $7.3 billion and $7.0 billion, respectively. The assets and liabilities of Universal Beijing Resort primarily consist of property and equipment, operating lease assets and liabilities, and debt.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780" w:type="dxa"/>
            <w:vAlign w:val="bottom"/>
            <w:gridSpan w:val="2"/>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2380" w:type="dxa"/>
            <w:vAlign w:val="bottom"/>
            <w:gridSpan w:val="2"/>
          </w:tcPr>
          <w:p>
            <w:pPr>
              <w:jc w:val="right"/>
              <w:ind w:right="61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2"/>
        </w:trPr>
        <w:tc>
          <w:tcPr>
            <w:tcW w:w="608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96"/>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15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3,679</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3,861</w:t>
            </w:r>
          </w:p>
        </w:tc>
        <w:tc>
          <w:tcPr>
            <w:tcW w:w="15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3,722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8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3,689</w:t>
            </w: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3,880</w:t>
            </w:r>
          </w:p>
        </w:tc>
        <w:tc>
          <w:tcPr>
            <w:tcW w:w="15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3,733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17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223</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188</w:t>
            </w:r>
          </w:p>
        </w:tc>
        <w:tc>
          <w:tcPr>
            <w:tcW w:w="15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230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20" w:type="dxa"/>
            <w:vAlign w:val="bottom"/>
          </w:tcPr>
          <w:p>
            <w:pPr>
              <w:spacing w:after="0"/>
              <w:rPr>
                <w:sz w:val="13"/>
                <w:szCs w:val="13"/>
                <w:color w:val="auto"/>
              </w:rPr>
            </w:pP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vMerge w:val="continue"/>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292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2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2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w:t>
            </w:r>
          </w:p>
        </w:tc>
        <w:tc>
          <w:tcPr>
            <w:tcW w:w="0" w:type="dxa"/>
            <w:vAlign w:val="bottom"/>
          </w:tcPr>
          <w:p>
            <w:pPr>
              <w:spacing w:after="0"/>
              <w:rPr>
                <w:sz w:val="1"/>
                <w:szCs w:val="1"/>
                <w:color w:val="auto"/>
              </w:rPr>
            </w:pPr>
          </w:p>
        </w:tc>
      </w:tr>
      <w:tr>
        <w:trPr>
          <w:trHeight w:val="904"/>
        </w:trPr>
        <w:tc>
          <w:tcPr>
            <w:tcW w:w="5460" w:type="dxa"/>
            <w:vAlign w:val="bottom"/>
          </w:tcPr>
          <w:p>
            <w:pPr>
              <w:spacing w:after="0"/>
              <w:rPr>
                <w:sz w:val="24"/>
                <w:szCs w:val="24"/>
                <w:color w:val="auto"/>
              </w:rPr>
            </w:pPr>
          </w:p>
        </w:tc>
        <w:tc>
          <w:tcPr>
            <w:tcW w:w="292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9A9A9A"/>
            </w:tcBorders>
          </w:tcPr>
          <w:p>
            <w:pPr>
              <w:spacing w:after="0"/>
              <w:rPr>
                <w:sz w:val="19"/>
                <w:szCs w:val="19"/>
                <w:color w:val="auto"/>
              </w:rPr>
            </w:pPr>
          </w:p>
        </w:tc>
        <w:tc>
          <w:tcPr>
            <w:tcW w:w="292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long-term incentive compensation structure. Additionally, through our employee stock purchase plans, employees are able to purchase shares of our common stock at a discount through payroll deductions.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granted 40 million RSUs and 1 million stock options under our annual management awards program. The weighted-average fair values associated with these grants were $35.78 per RSU and $7.21 per stock option. During the three months ended September 30, 2025 and 2024, share-based compensation expense recognized in our condensed consolidated statements of income was $269 million and $247 million, respectively. During the nine months ended September 30, 2025 and 2024, share-based compensation expense recognized in our condensed consolidated statements of income was $859 million and $811 million, respectively. As of September 30, 2025, we had unrecognized pretax compensation expense of $2.4 billion related to unvested RSUs and unvested 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2,682</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2,378</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w:t>
            </w:r>
          </w:p>
        </w:tc>
      </w:tr>
    </w:tbl>
    <w:p>
      <w:pPr>
        <w:spacing w:after="0" w:line="126" w:lineRule="exact"/>
        <w:rPr>
          <w:sz w:val="20"/>
          <w:szCs w:val="20"/>
          <w:color w:val="auto"/>
        </w:rPr>
      </w:pPr>
    </w:p>
    <w:p>
      <w:pPr>
        <w:ind w:right="160" w:firstLine="8"/>
        <w:spacing w:after="0" w:line="282"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payments for income taxes for the nine months ended September 30, 2025 and 2024 include $470 million and $1.2 billion related to the purchase of third-party transferable tax credits,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w:t>
      </w:r>
    </w:p>
    <w:p>
      <w:pPr>
        <w:spacing w:after="0" w:line="7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200" w:firstLine="332"/>
        <w:spacing w:after="0" w:line="336"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paid in October 2025 During the nine months ended September 30, 2024:</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$2.4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October 2024</w:t>
      </w:r>
    </w:p>
    <w:p>
      <w:pPr>
        <w:spacing w:after="0" w:line="6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20" w:type="dxa"/>
            <w:vAlign w:val="bottom"/>
          </w:tcPr>
          <w:p>
            <w:pPr>
              <w:spacing w:after="0"/>
              <w:rPr>
                <w:sz w:val="13"/>
                <w:szCs w:val="13"/>
                <w:color w:val="auto"/>
              </w:rPr>
            </w:pP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9,325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9,371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2024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jc w:val="both"/>
        <w:ind w:firstLine="8"/>
        <w:spacing w:after="0" w:line="255"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&amp; Experiences business in three segments: Media, Studios and Theme Parks. The discussion and analysis that follows includes the results of the cable television networks and complementary digital platforms proposed to be included in the separation of Versant and does not reflect or give effect to what our results of operations and financial condition may be following the separation, if consummated.</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Uncertain economic conditions, including as a result of geopolitical dynamics, changes in trade policies and foreign exchange rates could adversely affect demand for our products or services and have a negative impact on our results of operations. For a discussion of these factors and other risks, refer to Risk Factors in Item 1A of our 2024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6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32,070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91,817</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(0.5)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10,216</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27,000</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1,989</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4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5,929</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10,128</w:t>
            </w:r>
          </w:p>
        </w:tc>
        <w:tc>
          <w:tcPr>
            <w:tcW w:w="12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29,615</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2,219</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4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6,548</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1,659</w:t>
            </w:r>
          </w:p>
        </w:tc>
        <w:tc>
          <w:tcPr>
            <w:tcW w:w="12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4,421</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26,211</w:t>
            </w: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73,512</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5,859</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18,304</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4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(1,037)</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44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(3,065)</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(140)</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4,819</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4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15,099</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(1,243)</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(3,906)</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3,576</w:t>
            </w: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4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11,192</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55.3</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(222)</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Comcast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3,332</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3,629</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17,830</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11,415</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56.2 %</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0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0.94</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2.92</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64.0 %</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0.94</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2.90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64.5 %</w:t>
            </w: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basic</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3,861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3,908</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(4.8) %</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 diluted</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3,880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3,930</w:t>
            </w: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(5.0) %</w:t>
            </w:r>
          </w:p>
        </w:tc>
        <w:tc>
          <w:tcPr>
            <w:tcW w:w="0" w:type="dxa"/>
            <w:vAlign w:val="bottom"/>
          </w:tcPr>
          <w:p>
            <w:pPr>
              <w:spacing w:after="0"/>
              <w:rPr>
                <w:sz w:val="1"/>
                <w:szCs w:val="1"/>
                <w:color w:val="auto"/>
              </w:rPr>
            </w:pPr>
          </w:p>
        </w:tc>
      </w:tr>
      <w:tr>
        <w:trPr>
          <w:trHeight w:val="75"/>
        </w:trPr>
        <w:tc>
          <w:tcPr>
            <w:tcW w:w="350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9,669</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9,735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29,261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302"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24 for additional information, including our definition and our use of Adjusted EBITDA, and for a reconciliation from net income attributable to Comcast Corporation to Adjusted EBITDA.</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decreased for the three months ended September 30, 2025 compared to the same period in 2024 primarily due to a decrease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Content &amp; Experiences business, partially offset by an increase in Corporate and Other. Consolidated revenue remained consistent for the nine months ended September 30, 2025 compared to the same period in 2024. Revenue for our segments and other businesses is discussed separately below under the heading “Segment Operating Results.”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decreased for the three months ended September 30, 2025</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compared to the same period in 2024 primarily due to a decrease in the Content &amp; Experiences business, partially offset by increases in the Connectivity and Platforms business and in Corporate and Other. Consolidated costs and expenses, excluding depreciation and amortization expense, decreased for the nine months ended September 30, 2025 compared to the same period in 2024 primarily due to a decrease in the Content &amp; Experiences business. Costs and expenses for our segments and our corporate operations and other businesses are discussed separately below under the heading “Segment Operating Results.” Consolidated costs and expenses for the three and nine months ended September 30, 2025 also increased due to transaction and transaction-related costs associated with the proposed separation of Versant that are excluded from Adjusted EBITDA and our segment operating results.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increased for the three months ended September 30, 2025 compared to the same periods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2024 primarily due to increased depreciation due to the opening of Epic Universe in May 2025. Consolidated depreciation and amortization expense increased for the nine months ended September 30, 2025 primarily due to increased amortization of certain acquisition-related intangible assets related to the linear media business, increased depreciation due to the opening of Epic Universe in May 2025 and impairments of certain long-lived assets in the current year period.</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$824 million and $2.4 billion for the three and nine months ended September 30, 2025, respectively, and $817 million and $1.9 billion for the three and nine months ended September 30, 2024,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for the three and nine months ended September 30, 2025 primarily due to decreases in capitalized interest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driven by the opening of Epic Universe, as well as increases in average debt outstanding and higher weighted-average interest rates in the current year periods.</w:t>
      </w:r>
    </w:p>
    <w:p>
      <w:pPr>
        <w:spacing w:after="0" w:line="6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increased for the three and nine months ended September 30, 2025 compared to the same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periods in 2024.</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1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6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2"/>
        </w:trPr>
        <w:tc>
          <w:tcPr>
            <w:tcW w:w="5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4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tcPr>
          <w:p>
            <w:pPr>
              <w:spacing w:after="0"/>
              <w:rPr>
                <w:sz w:val="19"/>
                <w:szCs w:val="19"/>
                <w:color w:val="auto"/>
              </w:rPr>
            </w:pPr>
          </w:p>
        </w:tc>
        <w:tc>
          <w:tcPr>
            <w:tcW w:w="84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212</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9,966</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6"/>
              </w:rPr>
              <w:t>461</w:t>
            </w:r>
          </w:p>
        </w:tc>
      </w:tr>
      <w:tr>
        <w:trPr>
          <w:trHeight w:val="230"/>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61</w:t>
            </w:r>
          </w:p>
        </w:tc>
        <w:tc>
          <w:tcPr>
            <w:tcW w:w="8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9,705</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b w:val="1"/>
                <w:bCs w:val="1"/>
                <w:color w:val="auto"/>
              </w:rPr>
              <w:t>(140)</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for the three months ended September 30, 2025 compared to the same period in 2024 was primarily due to our investment in Atairos. The change in equity in net income (losses) of investees, net for the nine months ended September 30, 2025 compared to the same period in 2024 was primarily due to our investments in Atairos and Hulu. The income (losses) at Atairos were driven by fair value adjustments on its underlying investments with income (loss) of $16 million and $(178) million for the three and nine months ended September 30, 2025, respectively, and $(93) million and $(289) million for the three and nine months ended September 30, 2024,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September 30, 2025 was primarily due to higher net unrealized losses on nonmarketable securities in the current year period. The change in realized and unrealized gains (losses) on equity securities, net for the nine months ended September 30, 2025 was primarily due to a gain on the sale of a nonmarketable security in the current year period and due to higher net unrealized losses on nonmarketable and marketable securities in the prior year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other income (loss), net for the three months ended September 30, 2025 primarily resulted from a gain on the sale of an equity method investment in the current year period. The change in other income (loss), net for the nine months ended September 30, 2025 primarily resulted from a $9.4 billion gain from the sale of our interest in Hulu in the current year period (see Note 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and nine months ended September 30, 2025 and 2024 reflects an effective income tax rate that differs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from the federal statutory rate due to state and foreign income taxes and adjustments associated with uncertain tax positions. The decrease in income tax expense for the three months ended September 30, 2025 compared to the same period in 2024 was primarily driven by lower domestic income before income taxes. The increase in income tax expense for the nine months ended September 30, 2025 compared to the same period in 2024 was primarily driven by higher domestic income before income taxes.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and nine months ended September 30, 2025</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compared to the same periods in 2024 primarily due to Universal Beijing Resort. The change for the nine months ended September 30, 2025 is also due to our regional sports networks.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vMerge w:val="restart"/>
          </w:tcPr>
          <w:p>
            <w:pPr>
              <w:jc w:val="right"/>
              <w:ind w:right="532"/>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Constant</w:t>
            </w:r>
          </w:p>
        </w:tc>
        <w:tc>
          <w:tcPr>
            <w:tcW w:w="300" w:type="dxa"/>
            <w:vAlign w:val="bottom"/>
          </w:tcPr>
          <w:p>
            <w:pPr>
              <w:spacing w:after="0"/>
              <w:rPr>
                <w:sz w:val="13"/>
                <w:szCs w:val="13"/>
                <w:color w:val="auto"/>
              </w:rPr>
            </w:pPr>
          </w:p>
        </w:tc>
        <w:tc>
          <w:tcPr>
            <w:tcW w:w="2120" w:type="dxa"/>
            <w:vAlign w:val="bottom"/>
            <w:gridSpan w:val="3"/>
            <w:vMerge w:val="restart"/>
          </w:tcPr>
          <w:p>
            <w:pPr>
              <w:jc w:val="right"/>
              <w:ind w:right="612"/>
              <w:spacing w:after="0"/>
              <w:rPr>
                <w:sz w:val="20"/>
                <w:szCs w:val="20"/>
                <w:color w:val="auto"/>
              </w:rPr>
            </w:pPr>
            <w:r>
              <w:rPr>
                <w:rFonts w:ascii="Times New Roman" w:cs="Times New Roman" w:eastAsia="Times New Roman" w:hAnsi="Times New Roman"/>
                <w:sz w:val="14"/>
                <w:szCs w:val="14"/>
                <w:color w:val="auto"/>
              </w:rPr>
              <w:t>Nine Months Ended</w:t>
            </w:r>
          </w:p>
        </w:tc>
        <w:tc>
          <w:tcPr>
            <w:tcW w:w="1040" w:type="dxa"/>
            <w:vAlign w:val="bottom"/>
          </w:tcPr>
          <w:p>
            <w:pPr>
              <w:spacing w:after="0"/>
              <w:rPr>
                <w:sz w:val="13"/>
                <w:szCs w:val="13"/>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96"/>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30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17,601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17,866</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53,057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53,558</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(0.9)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2,576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2,425</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7,647</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7,253</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69"/>
        </w:trPr>
        <w:tc>
          <w:tcPr>
            <w:tcW w:w="24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20,176</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20,291</w:t>
            </w: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60,704</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60,812</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(0.2)%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6,554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6,904</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20,554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20,859</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1,391</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4,320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4,137</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69"/>
        </w:trPr>
        <w:tc>
          <w:tcPr>
            <w:tcW w:w="24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8,008</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8,295</w:t>
            </w: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24,874</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24,996</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(0.5)%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Platforms</w:t>
            </w:r>
          </w:p>
        </w:tc>
        <w:tc>
          <w:tcPr>
            <w:tcW w:w="260" w:type="dxa"/>
            <w:vAlign w:val="bottom"/>
          </w:tcPr>
          <w:p>
            <w:pPr>
              <w:spacing w:after="0"/>
              <w:rPr>
                <w:sz w:val="21"/>
                <w:szCs w:val="21"/>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37.2 %</w:t>
            </w:r>
          </w:p>
        </w:tc>
        <w:tc>
          <w:tcPr>
            <w:tcW w:w="240" w:type="dxa"/>
            <w:vAlign w:val="bottom"/>
          </w:tcPr>
          <w:p>
            <w:pPr>
              <w:spacing w:after="0"/>
              <w:rPr>
                <w:sz w:val="21"/>
                <w:szCs w:val="21"/>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38.6 %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 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bps</w:t>
            </w:r>
          </w:p>
        </w:tc>
        <w:tc>
          <w:tcPr>
            <w:tcW w:w="30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38.7 %</w:t>
            </w:r>
          </w:p>
        </w:tc>
        <w:tc>
          <w:tcPr>
            <w:tcW w:w="260" w:type="dxa"/>
            <w:vAlign w:val="bottom"/>
          </w:tcPr>
          <w:p>
            <w:pPr>
              <w:spacing w:after="0"/>
              <w:rPr>
                <w:sz w:val="21"/>
                <w:szCs w:val="21"/>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38.9 %</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 bps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57.4</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57.0</w:t>
            </w:r>
          </w:p>
        </w:tc>
        <w:tc>
          <w:tcPr>
            <w:tcW w:w="10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(50) bps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169"/>
        </w:trPr>
        <w:tc>
          <w:tcPr>
            <w:tcW w:w="24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w:t>
            </w:r>
          </w:p>
        </w:tc>
        <w:tc>
          <w:tcPr>
            <w:tcW w:w="260" w:type="dxa"/>
            <w:vAlign w:val="bottom"/>
          </w:tcPr>
          <w:p>
            <w:pPr>
              <w:spacing w:after="0"/>
              <w:rPr>
                <w:sz w:val="14"/>
                <w:szCs w:val="14"/>
                <w:color w:val="auto"/>
              </w:rPr>
            </w:pP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39.7 %</w:t>
            </w:r>
          </w:p>
        </w:tc>
        <w:tc>
          <w:tcPr>
            <w:tcW w:w="240" w:type="dxa"/>
            <w:vAlign w:val="bottom"/>
          </w:tcPr>
          <w:p>
            <w:pPr>
              <w:spacing w:after="0"/>
              <w:rPr>
                <w:sz w:val="14"/>
                <w:szCs w:val="14"/>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40.9 %</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bps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 bps</w:t>
            </w:r>
          </w:p>
        </w:tc>
        <w:tc>
          <w:tcPr>
            <w:tcW w:w="30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41.0 %</w:t>
            </w:r>
          </w:p>
        </w:tc>
        <w:tc>
          <w:tcPr>
            <w:tcW w:w="260" w:type="dxa"/>
            <w:vAlign w:val="bottom"/>
          </w:tcPr>
          <w:p>
            <w:pPr>
              <w:spacing w:after="0"/>
              <w:rPr>
                <w:sz w:val="14"/>
                <w:szCs w:val="14"/>
                <w:color w:val="auto"/>
              </w:rPr>
            </w:pP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41.1 %</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 bps</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 additions/(losses) continue to be negatively impacted by an increasingly competitive environment. We are focused on increasing our residential connectivity revenue. In 2025, we simplified our broadband pricing structure and began offering a free wireless line for one year to new and existing domestic broadband customers, which we expect to improve customer retention and strengthen our ability to compete for new customers, but will negatively impact average domestic broadband revenue per customer. We also expect continued declines in video revenue as a result of domestic customer net losses due to shifting video consumption patterns and the competitive environment, although customer net losses typically mitigate the impact of continued rate increases on programming expenses, as well as continued declines in other revenue related to declines in wireline voice revenue. We are also focused on growing our Business Services Connectivity segment revenue by offering competitive services, including enterprise solutions.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gridSpan w:val="2"/>
          </w:tcPr>
          <w:p>
            <w:pPr>
              <w:jc w:val="right"/>
              <w:ind w:right="375"/>
              <w:spacing w:after="0"/>
              <w:rPr>
                <w:sz w:val="20"/>
                <w:szCs w:val="20"/>
                <w:color w:val="auto"/>
              </w:rPr>
            </w:pPr>
            <w:r>
              <w:rPr>
                <w:rFonts w:ascii="Times New Roman" w:cs="Times New Roman" w:eastAsia="Times New Roman" w:hAnsi="Times New Roman"/>
                <w:sz w:val="14"/>
                <w:szCs w:val="14"/>
                <w:color w:val="auto"/>
              </w:rPr>
              <w:t>Net Additions / (Losses)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40" w:type="dxa"/>
            <w:vAlign w:val="bottom"/>
          </w:tcPr>
          <w:p>
            <w:pPr>
              <w:spacing w:after="0"/>
              <w:rPr>
                <w:sz w:val="11"/>
                <w:szCs w:val="11"/>
                <w:color w:val="auto"/>
              </w:rPr>
            </w:pPr>
          </w:p>
        </w:tc>
        <w:tc>
          <w:tcPr>
            <w:tcW w:w="2160" w:type="dxa"/>
            <w:vAlign w:val="bottom"/>
            <w:gridSpan w:val="2"/>
          </w:tcPr>
          <w:p>
            <w:pPr>
              <w:jc w:val="right"/>
              <w:ind w:right="473"/>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1860" w:type="dxa"/>
            <w:vAlign w:val="bottom"/>
            <w:gridSpan w:val="2"/>
          </w:tcPr>
          <w:p>
            <w:pPr>
              <w:jc w:val="right"/>
              <w:ind w:right="352"/>
              <w:spacing w:after="0" w:line="133"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653"/>
              <w:spacing w:after="0"/>
              <w:rPr>
                <w:sz w:val="20"/>
                <w:szCs w:val="20"/>
                <w:color w:val="auto"/>
              </w:rPr>
            </w:pPr>
            <w:r>
              <w:rPr>
                <w:rFonts w:ascii="Times New Roman" w:cs="Times New Roman" w:eastAsia="Times New Roman" w:hAnsi="Times New Roman"/>
                <w:sz w:val="14"/>
                <w:szCs w:val="14"/>
                <w:color w:val="auto"/>
              </w:rPr>
              <w:t>September 30,</w:t>
            </w:r>
          </w:p>
        </w:tc>
        <w:tc>
          <w:tcPr>
            <w:tcW w:w="1860" w:type="dxa"/>
            <w:vAlign w:val="bottom"/>
            <w:tcBorders>
              <w:bottom w:val="single" w:sz="8" w:color="auto"/>
            </w:tcBorders>
            <w:gridSpan w:val="2"/>
          </w:tcPr>
          <w:p>
            <w:pPr>
              <w:jc w:val="right"/>
              <w:ind w:right="51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2025</w:t>
            </w: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Domestic Residential Connectivity &amp; Platforms customer</w:t>
            </w: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30,642</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31,324</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8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17,603</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17,716</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(b)(c)</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2,702</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2,627</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50,947</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51,667</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(786)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8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28,897</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29,504</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customers</w:t>
            </w:r>
            <w:r>
              <w:rPr>
                <w:rFonts w:ascii="Times New Roman" w:cs="Times New Roman" w:eastAsia="Times New Roman" w:hAnsi="Times New Roman"/>
                <w:sz w:val="23"/>
                <w:szCs w:val="23"/>
                <w:color w:val="auto"/>
                <w:vertAlign w:val="superscript"/>
              </w:rPr>
              <w:t>(b)(c)</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2,538</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2,477</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31,436</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31,981</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(d)</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8,941</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7,519</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414</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319</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11,515</w:t>
            </w: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12,834</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(257)</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(365)</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(e)</w:t>
            </w:r>
          </w:p>
        </w:tc>
        <w:tc>
          <w:tcPr>
            <w:tcW w:w="1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64,639</w:t>
            </w: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63,355</w:t>
            </w: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(f)</w:t>
            </w:r>
          </w:p>
        </w:tc>
        <w:tc>
          <w:tcPr>
            <w:tcW w:w="158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48.2 %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1"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right="20" w:hanging="252"/>
        <w:spacing w:after="0" w:line="271" w:lineRule="auto"/>
        <w:tabs>
          <w:tab w:leader="none" w:pos="2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connections receiving services, including connections within our network in the United States, as well as connections outside of our network both in the United States and internationally. Certain arrangements whereby third parties provide connectivity services leveraging our network are also generally counted based on the number of connections served.</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2025, Business Services Connectivity customer relationships and Domestic Broadband Business customers include connections from the acquisition of Nitel and other conforming changes, resulting in an increase of 124,000 Business Services Connectivity customer relationships and 123,000 domestic broadband business customers as of April 1, 2025. Because these adjustments were made as of April 1, 2025, they are not reflected in prior period customer metrics or in net additions/(losses) in prior and current year periods.</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vMerge w:val="restart"/>
          </w:tcPr>
          <w:p>
            <w:pPr>
              <w:jc w:val="right"/>
              <w:ind w:right="236"/>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Constant</w:t>
            </w:r>
          </w:p>
        </w:tc>
        <w:tc>
          <w:tcPr>
            <w:tcW w:w="240" w:type="dxa"/>
            <w:vAlign w:val="bottom"/>
          </w:tcPr>
          <w:p>
            <w:pPr>
              <w:spacing w:after="0"/>
              <w:rPr>
                <w:sz w:val="13"/>
                <w:szCs w:val="13"/>
                <w:color w:val="auto"/>
              </w:rPr>
            </w:pPr>
          </w:p>
        </w:tc>
        <w:tc>
          <w:tcPr>
            <w:tcW w:w="162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tcPr>
          <w:p>
            <w:pPr>
              <w:spacing w:after="0"/>
              <w:rPr>
                <w:sz w:val="13"/>
                <w:szCs w:val="13"/>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130.87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130.19</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75"/>
        </w:trPr>
        <w:tc>
          <w:tcPr>
            <w:tcW w:w="38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53.50</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53.51</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0.7 %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Nine Months Ended</w:t>
            </w:r>
          </w:p>
        </w:tc>
        <w:tc>
          <w:tcPr>
            <w:tcW w:w="10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center"/>
              <w:ind w:right="97"/>
              <w:spacing w:after="0" w:line="202"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(g)</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center"/>
              <w:ind w:right="37"/>
              <w:spacing w:after="0" w:line="202"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(g)</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3,952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4,102</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 %</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12,057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12,756</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(5.5) %</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(6.3)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1,959</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1,908</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5,689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5,712</w:t>
            </w:r>
          </w:p>
        </w:tc>
        <w:tc>
          <w:tcPr>
            <w:tcW w:w="10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1,911</w:t>
            </w:r>
          </w:p>
        </w:tc>
        <w:tc>
          <w:tcPr>
            <w:tcW w:w="3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1,675</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14.1</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5,365</w:t>
            </w: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4,705</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14.0</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1,234</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3,779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3,547</w:t>
            </w:r>
          </w:p>
        </w:tc>
        <w:tc>
          <w:tcPr>
            <w:tcW w:w="10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680</w:t>
            </w: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2,059</w:t>
            </w: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2,072</w:t>
            </w: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2,324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2,395</w:t>
            </w:r>
          </w:p>
        </w:tc>
        <w:tc>
          <w:tcPr>
            <w:tcW w:w="10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6,881</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7,023</w:t>
            </w:r>
          </w:p>
        </w:tc>
        <w:tc>
          <w:tcPr>
            <w:tcW w:w="10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12,169</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11,996</w:t>
            </w:r>
          </w:p>
        </w:tc>
        <w:tc>
          <w:tcPr>
            <w:tcW w:w="102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1.4 %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35,830</w:t>
            </w: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35,816</w:t>
            </w:r>
          </w:p>
        </w:tc>
        <w:tc>
          <w:tcPr>
            <w:tcW w:w="102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2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5"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hanging="252"/>
        <w:spacing w:after="0" w:line="291" w:lineRule="auto"/>
        <w:tabs>
          <w:tab w:leader="none" w:pos="2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81"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 of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 of the personnel and other costs associated with customer service and certain selling activities.</w:t>
      </w:r>
    </w:p>
    <w:p>
      <w:pPr>
        <w:spacing w:after="0" w:line="55" w:lineRule="exact"/>
        <w:rPr>
          <w:rFonts w:ascii="Times New Roman" w:cs="Times New Roman" w:eastAsia="Times New Roman" w:hAnsi="Times New Roman"/>
          <w:sz w:val="14"/>
          <w:szCs w:val="14"/>
          <w:color w:val="auto"/>
        </w:rPr>
      </w:pPr>
    </w:p>
    <w:p>
      <w:pPr>
        <w:ind w:left="260" w:right="20" w:hanging="252"/>
        <w:spacing w:after="0" w:line="281" w:lineRule="auto"/>
        <w:tabs>
          <w:tab w:leader="none" w:pos="25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51"/>
              <w:spacing w:after="0"/>
              <w:rPr>
                <w:sz w:val="20"/>
                <w:szCs w:val="20"/>
                <w:color w:val="auto"/>
              </w:rPr>
            </w:pPr>
            <w:r>
              <w:rPr>
                <w:rFonts w:ascii="Times New Roman" w:cs="Times New Roman" w:eastAsia="Times New Roman" w:hAnsi="Times New Roman"/>
                <w:sz w:val="14"/>
                <w:szCs w:val="14"/>
                <w:color w:val="auto"/>
              </w:rPr>
              <w:t>Nine Months Ended</w:t>
            </w:r>
          </w:p>
        </w:tc>
        <w:tc>
          <w:tcPr>
            <w:tcW w:w="106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color w:val="auto"/>
              </w:rPr>
              <w:t>Change</w:t>
            </w:r>
          </w:p>
        </w:tc>
        <w:tc>
          <w:tcPr>
            <w:tcW w:w="960" w:type="dxa"/>
            <w:vAlign w:val="bottom"/>
          </w:tcPr>
          <w:p>
            <w:pPr>
              <w:jc w:val="center"/>
              <w:ind w:right="35"/>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201"/>
        </w:trPr>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91"/>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95"/>
              <w:spacing w:after="0" w:line="201"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ind w:right="35"/>
              <w:spacing w:after="0" w:line="201"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line="196"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(b)</w:t>
            </w: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line="196"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(b)</w:t>
            </w: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6,400</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19,276</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1,093</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14.0</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3,084</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15.6</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1,150</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3,240</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11.9</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8,644</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25,599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6,591</w:t>
            </w:r>
          </w:p>
        </w:tc>
        <w:tc>
          <w:tcPr>
            <w:tcW w:w="280" w:type="dxa"/>
            <w:vAlign w:val="bottom"/>
          </w:tcPr>
          <w:p>
            <w:pPr>
              <w:spacing w:after="0"/>
              <w:rPr>
                <w:sz w:val="19"/>
                <w:szCs w:val="19"/>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6,938</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20,031</w:t>
            </w:r>
          </w:p>
        </w:tc>
        <w:tc>
          <w:tcPr>
            <w:tcW w:w="28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21,055</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987</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(12.5)</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2,931</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1,298</w:t>
            </w: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3,635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3,973</w:t>
            </w: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17,601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17,866</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(1.5)</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53,057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53,558</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(0.9)</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3,952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4,102</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12,756</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7,095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6,860</w:t>
            </w:r>
          </w:p>
        </w:tc>
        <w:tc>
          <w:tcPr>
            <w:tcW w:w="10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20,446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19,943</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11,047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10,962</w:t>
            </w:r>
          </w:p>
        </w:tc>
        <w:tc>
          <w:tcPr>
            <w:tcW w:w="10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32,503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32,699</w:t>
            </w:r>
          </w:p>
        </w:tc>
        <w:tc>
          <w:tcPr>
            <w:tcW w:w="10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6,554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6,904</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20,554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20,859</w:t>
            </w: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(1.5)%</w:t>
            </w: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(1.7)%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281"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remained consistent for the three months ended September 30, 2025 compared to the same period in 2024 due to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in average rates, offset by a decline in the number of domestic broadband customers.</w:t>
      </w:r>
    </w:p>
    <w:p>
      <w:pPr>
        <w:spacing w:after="0" w:line="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Domestic broadband revenue increased for the nine months ended September 30, 2025 compared to the same period in 2024 due to an increase in average rates, partially offset by a decline in the number of domestic broadband customers.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and nine months ended September 30, 2025 compared to the same periods in 2024 due to increases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the number of customer lines and device sales.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and nine months ended September 30, 2025 compared to the same periods in 2024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broadband revenue resulting from increases in average rates and increases in wireless revenue resulting from increases in the sale of wireless services. The increases for the three and nine months ended September 30, 2025 include the positive impact of foreign currency.</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and nine months ended September 30, 2025 compared to the same periods in 2024 due to declines in the overall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video customers, partially offset by overall increases in average rates and the positive impact of foreign currency.</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decreased for the three and nine months ended September 30, 2025 compared to the same periods in 2024 primarily due to lower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domestic political and nonpolitical advertising.</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and nine months ended September 30, 2025 compared to the same periods in 2024 primarily due to decreases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wireline voice revenue driven by declines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and nine months ended September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declines in the number of domestic video subscribers, partially offset by rate increases under our domestic programming contracts, increases in programming expenses for our international sports networks and the impact of foreign currency.</w:t>
      </w:r>
    </w:p>
    <w:p>
      <w:pPr>
        <w:spacing w:after="0" w:line="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September 30, 2025 compared to the same period in 2024 primarily due to increased direct product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the impact of foreign currency and increased spending on marketing and promotion, partially offset by a decrease in fees paid to third-party channels relating to advertising sales.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expenses increased for the nine months ended September 30, 2025 compared to the same period in 2024 primarily due to increased direct product costs, increased spending on marketing and promotion, and the impact of foreign currency, partially offset by lower franchise and other regulatory fees and a decrease in fees paid to third-party channels relating to advertising sales.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3"/>
                <w:szCs w:val="13"/>
                <w:color w:val="auto"/>
              </w:rPr>
            </w:pPr>
          </w:p>
        </w:tc>
        <w:tc>
          <w:tcPr>
            <w:tcW w:w="232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Nine Months Ended</w:t>
            </w:r>
          </w:p>
        </w:tc>
        <w:tc>
          <w:tcPr>
            <w:tcW w:w="11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2,425</w:t>
            </w: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7,647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7,253</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1,122</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1,034</w:t>
            </w: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3,327</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3,117</w:t>
            </w:r>
          </w:p>
        </w:tc>
        <w:tc>
          <w:tcPr>
            <w:tcW w:w="11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1,454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1,391</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4.5 %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4,320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4,137</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4.4 %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and nine months ended September 30, 2025 compared to the same periods in 2024</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in revenue from enterprise solutions offerings, including the results from Nitel, which was acquired in April 2025.</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and nine months ended September 30, 2025 compared to the same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periods in 2024 primarily due to increases in direct product costs, which includes the results from Nitel.</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Nine Months Ended</w:t>
            </w:r>
          </w:p>
        </w:tc>
        <w:tc>
          <w:tcPr>
            <w:tcW w:w="10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w w:val="99"/>
              </w:rPr>
              <w:t>2024</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8,231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20,926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7,822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46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2,289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44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6,243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(580)</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(758)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(1,994)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12,599</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33,030</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2,832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6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468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4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835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847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2,111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(271)</w:t>
            </w:r>
          </w:p>
        </w:tc>
        <w:tc>
          <w:tcPr>
            <w:tcW w:w="46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40" w:type="dxa"/>
            <w:vAlign w:val="bottom"/>
          </w:tcPr>
          <w:p>
            <w:pPr>
              <w:spacing w:after="0"/>
              <w:rPr>
                <w:sz w:val="19"/>
                <w:szCs w:val="19"/>
                <w:color w:val="auto"/>
              </w:rPr>
            </w:pP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Content &amp; Experiences Adjusted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1,802</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8.4 %</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5,462</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5,244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paid subscribers and advertising revenue at Peacock. We expect to continue to incur significant costs related to content and marketing at Peacock. Revenue and programming expenses are also impacted by the timing of certain sporting events, including the Paris Olympics in the third quarter of 2024, and our acquisition of NBA rights, which begin in the fourth quarter of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opened in May 2025, as well as in new destinations and experiences, which we believe will have a positive impact on attendance and guest spending at our theme parks.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4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Nine Months Ended</w:t>
            </w: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3,347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7,363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3,272</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8,942</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1,070</w:t>
            </w: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3,193</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542</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1,429</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6,589</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8,231</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(19.9)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19,470</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20,926</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5,917</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13,652</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470</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1,071</w:t>
            </w: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1,194</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3,371</w:t>
            </w: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7,581</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18,094</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650</w:t>
            </w: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28.0 %</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3,318</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2,832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decreased for the three and nine months ended September 30, 2025 compared to the same periods in 2024 primarily due to the Paris Olympics in the third quarter of 2024. Excluding incremental revenue associated with the Paris Olympics, revenue for the three months ended September 30, 2025 increased primarily due to increases in international networks, domestic advertising and domestic distribution revenue. Excluding incremental revenue associated with the Paris Olympics, revenue for the nine months ended September 30, 2025 increased primarily due to increases in international networks and domestic distribution revenue, partially offset by a decrease in domestic advertising revenue.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3"/>
                <w:szCs w:val="13"/>
                <w:color w:val="auto"/>
              </w:rPr>
            </w:pPr>
          </w:p>
        </w:tc>
        <w:tc>
          <w:tcPr>
            <w:tcW w:w="190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color w:val="auto"/>
              </w:rPr>
              <w:t>Nine Months Ended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4"/>
                <w:szCs w:val="14"/>
                <w:color w:val="auto"/>
              </w:rPr>
              <w:t>September 30,</w:t>
            </w: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4"/>
                <w:szCs w:val="14"/>
                <w:color w:val="auto"/>
              </w:rPr>
              <w:t>September 30,</w:t>
            </w: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8,231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20,926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1,906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 excluding Olympics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6,589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i w:val="1"/>
                <w:iCs w:val="1"/>
                <w:color w:val="auto"/>
              </w:rPr>
              <w:t>6,325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4.2 %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19,470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19,020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2.4 %</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advertising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3,347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7,363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1,432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advertising revenue, excluding Olympics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1,964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i w:val="1"/>
                <w:iCs w:val="1"/>
                <w:color w:val="auto"/>
              </w:rPr>
              <w:t>1,915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2.6 %</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5,698</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5,931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(3.9) %</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distribution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3,272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8,942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distribution revenue, excluding Olympics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2,841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i w:val="1"/>
                <w:iCs w:val="1"/>
                <w:color w:val="auto"/>
              </w:rPr>
              <w:t>2,798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8,575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8,468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decreased for the three and nine months ended September 30, 2025 compared to the same periods in 2024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due to the Paris Olympics in the third quarter of 2024. Excluding the incremental revenue associated with this event, domestic advertising revenue increased for the three months ended September 30, 2025 primarily due to an increase in revenue at Peacock, and it decreased for the nine months ended September 30, 2025 primarily due to a decrease in revenue at our linear television networks, partially offset by an increase in revenue at Peacock.</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decreased for the three and nine months ended September 30, 2025 compared to the same periods in 2024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due to the Paris Olympics in the third quarter of 2024. Excluding the incremental revenue associated with this event, domestic distribution revenue increased for the three and nine months ended September 30, 2025 primarily due to increases in revenue at Peacock, partially offset by decreases in revenue at our linear television networks. The decreases at our linear television networks were primarily due to declines in the number of subscribers, partially offset by contractual rate increases.</w:t>
      </w:r>
    </w:p>
    <w:p>
      <w:pPr>
        <w:spacing w:after="0" w:line="2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and nine months ended September 30, 2025 compared to the same periods in 2024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due to increases in revenue associated with the distribution of sports networks and the positive impact of foreign currency.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Media segment total revenue included $1.4 billion and $3.8 billion related to Peacock for the three and nine months ended September 30, 2025, respectively. Media segment total revenue included $1.5 billion and $3.6 billion related to Peacock for the three and nine months ended September 30, 2024, respectively, including amounts related to the Paris Olympics. We had 41 million and 36 million paid subscribers of Peacock as of September 30, 2025 and 2024, respectively. 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 The increase in paid subscribers in 2025 is mainly due to the availability of Peacock through a third-party’s bundled service offering.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months ended September 30,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associated with the Paris Olympics in the prior year period and a decrease in other sports programming costs at our domestic television networks, mainly reflecting lower sports volumes compared to the prior year period. These decreases were partially offset by an increase in sports programming costs for our international television networks.</w:t>
      </w:r>
    </w:p>
    <w:p>
      <w:pPr>
        <w:spacing w:after="0" w:line="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for the nine months ended September 30, 2025 compared to the same period in 2024 primarily due to costs associated with the Paris Olympics in the prior year period, a decrease in other sports programming costs at our domestic television networks, mainly reflecting lower sports volumes compared to the prior year period, and lower programming costs at Peacock. These decreases were partially offset by an increase in sports programming costs for our international television networks and an increase in entertainment content costs for our domestic television networks.</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and nine months ended September 30, 2025 compared to the same periods in 2024</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costs associated with the Paris Olympics in the prior year periods and lower costs related to marketing for Peacock.</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 segment total costs and expenses included $1.6 billion and $4.4 billion related to Peacock for the three and nine months ended September 30, 2025, respectively. Media segment total costs and expenses included $1.9 billion and $5.0 billion related to Peacock for the three and nine months ended September 30, 2024, respectively, including amounts related to the Paris Olympics.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Nine Months Ended</w:t>
            </w: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99"/>
              </w:rPr>
              <w:t>2024</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5,680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1,178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350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964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2,826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7,822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5,176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48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685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2,359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6,987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468</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835</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increased for the three and nine months ended September 30, 2025 compared to the same periods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timing of when content was made available by our television studios under licensing agreements, partially offset by the timing of when content was made available by our film studios.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increased for the three and nine months ended September 30, 2025 compared to the same periods in 2024 primarily due to higher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revenue from an increased number of releases in the current year periods. Recent releases include </w:t>
      </w:r>
      <w:r>
        <w:rPr>
          <w:rFonts w:ascii="Times New Roman" w:cs="Times New Roman" w:eastAsia="Times New Roman" w:hAnsi="Times New Roman"/>
          <w:sz w:val="18"/>
          <w:szCs w:val="18"/>
          <w:i w:val="1"/>
          <w:iCs w:val="1"/>
          <w:color w:val="auto"/>
        </w:rPr>
        <w:t>Jurassic World Rebirth</w:t>
      </w:r>
      <w:r>
        <w:rPr>
          <w:rFonts w:ascii="Times New Roman" w:cs="Times New Roman" w:eastAsia="Times New Roman" w:hAnsi="Times New Roman"/>
          <w:sz w:val="18"/>
          <w:szCs w:val="18"/>
          <w:color w:val="auto"/>
        </w:rPr>
        <w:t xml:space="preserve"> for the three and nine months ended September 30, 2025 and </w:t>
      </w:r>
      <w:r>
        <w:rPr>
          <w:rFonts w:ascii="Times New Roman" w:cs="Times New Roman" w:eastAsia="Times New Roman" w:hAnsi="Times New Roman"/>
          <w:sz w:val="18"/>
          <w:szCs w:val="18"/>
          <w:i w:val="1"/>
          <w:iCs w:val="1"/>
          <w:color w:val="auto"/>
        </w:rPr>
        <w:t>How to Train Your Dragon</w:t>
      </w:r>
      <w:r>
        <w:rPr>
          <w:rFonts w:ascii="Times New Roman" w:cs="Times New Roman" w:eastAsia="Times New Roman" w:hAnsi="Times New Roman"/>
          <w:sz w:val="18"/>
          <w:szCs w:val="18"/>
          <w:color w:val="auto"/>
        </w:rPr>
        <w:t xml:space="preserve"> for the nine months ended September 30, 2025</w:t>
      </w:r>
      <w:r>
        <w:rPr>
          <w:rFonts w:ascii="Times New Roman" w:cs="Times New Roman" w:eastAsia="Times New Roman" w:hAnsi="Times New Roman"/>
          <w:sz w:val="18"/>
          <w:szCs w:val="18"/>
          <w:i w:val="1"/>
          <w:i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and nine months ended September 30, 2025 compared to the same periods in 2024</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higher costs associated with content licensing sales.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and nine months ended September 30, 2025 compared to the same periods in 2024</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increased spending on recent and upcoming theatrical film releases in the current year periods.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Nine Months Ended</w:t>
            </w:r>
          </w:p>
        </w:tc>
        <w:tc>
          <w:tcPr>
            <w:tcW w:w="9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w w:val="99"/>
              </w:rPr>
              <w:t>2024</w:t>
            </w: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2,289</w:t>
            </w:r>
          </w:p>
        </w:tc>
        <w:tc>
          <w:tcPr>
            <w:tcW w:w="1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6,243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1,442</w:t>
            </w:r>
          </w:p>
        </w:tc>
        <w:tc>
          <w:tcPr>
            <w:tcW w:w="10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4,132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847</w:t>
            </w:r>
          </w:p>
        </w:tc>
        <w:tc>
          <w:tcPr>
            <w:tcW w:w="12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13.1 %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2,111</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increased for the three and nine months ended September 30, 2025 compared to the same periods in 2024 driven by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our domestic theme parks, due to higher revenue at our theme parks in Orlando driven by the opening of Epic Universe in May 2025. The increase at our domestic theme parks for the nine months ended September 30, 2025 also includes a partial offset driven by lower revenue at our theme park in Hollywood.</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increased for the three and nine months ended September 30, 2025 compared to the same periods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2024 primarily due to operating costs associated with Epic Universe.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675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(271)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(200)</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(789)</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(642)</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395" w:lineRule="auto"/>
        <w:rPr>
          <w:sz w:val="20"/>
          <w:szCs w:val="20"/>
          <w:color w:val="auto"/>
        </w:rPr>
      </w:pPr>
      <w:r>
        <w:rPr>
          <w:rFonts w:ascii="Times New Roman" w:cs="Times New Roman" w:eastAsia="Times New Roman" w:hAnsi="Times New Roman"/>
          <w:sz w:val="18"/>
          <w:szCs w:val="18"/>
          <w:color w:val="auto"/>
        </w:rPr>
        <w:t xml:space="preserve">Headquarters and Other expenses primarily consist of overhead, personnel and other costs necessary to operate the Content &amp; Experiences business. </w:t>
      </w:r>
      <w:r>
        <w:rPr>
          <w:rFonts w:ascii="Arial" w:cs="Arial" w:eastAsia="Arial" w:hAnsi="Arial"/>
          <w:sz w:val="18"/>
          <w:szCs w:val="18"/>
          <w:b w:val="1"/>
          <w:bCs w:val="1"/>
          <w:color w:val="auto"/>
        </w:rPr>
        <w:t>Eliminations</w:t>
      </w:r>
    </w:p>
    <w:tbl>
      <w:tblPr>
        <w:tblLayout w:type="fixed"/>
        <w:tblInd w:w="0" w:type="dxa"/>
        <w:tblCellMar>
          <w:top w:w="0" w:type="dxa"/>
          <w:left w:w="0" w:type="dxa"/>
          <w:bottom w:w="0" w:type="dxa"/>
          <w:right w:w="0" w:type="dxa"/>
        </w:tblCellMar>
      </w:tblPr>
      <w:tr>
        <w:trPr>
          <w:trHeight w:val="146"/>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3"/>
          </w:tcPr>
          <w:p>
            <w:pPr>
              <w:jc w:val="right"/>
              <w:ind w:right="755"/>
              <w:spacing w:after="0" w:line="146" w:lineRule="exact"/>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2"/>
                <w:szCs w:val="12"/>
                <w:color w:val="auto"/>
              </w:rPr>
            </w:pPr>
          </w:p>
        </w:tc>
        <w:tc>
          <w:tcPr>
            <w:tcW w:w="2400" w:type="dxa"/>
            <w:vAlign w:val="bottom"/>
            <w:gridSpan w:val="3"/>
          </w:tcPr>
          <w:p>
            <w:pPr>
              <w:jc w:val="right"/>
              <w:ind w:right="795"/>
              <w:spacing w:after="0" w:line="146" w:lineRule="exact"/>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(758)</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(23.4)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(1,994)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(796)</w:t>
            </w:r>
          </w:p>
        </w:tc>
        <w:tc>
          <w:tcPr>
            <w:tcW w:w="12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(2,101)</w:t>
            </w: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38</w:t>
            </w:r>
          </w:p>
        </w:tc>
        <w:tc>
          <w:tcPr>
            <w:tcW w:w="12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(81.8)%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w w:val="99"/>
              </w:rPr>
              <w:t>2024</w:t>
            </w: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rPr>
              <w:t>675</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2,148</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978</w:t>
            </w: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3,040</w:t>
            </w: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(273)</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7"/>
              </w:rPr>
              <w:t>(302)</w:t>
            </w:r>
          </w:p>
        </w:tc>
        <w:tc>
          <w:tcPr>
            <w:tcW w:w="122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9.8 %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(866)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(892)</w:t>
            </w:r>
          </w:p>
        </w:tc>
        <w:tc>
          <w:tcPr>
            <w:tcW w:w="116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3.0 %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Comcast Spectacor, which owns the Philadelphia Flyers and the Xfinity Mobile Arena in Philadelphia, Pennsylvania; and Xumo, our consolidated streaming platform joint venture.</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increased for the three and nine months ended September 30, 2025 compared to the same periods in 2024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driven by increases from Sky operations in Germany, which include the positive impact of foreign currency and underlying increases in revenue. The increase for the nine months ended September 30, 2025 is partially offset by a decrease in revenue from Comcast Spectacor.</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increased for the three months ended September 30, 2025 compared to the same period in 2024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due to our corporate functions and higher costs related to Sky operations in Germany primarily due to the impact of foreign currency, partially offset by marketing associated with the Paris Olympics in the prior year period.</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costs and expenses remained consistent for the nine months ended September 30, 2025 primarily due to our corporate functions and higher costs at Xumo in the current year period, offset by marketing associated with the Paris Olympics in the prior year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w w:val="99"/>
              </w:rPr>
              <w:t>2024</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(4,174)</w:t>
            </w: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3.4 %</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(1,436)</w:t>
            </w:r>
          </w:p>
        </w:tc>
        <w:tc>
          <w:tcPr>
            <w:tcW w:w="12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(4,088)</w:t>
            </w:r>
          </w:p>
        </w:tc>
        <w:tc>
          <w:tcPr>
            <w:tcW w:w="1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(86)</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Prior year amounts reflect an increase associated with the Paris Olympics.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color w:val="auto"/>
              </w:rPr>
              <w:t>Three Months Ended</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3,332</w:t>
            </w:r>
          </w:p>
        </w:tc>
        <w:tc>
          <w:tcPr>
            <w:tcW w:w="10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3,629</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17,830</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11,415</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8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1,218</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6,017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1,128</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1,037</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3,283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(9,705)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tcPr>
          <w:p>
            <w:pPr>
              <w:spacing w:after="0"/>
              <w:rPr>
                <w:sz w:val="19"/>
                <w:szCs w:val="19"/>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2,353</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2,219</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6,934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1,666</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1,659</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5,089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30"/>
        </w:trPr>
        <w:tc>
          <w:tcPr>
            <w:tcW w:w="49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116</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277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9,669</w:t>
            </w:r>
          </w:p>
        </w:tc>
        <w:tc>
          <w:tcPr>
            <w:tcW w:w="10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9,735</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29,484</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r>
    </w:tbl>
    <w:p>
      <w:pPr>
        <w:spacing w:after="0" w:line="85" w:lineRule="exact"/>
        <w:rPr>
          <w:sz w:val="20"/>
          <w:szCs w:val="20"/>
          <w:color w:val="auto"/>
        </w:rPr>
      </w:pPr>
    </w:p>
    <w:p>
      <w:pPr>
        <w:jc w:val="both"/>
        <w:ind w:left="260" w:hanging="252"/>
        <w:spacing w:after="0" w:line="265" w:lineRule="auto"/>
        <w:tabs>
          <w:tab w:leader="none" w:pos="25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For the periods presented, Adjusted EBITDA excludes transaction and transaction-related costs associated with the proposed separation of Versant, as well as other operating and administrative expenses related to our investment portfolio. Transaction costs are incremental costs directly related to effectuating the proposed separation and primarily include legal, audit and advisory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spin-related employee compensation, severance and retention bonuses; IT separation and implementation costs; and other one-time costs.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c>
          <w:tcPr>
            <w:tcW w:w="21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r>
      <w:tr>
        <w:trPr>
          <w:trHeight w:val="20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Transaction-related costs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99"/>
              </w:rPr>
              <w:t>—</w:t>
            </w:r>
          </w:p>
        </w:tc>
      </w:tr>
      <w:tr>
        <w:trPr>
          <w:trHeight w:val="195"/>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8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60" w:type="dxa"/>
            <w:vAlign w:val="bottom"/>
          </w:tcPr>
          <w:p>
            <w:pPr>
              <w:spacing w:after="0"/>
              <w:rPr>
                <w:sz w:val="16"/>
                <w:szCs w:val="16"/>
                <w:color w:val="auto"/>
              </w:rPr>
            </w:pPr>
          </w:p>
        </w:tc>
        <w:tc>
          <w:tcPr>
            <w:tcW w:w="7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9"/>
              </w:rPr>
              <w:t>—</w:t>
            </w:r>
          </w:p>
        </w:tc>
      </w:tr>
      <w:tr>
        <w:trPr>
          <w:trHeight w:val="20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related to our investment portfolio</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w:t>
            </w:r>
          </w:p>
        </w:tc>
        <w:tc>
          <w:tcPr>
            <w:tcW w:w="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277</w:t>
            </w:r>
          </w:p>
        </w:tc>
        <w:tc>
          <w:tcPr>
            <w:tcW w:w="4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(11)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7"/>
          </w:tcPr>
          <w:p>
            <w:pPr>
              <w:jc w:val="center"/>
              <w:ind w:right="473"/>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300" w:type="dxa"/>
            <w:vAlign w:val="bottom"/>
          </w:tcPr>
          <w:p>
            <w:pPr>
              <w:spacing w:after="0"/>
              <w:rPr>
                <w:sz w:val="16"/>
                <w:szCs w:val="16"/>
                <w:color w:val="auto"/>
              </w:rPr>
            </w:pPr>
          </w:p>
        </w:tc>
        <w:tc>
          <w:tcPr>
            <w:tcW w:w="362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3"/>
          </w:tcPr>
          <w:p>
            <w:pPr>
              <w:jc w:val="center"/>
              <w:ind w:left="113"/>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480" w:type="dxa"/>
            <w:vAlign w:val="bottom"/>
            <w:gridSpan w:val="3"/>
          </w:tcPr>
          <w:p>
            <w:pPr>
              <w:jc w:val="right"/>
              <w:ind w:right="153"/>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18,033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53,558</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53,898</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7,253</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20,458</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60,812</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61,153</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6,928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20,859</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20,914</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4,137</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8,295</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8,318</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24,996</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4"/>
                <w:szCs w:val="14"/>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25,050</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38.4 %</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40.9 %</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40.7 %</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41.1 %</w:t>
            </w: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41.0 %</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300" w:type="dxa"/>
            <w:vAlign w:val="bottom"/>
          </w:tcPr>
          <w:p>
            <w:pPr>
              <w:spacing w:after="0"/>
              <w:rPr>
                <w:sz w:val="24"/>
                <w:szCs w:val="24"/>
                <w:color w:val="auto"/>
              </w:rPr>
            </w:pPr>
          </w:p>
        </w:tc>
        <w:tc>
          <w:tcPr>
            <w:tcW w:w="362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175"/>
        </w:trPr>
        <w:tc>
          <w:tcPr>
            <w:tcW w:w="3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 per customer relationship</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300" w:type="dxa"/>
            <w:vAlign w:val="bottom"/>
          </w:tcPr>
          <w:p>
            <w:pPr>
              <w:spacing w:after="0"/>
              <w:rPr>
                <w:sz w:val="24"/>
                <w:szCs w:val="24"/>
                <w:color w:val="auto"/>
              </w:rPr>
            </w:pPr>
          </w:p>
        </w:tc>
        <w:tc>
          <w:tcPr>
            <w:tcW w:w="362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 and</w:t>
            </w:r>
          </w:p>
        </w:tc>
        <w:tc>
          <w:tcPr>
            <w:tcW w:w="3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11,996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12,140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35,816</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36,103</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5"/>
          </w:tcPr>
          <w:p>
            <w:pPr>
              <w:jc w:val="center"/>
              <w:ind w:right="131"/>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260" w:type="dxa"/>
            <w:vAlign w:val="bottom"/>
          </w:tcPr>
          <w:p>
            <w:pPr>
              <w:spacing w:after="0"/>
              <w:rPr>
                <w:sz w:val="16"/>
                <w:szCs w:val="16"/>
                <w:color w:val="auto"/>
              </w:rPr>
            </w:pPr>
          </w:p>
        </w:tc>
        <w:tc>
          <w:tcPr>
            <w:tcW w:w="3580" w:type="dxa"/>
            <w:vAlign w:val="bottom"/>
            <w:gridSpan w:val="5"/>
          </w:tcPr>
          <w:p>
            <w:pPr>
              <w:jc w:val="center"/>
              <w:ind w:right="91"/>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right"/>
              <w:ind w:right="31"/>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8,688</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25,694</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7,034</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18,033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53,558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53,898</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4,156</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6,950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11,105</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32,984</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6,904</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6,928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20,859</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20,914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8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September 30,</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5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880" w:type="dxa"/>
            <w:vAlign w:val="bottom"/>
          </w:tcPr>
          <w:p>
            <w:pPr>
              <w:spacing w:after="0"/>
              <w:rPr>
                <w:sz w:val="24"/>
                <w:szCs w:val="24"/>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38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September 30, 2025,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facility contains a financial covenant pertaining to leverage, which is the ratio of debt to EBITDA, as defined in the agreement. Compliance with this financial covenant is tested on a quarterly basis. As of September 30, 2025, we met this financial covenant, and we expect to remain in compliance with this financial covenant.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17,184</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12,023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1,014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(2,682)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423</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24,802</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19,593</w:t>
            </w: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nine months ended September 30, 2025 compared to the same period in 2024 was primarily related to decreases in receivables, the timing of amortization and related payments for our film and television costs, including the timing of sports, the timing of our accounts payable, and increases in deferred revenue, which includes the impact of the Paris Olympics, partially offset by increases in inventory.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interest increased for the nine months ended September 30, 2025 compared to the same period in 2024 primarily due to increased debt balances following debt issuances in the current year period, decreased capitalized interest driven by the opening of Epic Universe and higher weighted-average interest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income taxes decreased for the nine months ended September 30, 2025 compared to the same period in 2024 primarily due to higher payments in the prior year period relating to the preceding tax year, primarily driven by the taxable gain recognized on our investment in Hulu, and additional deductions allowed under new legislation effective in the current year period. The decreases were partially offset by the timing of transferable tax credit purchases.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legislation was signed into law in the United States that reduced payments of income taxes beginning in the third quarter of 2025. The legislation will continue to significantly reduce payments of income taxes over the next several years, with variability across the years. Among other things, this legislation provides for immediate deduction of 100% of the costs of qualified property, including significant portions of our capital expenditures and film and television production costs, acquired and placed into service after January 19, 2025, compared to the 40% and 20% deductions that would have applied in 2025 and 2026, respectively, under prior law. The legislation also reinstates the immediate deduction of domestic research and development expenses, retroactive to 2022, repealing the prior requirement to capitalize and amortize such costs over five years.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receive a federal income tax refund in the current year as a result of carrying back a capital loss created primarily as part of a 2024 internal corporate reorganization to offset capital gains recognized in our federal income tax returns for 2021 through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increased for the nine months ended September 30, 2025 compared to the same period in 2024 primarily due to the acquisition of Nitel in 2025, the purchase of an equity method investment in the current year period and proceeds from the maturity of short-term investments in the prior year period, partially offset by purchases of short-term investments in the prior year period, $439 million of additional proceeds received in the current year period for the sale of our interest in Hulu (see Note 7), decreased capital expenditures and proceeds from the sale of a nonmarketable security in the current year period. Capital expenditures decreased for the nine months ended September 30, 2025 compared to the same period in 2024 primarily reflecting decreased spending on Epic Universe driven by the opening in 2025, partially offset by increased spending by the Connectivity &amp; Platforms businesses primarily on customer premise equipment, scalable infrastructure and line extensions.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nine months ended September 30, 2025 compared to the same period in 2024 primarily due to lower proceeds from borrowings and increased repurchases and repayments of debt in the current year period, partially offset by lower repurchases of common stock in the current year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2025, we issued $2.5 billion aggregate principal amount of fixed-rate senior notes, which have maturities ranging between 2032 and 2055 and a weighted-average interest rate of 5.51%. The net proceeds from this issuance were intended for the early redemption of all outstanding amounts of our $1.5 billion aggregate principal amount of 3.375% Notes due August 2025, which was completed in June 2025, and for general corporate purposes.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made debt repayments of $4.4 billion, including $2.6 billion of 3.950% Notes due October 2025 and $1.2 billion of 3.375% Notes due August 2025, as well as $419 million principal amount of notes due at maturity.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we completed debt exchange transactions and concurrent tender offers. We issued $1.2 billion aggregate principal amount of new 5.17% senior notes due 2037 and made cash payments of approximately $0.8 billion in exchange for $1.9 billion aggregate principal amount of certain series of outstanding senior notes with maturities ranging from 2027 to 2029 and a weighted-average interest rate of 4.01%. These transactions will not have a material impact on our interest expense or on our overall weighted-average interest rate or weighted-average maturity for our total outstanding debt.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in October 2025, in anticipation of the separation of Versant, Versant entered into a credit agreement with respect to a $1.0 billion senior secured term A loan facility due January 2031 (the “Term A Loan Facility”) and a $750 million revolving credit facility due January 2031 (the “Versant Revolving Credit Facility”). Versant also intends to enter into a credit agreement with respect to a $1.0 billion term B loan facility due January 2031 (the “Term B Loan Facility”). The Versant Revolving Credit Facility is expected to be undrawn on the separation date, the Term A Loan Facility will be funded on the separation date, and the Term B Loan Facility is expected to be funded on the separation date. In October 2025, Versant also entered into an indenture pursuant to which Versant issued $1.0 billion aggregate principal amount of 7.25% senior secured notes due January 2031 (the “Notes”). The Notes are subject to a special mandatory redemption at a price of 100% of the principal amount, plus accrued and unpaid interest, if the separation of Versant from Comcast is not consummated by March 2, 2026. The net proceeds from the offering of the Notes were deposited in an escrow account in favor of the trustee, together with certain additional cash contributed by Comcast. On the separation date, Versant intends to use a portion of the proceeds of such indebtedness to make a cash payment of approximately $2.25 billion to Comcast.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repurchased a total of 152 million shares of our Class A common stock for $5.3 billion. In January 2025, our Board of Directors terminated the existing share repurchase program authorization and approved a new share repurchase program authorization of $15.0 billion, which has no expiration date. As of September 30, 2025, we had $10.4 billion remaining under the authorization. We did not purchase any shares outside of this program.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$356 million and $328 million for the nine months ended September 30, 2025 and 2024, respectively, related to employee taxes associated with the administration of our share-based compensation plans and excise taxes related to share repurchases.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2025, our Board of Directors approved a 6.5% increase in our dividend to $1.32 per share on an annualized basis. During the nine months ended September 30, 2025, we paid dividends of $3.7 billion. In July 2025, our Board of Directors approved our third quarter dividend of $0.33 per share, which was paid in October 2025.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2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86"/>
        </w:trPr>
        <w:tc>
          <w:tcPr>
            <w:tcW w:w="76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2024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the combined Guarantors have noncurrent notes payable to non-guarantor subsidiaries of $103 billion and $88 billion, respectively, and noncurrent notes receivable from non-guarantor subsidiaries of $14 billion for both periods.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and December 31, 2024, Comcast and Comcast Holdings, the combined issuer and guarantor of the guaranteed subordinated debt, have noncurrent senior notes payable to non-guarantor subsidiaries of $69 billion and $53 billion, respectively, and noncurrent notes receivable from non-guarantor subsidiaries of $10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2024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2024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2024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September 30,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8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6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214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2025</w:t>
            </w:r>
          </w:p>
        </w:tc>
        <w:tc>
          <w:tcPr>
            <w:tcW w:w="1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14,168,226</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34.87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14,168,226</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493,999,618</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11,481,195,960</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2025</w:t>
            </w:r>
          </w:p>
        </w:tc>
        <w:tc>
          <w:tcPr>
            <w:tcW w:w="18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19,135,489</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32.92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19,135,489</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629,954,553</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10,851,241,407</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2025</w:t>
            </w:r>
          </w:p>
        </w:tc>
        <w:tc>
          <w:tcPr>
            <w:tcW w:w="18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12,711,247</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32.81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12,711,247</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416,999,698</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10,434,241,708</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46,014,962</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33.49</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46,014,962</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1,540,953,870</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10,434,241,708</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right="20" w:hanging="332"/>
        <w:spacing w:after="0" w:line="281" w:lineRule="auto"/>
        <w:tabs>
          <w:tab w:leader="none" w:pos="33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our Board of Directors approved a new share repurchase authorization of $15 billion, which had no expiration date. In January of 2025, our Board of Directors terminated the existing program and approved a new share repurchase authorization of $15 billion effective as of January 31, 2025,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4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No.</w:t>
            </w:r>
          </w:p>
        </w:tc>
        <w:tc>
          <w:tcPr>
            <w:tcW w:w="10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0" w:type="dxa"/>
            <w:vAlign w:val="bottom"/>
            <w:gridSpan w:val="3"/>
          </w:tcPr>
          <w:p>
            <w:pPr>
              <w:ind w:left="20"/>
              <w:spacing w:after="0" w:line="188"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16"/>
                <w:szCs w:val="16"/>
                <w:color w:val="auto"/>
              </w:rPr>
            </w:pPr>
          </w:p>
        </w:tc>
        <w:tc>
          <w:tcPr>
            <w:tcW w:w="104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Registration Rights Agreement, dated as of October 2, 2025 (incorporated by reference to Exhibit 4.2 to Comcast's Current Report on Form 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K filed on October 2, 2025).</w:t>
            </w:r>
          </w:p>
        </w:tc>
        <w:tc>
          <w:tcPr>
            <w:tcW w:w="0" w:type="dxa"/>
            <w:vAlign w:val="bottom"/>
          </w:tcPr>
          <w:p>
            <w:pPr>
              <w:spacing w:after="0"/>
              <w:rPr>
                <w:sz w:val="1"/>
                <w:szCs w:val="1"/>
                <w:color w:val="auto"/>
              </w:rPr>
            </w:pPr>
          </w:p>
        </w:tc>
      </w:tr>
      <w:tr>
        <w:trPr>
          <w:trHeight w:val="194"/>
        </w:trPr>
        <w:tc>
          <w:tcPr>
            <w:tcW w:w="4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16"/>
                <w:szCs w:val="16"/>
                <w:color w:val="auto"/>
              </w:rPr>
            </w:pPr>
          </w:p>
        </w:tc>
        <w:tc>
          <w:tcPr>
            <w:tcW w:w="104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Registration Rights Agreement, dated as of October 9, 2025 (incorporated by reference to Exhibit 4.2 to Comcast's Current Report on Form 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K filed on October 9, 2025).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320" w:type="dxa"/>
            <w:vAlign w:val="bottom"/>
          </w:tcPr>
          <w:p>
            <w:pPr>
              <w:spacing w:after="0"/>
              <w:rPr>
                <w:sz w:val="16"/>
                <w:szCs w:val="16"/>
                <w:color w:val="auto"/>
              </w:rPr>
            </w:pPr>
          </w:p>
        </w:tc>
        <w:tc>
          <w:tcPr>
            <w:tcW w:w="104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Comcast Corporation Non-Employee Director Compensation Plan, as amended and restated effective July 23, 2025.</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00" w:hanging="874"/>
        <w:spacing w:after="0"/>
        <w:tabs>
          <w:tab w:leader="none" w:pos="900"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19"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nine months ended September 30, 2025, filed with the Securities and Exchange Commission on October 30, 2025,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9"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ind w:left="900" w:hanging="87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71" w:right="339" w:bottom="1440" w:gutter="0" w:footer="0" w:header="0"/>
        </w:sectPr>
      </w:pPr>
    </w:p>
    <w:bookmarkStart w:id="37" w:name="page38"/>
    <w:bookmarkEnd w:id="37"/>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Effective July 23, 2025)</w:t>
      </w:r>
    </w:p>
    <w:p>
      <w:pPr>
        <w:spacing w:after="0" w:line="216" w:lineRule="exact"/>
        <w:rPr>
          <w:sz w:val="20"/>
          <w:szCs w:val="20"/>
          <w:color w:val="auto"/>
        </w:rPr>
      </w:pPr>
    </w:p>
    <w:p>
      <w:pPr>
        <w:ind w:left="820" w:hanging="380"/>
        <w:spacing w:after="0"/>
        <w:tabs>
          <w:tab w:leader="none" w:pos="8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BACKGROUND AND PURPOSE</w:t>
      </w:r>
    </w:p>
    <w:p>
      <w:pPr>
        <w:spacing w:after="0" w:line="224" w:lineRule="exact"/>
        <w:rPr>
          <w:sz w:val="20"/>
          <w:szCs w:val="20"/>
          <w:color w:val="auto"/>
        </w:rPr>
      </w:pPr>
    </w:p>
    <w:p>
      <w:pPr>
        <w:ind w:right="280" w:firstLine="1944"/>
        <w:spacing w:after="0" w:line="256" w:lineRule="auto"/>
        <w:rPr>
          <w:sz w:val="20"/>
          <w:szCs w:val="20"/>
          <w:color w:val="auto"/>
        </w:rPr>
      </w:pPr>
      <w:r>
        <w:rPr>
          <w:rFonts w:ascii="Times New Roman" w:cs="Times New Roman" w:eastAsia="Times New Roman" w:hAnsi="Times New Roman"/>
          <w:sz w:val="22"/>
          <w:szCs w:val="22"/>
          <w:color w:val="auto"/>
        </w:rPr>
        <w:t>COMCAST CORPORATION, a Pennsylvania corporation, hereby amends and restates the Comcast Corporation Non-Employee Director Compensation Plan, effective July 11, 2023, except as otherwise specifically provided herein. The purpose of the Plan is to provide Non-Employee Directors of COMCAST CORPORATION (the “Company”) with compensation for services to the Company.</w:t>
      </w:r>
    </w:p>
    <w:p>
      <w:pPr>
        <w:spacing w:after="0" w:line="172" w:lineRule="exact"/>
        <w:rPr>
          <w:sz w:val="20"/>
          <w:szCs w:val="20"/>
          <w:color w:val="auto"/>
        </w:rPr>
      </w:pPr>
    </w:p>
    <w:p>
      <w:pPr>
        <w:ind w:left="1680" w:hanging="376"/>
        <w:spacing w:after="0"/>
        <w:tabs>
          <w:tab w:leader="none" w:pos="1680" w:val="left"/>
        </w:tabs>
        <w:numPr>
          <w:ilvl w:val="2"/>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3" w:lineRule="exact"/>
        <w:rPr>
          <w:rFonts w:ascii="Times New Roman" w:cs="Times New Roman" w:eastAsia="Times New Roman" w:hAnsi="Times New Roman"/>
          <w:sz w:val="22"/>
          <w:szCs w:val="22"/>
          <w:b w:val="1"/>
          <w:bCs w:val="1"/>
          <w:color w:val="auto"/>
        </w:rPr>
      </w:pPr>
    </w:p>
    <w:p>
      <w:pPr>
        <w:ind w:right="460" w:firstLine="764"/>
        <w:spacing w:after="0" w:line="271" w:lineRule="auto"/>
        <w:tabs>
          <w:tab w:leader="none" w:pos="121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means the amount payable for service as a Non-Employee Director for a calendar year, as a member of the Board, and as a member of one or more Committees as determined under Paragraph 3(a) of the Plan.</w:t>
      </w:r>
    </w:p>
    <w:p>
      <w:pPr>
        <w:spacing w:after="0" w:line="184" w:lineRule="exact"/>
        <w:rPr>
          <w:rFonts w:ascii="Times New Roman" w:cs="Times New Roman" w:eastAsia="Times New Roman" w:hAnsi="Times New Roman"/>
          <w:sz w:val="22"/>
          <w:szCs w:val="22"/>
          <w:color w:val="auto"/>
        </w:rPr>
      </w:pPr>
    </w:p>
    <w:p>
      <w:pPr>
        <w:ind w:left="1280" w:hanging="516"/>
        <w:spacing w:after="0"/>
        <w:tabs>
          <w:tab w:leader="none" w:pos="12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46" w:lineRule="exact"/>
        <w:rPr>
          <w:rFonts w:ascii="Times New Roman" w:cs="Times New Roman" w:eastAsia="Times New Roman" w:hAnsi="Times New Roman"/>
          <w:sz w:val="22"/>
          <w:szCs w:val="22"/>
          <w:color w:val="auto"/>
        </w:rPr>
      </w:pPr>
    </w:p>
    <w:p>
      <w:pPr>
        <w:ind w:left="1280" w:hanging="516"/>
        <w:spacing w:after="0"/>
        <w:tabs>
          <w:tab w:leader="none" w:pos="12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Meeting</w:t>
      </w:r>
      <w:r>
        <w:rPr>
          <w:rFonts w:ascii="Times New Roman" w:cs="Times New Roman" w:eastAsia="Times New Roman" w:hAnsi="Times New Roman"/>
          <w:sz w:val="22"/>
          <w:szCs w:val="22"/>
          <w:color w:val="auto"/>
        </w:rPr>
        <w:t>” means a meeting of the Board, whether in person or by telephone or video conference.</w:t>
      </w:r>
    </w:p>
    <w:p>
      <w:pPr>
        <w:spacing w:after="0" w:line="260" w:lineRule="exact"/>
        <w:rPr>
          <w:rFonts w:ascii="Times New Roman" w:cs="Times New Roman" w:eastAsia="Times New Roman" w:hAnsi="Times New Roman"/>
          <w:sz w:val="22"/>
          <w:szCs w:val="22"/>
          <w:color w:val="auto"/>
        </w:rPr>
      </w:pPr>
    </w:p>
    <w:p>
      <w:pPr>
        <w:ind w:left="1280" w:hanging="516"/>
        <w:spacing w:after="0"/>
        <w:tabs>
          <w:tab w:leader="none" w:pos="12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duly-constituted committee of the Board.</w:t>
      </w:r>
    </w:p>
    <w:p>
      <w:pPr>
        <w:spacing w:after="0" w:line="246" w:lineRule="exact"/>
        <w:rPr>
          <w:rFonts w:ascii="Times New Roman" w:cs="Times New Roman" w:eastAsia="Times New Roman" w:hAnsi="Times New Roman"/>
          <w:sz w:val="22"/>
          <w:szCs w:val="22"/>
          <w:color w:val="auto"/>
        </w:rPr>
      </w:pPr>
    </w:p>
    <w:p>
      <w:pPr>
        <w:ind w:right="320" w:firstLine="764"/>
        <w:spacing w:after="0" w:line="271" w:lineRule="auto"/>
        <w:tabs>
          <w:tab w:leader="none" w:pos="121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 Meeting</w:t>
      </w:r>
      <w:r>
        <w:rPr>
          <w:rFonts w:ascii="Times New Roman" w:cs="Times New Roman" w:eastAsia="Times New Roman" w:hAnsi="Times New Roman"/>
          <w:sz w:val="22"/>
          <w:szCs w:val="22"/>
          <w:color w:val="auto"/>
        </w:rPr>
        <w:t>” means a meeting of a Committee, whether in person or by telephone or video conference, other than a meeting of a Committee that is convened and held during a Board Meeting.</w:t>
      </w:r>
    </w:p>
    <w:p>
      <w:pPr>
        <w:spacing w:after="0" w:line="184" w:lineRule="exact"/>
        <w:rPr>
          <w:rFonts w:ascii="Times New Roman" w:cs="Times New Roman" w:eastAsia="Times New Roman" w:hAnsi="Times New Roman"/>
          <w:sz w:val="22"/>
          <w:szCs w:val="22"/>
          <w:color w:val="auto"/>
        </w:rPr>
      </w:pPr>
    </w:p>
    <w:p>
      <w:pPr>
        <w:ind w:right="240" w:firstLine="764"/>
        <w:spacing w:after="0" w:line="271" w:lineRule="auto"/>
        <w:tabs>
          <w:tab w:leader="none" w:pos="118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98" w:lineRule="exact"/>
        <w:rPr>
          <w:rFonts w:ascii="Times New Roman" w:cs="Times New Roman" w:eastAsia="Times New Roman" w:hAnsi="Times New Roman"/>
          <w:sz w:val="22"/>
          <w:szCs w:val="22"/>
          <w:color w:val="auto"/>
        </w:rPr>
      </w:pPr>
    </w:p>
    <w:p>
      <w:pPr>
        <w:jc w:val="both"/>
        <w:ind w:right="220" w:firstLine="764"/>
        <w:spacing w:after="0" w:line="257" w:lineRule="auto"/>
        <w:tabs>
          <w:tab w:leader="none" w:pos="127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Plan</w:t>
      </w:r>
      <w:r>
        <w:rPr>
          <w:rFonts w:ascii="Times New Roman" w:cs="Times New Roman" w:eastAsia="Times New Roman" w:hAnsi="Times New Roman"/>
          <w:sz w:val="22"/>
          <w:szCs w:val="22"/>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199" w:lineRule="exact"/>
        <w:rPr>
          <w:rFonts w:ascii="Times New Roman" w:cs="Times New Roman" w:eastAsia="Times New Roman" w:hAnsi="Times New Roman"/>
          <w:sz w:val="22"/>
          <w:szCs w:val="22"/>
          <w:color w:val="auto"/>
        </w:rPr>
      </w:pPr>
    </w:p>
    <w:p>
      <w:pPr>
        <w:ind w:right="640" w:firstLine="656"/>
        <w:spacing w:after="0" w:line="271" w:lineRule="auto"/>
        <w:tabs>
          <w:tab w:leader="none" w:pos="11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 Emeritus</w:t>
      </w:r>
      <w:r>
        <w:rPr>
          <w:rFonts w:ascii="Times New Roman" w:cs="Times New Roman" w:eastAsia="Times New Roman" w:hAnsi="Times New Roman"/>
          <w:sz w:val="22"/>
          <w:szCs w:val="22"/>
          <w:color w:val="auto"/>
        </w:rPr>
        <w:t>” means an individual designated by the Board, in its sole discretion, as Director Emeritus, pursuant to the Board’s Director Emeritus Policy.</w:t>
      </w:r>
    </w:p>
    <w:p>
      <w:pPr>
        <w:sectPr>
          <w:pgSz w:w="11900" w:h="16838" w:orient="portrait"/>
          <w:cols w:equalWidth="0" w:num="1">
            <w:col w:w="11240"/>
          </w:cols>
          <w:pgMar w:left="320" w:top="1440" w:right="339" w:bottom="1440" w:gutter="0" w:footer="0" w:header="0"/>
        </w:sectPr>
      </w:pPr>
    </w:p>
    <w:bookmarkStart w:id="38" w:name="page39"/>
    <w:bookmarkEnd w:id="38"/>
    <w:p>
      <w:pPr>
        <w:ind w:left="2380" w:hanging="428"/>
        <w:spacing w:after="0"/>
        <w:tabs>
          <w:tab w:leader="none" w:pos="2380" w:val="left"/>
        </w:tabs>
        <w:numPr>
          <w:ilvl w:val="4"/>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w:t>
      </w:r>
    </w:p>
    <w:p>
      <w:pPr>
        <w:spacing w:after="0" w:line="246" w:lineRule="exact"/>
        <w:rPr>
          <w:rFonts w:ascii="Times New Roman" w:cs="Times New Roman" w:eastAsia="Times New Roman" w:hAnsi="Times New Roman"/>
          <w:sz w:val="22"/>
          <w:szCs w:val="22"/>
          <w:color w:val="auto"/>
        </w:rPr>
      </w:pPr>
    </w:p>
    <w:p>
      <w:pPr>
        <w:jc w:val="both"/>
        <w:ind w:right="160" w:firstLine="1412"/>
        <w:spacing w:after="0" w:line="263" w:lineRule="auto"/>
        <w:tabs>
          <w:tab w:leader="none" w:pos="1824"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67" w:lineRule="exact"/>
        <w:rPr>
          <w:rFonts w:ascii="Times New Roman" w:cs="Times New Roman" w:eastAsia="Times New Roman" w:hAnsi="Times New Roman"/>
          <w:sz w:val="22"/>
          <w:szCs w:val="22"/>
          <w:color w:val="auto"/>
        </w:rPr>
      </w:pPr>
    </w:p>
    <w:p>
      <w:pPr>
        <w:ind w:right="260" w:firstLine="1358"/>
        <w:spacing w:after="0" w:line="257" w:lineRule="auto"/>
        <w:tabs>
          <w:tab w:leader="none" w:pos="183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72" w:lineRule="exact"/>
        <w:rPr>
          <w:rFonts w:ascii="Times New Roman" w:cs="Times New Roman" w:eastAsia="Times New Roman" w:hAnsi="Times New Roman"/>
          <w:sz w:val="22"/>
          <w:szCs w:val="22"/>
          <w:color w:val="auto"/>
        </w:rPr>
      </w:pPr>
    </w:p>
    <w:p>
      <w:pPr>
        <w:ind w:right="160" w:firstLine="1412"/>
        <w:spacing w:after="0" w:line="284" w:lineRule="auto"/>
        <w:tabs>
          <w:tab w:leader="none" w:pos="1944" w:val="left"/>
        </w:tabs>
        <w:numPr>
          <w:ilvl w:val="3"/>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not so listed nor trades of Shares so reported, Fair Market Value shall be determined by the Committee in good faith.</w:t>
      </w:r>
    </w:p>
    <w:p>
      <w:pPr>
        <w:spacing w:after="0" w:line="170" w:lineRule="exact"/>
        <w:rPr>
          <w:rFonts w:ascii="Times New Roman" w:cs="Times New Roman" w:eastAsia="Times New Roman" w:hAnsi="Times New Roman"/>
          <w:sz w:val="22"/>
          <w:szCs w:val="22"/>
          <w:color w:val="auto"/>
        </w:rPr>
      </w:pPr>
    </w:p>
    <w:p>
      <w:pPr>
        <w:ind w:right="100" w:firstLine="764"/>
        <w:spacing w:after="0" w:line="271" w:lineRule="auto"/>
        <w:tabs>
          <w:tab w:leader="none" w:pos="117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means an individual who is a member of the Board, and who is not an employee of the Company, including an individual who is a member of the Board and who previously was an employee of the Company.</w:t>
      </w:r>
    </w:p>
    <w:p>
      <w:pPr>
        <w:spacing w:after="0" w:line="184" w:lineRule="exact"/>
        <w:rPr>
          <w:rFonts w:ascii="Times New Roman" w:cs="Times New Roman" w:eastAsia="Times New Roman" w:hAnsi="Times New Roman"/>
          <w:sz w:val="22"/>
          <w:szCs w:val="22"/>
          <w:color w:val="auto"/>
        </w:rPr>
      </w:pPr>
    </w:p>
    <w:p>
      <w:pPr>
        <w:ind w:right="320" w:firstLine="764"/>
        <w:spacing w:after="0" w:line="271" w:lineRule="auto"/>
        <w:tabs>
          <w:tab w:leader="none" w:pos="122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Omnibus Plan</w:t>
      </w:r>
      <w:r>
        <w:rPr>
          <w:rFonts w:ascii="Times New Roman" w:cs="Times New Roman" w:eastAsia="Times New Roman" w:hAnsi="Times New Roman"/>
          <w:sz w:val="22"/>
          <w:szCs w:val="22"/>
          <w:color w:val="auto"/>
        </w:rPr>
        <w:t>” means the Comcast Corporation 2023 Omnibus Equity Incentive Plan (or any successor plan, pursuant to which the Company grants restricted stock or restricted stock units).</w:t>
      </w:r>
    </w:p>
    <w:p>
      <w:pPr>
        <w:spacing w:after="0" w:line="184" w:lineRule="exact"/>
        <w:rPr>
          <w:rFonts w:ascii="Times New Roman" w:cs="Times New Roman" w:eastAsia="Times New Roman" w:hAnsi="Times New Roman"/>
          <w:sz w:val="22"/>
          <w:szCs w:val="22"/>
          <w:color w:val="auto"/>
        </w:rPr>
      </w:pPr>
    </w:p>
    <w:p>
      <w:pPr>
        <w:ind w:right="380" w:firstLine="656"/>
        <w:spacing w:after="0" w:line="284" w:lineRule="auto"/>
        <w:tabs>
          <w:tab w:leader="none" w:pos="112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Non-Employee Director Compensation Plan, as set forth herein, and as amended from time to time.</w:t>
      </w:r>
    </w:p>
    <w:p>
      <w:pPr>
        <w:spacing w:after="0" w:line="170" w:lineRule="exact"/>
        <w:rPr>
          <w:rFonts w:ascii="Times New Roman" w:cs="Times New Roman" w:eastAsia="Times New Roman" w:hAnsi="Times New Roman"/>
          <w:sz w:val="22"/>
          <w:szCs w:val="22"/>
          <w:color w:val="auto"/>
        </w:rPr>
      </w:pPr>
    </w:p>
    <w:p>
      <w:pPr>
        <w:ind w:left="1300" w:hanging="536"/>
        <w:spacing w:after="0"/>
        <w:tabs>
          <w:tab w:leader="none" w:pos="13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200" w:lineRule="exact"/>
        <w:rPr>
          <w:sz w:val="20"/>
          <w:szCs w:val="20"/>
          <w:color w:val="auto"/>
        </w:rPr>
      </w:pPr>
    </w:p>
    <w:p>
      <w:pPr>
        <w:spacing w:after="0" w:line="290" w:lineRule="exact"/>
        <w:rPr>
          <w:sz w:val="20"/>
          <w:szCs w:val="20"/>
          <w:color w:val="auto"/>
        </w:rPr>
      </w:pPr>
    </w:p>
    <w:p>
      <w:pPr>
        <w:ind w:left="1120" w:hanging="464"/>
        <w:spacing w:after="0"/>
        <w:tabs>
          <w:tab w:leader="none" w:pos="11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Restricted Stock Unit granted under the Omnibus Plan.</w:t>
      </w:r>
    </w:p>
    <w:p>
      <w:pPr>
        <w:spacing w:after="0" w:line="246" w:lineRule="exact"/>
        <w:rPr>
          <w:rFonts w:ascii="Times New Roman" w:cs="Times New Roman" w:eastAsia="Times New Roman" w:hAnsi="Times New Roman"/>
          <w:sz w:val="22"/>
          <w:szCs w:val="22"/>
          <w:color w:val="auto"/>
        </w:rPr>
      </w:pPr>
    </w:p>
    <w:p>
      <w:pPr>
        <w:ind w:left="1240" w:hanging="476"/>
        <w:spacing w:after="0"/>
        <w:tabs>
          <w:tab w:leader="none" w:pos="124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Comcast Corporation Class A Common Stock, par value $0.01.</w:t>
      </w:r>
    </w:p>
    <w:p>
      <w:pPr>
        <w:spacing w:after="0" w:line="242"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NON-EMPLOYEE DIRECTOR COMPENSATION</w:t>
      </w:r>
    </w:p>
    <w:p>
      <w:pPr>
        <w:spacing w:after="0" w:line="264" w:lineRule="exact"/>
        <w:rPr>
          <w:rFonts w:ascii="Times New Roman" w:cs="Times New Roman" w:eastAsia="Times New Roman" w:hAnsi="Times New Roman"/>
          <w:sz w:val="22"/>
          <w:szCs w:val="22"/>
          <w:b w:val="1"/>
          <w:bCs w:val="1"/>
          <w:color w:val="auto"/>
        </w:rPr>
      </w:pPr>
    </w:p>
    <w:p>
      <w:pPr>
        <w:ind w:firstLine="656"/>
        <w:spacing w:after="0" w:line="252" w:lineRule="auto"/>
        <w:tabs>
          <w:tab w:leader="none" w:pos="110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 Compensation Package</w:t>
      </w:r>
      <w:r>
        <w:rPr>
          <w:rFonts w:ascii="Times New Roman" w:cs="Times New Roman" w:eastAsia="Times New Roman" w:hAnsi="Times New Roman"/>
          <w:sz w:val="22"/>
          <w:szCs w:val="22"/>
          <w:color w:val="auto"/>
        </w:rPr>
        <w:t>. Non-Employee Director compensation for service as a director before October 1, 2025 shall be governed by the terms of the 2002 Comcast Corporation Non-Employee Director Compensation Plan dated as of July 11, 2023. Effective October 1, 2025, Non-Employee Directors shall be entitled to payments, grants and awards determined as follows:</w:t>
      </w:r>
    </w:p>
    <w:p>
      <w:pPr>
        <w:spacing w:after="0" w:line="206" w:lineRule="exact"/>
        <w:rPr>
          <w:sz w:val="20"/>
          <w:szCs w:val="20"/>
          <w:color w:val="auto"/>
        </w:rPr>
      </w:pPr>
    </w:p>
    <w:p>
      <w:pPr>
        <w:ind w:left="1400" w:hanging="474"/>
        <w:spacing w:after="0"/>
        <w:tabs>
          <w:tab w:leader="none" w:pos="14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The Annual Retainer for service to the Company as a Non-Employee Director shall 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320" w:top="1422" w:right="479" w:bottom="1440" w:gutter="0" w:footer="0" w:header="0"/>
        </w:sectPr>
      </w:pPr>
    </w:p>
    <w:bookmarkStart w:id="39" w:name="page40"/>
    <w:bookmarkEnd w:id="39"/>
    <w:p>
      <w:pPr>
        <w:spacing w:after="0" w:line="225" w:lineRule="exact"/>
        <w:rPr>
          <w:sz w:val="20"/>
          <w:szCs w:val="20"/>
          <w:color w:val="auto"/>
        </w:rPr>
      </w:pPr>
    </w:p>
    <w:p>
      <w:pPr>
        <w:ind w:right="300" w:firstLine="872"/>
        <w:spacing w:after="0" w:line="256" w:lineRule="auto"/>
        <w:tabs>
          <w:tab w:leader="none" w:pos="13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Meeting Fee; Committee Meeting Fee; Other Assignments</w:t>
      </w:r>
      <w:r>
        <w:rPr>
          <w:rFonts w:ascii="Times New Roman" w:cs="Times New Roman" w:eastAsia="Times New Roman" w:hAnsi="Times New Roman"/>
          <w:sz w:val="22"/>
          <w:szCs w:val="22"/>
          <w:color w:val="auto"/>
        </w:rPr>
        <w:t>. No fee shall be payable for attendance in person or via telephone or video conference at a Board Meeting or Committee Meeting. A fee of $2,500 shall be paid when a member of the Board attends a meeting (other than a Board Meeting or Committee Meeting) or conducts business on behalf of the Company in his or her capacity as a Director.</w:t>
      </w:r>
    </w:p>
    <w:p>
      <w:pPr>
        <w:spacing w:after="0" w:line="203" w:lineRule="exact"/>
        <w:rPr>
          <w:rFonts w:ascii="Times New Roman" w:cs="Times New Roman" w:eastAsia="Times New Roman" w:hAnsi="Times New Roman"/>
          <w:sz w:val="22"/>
          <w:szCs w:val="22"/>
          <w:color w:val="auto"/>
        </w:rPr>
      </w:pPr>
    </w:p>
    <w:p>
      <w:pPr>
        <w:ind w:right="100" w:firstLine="872"/>
        <w:spacing w:after="0" w:line="252" w:lineRule="auto"/>
        <w:tabs>
          <w:tab w:leader="none" w:pos="14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Committee Chairs</w:t>
      </w:r>
      <w:r>
        <w:rPr>
          <w:rFonts w:ascii="Times New Roman" w:cs="Times New Roman" w:eastAsia="Times New Roman" w:hAnsi="Times New Roman"/>
          <w:sz w:val="22"/>
          <w:szCs w:val="22"/>
          <w:color w:val="auto"/>
        </w:rPr>
        <w:t>. The Annual Retainer for service as Chair of the Audit Committee, the Compensation and Human Capital Committee, and the Governance and Corporate Responsibility Committee shall be $40,000. If the Board establishes any other committee of the Board, the Annual Retainer for service as the Chair of such other committee shall be determined upon such committee’s establishment.</w:t>
      </w:r>
    </w:p>
    <w:p>
      <w:pPr>
        <w:spacing w:after="0" w:line="219" w:lineRule="exact"/>
        <w:rPr>
          <w:rFonts w:ascii="Times New Roman" w:cs="Times New Roman" w:eastAsia="Times New Roman" w:hAnsi="Times New Roman"/>
          <w:sz w:val="22"/>
          <w:szCs w:val="22"/>
          <w:color w:val="auto"/>
        </w:rPr>
      </w:pPr>
    </w:p>
    <w:p>
      <w:pPr>
        <w:ind w:right="300" w:firstLine="872"/>
        <w:spacing w:after="0" w:line="252" w:lineRule="auto"/>
        <w:tabs>
          <w:tab w:leader="none" w:pos="139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Committee Members</w:t>
      </w:r>
      <w:r>
        <w:rPr>
          <w:rFonts w:ascii="Times New Roman" w:cs="Times New Roman" w:eastAsia="Times New Roman" w:hAnsi="Times New Roman"/>
          <w:sz w:val="22"/>
          <w:szCs w:val="22"/>
          <w:color w:val="auto"/>
        </w:rPr>
        <w:t>. The Annual Retainer for service as a member of the Audit Committee, the Compensation and Human Capital Committee, and the Governance and Corporate Responsibility Committee shall be $15,000. If the Board establishes any other committee of the Board, the Annual Retainer for service as a member of such other committee shall be determined upon such committee’s establishment.</w:t>
      </w:r>
    </w:p>
    <w:p>
      <w:pPr>
        <w:spacing w:after="0" w:line="206" w:lineRule="exact"/>
        <w:rPr>
          <w:rFonts w:ascii="Times New Roman" w:cs="Times New Roman" w:eastAsia="Times New Roman" w:hAnsi="Times New Roman"/>
          <w:sz w:val="22"/>
          <w:szCs w:val="22"/>
          <w:color w:val="auto"/>
        </w:rPr>
      </w:pPr>
    </w:p>
    <w:p>
      <w:pPr>
        <w:ind w:right="100" w:firstLine="872"/>
        <w:spacing w:after="0" w:line="271" w:lineRule="auto"/>
        <w:tabs>
          <w:tab w:leader="none" w:pos="13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Grants</w:t>
      </w:r>
      <w:r>
        <w:rPr>
          <w:rFonts w:ascii="Times New Roman" w:cs="Times New Roman" w:eastAsia="Times New Roman" w:hAnsi="Times New Roman"/>
          <w:sz w:val="22"/>
          <w:szCs w:val="22"/>
          <w:color w:val="auto"/>
        </w:rPr>
        <w:t>. Except as otherwise specifically provided below, this Paragraph 3(a)(v) shall apply as of November 20 of each Plan Year.</w:t>
      </w:r>
    </w:p>
    <w:p>
      <w:pPr>
        <w:spacing w:after="0" w:line="198" w:lineRule="exact"/>
        <w:rPr>
          <w:rFonts w:ascii="Times New Roman" w:cs="Times New Roman" w:eastAsia="Times New Roman" w:hAnsi="Times New Roman"/>
          <w:sz w:val="22"/>
          <w:szCs w:val="22"/>
          <w:color w:val="auto"/>
        </w:rPr>
      </w:pPr>
    </w:p>
    <w:p>
      <w:pPr>
        <w:ind w:right="60" w:firstLine="2816"/>
        <w:spacing w:after="0" w:line="252" w:lineRule="auto"/>
        <w:tabs>
          <w:tab w:leader="none" w:pos="337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grant Restricted Stock Units for Shares having a Fair Market Value on the date of grant of $240,000, rounded, if necessary, to the next higher whole Share, provided that the Fair Market Value on the date of grant with respect to each individual who first becomes a Non-Employee Director during a Plan Year, shall be determined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Date of Commencement of Service as a Non-Employee</w:t>
            </w:r>
          </w:p>
        </w:tc>
        <w:tc>
          <w:tcPr>
            <w:tcW w:w="56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Fair Market Value of Grant of Restricted Stock Units</w:t>
            </w:r>
          </w:p>
        </w:tc>
      </w:tr>
      <w:tr>
        <w:trPr>
          <w:trHeight w:val="28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Director</w:t>
            </w:r>
          </w:p>
        </w:tc>
        <w:tc>
          <w:tcPr>
            <w:tcW w:w="5620" w:type="dxa"/>
            <w:vAlign w:val="bottom"/>
            <w:tcBorders>
              <w:bottom w:val="single" w:sz="8" w:color="auto"/>
              <w:right w:val="single" w:sz="8" w:color="auto"/>
            </w:tcBorders>
          </w:tcPr>
          <w:p>
            <w:pPr>
              <w:spacing w:after="0"/>
              <w:rPr>
                <w:sz w:val="24"/>
                <w:szCs w:val="24"/>
                <w:color w:val="auto"/>
              </w:rPr>
            </w:pPr>
          </w:p>
        </w:tc>
      </w:tr>
      <w:tr>
        <w:trPr>
          <w:trHeight w:val="196"/>
        </w:trPr>
        <w:tc>
          <w:tcPr>
            <w:tcW w:w="564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November 20 of a Plan Year through the next following</w:t>
            </w:r>
          </w:p>
        </w:tc>
        <w:tc>
          <w:tcPr>
            <w:tcW w:w="56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2"/>
                <w:szCs w:val="22"/>
                <w:color w:val="auto"/>
              </w:rPr>
              <w:t>$240,000</w:t>
            </w:r>
          </w:p>
        </w:tc>
      </w:tr>
      <w:tr>
        <w:trPr>
          <w:trHeight w:val="28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February 19</w:t>
            </w:r>
          </w:p>
        </w:tc>
        <w:tc>
          <w:tcPr>
            <w:tcW w:w="5620" w:type="dxa"/>
            <w:vAlign w:val="bottom"/>
            <w:tcBorders>
              <w:bottom w:val="single" w:sz="8" w:color="auto"/>
              <w:right w:val="single" w:sz="8" w:color="auto"/>
            </w:tcBorders>
          </w:tcPr>
          <w:p>
            <w:pPr>
              <w:spacing w:after="0"/>
              <w:rPr>
                <w:sz w:val="24"/>
                <w:szCs w:val="24"/>
                <w:color w:val="auto"/>
              </w:rPr>
            </w:pP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9"/>
              </w:rPr>
              <w:t>February 20 of a Plan Year through the next following May 19</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$180,000</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May 20 of a Plan Year through next following August 19</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$120,000</w:t>
            </w:r>
          </w:p>
        </w:tc>
      </w:tr>
      <w:tr>
        <w:trPr>
          <w:trHeight w:val="196"/>
        </w:trPr>
        <w:tc>
          <w:tcPr>
            <w:tcW w:w="564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w w:val="98"/>
              </w:rPr>
              <w:t>August 20 of a Plan Year through the next following November</w:t>
            </w:r>
          </w:p>
        </w:tc>
        <w:tc>
          <w:tcPr>
            <w:tcW w:w="56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2"/>
                <w:szCs w:val="22"/>
                <w:color w:val="auto"/>
              </w:rPr>
              <w:t>$60,000</w:t>
            </w:r>
          </w:p>
        </w:tc>
      </w:tr>
      <w:tr>
        <w:trPr>
          <w:trHeight w:val="28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19</w:t>
            </w:r>
          </w:p>
        </w:tc>
        <w:tc>
          <w:tcPr>
            <w:tcW w:w="5620" w:type="dxa"/>
            <w:vAlign w:val="bottom"/>
            <w:tcBorders>
              <w:bottom w:val="single" w:sz="8" w:color="auto"/>
              <w:right w:val="single" w:sz="8" w:color="auto"/>
            </w:tcBorders>
          </w:tcPr>
          <w:p>
            <w:pPr>
              <w:spacing w:after="0"/>
              <w:rPr>
                <w:sz w:val="24"/>
                <w:szCs w:val="24"/>
                <w:color w:val="auto"/>
              </w:rPr>
            </w:pPr>
          </w:p>
        </w:tc>
      </w:tr>
    </w:tbl>
    <w:p>
      <w:pPr>
        <w:spacing w:after="0" w:line="324"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22"/>
          <w:szCs w:val="22"/>
          <w:color w:val="auto"/>
        </w:rPr>
        <w:t>Each Restricted Stock Unit shall (1) be fully and immediately vested on the date of grant, and (2) bear such other terms and conditions as shall be determined by the Board in its discretion.</w:t>
      </w:r>
    </w:p>
    <w:p>
      <w:pPr>
        <w:spacing w:after="0" w:line="185" w:lineRule="exact"/>
        <w:rPr>
          <w:sz w:val="20"/>
          <w:szCs w:val="20"/>
          <w:color w:val="auto"/>
        </w:rPr>
      </w:pPr>
    </w:p>
    <w:p>
      <w:pPr>
        <w:ind w:right="240" w:firstLine="1304"/>
        <w:spacing w:after="0" w:line="309" w:lineRule="auto"/>
        <w:tabs>
          <w:tab w:leader="none" w:pos="185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Shares are changed into or exchanged for a different number or kind of shares of stock or other securities of the Company, whether through merger, consolidation, reorganization, recapitalization, stock dividend, stock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60"/>
          </w:cols>
          <w:pgMar w:left="320" w:top="1440" w:right="319" w:bottom="1440" w:gutter="0" w:footer="0" w:header="0"/>
        </w:sectPr>
      </w:pPr>
    </w:p>
    <w:bookmarkStart w:id="40" w:name="page41"/>
    <w:bookmarkEnd w:id="40"/>
    <w:p>
      <w:pPr>
        <w:ind w:right="220"/>
        <w:spacing w:after="0" w:line="257" w:lineRule="auto"/>
        <w:rPr>
          <w:sz w:val="20"/>
          <w:szCs w:val="20"/>
          <w:color w:val="auto"/>
        </w:rPr>
      </w:pPr>
      <w:r>
        <w:rPr>
          <w:rFonts w:ascii="Times New Roman" w:cs="Times New Roman" w:eastAsia="Times New Roman" w:hAnsi="Times New Roman"/>
          <w:sz w:val="22"/>
          <w:szCs w:val="22"/>
          <w:color w:val="auto"/>
        </w:rPr>
        <w:t>split-up or other substitution of securities of the Company, the number and class of shares of stock subject to the grant of Restricted Stock Units under the Plan shall be adjusted consistent with the adjustment made pursuant to the Omnibus Plan, and such adjustment shall be effective and binding for all purposes of this Plan.</w:t>
      </w:r>
    </w:p>
    <w:p>
      <w:pPr>
        <w:spacing w:after="0" w:line="213" w:lineRule="exact"/>
        <w:rPr>
          <w:sz w:val="20"/>
          <w:szCs w:val="20"/>
          <w:color w:val="auto"/>
        </w:rPr>
      </w:pPr>
    </w:p>
    <w:p>
      <w:pPr>
        <w:ind w:right="620" w:firstLine="710"/>
        <w:spacing w:after="0" w:line="271" w:lineRule="auto"/>
        <w:tabs>
          <w:tab w:leader="none" w:pos="100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Practices</w:t>
      </w:r>
      <w:r>
        <w:rPr>
          <w:rFonts w:ascii="Times New Roman" w:cs="Times New Roman" w:eastAsia="Times New Roman" w:hAnsi="Times New Roman"/>
          <w:sz w:val="22"/>
          <w:szCs w:val="22"/>
          <w:color w:val="auto"/>
        </w:rPr>
        <w:t>. Payments, grants and awards described in Paragraph 3(a) of the Plan shall be subject to the following payment practices:</w:t>
      </w:r>
    </w:p>
    <w:p>
      <w:pPr>
        <w:spacing w:after="0" w:line="184" w:lineRule="exact"/>
        <w:rPr>
          <w:rFonts w:ascii="Times New Roman" w:cs="Times New Roman" w:eastAsia="Times New Roman" w:hAnsi="Times New Roman"/>
          <w:sz w:val="22"/>
          <w:szCs w:val="22"/>
          <w:color w:val="auto"/>
        </w:rPr>
      </w:pPr>
    </w:p>
    <w:p>
      <w:pPr>
        <w:ind w:right="40" w:firstLine="872"/>
        <w:spacing w:after="0" w:line="251" w:lineRule="auto"/>
        <w:tabs>
          <w:tab w:leader="none" w:pos="1284"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deferred under the Deferred Compensation Plan, Annual Retainer payments described in Paragraphs 3(a)(i), 3(a)(iii) and 3(a)(iv)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208" w:lineRule="exact"/>
        <w:rPr>
          <w:rFonts w:ascii="Times New Roman" w:cs="Times New Roman" w:eastAsia="Times New Roman" w:hAnsi="Times New Roman"/>
          <w:sz w:val="22"/>
          <w:szCs w:val="22"/>
          <w:color w:val="auto"/>
        </w:rPr>
      </w:pPr>
    </w:p>
    <w:p>
      <w:pPr>
        <w:jc w:val="both"/>
        <w:ind w:right="200" w:firstLine="1034"/>
        <w:spacing w:after="0" w:line="253" w:lineRule="auto"/>
        <w:tabs>
          <w:tab w:leader="none" w:pos="1494" w:val="left"/>
        </w:tabs>
        <w:numPr>
          <w:ilvl w:val="4"/>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Non-Employee Director may elect to receive up to 100% of the Annual Retainer, Committee Retainer, and Meeting Fee amounts described in Paragraph 3(a) in the form of Shares issuable pursuant to a grant of fully-vested Restricted Stock Units under the Omnibus Plan. The number of Shares payable to a Non-Employee Director shall be determined based on the closing price of Shares on the last business day of each calendar quarter and rounded, if necessary, to the next higher whole Share.</w:t>
      </w:r>
    </w:p>
    <w:p>
      <w:pPr>
        <w:spacing w:after="0" w:line="205" w:lineRule="exact"/>
        <w:rPr>
          <w:rFonts w:ascii="Times New Roman" w:cs="Times New Roman" w:eastAsia="Times New Roman" w:hAnsi="Times New Roman"/>
          <w:sz w:val="22"/>
          <w:szCs w:val="22"/>
          <w:color w:val="auto"/>
        </w:rPr>
      </w:pPr>
    </w:p>
    <w:p>
      <w:pPr>
        <w:ind w:firstLine="764"/>
        <w:spacing w:after="0" w:line="257" w:lineRule="auto"/>
        <w:tabs>
          <w:tab w:leader="none" w:pos="126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Rules and Payment Practices for Director Emeritus Compensation</w:t>
      </w:r>
      <w:r>
        <w:rPr>
          <w:rFonts w:ascii="Times New Roman" w:cs="Times New Roman" w:eastAsia="Times New Roman" w:hAnsi="Times New Roman"/>
          <w:sz w:val="22"/>
          <w:szCs w:val="22"/>
          <w:color w:val="auto"/>
        </w:rPr>
        <w:t>. A Director Emeritus shall be entitled to compensation in such amounts and for such time periods as set forth in the Company’s Director Emeritus Policy, as amended from time to time.</w:t>
      </w:r>
    </w:p>
    <w:p>
      <w:pPr>
        <w:spacing w:after="0" w:line="209" w:lineRule="exact"/>
        <w:rPr>
          <w:rFonts w:ascii="Times New Roman" w:cs="Times New Roman" w:eastAsia="Times New Roman" w:hAnsi="Times New Roman"/>
          <w:sz w:val="22"/>
          <w:szCs w:val="22"/>
          <w:color w:val="auto"/>
        </w:rPr>
      </w:pPr>
    </w:p>
    <w:p>
      <w:pPr>
        <w:ind w:left="800" w:hanging="360"/>
        <w:spacing w:after="0"/>
        <w:tabs>
          <w:tab w:leader="none" w:pos="8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51" w:lineRule="exact"/>
        <w:rPr>
          <w:sz w:val="20"/>
          <w:szCs w:val="20"/>
          <w:color w:val="auto"/>
        </w:rPr>
      </w:pPr>
    </w:p>
    <w:p>
      <w:pPr>
        <w:ind w:right="100" w:firstLine="428"/>
        <w:spacing w:after="0" w:line="252" w:lineRule="auto"/>
        <w:rPr>
          <w:sz w:val="20"/>
          <w:szCs w:val="20"/>
          <w:color w:val="auto"/>
        </w:rPr>
      </w:pPr>
      <w:r>
        <w:rPr>
          <w:rFonts w:ascii="Times New Roman" w:cs="Times New Roman" w:eastAsia="Times New Roman" w:hAnsi="Times New Roman"/>
          <w:sz w:val="22"/>
          <w:szCs w:val="22"/>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216" w:lineRule="exact"/>
        <w:rPr>
          <w:sz w:val="20"/>
          <w:szCs w:val="20"/>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51" w:lineRule="exact"/>
        <w:rPr>
          <w:sz w:val="20"/>
          <w:szCs w:val="20"/>
          <w:color w:val="auto"/>
        </w:rPr>
      </w:pPr>
    </w:p>
    <w:p>
      <w:pPr>
        <w:ind w:right="400" w:firstLine="428"/>
        <w:spacing w:after="0" w:line="295" w:lineRule="auto"/>
        <w:rPr>
          <w:sz w:val="20"/>
          <w:szCs w:val="20"/>
          <w:color w:val="auto"/>
        </w:rPr>
      </w:pPr>
      <w:r>
        <w:rPr>
          <w:rFonts w:ascii="Times New Roman" w:cs="Times New Roman" w:eastAsia="Times New Roman" w:hAnsi="Times New Roman"/>
          <w:sz w:val="21"/>
          <w:szCs w:val="21"/>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58"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41" w:name="page42"/>
    <w:bookmarkEnd w:id="41"/>
    <w:p>
      <w:pPr>
        <w:ind w:right="20" w:firstLine="428"/>
        <w:spacing w:after="0" w:line="257" w:lineRule="auto"/>
        <w:rPr>
          <w:sz w:val="20"/>
          <w:szCs w:val="20"/>
          <w:color w:val="auto"/>
        </w:rPr>
      </w:pPr>
      <w:r>
        <w:rPr>
          <w:rFonts w:ascii="Times New Roman" w:cs="Times New Roman" w:eastAsia="Times New Roman" w:hAnsi="Times New Roman"/>
          <w:sz w:val="22"/>
          <w:szCs w:val="22"/>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09" w:lineRule="exact"/>
        <w:rPr>
          <w:sz w:val="20"/>
          <w:szCs w:val="20"/>
          <w:color w:val="auto"/>
        </w:rPr>
      </w:pPr>
    </w:p>
    <w:p>
      <w:pPr>
        <w:ind w:left="820" w:hanging="380"/>
        <w:spacing w:after="0"/>
        <w:tabs>
          <w:tab w:leader="none" w:pos="82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p>
    <w:p>
      <w:pPr>
        <w:spacing w:after="0" w:line="251" w:lineRule="exact"/>
        <w:rPr>
          <w:sz w:val="20"/>
          <w:szCs w:val="20"/>
          <w:color w:val="auto"/>
        </w:rPr>
      </w:pPr>
    </w:p>
    <w:p>
      <w:pPr>
        <w:ind w:firstLine="428"/>
        <w:spacing w:after="0" w:line="271" w:lineRule="auto"/>
        <w:rPr>
          <w:sz w:val="20"/>
          <w:szCs w:val="20"/>
          <w:color w:val="auto"/>
        </w:rPr>
      </w:pPr>
      <w:r>
        <w:rPr>
          <w:rFonts w:ascii="Times New Roman" w:cs="Times New Roman" w:eastAsia="Times New Roman" w:hAnsi="Times New Roman"/>
          <w:sz w:val="22"/>
          <w:szCs w:val="22"/>
          <w:color w:val="auto"/>
        </w:rPr>
        <w:t>The effective date of this amendment and restatement of the Plan is July 11, 2023. The original effective date of the Plan is November 18, 2002.</w:t>
      </w:r>
    </w:p>
    <w:p>
      <w:pPr>
        <w:spacing w:after="0" w:line="181" w:lineRule="exact"/>
        <w:rPr>
          <w:sz w:val="20"/>
          <w:szCs w:val="20"/>
          <w:color w:val="auto"/>
        </w:rPr>
      </w:pPr>
    </w:p>
    <w:p>
      <w:pPr>
        <w:ind w:left="820" w:hanging="380"/>
        <w:spacing w:after="0"/>
        <w:tabs>
          <w:tab w:leader="none" w:pos="8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51" w:lineRule="exact"/>
        <w:rPr>
          <w:sz w:val="20"/>
          <w:szCs w:val="20"/>
          <w:color w:val="auto"/>
        </w:rPr>
      </w:pPr>
    </w:p>
    <w:p>
      <w:pPr>
        <w:ind w:right="740" w:firstLine="428"/>
        <w:spacing w:after="0" w:line="284" w:lineRule="auto"/>
        <w:rPr>
          <w:sz w:val="20"/>
          <w:szCs w:val="20"/>
          <w:color w:val="auto"/>
        </w:rPr>
      </w:pPr>
      <w:r>
        <w:rPr>
          <w:rFonts w:ascii="Times New Roman" w:cs="Times New Roman" w:eastAsia="Times New Roman" w:hAnsi="Times New Roman"/>
          <w:sz w:val="22"/>
          <w:szCs w:val="22"/>
          <w:color w:val="auto"/>
        </w:rPr>
        <w:t>The Plan and all determinations made and actions taken pursuant to the Plan shall be governed in accordance with Pennsylvania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40"/>
          </w:cols>
          <w:pgMar w:left="320" w:top="1422" w:right="5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decimal"/>
      <w:start w:val="31"/>
    </w:lvl>
  </w:abstractNum>
  <w:abstractNum w:abstractNumId="20">
    <w:nsid w:val="6CEAF087"/>
    <w:multiLevelType w:val="hybridMultilevel"/>
    <w:lvl w:ilvl="0">
      <w:lvlJc w:val="left"/>
      <w:lvlText w:val="%1"/>
      <w:numFmt w:val="decimal"/>
      <w:start w:val="10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4">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5">
    <w:nsid w:val="419AC241"/>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abstractNum>
  <w:abstractNum w:abstractNumId="26">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9"/>
    </w:lvl>
  </w:abstractNum>
  <w:abstractNum w:abstractNumId="27">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9"/>
    </w:lvl>
    <w:lvl w:ilvl="4">
      <w:lvlJc w:val="left"/>
      <w:lvlText w:val="%5"/>
      <w:numFmt w:val="lowerLetter"/>
      <w:start w:val="1"/>
    </w:lvl>
  </w:abstractNum>
  <w:abstractNum w:abstractNumId="28">
    <w:nsid w:val="50723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61"/>
    </w:lvl>
    <w:lvl w:ilvl="4">
      <w:lvlJc w:val="left"/>
      <w:lvlText w:val="%5"/>
      <w:numFmt w:val="lowerLetter"/>
      <w:start w:val="1"/>
    </w:lvl>
  </w:abstractNum>
  <w:abstractNum w:abstractNumId="29">
    <w:nsid w:val="3804823E"/>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30">
    <w:nsid w:val="77465F01"/>
    <w:multiLevelType w:val="hybridMultilevel"/>
    <w:lvl w:ilvl="0">
      <w:lvlJc w:val="left"/>
      <w:lvlText w:val="(%1)"/>
      <w:numFmt w:val="lowerLetter"/>
      <w:start w:val="12"/>
    </w:lvl>
    <w:lvl w:ilvl="1">
      <w:lvlJc w:val="left"/>
      <w:lvlText w:val="(%2)"/>
      <w:numFmt w:val="lowerLetter"/>
      <w:start w:val="13"/>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5"/>
    </w:lvl>
  </w:abstractNum>
  <w:abstractNum w:abstractNumId="32">
    <w:nsid w:val="5C482A9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lowerRoman"/>
      <w:start w:val="2"/>
    </w:lvl>
    <w:lvl w:ilvl="1">
      <w:lvlJc w:val="left"/>
      <w:lvlText w:val="(%2)"/>
      <w:numFmt w:val="upperLetter"/>
      <w:start w:val="1"/>
    </w:lvl>
  </w:abstractNum>
  <w:abstractNum w:abstractNumId="35">
    <w:nsid w:val="51EAD36B"/>
    <w:multiLevelType w:val="hybridMultilevel"/>
    <w:lvl w:ilvl="0">
      <w:lvlJc w:val="left"/>
      <w:lvlText w:val="(%1)"/>
      <w:numFmt w:val="upperLetter"/>
      <w:start w:val="2"/>
    </w:lvl>
  </w:abstractNum>
  <w:abstractNum w:abstractNumId="36">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lvl w:ilvl="3">
      <w:lvlJc w:val="left"/>
      <w:lvlText w:val="(%4)"/>
      <w:numFmt w:val="lowerRoman"/>
      <w:start w:val="1"/>
    </w:lvl>
    <w:lvl w:ilvl="4">
      <w:lvlJc w:val="left"/>
      <w:lvlText w:val="(%5)"/>
      <w:numFmt w:val="lowerLetter"/>
      <w:start w:val="35"/>
    </w:lvl>
  </w:abstractNum>
  <w:abstractNum w:abstractNumId="37">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Letter"/>
      <w:start w:val="1"/>
    </w:lvl>
  </w:abstractNum>
  <w:abstractNum w:abstractNumId="38">
    <w:nsid w:val="153EA438"/>
    <w:multiLevelType w:val="hybridMultilevel"/>
    <w:lvl w:ilvl="0">
      <w:lvlJc w:val="left"/>
      <w:lvlText w:val="%1."/>
      <w:numFmt w:val="decimal"/>
      <w:start w:val="7"/>
    </w:lvl>
  </w:abstractNum>
  <w:abstractNum w:abstractNumId="39">
    <w:nsid w:val="3855585C"/>
    <w:multiLevelType w:val="hybridMultilevel"/>
    <w:lvl w:ilvl="0">
      <w:lvlJc w:val="left"/>
      <w:lvlText w:val="%1."/>
      <w:numFmt w:val="decimal"/>
      <w:start w:val="8"/>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4" Type="http://schemas.openxmlformats.org/officeDocument/2006/relationships/hyperlink" Target="https://www.sec.gov/Archives/edgar/data/1166691/000095010325012777/dp235423_ex0402.htm" TargetMode="External"/><Relationship Id="rId55" Type="http://schemas.openxmlformats.org/officeDocument/2006/relationships/hyperlink" Target="https://www.sec.gov/Archives/edgar/data/1166691/000095010325013042/dp235696_ex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2025-10-30T14:22:29Z</dcterms:created>
  <dcterms:modified xsi:type="dcterms:W3CDTF">2025-10-30T14:22:29Z</dcterms:modified>
</cp:coreProperties>
</file>