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October 25, 2018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00"/>
          </w:cols>
          <w:pgMar w:left="240" w:top="904" w:right="659" w:bottom="1440" w:gutter="0" w:footer="0" w:header="0"/>
        </w:sectPr>
      </w:pPr>
    </w:p>
    <w:p>
      <w:pPr>
        <w:spacing w:after="0" w:line="3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89" w:lineRule="exact"/>
        <w:rPr>
          <w:sz w:val="24"/>
          <w:szCs w:val="24"/>
          <w:color w:val="auto"/>
        </w:rPr>
      </w:pPr>
    </w:p>
    <w:p>
      <w:pPr>
        <w:sectPr>
          <w:pgSz w:w="11900" w:h="16838" w:orient="portrait"/>
          <w:cols w:equalWidth="0" w:num="2">
            <w:col w:w="280" w:space="280"/>
            <w:col w:w="10440"/>
          </w:cols>
          <w:pgMar w:left="240" w:top="904" w:right="6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September 30, 2018, which was filed with the Securities and Exchange Commission on October 25, 2018.</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C. Murdock</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Chief Accounting Officer and Controller</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Daniel C. Murdock</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w:t>
      </w:r>
    </w:p>
    <w:sectPr>
      <w:pgSz w:w="11900" w:h="16838" w:orient="portrait"/>
      <w:cols w:equalWidth="0" w:num="1">
        <w:col w:w="11000"/>
      </w:cols>
      <w:pgMar w:left="240" w:top="904"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2019-12-06T01:26:28Z</dcterms:created>
  <dcterms:modified xsi:type="dcterms:W3CDTF">2019-12-06T01:26:28Z</dcterms:modified>
</cp:coreProperties>
</file>