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5"/>
        <w:spacing w:after="0"/>
        <w:rPr>
          <w:sz w:val="20"/>
          <w:szCs w:val="20"/>
          <w:color w:val="auto"/>
        </w:rPr>
      </w:pPr>
      <w:r>
        <w:rPr>
          <w:rFonts w:ascii="Courier New" w:cs="Courier New" w:eastAsia="Courier New" w:hAnsi="Courier New"/>
          <w:sz w:val="16"/>
          <w:szCs w:val="16"/>
          <w:color w:val="auto"/>
        </w:rPr>
        <w:t>UNITED STATES</w:t>
      </w: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80"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10-Q</w:t>
      </w:r>
    </w:p>
    <w:p>
      <w:pPr>
        <w:ind w:left="4"/>
        <w:spacing w:after="0"/>
        <w:rPr>
          <w:sz w:val="20"/>
          <w:szCs w:val="20"/>
          <w:color w:val="auto"/>
        </w:rPr>
      </w:pPr>
      <w:r>
        <w:rPr>
          <w:rFonts w:ascii="Courier New" w:cs="Courier New" w:eastAsia="Courier New" w:hAnsi="Courier New"/>
          <w:sz w:val="16"/>
          <w:szCs w:val="16"/>
          <w:color w:val="auto"/>
        </w:rPr>
        <w:t>(Mark One)</w:t>
      </w:r>
    </w:p>
    <w:p>
      <w:pPr>
        <w:spacing w:after="0" w:line="184" w:lineRule="exact"/>
        <w:rPr>
          <w:sz w:val="24"/>
          <w:szCs w:val="24"/>
          <w:color w:val="auto"/>
        </w:rPr>
      </w:pPr>
    </w:p>
    <w:p>
      <w:pPr>
        <w:ind w:left="464" w:right="2719" w:hanging="464"/>
        <w:spacing w:after="0" w:line="236" w:lineRule="auto"/>
        <w:tabs>
          <w:tab w:leader="none" w:pos="4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65" w:lineRule="exact"/>
        <w:rPr>
          <w:sz w:val="24"/>
          <w:szCs w:val="24"/>
          <w:color w:val="auto"/>
        </w:rPr>
      </w:pPr>
    </w:p>
    <w:p>
      <w:pPr>
        <w:ind w:left="464" w:right="2899" w:hanging="464"/>
        <w:spacing w:after="0" w:line="263" w:lineRule="auto"/>
        <w:tabs>
          <w:tab w:leader="none" w:pos="27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64" w:lineRule="exact"/>
        <w:rPr>
          <w:sz w:val="24"/>
          <w:szCs w:val="24"/>
          <w:color w:val="auto"/>
        </w:rPr>
      </w:pPr>
    </w:p>
    <w:p>
      <w:pPr>
        <w:ind w:left="2444"/>
        <w:spacing w:after="0"/>
        <w:rPr>
          <w:sz w:val="20"/>
          <w:szCs w:val="20"/>
          <w:color w:val="auto"/>
        </w:rPr>
      </w:pPr>
      <w:r>
        <w:rPr>
          <w:rFonts w:ascii="Courier New" w:cs="Courier New" w:eastAsia="Courier New" w:hAnsi="Courier New"/>
          <w:sz w:val="16"/>
          <w:szCs w:val="16"/>
          <w:color w:val="auto"/>
        </w:rPr>
        <w:t>Commission File Number 0-6983</w:t>
      </w:r>
    </w:p>
    <w:p>
      <w:pPr>
        <w:spacing w:after="0" w:line="179" w:lineRule="exact"/>
        <w:rPr>
          <w:sz w:val="24"/>
          <w:szCs w:val="24"/>
          <w:color w:val="auto"/>
        </w:rPr>
      </w:pPr>
    </w:p>
    <w:p>
      <w:pPr>
        <w:ind w:left="2824"/>
        <w:spacing w:after="0"/>
        <w:rPr>
          <w:sz w:val="20"/>
          <w:szCs w:val="20"/>
          <w:color w:val="auto"/>
        </w:rPr>
      </w:pPr>
      <w:r>
        <w:rPr>
          <w:rFonts w:ascii="Courier New" w:cs="Courier New" w:eastAsia="Courier New" w:hAnsi="Courier New"/>
          <w:sz w:val="16"/>
          <w:szCs w:val="16"/>
          <w:color w:val="auto"/>
        </w:rPr>
        <w:t>COMCAST CORPORATION</w:t>
      </w:r>
    </w:p>
    <w:p>
      <w:pPr>
        <w:ind w:left="2624"/>
        <w:spacing w:after="0"/>
        <w:rPr>
          <w:sz w:val="20"/>
          <w:szCs w:val="20"/>
          <w:color w:val="auto"/>
        </w:rPr>
      </w:pPr>
      <w:r>
        <w:rPr>
          <w:rFonts w:ascii="Courier New" w:cs="Courier New" w:eastAsia="Courier New" w:hAnsi="Courier New"/>
          <w:sz w:val="16"/>
          <w:szCs w:val="16"/>
          <w:color w:val="auto"/>
        </w:rPr>
        <w:t>[GRAPHIC OMITTED - LOGO]</w:t>
      </w:r>
    </w:p>
    <w:p>
      <w:pPr>
        <w:ind w:left="1224"/>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0" w:lineRule="exact"/>
        <w:rPr>
          <w:sz w:val="24"/>
          <w:szCs w:val="24"/>
          <w:color w:val="auto"/>
        </w:rPr>
      </w:pPr>
    </w:p>
    <w:tbl>
      <w:tblPr>
        <w:tblLayout w:type="fixed"/>
        <w:tblInd w:w="664" w:type="dxa"/>
        <w:tblCellMar>
          <w:top w:w="0" w:type="dxa"/>
          <w:left w:w="0" w:type="dxa"/>
          <w:bottom w:w="0" w:type="dxa"/>
          <w:right w:w="0" w:type="dxa"/>
        </w:tblCellMar>
      </w:tblP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4"/>
          <w:szCs w:val="24"/>
          <w:color w:val="auto"/>
        </w:rPr>
      </w:pPr>
    </w:p>
    <w:p>
      <w:pPr>
        <w:ind w:left="4" w:right="2899"/>
        <w:spacing w:after="0" w:line="236"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0" w:lineRule="exact"/>
        <w:rPr>
          <w:sz w:val="24"/>
          <w:szCs w:val="24"/>
          <w:color w:val="auto"/>
        </w:rPr>
      </w:pPr>
    </w:p>
    <w:p>
      <w:pPr>
        <w:ind w:left="1604"/>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4" w:lineRule="exact"/>
        <w:rPr>
          <w:sz w:val="24"/>
          <w:szCs w:val="24"/>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ind w:left="3284"/>
        <w:spacing w:after="0" w:line="237" w:lineRule="auto"/>
        <w:rPr>
          <w:sz w:val="20"/>
          <w:szCs w:val="20"/>
          <w:color w:val="auto"/>
        </w:rPr>
      </w:pPr>
      <w:r>
        <w:rPr>
          <w:rFonts w:ascii="Courier New" w:cs="Courier New" w:eastAsia="Courier New" w:hAnsi="Courier New"/>
          <w:sz w:val="16"/>
          <w:szCs w:val="16"/>
          <w:color w:val="auto"/>
        </w:rPr>
        <w:t>(Zip Code)</w:t>
      </w:r>
    </w:p>
    <w:p>
      <w:pPr>
        <w:spacing w:after="0" w:line="180" w:lineRule="exact"/>
        <w:rPr>
          <w:sz w:val="24"/>
          <w:szCs w:val="24"/>
          <w:color w:val="auto"/>
        </w:rPr>
      </w:pPr>
    </w:p>
    <w:p>
      <w:pPr>
        <w:ind w:left="4"/>
        <w:spacing w:after="0"/>
        <w:tabs>
          <w:tab w:leader="none" w:pos="494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79" w:lineRule="exact"/>
        <w:rPr>
          <w:sz w:val="24"/>
          <w:szCs w:val="24"/>
          <w:color w:val="auto"/>
        </w:rPr>
      </w:pPr>
    </w:p>
    <w:p>
      <w:pPr>
        <w:ind w:left="2444"/>
        <w:spacing w:after="0"/>
        <w:rPr>
          <w:sz w:val="20"/>
          <w:szCs w:val="20"/>
          <w:color w:val="auto"/>
        </w:rPr>
      </w:pPr>
      <w:r>
        <w:rPr>
          <w:rFonts w:ascii="Courier New" w:cs="Courier New" w:eastAsia="Courier New" w:hAnsi="Courier New"/>
          <w:sz w:val="16"/>
          <w:szCs w:val="16"/>
          <w:color w:val="auto"/>
        </w:rPr>
        <w:t>___________________________</w:t>
      </w:r>
    </w:p>
    <w:p>
      <w:pPr>
        <w:spacing w:after="0" w:line="185" w:lineRule="exact"/>
        <w:rPr>
          <w:sz w:val="24"/>
          <w:szCs w:val="24"/>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3"/>
          </w:cols>
          <w:pgMar w:left="236" w:top="233" w:right="1440" w:bottom="0" w:gutter="0" w:footer="0" w:header="0"/>
        </w:sectPr>
      </w:pPr>
    </w:p>
    <w:p>
      <w:pPr>
        <w:spacing w:after="0" w:line="187" w:lineRule="exact"/>
        <w:rPr>
          <w:sz w:val="24"/>
          <w:szCs w:val="24"/>
          <w:color w:val="auto"/>
        </w:rPr>
      </w:pPr>
    </w:p>
    <w:p>
      <w:pPr>
        <w:ind w:left="844"/>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__X__</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 ____</w:t>
      </w:r>
    </w:p>
    <w:p>
      <w:pPr>
        <w:spacing w:after="0" w:line="191" w:lineRule="exact"/>
        <w:rPr>
          <w:sz w:val="24"/>
          <w:szCs w:val="24"/>
          <w:color w:val="auto"/>
        </w:rPr>
      </w:pPr>
    </w:p>
    <w:p>
      <w:pPr>
        <w:sectPr>
          <w:pgSz w:w="11900" w:h="16838" w:orient="portrait"/>
          <w:cols w:equalWidth="0" w:num="3">
            <w:col w:w="1124" w:space="180"/>
            <w:col w:w="3600" w:space="720"/>
            <w:col w:w="4599"/>
          </w:cols>
          <w:pgMar w:left="236" w:top="233" w:right="1440" w:bottom="0" w:gutter="0" w:footer="0" w:header="0"/>
          <w:type w:val="continuous"/>
        </w:sectPr>
      </w:pPr>
    </w:p>
    <w:p>
      <w:pPr>
        <w:ind w:left="2444"/>
        <w:spacing w:after="0"/>
        <w:rPr>
          <w:sz w:val="20"/>
          <w:szCs w:val="20"/>
          <w:color w:val="auto"/>
        </w:rPr>
      </w:pPr>
      <w:r>
        <w:rPr>
          <w:rFonts w:ascii="Courier New" w:cs="Courier New" w:eastAsia="Courier New" w:hAnsi="Courier New"/>
          <w:sz w:val="15"/>
          <w:szCs w:val="15"/>
          <w:color w:val="auto"/>
        </w:rPr>
        <w:t>___________________________</w:t>
      </w:r>
    </w:p>
    <w:p>
      <w:pPr>
        <w:sectPr>
          <w:pgSz w:w="11900" w:h="16838" w:orient="portrait"/>
          <w:cols w:equalWidth="0" w:num="1">
            <w:col w:w="10223"/>
          </w:cols>
          <w:pgMar w:left="236" w:top="233" w:right="1440" w:bottom="0" w:gutter="0" w:footer="0" w:header="0"/>
          <w:type w:val="continuous"/>
        </w:sectPr>
      </w:pPr>
    </w:p>
    <w:p>
      <w:pPr>
        <w:spacing w:after="0" w:line="191" w:lineRule="exact"/>
        <w:rPr>
          <w:sz w:val="24"/>
          <w:szCs w:val="24"/>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As of June 30, 1998, there were 328,639,831 shares of Class A Special Common Stock, 31,792,325 shares of Class A Common Stock and 8,786,250 shares of Class B Common Stock outstanding.</w:t>
      </w:r>
    </w:p>
    <w:p>
      <w:pPr>
        <w:spacing w:after="0" w:line="336"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5"/>
        <w:spacing w:after="0"/>
        <w:rPr>
          <w:sz w:val="20"/>
          <w:szCs w:val="20"/>
          <w:color w:val="auto"/>
        </w:rPr>
      </w:pPr>
      <w:r>
        <w:rPr>
          <w:rFonts w:ascii="Courier New" w:cs="Courier New" w:eastAsia="Courier New" w:hAnsi="Courier New"/>
          <w:sz w:val="16"/>
          <w:szCs w:val="16"/>
          <w:color w:val="auto"/>
        </w:rPr>
        <w:t>FORM 10-Q</w:t>
      </w:r>
    </w:p>
    <w:p>
      <w:pPr>
        <w:jc w:val="center"/>
        <w:ind w:right="2635"/>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180" w:lineRule="exact"/>
        <w:rPr>
          <w:sz w:val="24"/>
          <w:szCs w:val="24"/>
          <w:color w:val="auto"/>
        </w:rPr>
      </w:pPr>
    </w:p>
    <w:p>
      <w:pPr>
        <w:ind w:left="3004"/>
        <w:spacing w:after="0"/>
        <w:rPr>
          <w:sz w:val="20"/>
          <w:szCs w:val="20"/>
          <w:color w:val="auto"/>
        </w:rPr>
      </w:pPr>
      <w:r>
        <w:rPr>
          <w:rFonts w:ascii="Courier New" w:cs="Courier New" w:eastAsia="Courier New" w:hAnsi="Courier New"/>
          <w:sz w:val="16"/>
          <w:szCs w:val="16"/>
          <w:color w:val="auto"/>
        </w:rPr>
        <w:t>TABLE OF CONTENTS</w:t>
      </w:r>
    </w:p>
    <w:p>
      <w:pPr>
        <w:spacing w:after="0" w:line="360" w:lineRule="exact"/>
        <w:rPr>
          <w:sz w:val="24"/>
          <w:szCs w:val="24"/>
          <w:color w:val="auto"/>
        </w:rPr>
      </w:pPr>
    </w:p>
    <w:p>
      <w:pPr>
        <w:jc w:val="center"/>
        <w:ind w:left="3020"/>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4"/>
          <w:szCs w:val="24"/>
          <w:color w:val="auto"/>
        </w:rPr>
      </w:pPr>
    </w:p>
    <w:p>
      <w:pPr>
        <w:jc w:val="center"/>
        <w:ind w:left="3020"/>
        <w:spacing w:after="0"/>
        <w:rPr>
          <w:sz w:val="20"/>
          <w:szCs w:val="20"/>
          <w:color w:val="auto"/>
        </w:rPr>
      </w:pPr>
      <w:r>
        <w:rPr>
          <w:rFonts w:ascii="Courier New" w:cs="Courier New" w:eastAsia="Courier New" w:hAnsi="Courier New"/>
          <w:sz w:val="15"/>
          <w:szCs w:val="15"/>
          <w:color w:val="auto"/>
        </w:rPr>
        <w:t>Number</w:t>
      </w:r>
    </w:p>
    <w:p>
      <w:pPr>
        <w:spacing w:after="0" w:line="186" w:lineRule="exact"/>
        <w:rPr>
          <w:sz w:val="24"/>
          <w:szCs w:val="24"/>
          <w:color w:val="auto"/>
        </w:rPr>
      </w:pPr>
    </w:p>
    <w:p>
      <w:pPr>
        <w:ind w:left="4"/>
        <w:spacing w:after="0"/>
        <w:tabs>
          <w:tab w:leader="none" w:pos="923"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79" w:lineRule="exact"/>
        <w:rPr>
          <w:sz w:val="24"/>
          <w:szCs w:val="24"/>
          <w:color w:val="auto"/>
        </w:rPr>
      </w:pPr>
    </w:p>
    <w:p>
      <w:pPr>
        <w:ind w:left="944"/>
        <w:spacing w:after="0"/>
        <w:tabs>
          <w:tab w:leader="none" w:pos="186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79" w:lineRule="exact"/>
        <w:rPr>
          <w:sz w:val="24"/>
          <w:szCs w:val="24"/>
          <w:color w:val="auto"/>
        </w:rPr>
      </w:pPr>
    </w:p>
    <w:p>
      <w:pPr>
        <w:ind w:left="1884"/>
        <w:spacing w:after="0"/>
        <w:rPr>
          <w:sz w:val="20"/>
          <w:szCs w:val="20"/>
          <w:color w:val="auto"/>
        </w:rPr>
      </w:pPr>
      <w:r>
        <w:rPr>
          <w:rFonts w:ascii="Courier New" w:cs="Courier New" w:eastAsia="Courier New" w:hAnsi="Courier New"/>
          <w:sz w:val="16"/>
          <w:szCs w:val="16"/>
          <w:color w:val="auto"/>
        </w:rPr>
        <w:t>Condensed Consolidated Balance</w:t>
      </w:r>
    </w:p>
    <w:p>
      <w:pPr>
        <w:ind w:left="1884"/>
        <w:spacing w:after="0"/>
        <w:rPr>
          <w:sz w:val="20"/>
          <w:szCs w:val="20"/>
          <w:color w:val="auto"/>
        </w:rPr>
      </w:pPr>
      <w:r>
        <w:rPr>
          <w:rFonts w:ascii="Courier New" w:cs="Courier New" w:eastAsia="Courier New" w:hAnsi="Courier New"/>
          <w:sz w:val="16"/>
          <w:szCs w:val="16"/>
          <w:color w:val="auto"/>
        </w:rPr>
        <w:t>Sheet as of June 30, 1998 and December 31,</w:t>
      </w:r>
    </w:p>
    <w:p>
      <w:pPr>
        <w:ind w:left="1884"/>
        <w:spacing w:after="0" w:line="237" w:lineRule="auto"/>
        <w:tabs>
          <w:tab w:leader="dot" w:pos="7383" w:val="left"/>
        </w:tabs>
        <w:rPr>
          <w:sz w:val="20"/>
          <w:szCs w:val="20"/>
          <w:color w:val="auto"/>
        </w:rPr>
      </w:pPr>
      <w:r>
        <w:rPr>
          <w:rFonts w:ascii="Courier New" w:cs="Courier New" w:eastAsia="Courier New" w:hAnsi="Courier New"/>
          <w:sz w:val="16"/>
          <w:szCs w:val="16"/>
          <w:color w:val="auto"/>
        </w:rPr>
        <w:t>1997 (Unaudited)</w:t>
      </w:r>
      <w:r>
        <w:rPr>
          <w:sz w:val="20"/>
          <w:szCs w:val="20"/>
          <w:color w:val="auto"/>
        </w:rPr>
        <w:tab/>
      </w:r>
      <w:r>
        <w:rPr>
          <w:rFonts w:ascii="Courier New" w:cs="Courier New" w:eastAsia="Courier New" w:hAnsi="Courier New"/>
          <w:sz w:val="16"/>
          <w:szCs w:val="16"/>
          <w:color w:val="auto"/>
        </w:rPr>
        <w:t>2</w:t>
      </w:r>
    </w:p>
    <w:p>
      <w:pPr>
        <w:spacing w:after="0" w:line="180" w:lineRule="exact"/>
        <w:rPr>
          <w:sz w:val="24"/>
          <w:szCs w:val="24"/>
          <w:color w:val="auto"/>
        </w:rPr>
      </w:pPr>
    </w:p>
    <w:p>
      <w:pPr>
        <w:ind w:left="1884"/>
        <w:spacing w:after="0"/>
        <w:rPr>
          <w:sz w:val="20"/>
          <w:szCs w:val="20"/>
          <w:color w:val="auto"/>
        </w:rPr>
      </w:pPr>
      <w:r>
        <w:rPr>
          <w:rFonts w:ascii="Courier New" w:cs="Courier New" w:eastAsia="Courier New" w:hAnsi="Courier New"/>
          <w:sz w:val="16"/>
          <w:szCs w:val="16"/>
          <w:color w:val="auto"/>
        </w:rPr>
        <w:t>Condensed Consolidated Statement of</w:t>
      </w:r>
    </w:p>
    <w:p>
      <w:pPr>
        <w:ind w:left="1884"/>
        <w:spacing w:after="0"/>
        <w:rPr>
          <w:sz w:val="20"/>
          <w:szCs w:val="20"/>
          <w:color w:val="auto"/>
        </w:rPr>
      </w:pPr>
      <w:r>
        <w:rPr>
          <w:rFonts w:ascii="Courier New" w:cs="Courier New" w:eastAsia="Courier New" w:hAnsi="Courier New"/>
          <w:sz w:val="16"/>
          <w:szCs w:val="16"/>
          <w:color w:val="auto"/>
        </w:rPr>
        <w:t>Operations and Accumulated Deficit for</w:t>
      </w:r>
    </w:p>
    <w:p>
      <w:pPr>
        <w:ind w:left="1884"/>
        <w:spacing w:after="0" w:line="237" w:lineRule="auto"/>
        <w:rPr>
          <w:sz w:val="20"/>
          <w:szCs w:val="20"/>
          <w:color w:val="auto"/>
        </w:rPr>
      </w:pPr>
      <w:r>
        <w:rPr>
          <w:rFonts w:ascii="Courier New" w:cs="Courier New" w:eastAsia="Courier New" w:hAnsi="Courier New"/>
          <w:sz w:val="16"/>
          <w:szCs w:val="16"/>
          <w:color w:val="auto"/>
        </w:rPr>
        <w:t>the Six and Three Months Ended June 30,</w:t>
      </w:r>
    </w:p>
    <w:p>
      <w:pPr>
        <w:ind w:left="1884"/>
        <w:spacing w:after="0"/>
        <w:tabs>
          <w:tab w:leader="dot" w:pos="7383" w:val="left"/>
        </w:tabs>
        <w:rPr>
          <w:sz w:val="20"/>
          <w:szCs w:val="20"/>
          <w:color w:val="auto"/>
        </w:rPr>
      </w:pPr>
      <w:r>
        <w:rPr>
          <w:rFonts w:ascii="Courier New" w:cs="Courier New" w:eastAsia="Courier New" w:hAnsi="Courier New"/>
          <w:sz w:val="16"/>
          <w:szCs w:val="16"/>
          <w:color w:val="auto"/>
        </w:rPr>
        <w:t>1998 and 1997 (Unaudited)</w:t>
      </w:r>
      <w:r>
        <w:rPr>
          <w:sz w:val="20"/>
          <w:szCs w:val="20"/>
          <w:color w:val="auto"/>
        </w:rPr>
        <w:tab/>
      </w:r>
      <w:r>
        <w:rPr>
          <w:rFonts w:ascii="Courier New" w:cs="Courier New" w:eastAsia="Courier New" w:hAnsi="Courier New"/>
          <w:sz w:val="16"/>
          <w:szCs w:val="16"/>
          <w:color w:val="auto"/>
        </w:rPr>
        <w:t>3</w:t>
      </w:r>
    </w:p>
    <w:p>
      <w:pPr>
        <w:spacing w:after="0" w:line="179" w:lineRule="exact"/>
        <w:rPr>
          <w:sz w:val="24"/>
          <w:szCs w:val="24"/>
          <w:color w:val="auto"/>
        </w:rPr>
      </w:pPr>
    </w:p>
    <w:p>
      <w:pPr>
        <w:ind w:left="1884"/>
        <w:spacing w:after="0"/>
        <w:rPr>
          <w:sz w:val="20"/>
          <w:szCs w:val="20"/>
          <w:color w:val="auto"/>
        </w:rPr>
      </w:pPr>
      <w:r>
        <w:rPr>
          <w:rFonts w:ascii="Courier New" w:cs="Courier New" w:eastAsia="Courier New" w:hAnsi="Courier New"/>
          <w:sz w:val="16"/>
          <w:szCs w:val="16"/>
          <w:color w:val="auto"/>
        </w:rPr>
        <w:t>Condensed Consolidated Statement of Cash</w:t>
      </w:r>
    </w:p>
    <w:p>
      <w:pPr>
        <w:ind w:left="1884"/>
        <w:spacing w:after="0"/>
        <w:rPr>
          <w:sz w:val="20"/>
          <w:szCs w:val="20"/>
          <w:color w:val="auto"/>
        </w:rPr>
      </w:pPr>
      <w:r>
        <w:rPr>
          <w:rFonts w:ascii="Courier New" w:cs="Courier New" w:eastAsia="Courier New" w:hAnsi="Courier New"/>
          <w:sz w:val="16"/>
          <w:szCs w:val="16"/>
          <w:color w:val="auto"/>
        </w:rPr>
        <w:t>Flows for the Six Months Ended June 30,</w:t>
      </w:r>
    </w:p>
    <w:p>
      <w:pPr>
        <w:ind w:left="1884"/>
        <w:spacing w:after="0" w:line="237" w:lineRule="auto"/>
        <w:tabs>
          <w:tab w:leader="dot" w:pos="7383" w:val="left"/>
        </w:tabs>
        <w:rPr>
          <w:sz w:val="20"/>
          <w:szCs w:val="20"/>
          <w:color w:val="auto"/>
        </w:rPr>
      </w:pPr>
      <w:r>
        <w:rPr>
          <w:rFonts w:ascii="Courier New" w:cs="Courier New" w:eastAsia="Courier New" w:hAnsi="Courier New"/>
          <w:sz w:val="16"/>
          <w:szCs w:val="16"/>
          <w:color w:val="auto"/>
        </w:rPr>
        <w:t>1998 and 1997 (Unaudited)</w:t>
      </w:r>
      <w:r>
        <w:rPr>
          <w:sz w:val="20"/>
          <w:szCs w:val="20"/>
          <w:color w:val="auto"/>
        </w:rPr>
        <w:tab/>
      </w:r>
      <w:r>
        <w:rPr>
          <w:rFonts w:ascii="Courier New" w:cs="Courier New" w:eastAsia="Courier New" w:hAnsi="Courier New"/>
          <w:sz w:val="16"/>
          <w:szCs w:val="16"/>
          <w:color w:val="auto"/>
        </w:rPr>
        <w:t>4</w:t>
      </w:r>
    </w:p>
    <w:p>
      <w:pPr>
        <w:spacing w:after="0" w:line="180" w:lineRule="exact"/>
        <w:rPr>
          <w:sz w:val="24"/>
          <w:szCs w:val="24"/>
          <w:color w:val="auto"/>
        </w:rPr>
      </w:pPr>
    </w:p>
    <w:p>
      <w:pPr>
        <w:ind w:left="1884"/>
        <w:spacing w:after="0"/>
        <w:rPr>
          <w:sz w:val="20"/>
          <w:szCs w:val="20"/>
          <w:color w:val="auto"/>
        </w:rPr>
      </w:pPr>
      <w:r>
        <w:rPr>
          <w:rFonts w:ascii="Courier New" w:cs="Courier New" w:eastAsia="Courier New" w:hAnsi="Courier New"/>
          <w:sz w:val="16"/>
          <w:szCs w:val="16"/>
          <w:color w:val="auto"/>
        </w:rPr>
        <w:t>Notes to Condensed Consolidated</w:t>
      </w:r>
    </w:p>
    <w:p>
      <w:pPr>
        <w:ind w:left="1884"/>
        <w:spacing w:after="0"/>
        <w:tabs>
          <w:tab w:leader="dot" w:pos="6923"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5"/>
          <w:szCs w:val="15"/>
          <w:color w:val="auto"/>
        </w:rPr>
        <w:t>5 - 12</w:t>
      </w:r>
    </w:p>
    <w:p>
      <w:pPr>
        <w:spacing w:after="0" w:line="179" w:lineRule="exact"/>
        <w:rPr>
          <w:sz w:val="24"/>
          <w:szCs w:val="24"/>
          <w:color w:val="auto"/>
        </w:rPr>
      </w:pPr>
    </w:p>
    <w:p>
      <w:pPr>
        <w:ind w:left="944"/>
        <w:spacing w:after="0"/>
        <w:tabs>
          <w:tab w:leader="none" w:pos="186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w:t>
      </w:r>
    </w:p>
    <w:p>
      <w:pPr>
        <w:ind w:left="1884"/>
        <w:spacing w:after="0"/>
        <w:rPr>
          <w:sz w:val="20"/>
          <w:szCs w:val="20"/>
          <w:color w:val="auto"/>
        </w:rPr>
      </w:pPr>
      <w:r>
        <w:rPr>
          <w:rFonts w:ascii="Courier New" w:cs="Courier New" w:eastAsia="Courier New" w:hAnsi="Courier New"/>
          <w:sz w:val="16"/>
          <w:szCs w:val="16"/>
          <w:color w:val="auto"/>
        </w:rPr>
        <w:t>of Financial Condition and Results of</w:t>
      </w:r>
    </w:p>
    <w:p>
      <w:pPr>
        <w:ind w:left="1884"/>
        <w:spacing w:after="0"/>
        <w:tabs>
          <w:tab w:leader="dot" w:pos="6823"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5"/>
          <w:szCs w:val="15"/>
          <w:color w:val="auto"/>
        </w:rPr>
        <w:t>13 - 20</w:t>
      </w:r>
    </w:p>
    <w:p>
      <w:pPr>
        <w:spacing w:after="0" w:line="180" w:lineRule="exact"/>
        <w:rPr>
          <w:sz w:val="24"/>
          <w:szCs w:val="24"/>
          <w:color w:val="auto"/>
        </w:rPr>
      </w:pPr>
    </w:p>
    <w:p>
      <w:pPr>
        <w:ind w:left="4"/>
        <w:spacing w:after="0"/>
        <w:tabs>
          <w:tab w:leader="none" w:pos="923"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79" w:lineRule="exact"/>
        <w:rPr>
          <w:sz w:val="24"/>
          <w:szCs w:val="24"/>
          <w:color w:val="auto"/>
        </w:rPr>
      </w:pPr>
    </w:p>
    <w:p>
      <w:pPr>
        <w:ind w:left="944"/>
        <w:spacing w:after="0"/>
        <w:tabs>
          <w:tab w:leader="none" w:pos="1863" w:val="left"/>
          <w:tab w:leader="dot" w:pos="7303" w:val="left"/>
        </w:tabs>
        <w:rPr>
          <w:sz w:val="20"/>
          <w:szCs w:val="20"/>
          <w:color w:val="auto"/>
        </w:rPr>
      </w:pPr>
      <w:r>
        <w:rPr>
          <w:rFonts w:ascii="Courier New" w:cs="Courier New" w:eastAsia="Courier New" w:hAnsi="Courier New"/>
          <w:sz w:val="16"/>
          <w:szCs w:val="16"/>
          <w:color w:val="auto"/>
        </w:rPr>
        <w:t>Item 1.</w:t>
        <w:tab/>
        <w:t>Legal Proceedings</w:t>
      </w:r>
      <w:r>
        <w:rPr>
          <w:sz w:val="20"/>
          <w:szCs w:val="20"/>
          <w:color w:val="auto"/>
        </w:rPr>
        <w:tab/>
      </w:r>
      <w:r>
        <w:rPr>
          <w:rFonts w:ascii="Courier New" w:cs="Courier New" w:eastAsia="Courier New" w:hAnsi="Courier New"/>
          <w:sz w:val="15"/>
          <w:szCs w:val="15"/>
          <w:color w:val="auto"/>
        </w:rPr>
        <w:t>21</w:t>
      </w:r>
    </w:p>
    <w:p>
      <w:pPr>
        <w:spacing w:after="0" w:line="179" w:lineRule="exact"/>
        <w:rPr>
          <w:sz w:val="24"/>
          <w:szCs w:val="24"/>
          <w:color w:val="auto"/>
        </w:rPr>
      </w:pPr>
    </w:p>
    <w:p>
      <w:pPr>
        <w:ind w:left="944"/>
        <w:spacing w:after="0"/>
        <w:tabs>
          <w:tab w:leader="none" w:pos="1863" w:val="left"/>
          <w:tab w:leader="dot" w:pos="7303"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r>
        <w:rPr>
          <w:sz w:val="20"/>
          <w:szCs w:val="20"/>
          <w:color w:val="auto"/>
        </w:rPr>
        <w:tab/>
      </w:r>
      <w:r>
        <w:rPr>
          <w:rFonts w:ascii="Courier New" w:cs="Courier New" w:eastAsia="Courier New" w:hAnsi="Courier New"/>
          <w:sz w:val="15"/>
          <w:szCs w:val="15"/>
          <w:color w:val="auto"/>
        </w:rPr>
        <w:t>21</w:t>
      </w:r>
    </w:p>
    <w:p>
      <w:pPr>
        <w:spacing w:after="0" w:line="179" w:lineRule="exact"/>
        <w:rPr>
          <w:sz w:val="24"/>
          <w:szCs w:val="24"/>
          <w:color w:val="auto"/>
        </w:rPr>
      </w:pPr>
    </w:p>
    <w:p>
      <w:pPr>
        <w:ind w:left="944"/>
        <w:spacing w:after="0"/>
        <w:tabs>
          <w:tab w:leader="none" w:pos="1863" w:val="left"/>
          <w:tab w:leader="dot" w:pos="6823" w:val="left"/>
        </w:tabs>
        <w:rPr>
          <w:sz w:val="20"/>
          <w:szCs w:val="20"/>
          <w:color w:val="auto"/>
        </w:rPr>
      </w:pPr>
      <w:r>
        <w:rPr>
          <w:rFonts w:ascii="Courier New" w:cs="Courier New" w:eastAsia="Courier New" w:hAnsi="Courier New"/>
          <w:sz w:val="16"/>
          <w:szCs w:val="16"/>
          <w:color w:val="auto"/>
        </w:rPr>
        <w:t>Item 6.</w:t>
        <w:tab/>
        <w:t>Exhibits and Reports on Form 8-K</w:t>
      </w:r>
      <w:r>
        <w:rPr>
          <w:sz w:val="20"/>
          <w:szCs w:val="20"/>
          <w:color w:val="auto"/>
        </w:rPr>
        <w:tab/>
      </w:r>
      <w:r>
        <w:rPr>
          <w:rFonts w:ascii="Courier New" w:cs="Courier New" w:eastAsia="Courier New" w:hAnsi="Courier New"/>
          <w:sz w:val="15"/>
          <w:szCs w:val="15"/>
          <w:color w:val="auto"/>
        </w:rPr>
        <w:t>21 - 22</w:t>
      </w:r>
    </w:p>
    <w:p>
      <w:pPr>
        <w:sectPr>
          <w:pgSz w:w="11900" w:h="16838" w:orient="portrait"/>
          <w:cols w:equalWidth="0" w:num="1">
            <w:col w:w="10223"/>
          </w:cols>
          <w:pgMar w:left="236" w:top="233" w:right="1440" w:bottom="0" w:gutter="0" w:footer="0" w:header="0"/>
          <w:type w:val="continuous"/>
        </w:sectPr>
      </w:pPr>
    </w:p>
    <w:bookmarkStart w:id="1" w:name="page2"/>
    <w:bookmarkEnd w:id="1"/>
    <w:p>
      <w:pPr>
        <w:jc w:val="right"/>
        <w:ind w:right="2719"/>
        <w:spacing w:after="0"/>
        <w:tabs>
          <w:tab w:leader="dot" w:pos="1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5"/>
          <w:szCs w:val="15"/>
          <w:color w:val="auto"/>
        </w:rPr>
        <w:t>23</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___________________________</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This Quarterly Report on Form 10-Q contains forward looking statements made pursuant to the "safe harbor" provisions of the Private Securities Litigation Reform Act of 1995. Readers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19"/>
          </w:cols>
          <w:pgMar w:left="240" w:top="1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6940" w:type="dxa"/>
            <w:vAlign w:val="bottom"/>
          </w:tcPr>
          <w:p>
            <w:pPr>
              <w:jc w:val="right"/>
              <w:ind w:right="2082"/>
              <w:spacing w:after="0"/>
              <w:rPr>
                <w:sz w:val="20"/>
                <w:szCs w:val="20"/>
                <w:color w:val="auto"/>
              </w:rPr>
            </w:pPr>
            <w:r>
              <w:rPr>
                <w:rFonts w:ascii="Courier New" w:cs="Courier New" w:eastAsia="Courier New" w:hAnsi="Courier New"/>
                <w:sz w:val="16"/>
                <w:szCs w:val="16"/>
                <w:color w:val="auto"/>
              </w:rPr>
              <w:t>COMCAST CORPORATION AND SUBSIDIARIES</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6940" w:type="dxa"/>
            <w:vAlign w:val="bottom"/>
          </w:tcPr>
          <w:p>
            <w:pPr>
              <w:jc w:val="center"/>
              <w:ind w:right="582"/>
              <w:spacing w:after="0"/>
              <w:rPr>
                <w:sz w:val="20"/>
                <w:szCs w:val="20"/>
                <w:color w:val="auto"/>
              </w:rPr>
            </w:pPr>
            <w:r>
              <w:rPr>
                <w:rFonts w:ascii="Courier New" w:cs="Courier New" w:eastAsia="Courier New" w:hAnsi="Courier New"/>
                <w:sz w:val="16"/>
                <w:szCs w:val="16"/>
                <w:color w:val="auto"/>
                <w:w w:val="97"/>
              </w:rPr>
              <w:t>FORM 10-Q</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6940" w:type="dxa"/>
            <w:vAlign w:val="bottom"/>
          </w:tcPr>
          <w:p>
            <w:pPr>
              <w:jc w:val="center"/>
              <w:ind w:right="602"/>
              <w:spacing w:after="0"/>
              <w:rPr>
                <w:sz w:val="20"/>
                <w:szCs w:val="20"/>
                <w:color w:val="auto"/>
              </w:rPr>
            </w:pPr>
            <w:r>
              <w:rPr>
                <w:rFonts w:ascii="Courier New" w:cs="Courier New" w:eastAsia="Courier New" w:hAnsi="Courier New"/>
                <w:sz w:val="16"/>
                <w:szCs w:val="16"/>
                <w:color w:val="auto"/>
                <w:w w:val="97"/>
              </w:rPr>
              <w:t>QUARTER ENDED JUNE 30, 1998</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PART I.</w:t>
            </w:r>
          </w:p>
        </w:tc>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1"/>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ITEM 1.</w:t>
            </w:r>
          </w:p>
        </w:tc>
        <w:tc>
          <w:tcPr>
            <w:tcW w:w="694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1"/>
        </w:trPr>
        <w:tc>
          <w:tcPr>
            <w:tcW w:w="660" w:type="dxa"/>
            <w:vAlign w:val="bottom"/>
          </w:tcPr>
          <w:p>
            <w:pPr>
              <w:spacing w:after="0"/>
              <w:rPr>
                <w:sz w:val="24"/>
                <w:szCs w:val="24"/>
                <w:color w:val="auto"/>
              </w:rPr>
            </w:pPr>
          </w:p>
        </w:tc>
        <w:tc>
          <w:tcPr>
            <w:tcW w:w="6940" w:type="dxa"/>
            <w:vAlign w:val="bottom"/>
          </w:tcPr>
          <w:p>
            <w:pPr>
              <w:jc w:val="right"/>
              <w:ind w:right="2082"/>
              <w:spacing w:after="0"/>
              <w:rPr>
                <w:sz w:val="20"/>
                <w:szCs w:val="20"/>
                <w:color w:val="auto"/>
              </w:rPr>
            </w:pPr>
            <w:r>
              <w:rPr>
                <w:rFonts w:ascii="Courier New" w:cs="Courier New" w:eastAsia="Courier New" w:hAnsi="Courier New"/>
                <w:sz w:val="16"/>
                <w:szCs w:val="16"/>
                <w:color w:val="auto"/>
              </w:rPr>
              <w:t>CONDENSED CONSOLIDATED BALANCE SHEET</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660" w:type="dxa"/>
            <w:vAlign w:val="bottom"/>
          </w:tcPr>
          <w:p>
            <w:pPr>
              <w:spacing w:after="0"/>
              <w:rPr>
                <w:sz w:val="15"/>
                <w:szCs w:val="15"/>
                <w:color w:val="auto"/>
              </w:rPr>
            </w:pPr>
          </w:p>
        </w:tc>
        <w:tc>
          <w:tcPr>
            <w:tcW w:w="6940" w:type="dxa"/>
            <w:vAlign w:val="bottom"/>
          </w:tcPr>
          <w:p>
            <w:pPr>
              <w:jc w:val="center"/>
              <w:ind w:right="582"/>
              <w:spacing w:after="0"/>
              <w:rPr>
                <w:sz w:val="20"/>
                <w:szCs w:val="20"/>
                <w:color w:val="auto"/>
              </w:rPr>
            </w:pPr>
            <w:r>
              <w:rPr>
                <w:rFonts w:ascii="Courier New" w:cs="Courier New" w:eastAsia="Courier New" w:hAnsi="Courier New"/>
                <w:sz w:val="16"/>
                <w:szCs w:val="16"/>
                <w:color w:val="auto"/>
                <w:w w:val="98"/>
              </w:rPr>
              <w:t>(Unaudited)</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541"/>
        </w:trPr>
        <w:tc>
          <w:tcPr>
            <w:tcW w:w="6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(Dollars in millions,</w:t>
            </w:r>
          </w:p>
        </w:tc>
        <w:tc>
          <w:tcPr>
            <w:tcW w:w="1740" w:type="dxa"/>
            <w:vAlign w:val="bottom"/>
          </w:tcPr>
          <w:p>
            <w:pPr>
              <w:ind w:left="60"/>
              <w:spacing w:after="0"/>
              <w:rPr>
                <w:sz w:val="20"/>
                <w:szCs w:val="20"/>
                <w:color w:val="auto"/>
              </w:rPr>
            </w:pPr>
            <w:r>
              <w:rPr>
                <w:rFonts w:ascii="Courier New" w:cs="Courier New" w:eastAsia="Courier New" w:hAnsi="Courier New"/>
                <w:sz w:val="16"/>
                <w:szCs w:val="16"/>
                <w:color w:val="auto"/>
                <w:w w:val="96"/>
              </w:rPr>
              <w:t>except share data)</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June 30,</w:t>
            </w:r>
          </w:p>
        </w:tc>
        <w:tc>
          <w:tcPr>
            <w:tcW w:w="1740" w:type="dxa"/>
            <w:vAlign w:val="bottom"/>
          </w:tcPr>
          <w:p>
            <w:pPr>
              <w:ind w:left="60"/>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1998</w:t>
            </w:r>
          </w:p>
        </w:tc>
        <w:tc>
          <w:tcPr>
            <w:tcW w:w="17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1997</w:t>
            </w:r>
          </w:p>
        </w:tc>
      </w:tr>
      <w:tr>
        <w:trPr>
          <w:trHeight w:val="361"/>
        </w:trPr>
        <w:tc>
          <w:tcPr>
            <w:tcW w:w="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760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Cash and cash equivalents....................................................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$516.6</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$413.7</w:t>
            </w:r>
          </w:p>
        </w:tc>
      </w:tr>
      <w:tr>
        <w:trPr>
          <w:trHeight w:val="180"/>
        </w:trPr>
        <w:tc>
          <w:tcPr>
            <w:tcW w:w="76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Short-term investments.......................................................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48.5</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163.9</w:t>
            </w:r>
          </w:p>
        </w:tc>
      </w:tr>
      <w:tr>
        <w:trPr>
          <w:trHeight w:val="180"/>
        </w:trPr>
        <w:tc>
          <w:tcPr>
            <w:tcW w:w="76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accounts of $114.3 and $115.0..............................................</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485.0</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498.8</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Inventories, net.............................................................</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314.0</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324.0</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Other current assets.........................................................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173.0</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159.1</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6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Total current assets.....................................................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1,537.1</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1,559.5</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INVESTMENTS, principally in affiliates..........................................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1,314.1</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1,264.3</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PROPERTY AND EQUIPMENT..........................................................</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4,742.7</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4,285.4</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Accumulated depreciation.....................................................</w:t>
            </w:r>
          </w:p>
        </w:tc>
        <w:tc>
          <w:tcPr>
            <w:tcW w:w="2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(1,564.9)</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(1,388.5)</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Property and equipment, net..................................................</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3,177.8</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2,896.9</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DEFERRED CHARGES................................................................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9,566.2</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9,213.3</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Accumulated amortization.....................................................</w:t>
            </w:r>
          </w:p>
        </w:tc>
        <w:tc>
          <w:tcPr>
            <w:tcW w:w="2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(2,305.5)</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(2,129.8)</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Deferred charges, net........................................................</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7,260.7</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7,083.5</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$13,289.7</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$12,804.2</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Accounts payable and accrued expenses........................................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$1,262.9</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$1,195.5</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Accrued interest.............................................................</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90.8</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89.6</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Current portion of long-term debt............................................</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103.9</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132.7</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6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Total current liabilities................................................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1,457.6</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1,417.8</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LONG-TERM DEBT, less current portion............................................</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6,658.9</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6,558.6</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DEFERRED INCOME TAXES...........................................................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2,129.0</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2,112.2</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MINORITY INTEREST AND OTHER.....................................................</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1,021.0</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1,037.7</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COMMON EQUITY PUT OPTIONS.......................................................</w:t>
            </w:r>
          </w:p>
        </w:tc>
        <w:tc>
          <w:tcPr>
            <w:tcW w:w="2100" w:type="dxa"/>
            <w:vAlign w:val="bottom"/>
          </w:tcPr>
          <w:p>
            <w:pPr>
              <w:spacing w:after="0"/>
              <w:rPr>
                <w:sz w:val="24"/>
                <w:szCs w:val="24"/>
                <w:color w:val="auto"/>
              </w:rPr>
            </w:pP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31.4</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Preferred stock - authorized, 20,000,000 shares; 5% series A convertible,</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no par value, issued, 6,370 at redemption value............................</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31.9</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31.9</w:t>
            </w:r>
          </w:p>
        </w:tc>
      </w:tr>
      <w:tr>
        <w:trPr>
          <w:trHeight w:val="180"/>
        </w:trPr>
        <w:tc>
          <w:tcPr>
            <w:tcW w:w="7600" w:type="dxa"/>
            <w:vAlign w:val="bottom"/>
            <w:gridSpan w:val="2"/>
          </w:tcPr>
          <w:p>
            <w:pPr>
              <w:jc w:val="right"/>
              <w:ind w:right="682"/>
              <w:spacing w:after="0"/>
              <w:rPr>
                <w:sz w:val="20"/>
                <w:szCs w:val="20"/>
                <w:color w:val="auto"/>
              </w:rPr>
            </w:pPr>
            <w:r>
              <w:rPr>
                <w:rFonts w:ascii="Courier New" w:cs="Courier New" w:eastAsia="Courier New" w:hAnsi="Courier New"/>
                <w:sz w:val="16"/>
                <w:szCs w:val="16"/>
                <w:color w:val="auto"/>
              </w:rPr>
              <w:t>5.25% series B mandatorily redeemable convertible, $1,000 par value,</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issued, 526,771 and 513,211 at redemption value............................</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526.8</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513.2</w:t>
            </w:r>
          </w:p>
        </w:tc>
      </w:tr>
      <w:tr>
        <w:trPr>
          <w:trHeight w:val="180"/>
        </w:trPr>
        <w:tc>
          <w:tcPr>
            <w:tcW w:w="76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special common stock, $1 par value - authorized,</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500,000,000 shares; issued, 328,639,831 and 317,025,969....................</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328.6</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317.0</w:t>
            </w:r>
          </w:p>
        </w:tc>
      </w:tr>
      <w:tr>
        <w:trPr>
          <w:trHeight w:val="180"/>
        </w:trPr>
        <w:tc>
          <w:tcPr>
            <w:tcW w:w="76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common stock, $1 par value - authorized,</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200,000,000 shares; issued, 31,792,325 and 31,793,487 .....................</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31.8</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31.8</w:t>
            </w:r>
          </w:p>
        </w:tc>
      </w:tr>
      <w:tr>
        <w:trPr>
          <w:trHeight w:val="180"/>
        </w:trPr>
        <w:tc>
          <w:tcPr>
            <w:tcW w:w="76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B common stock, $1 par value - authorized,</w:t>
            </w:r>
          </w:p>
        </w:tc>
        <w:tc>
          <w:tcPr>
            <w:tcW w:w="2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50,000,000 shares; issued, 8,786,250 ......................................</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8.8</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8.8</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Additional capital...........................................................</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3,409.7</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3,030.6</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Accumulated deficit..........................................................</w:t>
            </w:r>
          </w:p>
        </w:tc>
        <w:tc>
          <w:tcPr>
            <w:tcW w:w="2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(2,596.7)</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(2,415.9)</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Unrealized gains on marketable securities....................................</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293.2</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140.7</w:t>
            </w:r>
          </w:p>
        </w:tc>
      </w:tr>
      <w:tr>
        <w:trPr>
          <w:trHeight w:val="180"/>
        </w:trPr>
        <w:tc>
          <w:tcPr>
            <w:tcW w:w="7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Cumulative translation adjustments...........................................</w:t>
            </w:r>
          </w:p>
        </w:tc>
        <w:tc>
          <w:tcPr>
            <w:tcW w:w="2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(10.9)</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(11.6)</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6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Total stockholders' equity...............................................</w:t>
            </w: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2,023.2</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1,646.5</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$13,289.7</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$12,804.2</w:t>
            </w:r>
          </w:p>
        </w:tc>
      </w:tr>
      <w:tr>
        <w:trPr>
          <w:trHeight w:val="180"/>
        </w:trPr>
        <w:tc>
          <w:tcPr>
            <w:tcW w:w="66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440"/>
          </w:cols>
          <w:pgMar w:left="240" w:top="473" w:right="219" w:bottom="828" w:gutter="0" w:footer="0" w:header="0"/>
        </w:sectPr>
      </w:pPr>
    </w:p>
    <w:bookmarkStart w:id="3" w:name="page4"/>
    <w:bookmarkEnd w:id="3"/>
    <w:p>
      <w:pPr>
        <w:jc w:val="center"/>
        <w:ind w:right="356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460"/>
        <w:spacing w:after="0"/>
        <w:rPr>
          <w:sz w:val="20"/>
          <w:szCs w:val="20"/>
          <w:color w:val="auto"/>
        </w:rPr>
      </w:pPr>
      <w:r>
        <w:rPr>
          <w:rFonts w:ascii="Courier New" w:cs="Courier New" w:eastAsia="Courier New" w:hAnsi="Courier New"/>
          <w:sz w:val="16"/>
          <w:szCs w:val="16"/>
          <w:color w:val="auto"/>
        </w:rPr>
        <w:t>FORM 10-Q</w:t>
      </w:r>
    </w:p>
    <w:p>
      <w:pPr>
        <w:jc w:val="center"/>
        <w:ind w:right="3460"/>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3560"/>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tbl>
      <w:tblPr>
        <w:tblLayout w:type="fixed"/>
        <w:tblInd w:w="0" w:type="dxa"/>
        <w:tblCellMar>
          <w:top w:w="0" w:type="dxa"/>
          <w:left w:w="0" w:type="dxa"/>
          <w:bottom w:w="0" w:type="dxa"/>
          <w:right w:w="0" w:type="dxa"/>
        </w:tblCellMar>
      </w:tblPr>
      <w:tr>
        <w:trPr>
          <w:trHeight w:val="180"/>
        </w:trPr>
        <w:tc>
          <w:tcPr>
            <w:tcW w:w="6100" w:type="dxa"/>
            <w:vAlign w:val="bottom"/>
          </w:tcPr>
          <w:p>
            <w:pPr>
              <w:jc w:val="right"/>
              <w:ind w:right="1702"/>
              <w:spacing w:after="0" w:line="180" w:lineRule="exact"/>
              <w:rPr>
                <w:sz w:val="20"/>
                <w:szCs w:val="20"/>
                <w:color w:val="auto"/>
              </w:rPr>
            </w:pPr>
            <w:r>
              <w:rPr>
                <w:rFonts w:ascii="Courier New" w:cs="Courier New" w:eastAsia="Courier New" w:hAnsi="Courier New"/>
                <w:sz w:val="16"/>
                <w:szCs w:val="16"/>
                <w:color w:val="auto"/>
              </w:rPr>
              <w:t>(Unaudited)</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41"/>
        </w:trPr>
        <w:tc>
          <w:tcPr>
            <w:tcW w:w="6100" w:type="dxa"/>
            <w:vAlign w:val="bottom"/>
          </w:tcPr>
          <w:p>
            <w:pPr>
              <w:spacing w:after="0"/>
              <w:rPr>
                <w:sz w:val="24"/>
                <w:szCs w:val="24"/>
                <w:color w:val="auto"/>
              </w:rPr>
            </w:pPr>
          </w:p>
        </w:tc>
        <w:tc>
          <w:tcPr>
            <w:tcW w:w="496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0"/>
        </w:trPr>
        <w:tc>
          <w:tcPr>
            <w:tcW w:w="6100" w:type="dxa"/>
            <w:vAlign w:val="bottom"/>
          </w:tcPr>
          <w:p>
            <w:pPr>
              <w:spacing w:after="0"/>
              <w:rPr>
                <w:sz w:val="15"/>
                <w:szCs w:val="15"/>
                <w:color w:val="auto"/>
              </w:rPr>
            </w:pPr>
          </w:p>
        </w:tc>
        <w:tc>
          <w:tcPr>
            <w:tcW w:w="26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Six Months Ended</w:t>
            </w:r>
          </w:p>
        </w:tc>
        <w:tc>
          <w:tcPr>
            <w:tcW w:w="2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Three Months Ended</w:t>
            </w:r>
          </w:p>
        </w:tc>
      </w:tr>
      <w:tr>
        <w:trPr>
          <w:trHeight w:val="180"/>
        </w:trPr>
        <w:tc>
          <w:tcPr>
            <w:tcW w:w="6100" w:type="dxa"/>
            <w:vAlign w:val="bottom"/>
          </w:tcPr>
          <w:p>
            <w:pPr>
              <w:spacing w:after="0"/>
              <w:rPr>
                <w:sz w:val="15"/>
                <w:szCs w:val="15"/>
                <w:color w:val="auto"/>
              </w:rPr>
            </w:pPr>
          </w:p>
        </w:tc>
        <w:tc>
          <w:tcPr>
            <w:tcW w:w="262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June 30,</w:t>
            </w:r>
          </w:p>
        </w:tc>
        <w:tc>
          <w:tcPr>
            <w:tcW w:w="234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June 30,</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1998</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Service income.............................................</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$1,606.9</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$1,367.9</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$791.7</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$716.8</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Net sales from electronic retailing........................</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1,074.6</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947.4</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530.0</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467.7</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2,681.5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2,315.3</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1,321.7</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1,184.5</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Operating..................................................</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758.1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611.3</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361.6</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313.9</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652.4</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571.8</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320.0</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279.0</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Selling, general and administrative........................</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480.2</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431.1</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237.6</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224.2</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Depreciation...............................................</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268.8</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221.5</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131.4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125.7</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Amortization...............................................</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257.6</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240.9</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127.7</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124.3</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2,417.1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2,076.6</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1,178.3</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1,067.1</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OPERATING INCOME..............................................</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264.4</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238.7</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143.4</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117.4</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Interest expense...........................................</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291.9</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278.9</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144.3</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145.6</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Investment expense (income)................................</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(93.6)</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(81.4)</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237.0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131.2</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107.3</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61.1</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Gain from equity offering of affiliate.....................</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(59.6)</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467.0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320.9</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250.5</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120.8</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LOSS BEFORE INCOME TAX EXPENSE (BENEFIT), MINORITY</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INTEREST AND EXTRAORDINARY ITEMS...........................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(202.6)</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(82.2)</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(107.1)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361"/>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INCOME TAX EXPENSE (BENEFIT)..................................</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0.3</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36.9</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27.0</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LOSS BEFORE MINORITY INTEREST AND</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(202.9)</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(119.1)</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(106.8)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(30.4)</w:t>
            </w:r>
          </w:p>
        </w:tc>
      </w:tr>
      <w:tr>
        <w:trPr>
          <w:trHeight w:val="361"/>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MINORITY INTEREST.............................................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(39.2)</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(39.8)</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LOSS BEFORE EXTRAORDINARY ITEMS...............................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(163.7)</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(79.3)</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(84.8)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361"/>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EXTRAORDINARY ITEMS...........................................</w:t>
            </w:r>
          </w:p>
        </w:tc>
        <w:tc>
          <w:tcPr>
            <w:tcW w:w="1360" w:type="dxa"/>
            <w:vAlign w:val="bottom"/>
          </w:tcPr>
          <w:p>
            <w:pPr>
              <w:spacing w:after="0"/>
              <w:rPr>
                <w:sz w:val="24"/>
                <w:szCs w:val="24"/>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(22.8)</w:t>
            </w:r>
          </w:p>
        </w:tc>
        <w:tc>
          <w:tcPr>
            <w:tcW w:w="1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(22.8)</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NET LOSS......................................................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(163.7)</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(102.1)</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(84.8)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r>
      <w:tr>
        <w:trPr>
          <w:trHeight w:val="361"/>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PREFERRED DIVIDENDS...........................................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(14.3)</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(0.8)</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NET LOSS FOR COMMON STOCKHOLDERS..............................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($178.0)</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($102.9)</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($92.0)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($37.8)</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Beginning of period .......................................</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($2,415.9)</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($2,127.1)</w:t>
            </w: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($2,503.3)   ($2,205.3)</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Net loss...................................................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(163.7)</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(102.1)</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(84.8)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r>
      <w:tr>
        <w:trPr>
          <w:trHeight w:val="180"/>
        </w:trPr>
        <w:tc>
          <w:tcPr>
            <w:tcW w:w="61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Common dividends - $.0467, $.0467, $.0233 and $.0233</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per share................................................</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(17.1)</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(15.7)</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Retirement of common stock.................................</w:t>
            </w:r>
          </w:p>
        </w:tc>
        <w:tc>
          <w:tcPr>
            <w:tcW w:w="136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(17.7)</w:t>
            </w:r>
          </w:p>
        </w:tc>
        <w:tc>
          <w:tcPr>
            <w:tcW w:w="1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(11.7)</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End of period..............................................</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($2,596.7)</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($2,262.6)</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($2,596.7)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($2,262.6)</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LOSS FOR COMMON STOCKHOLDERS PER COMMON SHARE</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Loss before extraordinary items............................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(.07)</w:t>
            </w:r>
          </w:p>
        </w:tc>
        <w:tc>
          <w:tcPr>
            <w:tcW w:w="1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Net loss..............................................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6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OUTSTANDING DURING THE PERIOD..............................</w:t>
            </w: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363.5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325.3</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369.0</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324.8</w:t>
            </w:r>
          </w:p>
        </w:tc>
      </w:tr>
      <w:tr>
        <w:trPr>
          <w:trHeight w:val="180"/>
        </w:trPr>
        <w:tc>
          <w:tcPr>
            <w:tcW w:w="610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060"/>
          </w:cols>
          <w:pgMar w:left="240" w:top="473" w:right="599" w:bottom="0" w:gutter="0" w:footer="0" w:header="0"/>
        </w:sectPr>
      </w:pPr>
    </w:p>
    <w:bookmarkStart w:id="4" w:name="page5"/>
    <w:bookmarkEnd w:id="4"/>
    <w:p>
      <w:pPr>
        <w:jc w:val="center"/>
        <w:ind w:right="338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280"/>
        <w:spacing w:after="0"/>
        <w:rPr>
          <w:sz w:val="20"/>
          <w:szCs w:val="20"/>
          <w:color w:val="auto"/>
        </w:rPr>
      </w:pPr>
      <w:r>
        <w:rPr>
          <w:rFonts w:ascii="Courier New" w:cs="Courier New" w:eastAsia="Courier New" w:hAnsi="Courier New"/>
          <w:sz w:val="16"/>
          <w:szCs w:val="16"/>
          <w:color w:val="auto"/>
        </w:rPr>
        <w:t>FORM 10-Q</w:t>
      </w:r>
    </w:p>
    <w:p>
      <w:pPr>
        <w:jc w:val="center"/>
        <w:ind w:right="3280"/>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3380"/>
        <w:spacing w:after="0"/>
        <w:rPr>
          <w:sz w:val="20"/>
          <w:szCs w:val="20"/>
          <w:color w:val="auto"/>
        </w:rPr>
      </w:pPr>
      <w:r>
        <w:rPr>
          <w:rFonts w:ascii="Courier New" w:cs="Courier New" w:eastAsia="Courier New" w:hAnsi="Courier New"/>
          <w:sz w:val="16"/>
          <w:szCs w:val="16"/>
          <w:color w:val="auto"/>
        </w:rPr>
        <w:t>CONDENSED CONSOLIDATED STATEMENT OF CASH FLOWS</w:t>
      </w:r>
    </w:p>
    <w:tbl>
      <w:tblPr>
        <w:tblLayout w:type="fixed"/>
        <w:tblInd w:w="0" w:type="dxa"/>
        <w:tblCellMar>
          <w:top w:w="0" w:type="dxa"/>
          <w:left w:w="0" w:type="dxa"/>
          <w:bottom w:w="0" w:type="dxa"/>
          <w:right w:w="0" w:type="dxa"/>
        </w:tblCellMar>
      </w:tblPr>
      <w:tr>
        <w:trPr>
          <w:trHeight w:val="180"/>
        </w:trPr>
        <w:tc>
          <w:tcPr>
            <w:tcW w:w="7920" w:type="dxa"/>
            <w:vAlign w:val="bottom"/>
          </w:tcPr>
          <w:p>
            <w:pPr>
              <w:jc w:val="right"/>
              <w:ind w:right="3522"/>
              <w:spacing w:after="0" w:line="180" w:lineRule="exact"/>
              <w:rPr>
                <w:sz w:val="20"/>
                <w:szCs w:val="20"/>
                <w:color w:val="auto"/>
              </w:rPr>
            </w:pPr>
            <w:r>
              <w:rPr>
                <w:rFonts w:ascii="Courier New" w:cs="Courier New" w:eastAsia="Courier New" w:hAnsi="Courier New"/>
                <w:sz w:val="16"/>
                <w:szCs w:val="16"/>
                <w:color w:val="auto"/>
              </w:rPr>
              <w:t>(Unaudited)</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541"/>
        </w:trPr>
        <w:tc>
          <w:tcPr>
            <w:tcW w:w="7920" w:type="dxa"/>
            <w:vAlign w:val="bottom"/>
          </w:tcPr>
          <w:p>
            <w:pPr>
              <w:spacing w:after="0"/>
              <w:rPr>
                <w:sz w:val="24"/>
                <w:szCs w:val="24"/>
                <w:color w:val="auto"/>
              </w:rPr>
            </w:pPr>
          </w:p>
        </w:tc>
        <w:tc>
          <w:tcPr>
            <w:tcW w:w="29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(Dollars in millions)</w:t>
            </w:r>
          </w:p>
        </w:tc>
      </w:tr>
      <w:tr>
        <w:trPr>
          <w:trHeight w:val="180"/>
        </w:trPr>
        <w:tc>
          <w:tcPr>
            <w:tcW w:w="7920" w:type="dxa"/>
            <w:vAlign w:val="bottom"/>
          </w:tcPr>
          <w:p>
            <w:pPr>
              <w:spacing w:after="0"/>
              <w:rPr>
                <w:sz w:val="15"/>
                <w:szCs w:val="15"/>
                <w:color w:val="auto"/>
              </w:rPr>
            </w:pPr>
          </w:p>
        </w:tc>
        <w:tc>
          <w:tcPr>
            <w:tcW w:w="29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Six  Months Ended June 30,</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1998</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r>
      <w:tr>
        <w:trPr>
          <w:trHeight w:val="361"/>
        </w:trPr>
        <w:tc>
          <w:tcPr>
            <w:tcW w:w="7920" w:type="dxa"/>
            <w:vAlign w:val="bottom"/>
          </w:tcPr>
          <w:p>
            <w:pPr>
              <w:jc w:val="right"/>
              <w:ind w:right="5962"/>
              <w:spacing w:after="0"/>
              <w:rPr>
                <w:sz w:val="20"/>
                <w:szCs w:val="20"/>
                <w:color w:val="auto"/>
              </w:rPr>
            </w:pPr>
            <w:r>
              <w:rPr>
                <w:rFonts w:ascii="Courier New" w:cs="Courier New" w:eastAsia="Courier New" w:hAnsi="Courier New"/>
                <w:sz w:val="16"/>
                <w:szCs w:val="16"/>
                <w:color w:val="auto"/>
                <w:w w:val="96"/>
              </w:rPr>
              <w:t>OPERATING ACTIVITIES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loss.....................................................................</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($163.7)</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($102.1)</w:t>
            </w:r>
          </w:p>
        </w:tc>
      </w:tr>
      <w:tr>
        <w:trPr>
          <w:trHeight w:val="180"/>
        </w:trPr>
        <w:tc>
          <w:tcPr>
            <w:tcW w:w="7920" w:type="dxa"/>
            <w:vAlign w:val="bottom"/>
          </w:tcPr>
          <w:p>
            <w:pPr>
              <w:jc w:val="right"/>
              <w:ind w:right="2502"/>
              <w:spacing w:after="0"/>
              <w:rPr>
                <w:sz w:val="20"/>
                <w:szCs w:val="20"/>
                <w:color w:val="auto"/>
              </w:rPr>
            </w:pPr>
            <w:r>
              <w:rPr>
                <w:rFonts w:ascii="Courier New" w:cs="Courier New" w:eastAsia="Courier New" w:hAnsi="Courier New"/>
                <w:sz w:val="16"/>
                <w:szCs w:val="16"/>
                <w:color w:val="auto"/>
              </w:rPr>
              <w:t>Adjustments to reconcile net loss to net cash provided</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7920" w:type="dxa"/>
            <w:vAlign w:val="bottom"/>
          </w:tcPr>
          <w:p>
            <w:pPr>
              <w:jc w:val="right"/>
              <w:ind w:right="5222"/>
              <w:spacing w:after="0"/>
              <w:rPr>
                <w:sz w:val="20"/>
                <w:szCs w:val="20"/>
                <w:color w:val="auto"/>
              </w:rPr>
            </w:pPr>
            <w:r>
              <w:rPr>
                <w:rFonts w:ascii="Courier New" w:cs="Courier New" w:eastAsia="Courier New" w:hAnsi="Courier New"/>
                <w:sz w:val="16"/>
                <w:szCs w:val="16"/>
                <w:color w:val="auto"/>
              </w:rPr>
              <w:t>by operating activities:</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Depreciation...............................................................</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268.8</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221.5</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Amortization...............................................................</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257.6</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240.9</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Non-cash interest expense, net.............................................</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21.6</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26.8</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Equity in net losses of affiliates.........................................</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237.0</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131.2</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Gain from equity offering of affiliate.....................................</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(59.6)</w:t>
            </w:r>
          </w:p>
        </w:tc>
        <w:tc>
          <w:tcPr>
            <w:tcW w:w="1260" w:type="dxa"/>
            <w:vAlign w:val="bottom"/>
          </w:tcPr>
          <w:p>
            <w:pPr>
              <w:spacing w:after="0"/>
              <w:rPr>
                <w:sz w:val="15"/>
                <w:szCs w:val="15"/>
                <w:color w:val="auto"/>
              </w:rPr>
            </w:pP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Non-cash investment expense (income), net..................................</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Minority interest..........................................................</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(39.2)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Extraordinary items........................................................</w:t>
            </w:r>
          </w:p>
        </w:tc>
        <w:tc>
          <w:tcPr>
            <w:tcW w:w="1700" w:type="dxa"/>
            <w:vAlign w:val="bottom"/>
          </w:tcPr>
          <w:p>
            <w:pPr>
              <w:spacing w:after="0"/>
              <w:rPr>
                <w:sz w:val="15"/>
                <w:szCs w:val="15"/>
                <w:color w:val="auto"/>
              </w:rPr>
            </w:pP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22.8</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Deferred income taxes and other............................................</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(76.4)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478.6</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418.3</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Changes in working capital accounts........................................</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(40.5)</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18.1</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438.1</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436.4</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920" w:type="dxa"/>
            <w:vAlign w:val="bottom"/>
          </w:tcPr>
          <w:p>
            <w:pPr>
              <w:jc w:val="right"/>
              <w:ind w:right="5962"/>
              <w:spacing w:after="0"/>
              <w:rPr>
                <w:sz w:val="20"/>
                <w:szCs w:val="20"/>
                <w:color w:val="auto"/>
              </w:rPr>
            </w:pPr>
            <w:r>
              <w:rPr>
                <w:rFonts w:ascii="Courier New" w:cs="Courier New" w:eastAsia="Courier New" w:hAnsi="Courier New"/>
                <w:sz w:val="16"/>
                <w:szCs w:val="16"/>
                <w:color w:val="auto"/>
                <w:w w:val="96"/>
              </w:rPr>
              <w:t>FINANCING ACTIVITIES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Proceeds from borrowings.....................................................</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1,029.4</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2,958.0</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Retirement and repayment of debt.............................................</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(815.9)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(2,940.3)</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Issuance of preferred stock..................................................</w:t>
            </w:r>
          </w:p>
        </w:tc>
        <w:tc>
          <w:tcPr>
            <w:tcW w:w="1700" w:type="dxa"/>
            <w:vAlign w:val="bottom"/>
          </w:tcPr>
          <w:p>
            <w:pPr>
              <w:spacing w:after="0"/>
              <w:rPr>
                <w:sz w:val="15"/>
                <w:szCs w:val="15"/>
                <w:color w:val="auto"/>
              </w:rPr>
            </w:pP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500.0</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Issuances of common stock, net...............................................</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13.9</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498.5</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Repurchases of common stock, net.............................................</w:t>
            </w:r>
          </w:p>
        </w:tc>
        <w:tc>
          <w:tcPr>
            <w:tcW w:w="17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(33.6)</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Dividends....................................................................</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(17.9)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(16.5)</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Deferred financing costs.....................................................</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(4.5)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(43.2)</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Other........................................................................</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2.2</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207.2</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924.7</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920" w:type="dxa"/>
            <w:vAlign w:val="bottom"/>
          </w:tcPr>
          <w:p>
            <w:pPr>
              <w:jc w:val="right"/>
              <w:ind w:right="5962"/>
              <w:spacing w:after="0"/>
              <w:rPr>
                <w:sz w:val="20"/>
                <w:szCs w:val="20"/>
                <w:color w:val="auto"/>
              </w:rPr>
            </w:pPr>
            <w:r>
              <w:rPr>
                <w:rFonts w:ascii="Courier New" w:cs="Courier New" w:eastAsia="Courier New" w:hAnsi="Courier New"/>
                <w:sz w:val="16"/>
                <w:szCs w:val="16"/>
                <w:color w:val="auto"/>
                <w:w w:val="96"/>
              </w:rPr>
              <w:t>INVESTING ACTIVITIES</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Acquisitions, net of cash acquired...........................................</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(219.4)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(125.8)</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Proceeds from sales of short-term investments, net...........................</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115.4</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127.2</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Investments, principally in affiliates.......................................</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(83.4)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(78.5)</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Proceeds from sales of and distribution from long-term investments...........</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0.7</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95.7</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Proceeds from investee's repayment of loan...................................</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74.7</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25.2</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Proceeds from sales of call options..........................................</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20.7</w:t>
            </w:r>
          </w:p>
        </w:tc>
        <w:tc>
          <w:tcPr>
            <w:tcW w:w="1260" w:type="dxa"/>
            <w:vAlign w:val="bottom"/>
          </w:tcPr>
          <w:p>
            <w:pPr>
              <w:spacing w:after="0"/>
              <w:rPr>
                <w:sz w:val="15"/>
                <w:szCs w:val="15"/>
                <w:color w:val="auto"/>
              </w:rPr>
            </w:pP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Capital expenditures.........................................................</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(419.6)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(447.1)</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Additions to deferred charges................................................</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(24.1)</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Other........................................................................</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Net cash used in investing activities................................</w:t>
            </w:r>
          </w:p>
        </w:tc>
        <w:tc>
          <w:tcPr>
            <w:tcW w:w="170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(542.4)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(427.8)</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INCREASE IN CASH AND CASH EQUIVALENTS...........................................</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102.9</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933.3</w:t>
            </w:r>
          </w:p>
        </w:tc>
      </w:tr>
      <w:tr>
        <w:trPr>
          <w:trHeight w:val="361"/>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CASH AND CASH EQUIVALENTS, beginning of period..................................</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413.7</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331.3</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92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7"/>
              </w:rPr>
              <w:t>CASH AND CASH EQUIVALENTS, end of period........................................</w:t>
            </w: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$516.6</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$1,264.6</w:t>
            </w:r>
          </w:p>
        </w:tc>
      </w:tr>
      <w:tr>
        <w:trPr>
          <w:trHeight w:val="180"/>
        </w:trPr>
        <w:tc>
          <w:tcPr>
            <w:tcW w:w="7920" w:type="dxa"/>
            <w:vAlign w:val="bottom"/>
          </w:tcPr>
          <w:p>
            <w:pPr>
              <w:spacing w:after="0"/>
              <w:rPr>
                <w:sz w:val="15"/>
                <w:szCs w:val="15"/>
                <w:color w:val="auto"/>
              </w:rPr>
            </w:pPr>
          </w:p>
        </w:tc>
        <w:tc>
          <w:tcPr>
            <w:tcW w:w="17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880"/>
          </w:cols>
          <w:pgMar w:left="240" w:top="473" w:right="779" w:bottom="1440" w:gutter="0" w:footer="0" w:header="0"/>
        </w:sectPr>
      </w:pPr>
    </w:p>
    <w:bookmarkStart w:id="5" w:name="page6"/>
    <w:bookmarkEnd w:id="5"/>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5"/>
        <w:spacing w:after="0"/>
        <w:rPr>
          <w:sz w:val="20"/>
          <w:szCs w:val="20"/>
          <w:color w:val="auto"/>
        </w:rPr>
      </w:pPr>
      <w:r>
        <w:rPr>
          <w:rFonts w:ascii="Courier New" w:cs="Courier New" w:eastAsia="Courier New" w:hAnsi="Courier New"/>
          <w:sz w:val="16"/>
          <w:szCs w:val="16"/>
          <w:color w:val="auto"/>
        </w:rPr>
        <w:t>FORM 10-Q</w:t>
      </w:r>
    </w:p>
    <w:p>
      <w:pPr>
        <w:jc w:val="center"/>
        <w:ind w:right="2635"/>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2715"/>
        <w:spacing w:after="0"/>
        <w:rPr>
          <w:sz w:val="20"/>
          <w:szCs w:val="20"/>
          <w:color w:val="auto"/>
        </w:rPr>
      </w:pPr>
      <w:r>
        <w:rPr>
          <w:rFonts w:ascii="Courier New" w:cs="Courier New" w:eastAsia="Courier New" w:hAnsi="Courier New"/>
          <w:sz w:val="16"/>
          <w:szCs w:val="16"/>
          <w:color w:val="auto"/>
        </w:rPr>
        <w:t>NOTES TO CONDENSED CONSOLIDATED FINANCIAL STATEMENTS</w:t>
      </w:r>
    </w:p>
    <w:p>
      <w:pPr>
        <w:jc w:val="center"/>
        <w:ind w:right="2615"/>
        <w:spacing w:after="0" w:line="238"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4" w:lineRule="exact"/>
        <w:rPr>
          <w:rFonts w:ascii="Courier New" w:cs="Courier New" w:eastAsia="Courier New" w:hAnsi="Courier New"/>
          <w:sz w:val="16"/>
          <w:szCs w:val="16"/>
          <w:color w:val="auto"/>
        </w:rPr>
      </w:pPr>
    </w:p>
    <w:p>
      <w:pPr>
        <w:jc w:val="both"/>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1997 has been condensed from the audited consolidated balance sheet as of that date. The condensed consolidated balance sheet as of June 30, 1998, the condensed consolidated statement of operations and accumulated deficit for the six and three months ended June 30, 1998 and 1997 and the condensed consolidated statement of cash flows for the six months ended June 30, 1998 and 1997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June 30, 1998 and for all periods presented have been made.</w:t>
      </w:r>
    </w:p>
    <w:p>
      <w:pPr>
        <w:spacing w:after="0" w:line="187" w:lineRule="exact"/>
        <w:rPr>
          <w:rFonts w:ascii="Courier New" w:cs="Courier New" w:eastAsia="Courier New" w:hAnsi="Courier New"/>
          <w:sz w:val="16"/>
          <w:szCs w:val="16"/>
          <w:color w:val="auto"/>
        </w:rPr>
      </w:pPr>
    </w:p>
    <w:p>
      <w:pPr>
        <w:jc w:val="both"/>
        <w:ind w:left="464" w:right="27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1997 Annual Report on Form 10-K filed with the Securities and Exchange Commission. The results of operations for the periods ended June 30, 1998 are not necessarily indicative of operating results for the full year.</w:t>
      </w:r>
    </w:p>
    <w:p>
      <w:pPr>
        <w:spacing w:after="0" w:line="168"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4" w:lineRule="exact"/>
        <w:rPr>
          <w:rFonts w:ascii="Courier New" w:cs="Courier New" w:eastAsia="Courier New" w:hAnsi="Courier New"/>
          <w:sz w:val="16"/>
          <w:szCs w:val="16"/>
          <w:color w:val="auto"/>
        </w:rPr>
      </w:pPr>
    </w:p>
    <w:p>
      <w:pPr>
        <w:jc w:val="both"/>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Hedging Activities." This statement, which establishes accounting and reporting standards for derivatives and hedging activities, is effective for fiscal years beginning after June 15, 1999. Upon the adoption of SFAS No. 133, all derivatives are required to be recognized in the statement of financial position as either assets or liabilities and measured at fair value. The Company is currently evaluating the impact the adoption of SFAS No. 133 will have on its financial position and results of operations.</w:t>
      </w:r>
    </w:p>
    <w:p>
      <w:pPr>
        <w:spacing w:after="0" w:line="181"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w:t>
      </w:r>
    </w:p>
    <w:p>
      <w:pPr>
        <w:spacing w:after="0" w:line="4" w:lineRule="exact"/>
        <w:rPr>
          <w:rFonts w:ascii="Courier New" w:cs="Courier New" w:eastAsia="Courier New" w:hAnsi="Courier New"/>
          <w:sz w:val="16"/>
          <w:szCs w:val="16"/>
          <w:color w:val="auto"/>
        </w:rPr>
      </w:pPr>
    </w:p>
    <w:p>
      <w:pPr>
        <w:jc w:val="both"/>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FASB issued SFAS No. 130, "Reporting Comprehensive Income." This statement, which establishes standards for reporting and disclosure of comprehensive income, is effective for interim and annual periods beginning after December 15, 1997. The Company adopted SFAS No. 130 effective January 1, 1998. Total comprehensive loss for the six and three months ended June 30, 1998 and 1997 was $10.5 million, $98.4 million, $3.8 million and $21.2 million, respectively. Total comprehensive income (loss) includes net income (loss), unrealized gains (losses) on marketable securities and foreign currency translation gains (losses) for the periods presented.</w:t>
      </w:r>
    </w:p>
    <w:p>
      <w:pPr>
        <w:spacing w:after="0" w:line="181"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for Common Stockholders Per Common Share</w:t>
      </w:r>
    </w:p>
    <w:p>
      <w:pPr>
        <w:spacing w:after="0" w:line="4" w:lineRule="exact"/>
        <w:rPr>
          <w:rFonts w:ascii="Courier New" w:cs="Courier New" w:eastAsia="Courier New" w:hAnsi="Courier New"/>
          <w:sz w:val="16"/>
          <w:szCs w:val="16"/>
          <w:color w:val="auto"/>
        </w:rPr>
      </w:pPr>
    </w:p>
    <w:p>
      <w:pPr>
        <w:jc w:val="both"/>
        <w:ind w:left="4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Loss for common stockholders per common share is computed by dividing net loss, after deduction of preferred stock dividends, by the weighted average number of common shares outstanding during the period.</w:t>
      </w:r>
    </w:p>
    <w:p>
      <w:pPr>
        <w:spacing w:after="0" w:line="184" w:lineRule="exact"/>
        <w:rPr>
          <w:rFonts w:ascii="Courier New" w:cs="Courier New" w:eastAsia="Courier New" w:hAnsi="Courier New"/>
          <w:sz w:val="16"/>
          <w:szCs w:val="16"/>
          <w:color w:val="auto"/>
        </w:rPr>
      </w:pPr>
    </w:p>
    <w:p>
      <w:pPr>
        <w:jc w:val="both"/>
        <w:ind w:left="4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the six and three months ended June 30, 1998 and 1997, the Company's potential common shares of 47.0 million shares, 62.5 million shares, 47.0 million shares and 62.5 million shares, respectively, have an antidilutive effect on loss for common stockholders per common share and, therefore, have not been used in determining the total weighted average number of common shares outstanding.</w:t>
      </w:r>
    </w:p>
    <w:p>
      <w:pPr>
        <w:spacing w:after="0" w:line="183"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4" w:lineRule="exact"/>
        <w:rPr>
          <w:rFonts w:ascii="Courier New" w:cs="Courier New" w:eastAsia="Courier New" w:hAnsi="Courier New"/>
          <w:sz w:val="16"/>
          <w:szCs w:val="16"/>
          <w:color w:val="auto"/>
        </w:rPr>
      </w:pPr>
    </w:p>
    <w:p>
      <w:pPr>
        <w:jc w:val="both"/>
        <w:ind w:left="4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1998.</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473" w:right="1440" w:bottom="1440" w:gutter="0" w:footer="0" w:header="0"/>
        </w:sectPr>
      </w:pPr>
    </w:p>
    <w:bookmarkStart w:id="6" w:name="page7"/>
    <w:bookmarkEnd w:id="6"/>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5"/>
        <w:spacing w:after="0"/>
        <w:rPr>
          <w:sz w:val="20"/>
          <w:szCs w:val="20"/>
          <w:color w:val="auto"/>
        </w:rPr>
      </w:pPr>
      <w:r>
        <w:rPr>
          <w:rFonts w:ascii="Courier New" w:cs="Courier New" w:eastAsia="Courier New" w:hAnsi="Courier New"/>
          <w:sz w:val="16"/>
          <w:szCs w:val="16"/>
          <w:color w:val="auto"/>
        </w:rPr>
        <w:t>FORM 10-Q</w:t>
      </w:r>
    </w:p>
    <w:p>
      <w:pPr>
        <w:jc w:val="center"/>
        <w:ind w:right="2615"/>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27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615"/>
        <w:spacing w:after="0" w:line="238" w:lineRule="auto"/>
        <w:rPr>
          <w:sz w:val="20"/>
          <w:szCs w:val="20"/>
          <w:color w:val="auto"/>
        </w:rPr>
      </w:pPr>
      <w:r>
        <w:rPr>
          <w:rFonts w:ascii="Courier New" w:cs="Courier New" w:eastAsia="Courier New" w:hAnsi="Courier New"/>
          <w:sz w:val="16"/>
          <w:szCs w:val="16"/>
          <w:color w:val="auto"/>
        </w:rPr>
        <w:t>(Unaudited)</w:t>
      </w:r>
    </w:p>
    <w:p>
      <w:pPr>
        <w:spacing w:after="0" w:line="180" w:lineRule="exact"/>
        <w:rPr>
          <w:sz w:val="20"/>
          <w:szCs w:val="20"/>
          <w:color w:val="auto"/>
        </w:rPr>
      </w:pPr>
    </w:p>
    <w:p>
      <w:pPr>
        <w:ind w:left="464" w:hanging="464"/>
        <w:spacing w:after="0"/>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EVENTS</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in Jones Intercable</w:t>
      </w:r>
    </w:p>
    <w:p>
      <w:pPr>
        <w:spacing w:after="0" w:line="4" w:lineRule="exact"/>
        <w:rPr>
          <w:rFonts w:ascii="Courier New" w:cs="Courier New" w:eastAsia="Courier New" w:hAnsi="Courier New"/>
          <w:sz w:val="16"/>
          <w:szCs w:val="16"/>
          <w:color w:val="auto"/>
        </w:rPr>
      </w:pPr>
    </w:p>
    <w:p>
      <w:pPr>
        <w:jc w:val="both"/>
        <w:ind w:left="464"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May 1998, the Company agreed to purchase from BCI Telecom Holding ("BTH") 6.4 million Class A Common Shares in Jones Intercable, Inc. ("Jones Intercable"), and a 49% interest in the BTH subsidiaries which were to continue to own BTH's remaining 6.4 million shares of Jones Intercable Class A Common Stock. At the same time, the Company agreed to acquire approximately 2.9 million shares of Common Stock of Jones Intercable (the "Control Shares"), if and when acquired by BTH from affiliates of Jones Intercable's controlling shareholder under an existing option (the "Control Option") to acquire such shares (which absent extraordinary circumstances would not have been exercisable until December 2001). The Company was to purchase the remaining 51% of the BTH subsidiaries when the Control Shares were acquired. The Company, BTH, Jones Intercable and Jones Intercable's controlling shareholder agreed on August 12, 1998 to accelerate the Control Option to permit its early exercise and the early closing of the transactions with BTH. At closing (expected to occur in the first quarter of 1999), the Company will pay BTH a total of $500 million in cash to acquire the 12.8 million shares of Jones Intercable Class A Common Stock and $200 million in cash to acquire the Control Shares. After closing, the Company will control approximately 37% of the economic and 47% of the voting interest in Jones Intercable. In addition, the Control Shares will represent shares having the right to elect approximately 75% of the Board of Directors of Jones Intercable. The transaction will be funded either with new borrowings, with available borrowings under existing lines of credit or by other means. Jones Intercable, a public company, owns or manages cable operations serving approximately 1.4 million customers.</w:t>
      </w:r>
    </w:p>
    <w:p>
      <w:pPr>
        <w:spacing w:after="0" w:line="171"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 of Comcast UK Cable</w:t>
      </w:r>
    </w:p>
    <w:p>
      <w:pPr>
        <w:spacing w:after="0" w:line="4" w:lineRule="exact"/>
        <w:rPr>
          <w:rFonts w:ascii="Courier New" w:cs="Courier New" w:eastAsia="Courier New" w:hAnsi="Courier New"/>
          <w:sz w:val="16"/>
          <w:szCs w:val="16"/>
          <w:color w:val="auto"/>
        </w:rPr>
      </w:pPr>
    </w:p>
    <w:p>
      <w:pPr>
        <w:jc w:val="both"/>
        <w:ind w:left="464" w:right="27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February 1998, Comcast UK Cable Partners Limited ("Comcast UK Cable"), a consolidated subsidiary of the Company, entered into a definitive agreement</w:t>
      </w:r>
    </w:p>
    <w:p>
      <w:pPr>
        <w:spacing w:after="0" w:line="1" w:lineRule="exact"/>
        <w:rPr>
          <w:rFonts w:ascii="Courier New" w:cs="Courier New" w:eastAsia="Courier New" w:hAnsi="Courier New"/>
          <w:sz w:val="16"/>
          <w:szCs w:val="16"/>
          <w:color w:val="auto"/>
        </w:rPr>
      </w:pPr>
    </w:p>
    <w:p>
      <w:pPr>
        <w:jc w:val="both"/>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be acquired by NTL Incorporated ("NTL"), an alternative telecommunications company in the United Kingdom ("UK"). Pursuant to certain conditions, the Company may receive up to 4.8 million shares of NTL common stock in exchange for all of the shares of Comcast UK Cable held by the Company (the "NTL Transaction"). Certain conditions agreed to in the NTL Transaction restrict the Company's ability to sell the NTL common stock to be received for a period of 180 days after the closing of the NTL Transaction. The NTL Transaction is expected to close in 1998, subject to the receipt of necessary regulatory and shareholder approvals, the consent of the bondholders of Comcast UK Cable and NTL, as well as the consent of certain NTL bank lenders. As of June 30, 1998 and for the six months then ended, the assets and revenues of Comcast UK Cable totaled $856.4 million and $60.4 million, respectively.</w:t>
      </w:r>
    </w:p>
    <w:p>
      <w:pPr>
        <w:spacing w:after="0" w:line="183"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 Acquisition of TCGI</w:t>
      </w:r>
    </w:p>
    <w:p>
      <w:pPr>
        <w:spacing w:after="0" w:line="4" w:lineRule="exact"/>
        <w:rPr>
          <w:rFonts w:ascii="Courier New" w:cs="Courier New" w:eastAsia="Courier New" w:hAnsi="Courier New"/>
          <w:sz w:val="16"/>
          <w:szCs w:val="16"/>
          <w:color w:val="auto"/>
        </w:rPr>
      </w:pPr>
    </w:p>
    <w:p>
      <w:pPr>
        <w:jc w:val="both"/>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1998, AT&amp;T Corporation ("AT&amp;T") entered into a definitive merger agreement with Teleport Communications Group, Inc. ("TCGI"). Upon closing of the merger (the "AT&amp;T Transaction") on July 23, 1998, the Company received 24.2 million shares of unregistered AT&amp;T common stock in exchange for the 25.6 million shares of TCGI Class B Stock, representing all of the shares of TCGI held by the Company. The Company has registration rights, subject to customary restrictions, which would allow the Company to effect a registration of the AT&amp;T shares received. The Company's investment in AT&amp;T common stock had a fair value, prior to consideration of the restrictions on the AT&amp;T common stock, of approximately $1.416 billion, based on the quoted market price of $58.625 per share of AT&amp;T common stock as of July 23, 1998.</w:t>
      </w:r>
    </w:p>
    <w:p>
      <w:pPr>
        <w:spacing w:after="0" w:line="182"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PRINCIPALLY IN AFFILIATES</w:t>
      </w:r>
    </w:p>
    <w:p>
      <w:pPr>
        <w:spacing w:after="0" w:line="360" w:lineRule="exact"/>
        <w:rPr>
          <w:sz w:val="20"/>
          <w:szCs w:val="20"/>
          <w:color w:val="auto"/>
        </w:rPr>
      </w:pPr>
    </w:p>
    <w:tbl>
      <w:tblPr>
        <w:tblLayout w:type="fixed"/>
        <w:tblInd w:w="1024"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39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June 30,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2720" w:type="dxa"/>
            <w:vAlign w:val="bottom"/>
          </w:tcPr>
          <w:p>
            <w:pPr>
              <w:spacing w:after="0"/>
              <w:rPr>
                <w:sz w:val="15"/>
                <w:szCs w:val="15"/>
                <w:color w:val="auto"/>
              </w:rPr>
            </w:pPr>
          </w:p>
        </w:tc>
        <w:tc>
          <w:tcPr>
            <w:tcW w:w="39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1998</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2720" w:type="dxa"/>
            <w:vAlign w:val="bottom"/>
          </w:tcPr>
          <w:p>
            <w:pPr>
              <w:spacing w:after="0"/>
              <w:rPr>
                <w:sz w:val="15"/>
                <w:szCs w:val="15"/>
                <w:color w:val="auto"/>
              </w:rPr>
            </w:pPr>
          </w:p>
        </w:tc>
        <w:tc>
          <w:tcPr>
            <w:tcW w:w="53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(Dollars in millions)</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1"/>
                <w:szCs w:val="11"/>
                <w:color w:val="auto"/>
                <w:w w:val="74"/>
              </w:rPr>
              <w:t>Equity method..........................................</w:t>
            </w:r>
          </w:p>
        </w:tc>
        <w:tc>
          <w:tcPr>
            <w:tcW w:w="3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$596.5</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$867.6</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1"/>
                <w:szCs w:val="11"/>
                <w:color w:val="auto"/>
                <w:w w:val="74"/>
              </w:rPr>
              <w:t>Fair value method......................................</w:t>
            </w:r>
          </w:p>
        </w:tc>
        <w:tc>
          <w:tcPr>
            <w:tcW w:w="3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583.1</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346.5</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1"/>
                <w:szCs w:val="11"/>
                <w:color w:val="auto"/>
                <w:w w:val="74"/>
              </w:rPr>
              <w:t>Cost method............................................</w:t>
            </w:r>
          </w:p>
        </w:tc>
        <w:tc>
          <w:tcPr>
            <w:tcW w:w="3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134.5</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50.2</w:t>
            </w:r>
          </w:p>
        </w:tc>
      </w:tr>
      <w:tr>
        <w:trPr>
          <w:trHeight w:val="180"/>
        </w:trPr>
        <w:tc>
          <w:tcPr>
            <w:tcW w:w="2720" w:type="dxa"/>
            <w:vAlign w:val="bottom"/>
          </w:tcPr>
          <w:p>
            <w:pPr>
              <w:spacing w:after="0"/>
              <w:rPr>
                <w:sz w:val="15"/>
                <w:szCs w:val="15"/>
                <w:color w:val="auto"/>
              </w:rPr>
            </w:pPr>
          </w:p>
        </w:tc>
        <w:tc>
          <w:tcPr>
            <w:tcW w:w="3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2720" w:type="dxa"/>
            <w:vAlign w:val="bottom"/>
          </w:tcPr>
          <w:p>
            <w:pPr>
              <w:spacing w:after="0"/>
              <w:rPr>
                <w:sz w:val="15"/>
                <w:szCs w:val="15"/>
                <w:color w:val="auto"/>
              </w:rPr>
            </w:pPr>
          </w:p>
        </w:tc>
        <w:tc>
          <w:tcPr>
            <w:tcW w:w="3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$1,314.1</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$1,264.3</w:t>
            </w:r>
          </w:p>
        </w:tc>
      </w:tr>
      <w:tr>
        <w:trPr>
          <w:trHeight w:val="180"/>
        </w:trPr>
        <w:tc>
          <w:tcPr>
            <w:tcW w:w="2720" w:type="dxa"/>
            <w:vAlign w:val="bottom"/>
          </w:tcPr>
          <w:p>
            <w:pPr>
              <w:spacing w:after="0"/>
              <w:rPr>
                <w:sz w:val="15"/>
                <w:szCs w:val="15"/>
                <w:color w:val="auto"/>
              </w:rPr>
            </w:pPr>
          </w:p>
        </w:tc>
        <w:tc>
          <w:tcPr>
            <w:tcW w:w="3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541"/>
        </w:trPr>
        <w:tc>
          <w:tcPr>
            <w:tcW w:w="2720" w:type="dxa"/>
            <w:vAlign w:val="bottom"/>
          </w:tcPr>
          <w:p>
            <w:pPr>
              <w:spacing w:after="0"/>
              <w:rPr>
                <w:sz w:val="24"/>
                <w:szCs w:val="24"/>
                <w:color w:val="auto"/>
              </w:rPr>
            </w:pPr>
          </w:p>
        </w:tc>
        <w:tc>
          <w:tcPr>
            <w:tcW w:w="3900" w:type="dxa"/>
            <w:vAlign w:val="bottom"/>
          </w:tcPr>
          <w:p>
            <w:pPr>
              <w:jc w:val="right"/>
              <w:ind w:right="3722"/>
              <w:spacing w:after="0"/>
              <w:rPr>
                <w:sz w:val="20"/>
                <w:szCs w:val="20"/>
                <w:color w:val="auto"/>
              </w:rPr>
            </w:pPr>
            <w:r>
              <w:rPr>
                <w:rFonts w:ascii="Courier New" w:cs="Courier New" w:eastAsia="Courier New" w:hAnsi="Courier New"/>
                <w:sz w:val="16"/>
                <w:szCs w:val="16"/>
                <w:color w:val="auto"/>
                <w:w w:val="82"/>
              </w:rPr>
              <w:t>6</w:t>
            </w:r>
          </w:p>
        </w:tc>
        <w:tc>
          <w:tcPr>
            <w:tcW w:w="1460" w:type="dxa"/>
            <w:vAlign w:val="bottom"/>
          </w:tcPr>
          <w:p>
            <w:pPr>
              <w:spacing w:after="0"/>
              <w:rPr>
                <w:sz w:val="24"/>
                <w:szCs w:val="24"/>
                <w:color w:val="auto"/>
              </w:rPr>
            </w:pPr>
          </w:p>
        </w:tc>
      </w:tr>
    </w:tbl>
    <w:p>
      <w:pPr>
        <w:sectPr>
          <w:pgSz w:w="11900" w:h="16838" w:orient="portrait"/>
          <w:cols w:equalWidth="0" w:num="1">
            <w:col w:w="10223"/>
          </w:cols>
          <w:pgMar w:left="236" w:top="473" w:right="1440" w:bottom="1009" w:gutter="0" w:footer="0" w:header="0"/>
        </w:sectPr>
      </w:pPr>
    </w:p>
    <w:bookmarkStart w:id="7" w:name="page8"/>
    <w:bookmarkEnd w:id="7"/>
    <w:p>
      <w:pPr>
        <w:jc w:val="center"/>
        <w:ind w:right="376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660"/>
        <w:spacing w:after="0"/>
        <w:rPr>
          <w:sz w:val="20"/>
          <w:szCs w:val="20"/>
          <w:color w:val="auto"/>
        </w:rPr>
      </w:pPr>
      <w:r>
        <w:rPr>
          <w:rFonts w:ascii="Courier New" w:cs="Courier New" w:eastAsia="Courier New" w:hAnsi="Courier New"/>
          <w:sz w:val="16"/>
          <w:szCs w:val="16"/>
          <w:color w:val="auto"/>
        </w:rPr>
        <w:t>FORM 10-Q</w:t>
      </w:r>
    </w:p>
    <w:p>
      <w:pPr>
        <w:jc w:val="center"/>
        <w:ind w:right="3660"/>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3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80"/>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180"/>
              <w:spacing w:after="0" w:line="180" w:lineRule="exact"/>
              <w:rPr>
                <w:sz w:val="20"/>
                <w:szCs w:val="20"/>
                <w:color w:val="auto"/>
              </w:rPr>
            </w:pPr>
            <w:r>
              <w:rPr>
                <w:rFonts w:ascii="Courier New" w:cs="Courier New" w:eastAsia="Courier New" w:hAnsi="Courier New"/>
                <w:sz w:val="16"/>
                <w:szCs w:val="16"/>
                <w:color w:val="auto"/>
                <w:w w:val="96"/>
              </w:rPr>
              <w:t>(Unaudited)</w:t>
            </w: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18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Equity Method</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83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The Company records its proportionate interests in the net income (loss) of</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18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substantially</w:t>
            </w:r>
          </w:p>
        </w:tc>
        <w:tc>
          <w:tcPr>
            <w:tcW w:w="2140" w:type="dxa"/>
            <w:vAlign w:val="bottom"/>
            <w:gridSpan w:val="4"/>
          </w:tcPr>
          <w:p>
            <w:pPr>
              <w:spacing w:after="0"/>
              <w:rPr>
                <w:sz w:val="20"/>
                <w:szCs w:val="20"/>
                <w:color w:val="auto"/>
              </w:rPr>
            </w:pPr>
            <w:r>
              <w:rPr>
                <w:rFonts w:ascii="Courier New" w:cs="Courier New" w:eastAsia="Courier New" w:hAnsi="Courier New"/>
                <w:sz w:val="16"/>
                <w:szCs w:val="16"/>
                <w:color w:val="auto"/>
              </w:rPr>
              <w:t>all of its  investees,</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than</w:t>
            </w:r>
          </w:p>
        </w:tc>
        <w:tc>
          <w:tcPr>
            <w:tcW w:w="196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the UK  Investees</w:t>
            </w:r>
          </w:p>
        </w:tc>
        <w:tc>
          <w:tcPr>
            <w:tcW w:w="1180" w:type="dxa"/>
            <w:vAlign w:val="bottom"/>
          </w:tcPr>
          <w:p>
            <w:pPr>
              <w:jc w:val="right"/>
              <w:ind w:right="722"/>
              <w:spacing w:after="0"/>
              <w:rPr>
                <w:sz w:val="20"/>
                <w:szCs w:val="20"/>
                <w:color w:val="auto"/>
              </w:rPr>
            </w:pPr>
            <w:r>
              <w:rPr>
                <w:rFonts w:ascii="Courier New" w:cs="Courier New" w:eastAsia="Courier New" w:hAnsi="Courier New"/>
                <w:sz w:val="16"/>
                <w:szCs w:val="16"/>
                <w:color w:val="auto"/>
                <w:w w:val="93"/>
              </w:rPr>
              <w:t>(see</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460" w:type="dxa"/>
            <w:vAlign w:val="bottom"/>
            <w:gridSpan w:val="5"/>
          </w:tcPr>
          <w:p>
            <w:pPr>
              <w:ind w:left="460"/>
              <w:spacing w:after="0"/>
              <w:rPr>
                <w:sz w:val="20"/>
                <w:szCs w:val="20"/>
                <w:color w:val="auto"/>
              </w:rPr>
            </w:pPr>
            <w:r>
              <w:rPr>
                <w:rFonts w:ascii="Courier New" w:cs="Courier New" w:eastAsia="Courier New" w:hAnsi="Courier New"/>
                <w:sz w:val="16"/>
                <w:szCs w:val="16"/>
                <w:color w:val="auto"/>
                <w:w w:val="96"/>
              </w:rPr>
              <w:t>below), three months in arrears.</w:t>
            </w:r>
          </w:p>
        </w:tc>
        <w:tc>
          <w:tcPr>
            <w:tcW w:w="282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The Company holds interests</w:t>
            </w:r>
          </w:p>
        </w:tc>
        <w:tc>
          <w:tcPr>
            <w:tcW w:w="202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rPr>
              <w:t>representing</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10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less than 20% of the total</w:t>
            </w:r>
          </w:p>
        </w:tc>
        <w:tc>
          <w:tcPr>
            <w:tcW w:w="1220" w:type="dxa"/>
            <w:vAlign w:val="bottom"/>
            <w:gridSpan w:val="3"/>
          </w:tcPr>
          <w:p>
            <w:pPr>
              <w:spacing w:after="0"/>
              <w:rPr>
                <w:sz w:val="20"/>
                <w:szCs w:val="20"/>
                <w:color w:val="auto"/>
              </w:rPr>
            </w:pPr>
            <w:r>
              <w:rPr>
                <w:rFonts w:ascii="Courier New" w:cs="Courier New" w:eastAsia="Courier New" w:hAnsi="Courier New"/>
                <w:sz w:val="16"/>
                <w:szCs w:val="16"/>
                <w:color w:val="auto"/>
              </w:rPr>
              <w:t>outstanding</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ownership</w:t>
            </w:r>
          </w:p>
        </w:tc>
        <w:tc>
          <w:tcPr>
            <w:tcW w:w="3140" w:type="dxa"/>
            <w:vAlign w:val="bottom"/>
            <w:gridSpan w:val="4"/>
          </w:tcPr>
          <w:p>
            <w:pPr>
              <w:jc w:val="right"/>
              <w:ind w:right="722"/>
              <w:spacing w:after="0"/>
              <w:rPr>
                <w:sz w:val="20"/>
                <w:szCs w:val="20"/>
                <w:color w:val="auto"/>
              </w:rPr>
            </w:pPr>
            <w:r>
              <w:rPr>
                <w:rFonts w:ascii="Courier New" w:cs="Courier New" w:eastAsia="Courier New" w:hAnsi="Courier New"/>
                <w:sz w:val="16"/>
                <w:szCs w:val="16"/>
                <w:color w:val="auto"/>
              </w:rPr>
              <w:t>interests in certain of</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rPr>
              <w:t>its equity</w:t>
            </w:r>
          </w:p>
        </w:tc>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method</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5"/>
              </w:rPr>
              <w:t>investees.</w:t>
            </w:r>
          </w:p>
        </w:tc>
        <w:tc>
          <w:tcPr>
            <w:tcW w:w="4840" w:type="dxa"/>
            <w:vAlign w:val="bottom"/>
            <w:gridSpan w:val="7"/>
          </w:tcPr>
          <w:p>
            <w:pPr>
              <w:jc w:val="right"/>
              <w:ind w:right="722"/>
              <w:spacing w:after="0"/>
              <w:rPr>
                <w:sz w:val="20"/>
                <w:szCs w:val="20"/>
                <w:color w:val="auto"/>
              </w:rPr>
            </w:pPr>
            <w:r>
              <w:rPr>
                <w:rFonts w:ascii="Courier New" w:cs="Courier New" w:eastAsia="Courier New" w:hAnsi="Courier New"/>
                <w:sz w:val="16"/>
                <w:szCs w:val="16"/>
                <w:color w:val="auto"/>
                <w:w w:val="97"/>
              </w:rPr>
              <w:t>The equity method of accounting is utilized</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60" w:type="dxa"/>
            <w:vAlign w:val="bottom"/>
            <w:gridSpan w:val="10"/>
          </w:tcPr>
          <w:p>
            <w:pPr>
              <w:ind w:left="460"/>
              <w:spacing w:after="0"/>
              <w:rPr>
                <w:sz w:val="20"/>
                <w:szCs w:val="20"/>
                <w:color w:val="auto"/>
              </w:rPr>
            </w:pPr>
            <w:r>
              <w:rPr>
                <w:rFonts w:ascii="Courier New" w:cs="Courier New" w:eastAsia="Courier New" w:hAnsi="Courier New"/>
                <w:sz w:val="16"/>
                <w:szCs w:val="16"/>
                <w:color w:val="auto"/>
                <w:w w:val="97"/>
              </w:rPr>
              <w:t>for  these  investments  based  on the  type of  investment  (e.g.</w:t>
            </w:r>
          </w:p>
        </w:tc>
        <w:tc>
          <w:tcPr>
            <w:tcW w:w="164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general</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83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partnership interest), board representation, participation in a controlling</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188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investor group,</w:t>
            </w: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significant</w:t>
            </w:r>
          </w:p>
        </w:tc>
        <w:tc>
          <w:tcPr>
            <w:tcW w:w="122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6"/>
              </w:rPr>
              <w:t>shareholder</w:t>
            </w:r>
          </w:p>
        </w:tc>
        <w:tc>
          <w:tcPr>
            <w:tcW w:w="3980" w:type="dxa"/>
            <w:vAlign w:val="bottom"/>
            <w:gridSpan w:val="5"/>
          </w:tcPr>
          <w:p>
            <w:pPr>
              <w:jc w:val="right"/>
              <w:ind w:right="722"/>
              <w:spacing w:after="0"/>
              <w:rPr>
                <w:sz w:val="20"/>
                <w:szCs w:val="20"/>
                <w:color w:val="auto"/>
              </w:rPr>
            </w:pPr>
            <w:r>
              <w:rPr>
                <w:rFonts w:ascii="Courier New" w:cs="Courier New" w:eastAsia="Courier New" w:hAnsi="Courier New"/>
                <w:sz w:val="16"/>
                <w:szCs w:val="16"/>
                <w:color w:val="auto"/>
              </w:rPr>
              <w:t>rights or a combination of these</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rPr>
              <w:t>and  other</w:t>
            </w:r>
          </w:p>
        </w:tc>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w w:val="93"/>
              </w:rPr>
              <w:t>factors.</w:t>
            </w:r>
          </w:p>
        </w:tc>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The</w:t>
            </w:r>
          </w:p>
        </w:tc>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Company's</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recorded</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w w:val="96"/>
              </w:rPr>
              <w:t>investments</w:t>
            </w: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exceed</w:t>
            </w:r>
          </w:p>
        </w:tc>
        <w:tc>
          <w:tcPr>
            <w:tcW w:w="11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its</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18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proportionate</w:t>
            </w:r>
          </w:p>
        </w:tc>
        <w:tc>
          <w:tcPr>
            <w:tcW w:w="1580" w:type="dxa"/>
            <w:vAlign w:val="bottom"/>
            <w:gridSpan w:val="3"/>
          </w:tcPr>
          <w:p>
            <w:pPr>
              <w:spacing w:after="0"/>
              <w:rPr>
                <w:sz w:val="20"/>
                <w:szCs w:val="20"/>
                <w:color w:val="auto"/>
              </w:rPr>
            </w:pPr>
            <w:r>
              <w:rPr>
                <w:rFonts w:ascii="Courier New" w:cs="Courier New" w:eastAsia="Courier New" w:hAnsi="Courier New"/>
                <w:sz w:val="16"/>
                <w:szCs w:val="16"/>
                <w:color w:val="auto"/>
              </w:rPr>
              <w:t>interests in the</w:t>
            </w:r>
          </w:p>
        </w:tc>
        <w:tc>
          <w:tcPr>
            <w:tcW w:w="1700" w:type="dxa"/>
            <w:vAlign w:val="bottom"/>
            <w:gridSpan w:val="3"/>
          </w:tcPr>
          <w:p>
            <w:pPr>
              <w:spacing w:after="0"/>
              <w:rPr>
                <w:sz w:val="20"/>
                <w:szCs w:val="20"/>
                <w:color w:val="auto"/>
              </w:rPr>
            </w:pPr>
            <w:r>
              <w:rPr>
                <w:rFonts w:ascii="Courier New" w:cs="Courier New" w:eastAsia="Courier New" w:hAnsi="Courier New"/>
                <w:sz w:val="16"/>
                <w:szCs w:val="16"/>
                <w:color w:val="auto"/>
              </w:rPr>
              <w:t>book value of the</w:t>
            </w:r>
          </w:p>
        </w:tc>
        <w:tc>
          <w:tcPr>
            <w:tcW w:w="15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investees' net</w:t>
            </w:r>
          </w:p>
        </w:tc>
        <w:tc>
          <w:tcPr>
            <w:tcW w:w="164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w w:val="94"/>
              </w:rPr>
              <w:t>assets by</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460" w:type="dxa"/>
            <w:vAlign w:val="bottom"/>
            <w:gridSpan w:val="5"/>
          </w:tcPr>
          <w:p>
            <w:pPr>
              <w:ind w:left="460"/>
              <w:spacing w:after="0"/>
              <w:rPr>
                <w:sz w:val="20"/>
                <w:szCs w:val="20"/>
                <w:color w:val="auto"/>
              </w:rPr>
            </w:pPr>
            <w:r>
              <w:rPr>
                <w:rFonts w:ascii="Courier New" w:cs="Courier New" w:eastAsia="Courier New" w:hAnsi="Courier New"/>
                <w:sz w:val="16"/>
                <w:szCs w:val="16"/>
                <w:color w:val="auto"/>
              </w:rPr>
              <w:t>$162.0  million as of June 30,</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1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5"/>
              </w:rPr>
              <w:t>(primarily</w:t>
            </w:r>
          </w:p>
        </w:tc>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rPr>
              <w:t>related to the</w:t>
            </w:r>
          </w:p>
        </w:tc>
        <w:tc>
          <w:tcPr>
            <w:tcW w:w="164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w w:val="94"/>
              </w:rPr>
              <w:t>Company's</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83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investments in The Golf Channel and Sprint PCS (see below)). Such excess is</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83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being amortized to equity in net income or loss, primarily over a period of</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120" w:type="dxa"/>
            <w:vAlign w:val="bottom"/>
            <w:gridSpan w:val="11"/>
          </w:tcPr>
          <w:p>
            <w:pPr>
              <w:ind w:left="460"/>
              <w:spacing w:after="0"/>
              <w:rPr>
                <w:sz w:val="20"/>
                <w:szCs w:val="20"/>
                <w:color w:val="auto"/>
              </w:rPr>
            </w:pPr>
            <w:r>
              <w:rPr>
                <w:rFonts w:ascii="Courier New" w:cs="Courier New" w:eastAsia="Courier New" w:hAnsi="Courier New"/>
                <w:sz w:val="16"/>
                <w:szCs w:val="16"/>
                <w:color w:val="auto"/>
                <w:w w:val="98"/>
              </w:rPr>
              <w:t>twenty  years,  which  is  consistent  with  the  estimated  lives  of</w:t>
            </w:r>
          </w:p>
        </w:tc>
        <w:tc>
          <w:tcPr>
            <w:tcW w:w="11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the</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83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underlying assets. The original cost of investments accounted for under the</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8300" w:type="dxa"/>
            <w:vAlign w:val="bottom"/>
            <w:gridSpan w:val="12"/>
          </w:tcPr>
          <w:p>
            <w:pPr>
              <w:ind w:left="460"/>
              <w:spacing w:after="0"/>
              <w:rPr>
                <w:sz w:val="20"/>
                <w:szCs w:val="20"/>
                <w:color w:val="auto"/>
              </w:rPr>
            </w:pPr>
            <w:r>
              <w:rPr>
                <w:rFonts w:ascii="Courier New" w:cs="Courier New" w:eastAsia="Courier New" w:hAnsi="Courier New"/>
                <w:sz w:val="16"/>
                <w:szCs w:val="16"/>
                <w:color w:val="auto"/>
              </w:rPr>
              <w:t>equity method totaled $1.374 billion and $1.454 billion as of June 30, 1998</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020" w:type="dxa"/>
            <w:vAlign w:val="bottom"/>
            <w:gridSpan w:val="6"/>
          </w:tcPr>
          <w:p>
            <w:pPr>
              <w:ind w:left="460"/>
              <w:spacing w:after="0"/>
              <w:rPr>
                <w:sz w:val="20"/>
                <w:szCs w:val="20"/>
                <w:color w:val="auto"/>
              </w:rPr>
            </w:pPr>
            <w:r>
              <w:rPr>
                <w:rFonts w:ascii="Courier New" w:cs="Courier New" w:eastAsia="Courier New" w:hAnsi="Courier New"/>
                <w:sz w:val="16"/>
                <w:szCs w:val="16"/>
                <w:color w:val="auto"/>
              </w:rPr>
              <w:t>and December 31, 1997, respectively.</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234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6"/>
              </w:rPr>
              <w:t>Summarized financial</w:t>
            </w:r>
          </w:p>
        </w:tc>
        <w:tc>
          <w:tcPr>
            <w:tcW w:w="5960" w:type="dxa"/>
            <w:vAlign w:val="bottom"/>
            <w:gridSpan w:val="9"/>
          </w:tcPr>
          <w:p>
            <w:pPr>
              <w:jc w:val="right"/>
              <w:ind w:right="722"/>
              <w:spacing w:after="0"/>
              <w:rPr>
                <w:sz w:val="20"/>
                <w:szCs w:val="20"/>
                <w:color w:val="auto"/>
              </w:rPr>
            </w:pPr>
            <w:r>
              <w:rPr>
                <w:rFonts w:ascii="Courier New" w:cs="Courier New" w:eastAsia="Courier New" w:hAnsi="Courier New"/>
                <w:sz w:val="16"/>
                <w:szCs w:val="16"/>
                <w:color w:val="auto"/>
              </w:rPr>
              <w:t>information for the Company's equity method investees</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320" w:type="dxa"/>
            <w:vAlign w:val="bottom"/>
            <w:gridSpan w:val="7"/>
          </w:tcPr>
          <w:p>
            <w:pPr>
              <w:ind w:left="460"/>
              <w:spacing w:after="0"/>
              <w:rPr>
                <w:sz w:val="20"/>
                <w:szCs w:val="20"/>
                <w:color w:val="auto"/>
              </w:rPr>
            </w:pPr>
            <w:r>
              <w:rPr>
                <w:rFonts w:ascii="Courier New" w:cs="Courier New" w:eastAsia="Courier New" w:hAnsi="Courier New"/>
                <w:sz w:val="16"/>
                <w:szCs w:val="16"/>
                <w:color w:val="auto"/>
                <w:w w:val="97"/>
              </w:rPr>
              <w:t>is presented below (dollars in millions):</w:t>
            </w: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41"/>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Sprint</w:t>
            </w:r>
          </w:p>
        </w:tc>
        <w:tc>
          <w:tcPr>
            <w:tcW w:w="1180" w:type="dxa"/>
            <w:vAlign w:val="bottom"/>
          </w:tcPr>
          <w:p>
            <w:pPr>
              <w:spacing w:after="0"/>
              <w:rPr>
                <w:sz w:val="24"/>
                <w:szCs w:val="24"/>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UK</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0"/>
              </w:rPr>
              <w:t>PCS</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TCGI</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Investees</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Combined</w:t>
            </w:r>
          </w:p>
        </w:tc>
      </w:tr>
      <w:tr>
        <w:trPr>
          <w:trHeight w:val="361"/>
        </w:trPr>
        <w:tc>
          <w:tcPr>
            <w:tcW w:w="3100" w:type="dxa"/>
            <w:vAlign w:val="bottom"/>
            <w:gridSpan w:val="4"/>
          </w:tcPr>
          <w:p>
            <w:pPr>
              <w:spacing w:after="0"/>
              <w:rPr>
                <w:sz w:val="20"/>
                <w:szCs w:val="20"/>
                <w:color w:val="auto"/>
              </w:rPr>
            </w:pPr>
            <w:r>
              <w:rPr>
                <w:rFonts w:ascii="Courier New" w:cs="Courier New" w:eastAsia="Courier New" w:hAnsi="Courier New"/>
                <w:sz w:val="16"/>
                <w:szCs w:val="16"/>
                <w:color w:val="auto"/>
              </w:rPr>
              <w:t>Six Months Ended June 30, 1998:</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3100" w:type="dxa"/>
            <w:vAlign w:val="bottom"/>
            <w:gridSpan w:val="4"/>
          </w:tcPr>
          <w:p>
            <w:pPr>
              <w:ind w:left="280"/>
              <w:spacing w:after="0"/>
              <w:rPr>
                <w:sz w:val="20"/>
                <w:szCs w:val="20"/>
                <w:color w:val="auto"/>
              </w:rPr>
            </w:pPr>
            <w:r>
              <w:rPr>
                <w:rFonts w:ascii="Courier New" w:cs="Courier New" w:eastAsia="Courier New" w:hAnsi="Courier New"/>
                <w:sz w:val="16"/>
                <w:szCs w:val="16"/>
                <w:color w:val="auto"/>
                <w:w w:val="97"/>
              </w:rPr>
              <w:t>Combined Results of Operations</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gridSpan w:val="3"/>
          </w:tcPr>
          <w:p>
            <w:pPr>
              <w:ind w:left="460"/>
              <w:spacing w:after="0"/>
              <w:rPr>
                <w:sz w:val="20"/>
                <w:szCs w:val="20"/>
                <w:color w:val="auto"/>
              </w:rPr>
            </w:pPr>
            <w:r>
              <w:rPr>
                <w:rFonts w:ascii="Courier New" w:cs="Courier New" w:eastAsia="Courier New" w:hAnsi="Courier New"/>
                <w:sz w:val="7"/>
                <w:szCs w:val="7"/>
                <w:color w:val="auto"/>
                <w:w w:val="77"/>
              </w:rPr>
              <w:t>Revenues, net............................................</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$285.0</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$310.5</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$116.1</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$535.3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$1,246.9</w:t>
            </w:r>
          </w:p>
        </w:tc>
      </w:tr>
      <w:tr>
        <w:trPr>
          <w:trHeight w:val="180"/>
        </w:trPr>
        <w:tc>
          <w:tcPr>
            <w:tcW w:w="3460" w:type="dxa"/>
            <w:vAlign w:val="bottom"/>
            <w:gridSpan w:val="5"/>
          </w:tcPr>
          <w:p>
            <w:pPr>
              <w:ind w:left="460"/>
              <w:spacing w:after="0"/>
              <w:rPr>
                <w:sz w:val="20"/>
                <w:szCs w:val="20"/>
                <w:color w:val="auto"/>
              </w:rPr>
            </w:pPr>
            <w:r>
              <w:rPr>
                <w:rFonts w:ascii="Courier New" w:cs="Courier New" w:eastAsia="Courier New" w:hAnsi="Courier New"/>
                <w:sz w:val="16"/>
                <w:szCs w:val="16"/>
                <w:color w:val="auto"/>
              </w:rPr>
              <w:t>Operating, selling, general and</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460" w:type="dxa"/>
            <w:vAlign w:val="bottom"/>
            <w:gridSpan w:val="5"/>
          </w:tcPr>
          <w:p>
            <w:pPr>
              <w:jc w:val="right"/>
              <w:spacing w:after="0"/>
              <w:rPr>
                <w:sz w:val="20"/>
                <w:szCs w:val="20"/>
                <w:color w:val="auto"/>
              </w:rPr>
            </w:pPr>
            <w:r>
              <w:rPr>
                <w:rFonts w:ascii="Courier New" w:cs="Courier New" w:eastAsia="Courier New" w:hAnsi="Courier New"/>
                <w:sz w:val="13"/>
                <w:szCs w:val="13"/>
                <w:color w:val="auto"/>
                <w:w w:val="80"/>
              </w:rPr>
              <w:t>administrative expenses................................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871.5</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301.3</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90.2</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576.3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1,839.3</w:t>
            </w:r>
          </w:p>
        </w:tc>
      </w:tr>
      <w:tr>
        <w:trPr>
          <w:trHeight w:val="180"/>
        </w:trPr>
        <w:tc>
          <w:tcPr>
            <w:tcW w:w="4020" w:type="dxa"/>
            <w:vAlign w:val="bottom"/>
            <w:gridSpan w:val="6"/>
          </w:tcPr>
          <w:p>
            <w:pPr>
              <w:ind w:left="460"/>
              <w:spacing w:after="0"/>
              <w:rPr>
                <w:sz w:val="20"/>
                <w:szCs w:val="20"/>
                <w:color w:val="auto"/>
              </w:rPr>
            </w:pPr>
            <w:r>
              <w:rPr>
                <w:rFonts w:ascii="Courier New" w:cs="Courier New" w:eastAsia="Courier New" w:hAnsi="Courier New"/>
                <w:sz w:val="13"/>
                <w:szCs w:val="13"/>
                <w:color w:val="auto"/>
                <w:w w:val="79"/>
              </w:rPr>
              <w:t>Depreciation and amortization............................</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238.4</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97.1</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40.8</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43.5</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419.8</w:t>
            </w:r>
          </w:p>
        </w:tc>
      </w:tr>
      <w:tr>
        <w:trPr>
          <w:trHeight w:val="180"/>
        </w:trPr>
        <w:tc>
          <w:tcPr>
            <w:tcW w:w="2340" w:type="dxa"/>
            <w:vAlign w:val="bottom"/>
            <w:gridSpan w:val="3"/>
          </w:tcPr>
          <w:p>
            <w:pPr>
              <w:ind w:left="460"/>
              <w:spacing w:after="0"/>
              <w:rPr>
                <w:sz w:val="20"/>
                <w:szCs w:val="20"/>
                <w:color w:val="auto"/>
              </w:rPr>
            </w:pPr>
            <w:r>
              <w:rPr>
                <w:rFonts w:ascii="Courier New" w:cs="Courier New" w:eastAsia="Courier New" w:hAnsi="Courier New"/>
                <w:sz w:val="7"/>
                <w:szCs w:val="7"/>
                <w:color w:val="auto"/>
                <w:w w:val="77"/>
              </w:rPr>
              <w:t>Operating loss...........................................</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(824.9)</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(87.9)</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(14.9)</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(84.5)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(1,012.2)</w:t>
            </w:r>
          </w:p>
        </w:tc>
      </w:tr>
      <w:tr>
        <w:trPr>
          <w:trHeight w:val="180"/>
        </w:trPr>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w w:val="97"/>
              </w:rPr>
              <w:t>Net loss (a)</w:t>
            </w:r>
          </w:p>
        </w:tc>
        <w:tc>
          <w:tcPr>
            <w:tcW w:w="740" w:type="dxa"/>
            <w:vAlign w:val="bottom"/>
            <w:gridSpan w:val="2"/>
          </w:tcPr>
          <w:p>
            <w:pPr>
              <w:spacing w:after="0"/>
              <w:rPr>
                <w:sz w:val="20"/>
                <w:szCs w:val="20"/>
                <w:color w:val="auto"/>
              </w:rPr>
            </w:pPr>
            <w:r>
              <w:rPr>
                <w:rFonts w:ascii="Courier New" w:cs="Courier New" w:eastAsia="Courier New" w:hAnsi="Courier New"/>
                <w:sz w:val="3"/>
                <w:szCs w:val="3"/>
                <w:color w:val="auto"/>
                <w:w w:val="88"/>
              </w:rPr>
              <w:t>.............................................</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(1,058.0)</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(134.7)</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(50.6)</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(1,357.2)</w:t>
            </w:r>
          </w:p>
        </w:tc>
      </w:tr>
      <w:tr>
        <w:trPr>
          <w:trHeight w:val="361"/>
        </w:trPr>
        <w:tc>
          <w:tcPr>
            <w:tcW w:w="310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320" w:type="dxa"/>
            <w:vAlign w:val="bottom"/>
            <w:gridSpan w:val="7"/>
          </w:tcPr>
          <w:p>
            <w:pPr>
              <w:ind w:left="460"/>
              <w:spacing w:after="0"/>
              <w:rPr>
                <w:sz w:val="20"/>
                <w:szCs w:val="20"/>
                <w:color w:val="auto"/>
              </w:rPr>
            </w:pPr>
            <w:r>
              <w:rPr>
                <w:rFonts w:ascii="Courier New" w:cs="Courier New" w:eastAsia="Courier New" w:hAnsi="Courier New"/>
                <w:sz w:val="16"/>
                <w:szCs w:val="16"/>
                <w:color w:val="auto"/>
                <w:w w:val="70"/>
              </w:rPr>
              <w:t>Equity in current period net loss........................</w:t>
            </w: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($158.7)</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($19.7)</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($18.2)</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($37.3)   ($233.9)</w:t>
            </w:r>
          </w:p>
        </w:tc>
      </w:tr>
      <w:tr>
        <w:trPr>
          <w:trHeight w:val="180"/>
        </w:trPr>
        <w:tc>
          <w:tcPr>
            <w:tcW w:w="234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6"/>
              </w:rPr>
              <w:t>Amortization expense</w:t>
            </w:r>
          </w:p>
        </w:tc>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(1.5)</w:t>
            </w:r>
          </w:p>
        </w:tc>
        <w:tc>
          <w:tcPr>
            <w:tcW w:w="1180" w:type="dxa"/>
            <w:vAlign w:val="bottom"/>
          </w:tcPr>
          <w:p>
            <w:pPr>
              <w:spacing w:after="0"/>
              <w:rPr>
                <w:sz w:val="15"/>
                <w:szCs w:val="15"/>
                <w:color w:val="auto"/>
              </w:rPr>
            </w:pP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0"/>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gridSpan w:val="5"/>
          </w:tcPr>
          <w:p>
            <w:pPr>
              <w:jc w:val="right"/>
              <w:spacing w:after="0"/>
              <w:rPr>
                <w:sz w:val="20"/>
                <w:szCs w:val="20"/>
                <w:color w:val="auto"/>
              </w:rPr>
            </w:pPr>
            <w:r>
              <w:rPr>
                <w:rFonts w:ascii="Courier New" w:cs="Courier New" w:eastAsia="Courier New" w:hAnsi="Courier New"/>
                <w:sz w:val="13"/>
                <w:szCs w:val="13"/>
                <w:color w:val="auto"/>
                <w:w w:val="80"/>
              </w:rPr>
              <w:t>Total equity in net loss...............................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($160.2)</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($19.7)</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($18.5)</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($38.6)   ($237.0)</w:t>
            </w:r>
          </w:p>
        </w:tc>
      </w:tr>
      <w:tr>
        <w:trPr>
          <w:trHeight w:val="180"/>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100" w:type="dxa"/>
            <w:vAlign w:val="bottom"/>
            <w:gridSpan w:val="4"/>
          </w:tcPr>
          <w:p>
            <w:pPr>
              <w:spacing w:after="0"/>
              <w:rPr>
                <w:sz w:val="20"/>
                <w:szCs w:val="20"/>
                <w:color w:val="auto"/>
              </w:rPr>
            </w:pPr>
            <w:r>
              <w:rPr>
                <w:rFonts w:ascii="Courier New" w:cs="Courier New" w:eastAsia="Courier New" w:hAnsi="Courier New"/>
                <w:sz w:val="16"/>
                <w:szCs w:val="16"/>
                <w:color w:val="auto"/>
                <w:w w:val="97"/>
              </w:rPr>
              <w:t>Three Months Ended June 30, 1998:</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3100" w:type="dxa"/>
            <w:vAlign w:val="bottom"/>
            <w:gridSpan w:val="4"/>
          </w:tcPr>
          <w:p>
            <w:pPr>
              <w:ind w:left="280"/>
              <w:spacing w:after="0"/>
              <w:rPr>
                <w:sz w:val="20"/>
                <w:szCs w:val="20"/>
                <w:color w:val="auto"/>
              </w:rPr>
            </w:pPr>
            <w:r>
              <w:rPr>
                <w:rFonts w:ascii="Courier New" w:cs="Courier New" w:eastAsia="Courier New" w:hAnsi="Courier New"/>
                <w:sz w:val="16"/>
                <w:szCs w:val="16"/>
                <w:color w:val="auto"/>
                <w:w w:val="97"/>
              </w:rPr>
              <w:t>Combined Results of Operations</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340" w:type="dxa"/>
            <w:vAlign w:val="bottom"/>
            <w:gridSpan w:val="3"/>
          </w:tcPr>
          <w:p>
            <w:pPr>
              <w:ind w:left="460"/>
              <w:spacing w:after="0"/>
              <w:rPr>
                <w:sz w:val="20"/>
                <w:szCs w:val="20"/>
                <w:color w:val="auto"/>
              </w:rPr>
            </w:pPr>
            <w:r>
              <w:rPr>
                <w:rFonts w:ascii="Courier New" w:cs="Courier New" w:eastAsia="Courier New" w:hAnsi="Courier New"/>
                <w:sz w:val="7"/>
                <w:szCs w:val="7"/>
                <w:color w:val="auto"/>
                <w:w w:val="77"/>
              </w:rPr>
              <w:t>Revenues, net............................................</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$143.8</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$160.1</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$58.8</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$244.6</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$607.3</w:t>
            </w:r>
          </w:p>
        </w:tc>
      </w:tr>
      <w:tr>
        <w:trPr>
          <w:trHeight w:val="180"/>
        </w:trPr>
        <w:tc>
          <w:tcPr>
            <w:tcW w:w="3460" w:type="dxa"/>
            <w:vAlign w:val="bottom"/>
            <w:gridSpan w:val="5"/>
          </w:tcPr>
          <w:p>
            <w:pPr>
              <w:ind w:left="460"/>
              <w:spacing w:after="0"/>
              <w:rPr>
                <w:sz w:val="20"/>
                <w:szCs w:val="20"/>
                <w:color w:val="auto"/>
              </w:rPr>
            </w:pPr>
            <w:r>
              <w:rPr>
                <w:rFonts w:ascii="Courier New" w:cs="Courier New" w:eastAsia="Courier New" w:hAnsi="Courier New"/>
                <w:sz w:val="16"/>
                <w:szCs w:val="16"/>
                <w:color w:val="auto"/>
              </w:rPr>
              <w:t>Operating, selling, general and</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460" w:type="dxa"/>
            <w:vAlign w:val="bottom"/>
            <w:gridSpan w:val="5"/>
          </w:tcPr>
          <w:p>
            <w:pPr>
              <w:jc w:val="right"/>
              <w:spacing w:after="0"/>
              <w:rPr>
                <w:sz w:val="20"/>
                <w:szCs w:val="20"/>
                <w:color w:val="auto"/>
              </w:rPr>
            </w:pPr>
            <w:r>
              <w:rPr>
                <w:rFonts w:ascii="Courier New" w:cs="Courier New" w:eastAsia="Courier New" w:hAnsi="Courier New"/>
                <w:sz w:val="13"/>
                <w:szCs w:val="13"/>
                <w:color w:val="auto"/>
                <w:w w:val="80"/>
              </w:rPr>
              <w:t>administrative expenses................................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393.5</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147.2</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45.2</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258.0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843.9</w:t>
            </w:r>
          </w:p>
        </w:tc>
      </w:tr>
      <w:tr>
        <w:trPr>
          <w:trHeight w:val="180"/>
        </w:trPr>
        <w:tc>
          <w:tcPr>
            <w:tcW w:w="4020" w:type="dxa"/>
            <w:vAlign w:val="bottom"/>
            <w:gridSpan w:val="6"/>
          </w:tcPr>
          <w:p>
            <w:pPr>
              <w:ind w:left="460"/>
              <w:spacing w:after="0"/>
              <w:rPr>
                <w:sz w:val="20"/>
                <w:szCs w:val="20"/>
                <w:color w:val="auto"/>
              </w:rPr>
            </w:pPr>
            <w:r>
              <w:rPr>
                <w:rFonts w:ascii="Courier New" w:cs="Courier New" w:eastAsia="Courier New" w:hAnsi="Courier New"/>
                <w:sz w:val="13"/>
                <w:szCs w:val="13"/>
                <w:color w:val="auto"/>
                <w:w w:val="79"/>
              </w:rPr>
              <w:t>Depreciation and amortization............................</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115.7</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49.1</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21.1</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200.3</w:t>
            </w:r>
          </w:p>
        </w:tc>
      </w:tr>
      <w:tr>
        <w:trPr>
          <w:trHeight w:val="180"/>
        </w:trPr>
        <w:tc>
          <w:tcPr>
            <w:tcW w:w="2340" w:type="dxa"/>
            <w:vAlign w:val="bottom"/>
            <w:gridSpan w:val="3"/>
          </w:tcPr>
          <w:p>
            <w:pPr>
              <w:ind w:left="460"/>
              <w:spacing w:after="0"/>
              <w:rPr>
                <w:sz w:val="20"/>
                <w:szCs w:val="20"/>
                <w:color w:val="auto"/>
              </w:rPr>
            </w:pPr>
            <w:r>
              <w:rPr>
                <w:rFonts w:ascii="Courier New" w:cs="Courier New" w:eastAsia="Courier New" w:hAnsi="Courier New"/>
                <w:sz w:val="7"/>
                <w:szCs w:val="7"/>
                <w:color w:val="auto"/>
                <w:w w:val="77"/>
              </w:rPr>
              <w:t>Operating loss...........................................</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(365.4)</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(436.9)</w:t>
            </w:r>
          </w:p>
        </w:tc>
      </w:tr>
      <w:tr>
        <w:trPr>
          <w:trHeight w:val="180"/>
        </w:trPr>
        <w:tc>
          <w:tcPr>
            <w:tcW w:w="1600" w:type="dxa"/>
            <w:vAlign w:val="bottom"/>
          </w:tcPr>
          <w:p>
            <w:pPr>
              <w:ind w:left="460"/>
              <w:spacing w:after="0"/>
              <w:rPr>
                <w:sz w:val="20"/>
                <w:szCs w:val="20"/>
                <w:color w:val="auto"/>
              </w:rPr>
            </w:pPr>
            <w:r>
              <w:rPr>
                <w:rFonts w:ascii="Courier New" w:cs="Courier New" w:eastAsia="Courier New" w:hAnsi="Courier New"/>
                <w:sz w:val="16"/>
                <w:szCs w:val="16"/>
                <w:color w:val="auto"/>
                <w:w w:val="97"/>
              </w:rPr>
              <w:t>Net loss (a)</w:t>
            </w:r>
          </w:p>
        </w:tc>
        <w:tc>
          <w:tcPr>
            <w:tcW w:w="740" w:type="dxa"/>
            <w:vAlign w:val="bottom"/>
            <w:gridSpan w:val="2"/>
          </w:tcPr>
          <w:p>
            <w:pPr>
              <w:spacing w:after="0"/>
              <w:rPr>
                <w:sz w:val="20"/>
                <w:szCs w:val="20"/>
                <w:color w:val="auto"/>
              </w:rPr>
            </w:pPr>
            <w:r>
              <w:rPr>
                <w:rFonts w:ascii="Courier New" w:cs="Courier New" w:eastAsia="Courier New" w:hAnsi="Courier New"/>
                <w:sz w:val="3"/>
                <w:szCs w:val="3"/>
                <w:color w:val="auto"/>
                <w:w w:val="88"/>
              </w:rPr>
              <w:t>.............................................</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(498.6)</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(622.6)</w:t>
            </w:r>
          </w:p>
        </w:tc>
      </w:tr>
      <w:tr>
        <w:trPr>
          <w:trHeight w:val="361"/>
        </w:trPr>
        <w:tc>
          <w:tcPr>
            <w:tcW w:w="310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4320" w:type="dxa"/>
            <w:vAlign w:val="bottom"/>
            <w:gridSpan w:val="7"/>
          </w:tcPr>
          <w:p>
            <w:pPr>
              <w:ind w:left="460"/>
              <w:spacing w:after="0"/>
              <w:rPr>
                <w:sz w:val="20"/>
                <w:szCs w:val="20"/>
                <w:color w:val="auto"/>
              </w:rPr>
            </w:pPr>
            <w:r>
              <w:rPr>
                <w:rFonts w:ascii="Courier New" w:cs="Courier New" w:eastAsia="Courier New" w:hAnsi="Courier New"/>
                <w:sz w:val="16"/>
                <w:szCs w:val="16"/>
                <w:color w:val="auto"/>
                <w:w w:val="70"/>
              </w:rPr>
              <w:t>Equity in current period net loss........................</w:t>
            </w: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($74.8)</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($9.1)</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($14.5)   ($106.2)</w:t>
            </w:r>
          </w:p>
        </w:tc>
      </w:tr>
      <w:tr>
        <w:trPr>
          <w:trHeight w:val="180"/>
        </w:trPr>
        <w:tc>
          <w:tcPr>
            <w:tcW w:w="2340" w:type="dxa"/>
            <w:vAlign w:val="bottom"/>
            <w:gridSpan w:val="3"/>
          </w:tcPr>
          <w:p>
            <w:pPr>
              <w:ind w:left="460"/>
              <w:spacing w:after="0"/>
              <w:rPr>
                <w:sz w:val="20"/>
                <w:szCs w:val="20"/>
                <w:color w:val="auto"/>
              </w:rPr>
            </w:pPr>
            <w:r>
              <w:rPr>
                <w:rFonts w:ascii="Courier New" w:cs="Courier New" w:eastAsia="Courier New" w:hAnsi="Courier New"/>
                <w:sz w:val="16"/>
                <w:szCs w:val="16"/>
                <w:color w:val="auto"/>
                <w:w w:val="96"/>
              </w:rPr>
              <w:t>Amortization expense</w:t>
            </w:r>
          </w:p>
        </w:tc>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(0.7)</w:t>
            </w:r>
          </w:p>
        </w:tc>
        <w:tc>
          <w:tcPr>
            <w:tcW w:w="1180" w:type="dxa"/>
            <w:vAlign w:val="bottom"/>
          </w:tcPr>
          <w:p>
            <w:pPr>
              <w:spacing w:after="0"/>
              <w:rPr>
                <w:sz w:val="15"/>
                <w:szCs w:val="15"/>
                <w:color w:val="auto"/>
              </w:rPr>
            </w:pP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0"/>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gridSpan w:val="5"/>
          </w:tcPr>
          <w:p>
            <w:pPr>
              <w:jc w:val="right"/>
              <w:spacing w:after="0"/>
              <w:rPr>
                <w:sz w:val="20"/>
                <w:szCs w:val="20"/>
                <w:color w:val="auto"/>
              </w:rPr>
            </w:pPr>
            <w:r>
              <w:rPr>
                <w:rFonts w:ascii="Courier New" w:cs="Courier New" w:eastAsia="Courier New" w:hAnsi="Courier New"/>
                <w:sz w:val="13"/>
                <w:szCs w:val="13"/>
                <w:color w:val="auto"/>
                <w:w w:val="80"/>
              </w:rPr>
              <w:t>Total equity in net loss...............................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($75.5)</w:t>
            </w:r>
          </w:p>
        </w:tc>
        <w:tc>
          <w:tcPr>
            <w:tcW w:w="11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($9.1)</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($14.8)   ($107.3)</w:t>
            </w:r>
          </w:p>
        </w:tc>
      </w:tr>
      <w:tr>
        <w:trPr>
          <w:trHeight w:val="180"/>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100" w:type="dxa"/>
            <w:vAlign w:val="bottom"/>
            <w:gridSpan w:val="4"/>
          </w:tcPr>
          <w:p>
            <w:pPr>
              <w:spacing w:after="0"/>
              <w:rPr>
                <w:sz w:val="20"/>
                <w:szCs w:val="20"/>
                <w:color w:val="auto"/>
              </w:rPr>
            </w:pPr>
            <w:r>
              <w:rPr>
                <w:rFonts w:ascii="Courier New" w:cs="Courier New" w:eastAsia="Courier New" w:hAnsi="Courier New"/>
                <w:sz w:val="16"/>
                <w:szCs w:val="16"/>
                <w:color w:val="auto"/>
              </w:rPr>
              <w:t>Combined Financial Position</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1880" w:type="dxa"/>
            <w:vAlign w:val="bottom"/>
            <w:gridSpan w:val="2"/>
          </w:tcPr>
          <w:p>
            <w:pPr>
              <w:spacing w:after="0"/>
              <w:rPr>
                <w:sz w:val="20"/>
                <w:szCs w:val="20"/>
                <w:color w:val="auto"/>
              </w:rPr>
            </w:pPr>
            <w:r>
              <w:rPr>
                <w:rFonts w:ascii="Courier New" w:cs="Courier New" w:eastAsia="Courier New" w:hAnsi="Courier New"/>
                <w:sz w:val="16"/>
                <w:szCs w:val="16"/>
                <w:color w:val="auto"/>
                <w:w w:val="96"/>
              </w:rPr>
              <w:t>As of June 30, 1998:</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2340" w:type="dxa"/>
            <w:vAlign w:val="bottom"/>
            <w:gridSpan w:val="3"/>
          </w:tcPr>
          <w:p>
            <w:pPr>
              <w:ind w:left="460"/>
              <w:spacing w:after="0"/>
              <w:rPr>
                <w:sz w:val="20"/>
                <w:szCs w:val="20"/>
                <w:color w:val="auto"/>
              </w:rPr>
            </w:pPr>
            <w:r>
              <w:rPr>
                <w:rFonts w:ascii="Courier New" w:cs="Courier New" w:eastAsia="Courier New" w:hAnsi="Courier New"/>
                <w:sz w:val="7"/>
                <w:szCs w:val="7"/>
                <w:color w:val="auto"/>
                <w:w w:val="77"/>
              </w:rPr>
              <w:t>Current assets...........................................</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$378.3</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$481.5</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$37.7</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$202.0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$1,099.5</w:t>
            </w:r>
          </w:p>
        </w:tc>
      </w:tr>
      <w:tr>
        <w:trPr>
          <w:trHeight w:val="180"/>
        </w:trPr>
        <w:tc>
          <w:tcPr>
            <w:tcW w:w="3100" w:type="dxa"/>
            <w:vAlign w:val="bottom"/>
            <w:gridSpan w:val="4"/>
          </w:tcPr>
          <w:p>
            <w:pPr>
              <w:ind w:left="460"/>
              <w:spacing w:after="0"/>
              <w:rPr>
                <w:sz w:val="20"/>
                <w:szCs w:val="20"/>
                <w:color w:val="auto"/>
              </w:rPr>
            </w:pPr>
            <w:r>
              <w:rPr>
                <w:rFonts w:ascii="Courier New" w:cs="Courier New" w:eastAsia="Courier New" w:hAnsi="Courier New"/>
                <w:sz w:val="10"/>
                <w:szCs w:val="10"/>
                <w:color w:val="auto"/>
                <w:w w:val="76"/>
              </w:rPr>
              <w:t>Noncurrent assets........................................</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5,997.5</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2,028.9</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725.3</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897.4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9,649.1</w:t>
            </w:r>
          </w:p>
        </w:tc>
      </w:tr>
      <w:tr>
        <w:trPr>
          <w:trHeight w:val="180"/>
        </w:trPr>
        <w:tc>
          <w:tcPr>
            <w:tcW w:w="3100" w:type="dxa"/>
            <w:vAlign w:val="bottom"/>
            <w:gridSpan w:val="4"/>
          </w:tcPr>
          <w:p>
            <w:pPr>
              <w:ind w:left="460"/>
              <w:spacing w:after="0"/>
              <w:rPr>
                <w:sz w:val="20"/>
                <w:szCs w:val="20"/>
                <w:color w:val="auto"/>
              </w:rPr>
            </w:pPr>
            <w:r>
              <w:rPr>
                <w:rFonts w:ascii="Courier New" w:cs="Courier New" w:eastAsia="Courier New" w:hAnsi="Courier New"/>
                <w:sz w:val="10"/>
                <w:szCs w:val="10"/>
                <w:color w:val="auto"/>
                <w:w w:val="76"/>
              </w:rPr>
              <w:t>Current liabilities......................................</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513.7</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452.4</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73.0</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736.9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1,776.0</w:t>
            </w:r>
          </w:p>
        </w:tc>
      </w:tr>
      <w:tr>
        <w:trPr>
          <w:trHeight w:val="180"/>
        </w:trPr>
        <w:tc>
          <w:tcPr>
            <w:tcW w:w="3460" w:type="dxa"/>
            <w:vAlign w:val="bottom"/>
            <w:gridSpan w:val="5"/>
          </w:tcPr>
          <w:p>
            <w:pPr>
              <w:ind w:left="460"/>
              <w:spacing w:after="0"/>
              <w:rPr>
                <w:sz w:val="20"/>
                <w:szCs w:val="20"/>
                <w:color w:val="auto"/>
              </w:rPr>
            </w:pPr>
            <w:r>
              <w:rPr>
                <w:rFonts w:ascii="Courier New" w:cs="Courier New" w:eastAsia="Courier New" w:hAnsi="Courier New"/>
                <w:sz w:val="12"/>
                <w:szCs w:val="12"/>
                <w:color w:val="auto"/>
                <w:w w:val="72"/>
              </w:rPr>
              <w:t>Noncurrent liabilities...................................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4,418.8</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1,074.4</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620.8</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437.7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6,551.7</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tabs>
          <w:tab w:leader="none" w:pos="440" w:val="left"/>
        </w:tabs>
        <w:rPr>
          <w:sz w:val="20"/>
          <w:szCs w:val="20"/>
          <w:color w:val="auto"/>
        </w:rPr>
      </w:pPr>
      <w:r>
        <w:rPr>
          <w:rFonts w:ascii="Courier New" w:cs="Courier New" w:eastAsia="Courier New" w:hAnsi="Courier New"/>
          <w:sz w:val="16"/>
          <w:szCs w:val="16"/>
          <w:color w:val="auto"/>
        </w:rPr>
        <w:t>(a)</w:t>
        <w:tab/>
        <w:t>See footnote 1 on page 8.</w:t>
      </w:r>
    </w:p>
    <w:p>
      <w:pPr>
        <w:spacing w:after="0" w:line="200" w:lineRule="exact"/>
        <w:rPr>
          <w:sz w:val="20"/>
          <w:szCs w:val="20"/>
          <w:color w:val="auto"/>
        </w:rPr>
      </w:pPr>
    </w:p>
    <w:p>
      <w:pPr>
        <w:spacing w:after="0" w:line="33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260"/>
          </w:cols>
          <w:pgMar w:left="240" w:top="473" w:right="399" w:bottom="1440" w:gutter="0" w:footer="0" w:header="0"/>
        </w:sectPr>
      </w:pPr>
    </w:p>
    <w:bookmarkStart w:id="8" w:name="page9"/>
    <w:bookmarkEnd w:id="8"/>
    <w:p>
      <w:pPr>
        <w:jc w:val="center"/>
        <w:ind w:right="376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680"/>
        <w:spacing w:after="0"/>
        <w:rPr>
          <w:sz w:val="20"/>
          <w:szCs w:val="20"/>
          <w:color w:val="auto"/>
        </w:rPr>
      </w:pPr>
      <w:r>
        <w:rPr>
          <w:rFonts w:ascii="Courier New" w:cs="Courier New" w:eastAsia="Courier New" w:hAnsi="Courier New"/>
          <w:sz w:val="16"/>
          <w:szCs w:val="16"/>
          <w:color w:val="auto"/>
        </w:rPr>
        <w:t>FORM 10-Q</w:t>
      </w:r>
    </w:p>
    <w:p>
      <w:pPr>
        <w:jc w:val="center"/>
        <w:ind w:right="3680"/>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3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80"/>
        </w:trPr>
        <w:tc>
          <w:tcPr>
            <w:tcW w:w="6040" w:type="dxa"/>
            <w:vAlign w:val="bottom"/>
          </w:tcPr>
          <w:p>
            <w:pPr>
              <w:jc w:val="right"/>
              <w:ind w:right="1642"/>
              <w:spacing w:after="0" w:line="180" w:lineRule="exact"/>
              <w:rPr>
                <w:sz w:val="20"/>
                <w:szCs w:val="20"/>
                <w:color w:val="auto"/>
              </w:rPr>
            </w:pPr>
            <w:r>
              <w:rPr>
                <w:rFonts w:ascii="Courier New" w:cs="Courier New" w:eastAsia="Courier New" w:hAnsi="Courier New"/>
                <w:sz w:val="16"/>
                <w:szCs w:val="16"/>
                <w:color w:val="auto"/>
              </w:rPr>
              <w:t>(Unaudited)</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41"/>
        </w:trPr>
        <w:tc>
          <w:tcPr>
            <w:tcW w:w="6040" w:type="dxa"/>
            <w:vAlign w:val="bottom"/>
          </w:tcPr>
          <w:p>
            <w:pPr>
              <w:spacing w:after="0"/>
              <w:rPr>
                <w:sz w:val="24"/>
                <w:szCs w:val="24"/>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Sprint</w:t>
            </w:r>
          </w:p>
        </w:tc>
        <w:tc>
          <w:tcPr>
            <w:tcW w:w="1080" w:type="dxa"/>
            <w:vAlign w:val="bottom"/>
          </w:tcPr>
          <w:p>
            <w:pPr>
              <w:spacing w:after="0"/>
              <w:rPr>
                <w:sz w:val="24"/>
                <w:szCs w:val="24"/>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UK</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040" w:type="dxa"/>
            <w:vAlign w:val="bottom"/>
          </w:tcPr>
          <w:p>
            <w:pPr>
              <w:spacing w:after="0"/>
              <w:rPr>
                <w:sz w:val="15"/>
                <w:szCs w:val="15"/>
                <w:color w:val="auto"/>
              </w:rPr>
            </w:pP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PCS</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TCGI</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Investees</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Combined</w:t>
            </w:r>
          </w:p>
        </w:tc>
      </w:tr>
      <w:tr>
        <w:trPr>
          <w:trHeight w:val="361"/>
        </w:trPr>
        <w:tc>
          <w:tcPr>
            <w:tcW w:w="6040" w:type="dxa"/>
            <w:vAlign w:val="bottom"/>
          </w:tcPr>
          <w:p>
            <w:pPr>
              <w:spacing w:after="0"/>
              <w:rPr>
                <w:sz w:val="20"/>
                <w:szCs w:val="20"/>
                <w:color w:val="auto"/>
              </w:rPr>
            </w:pPr>
            <w:r>
              <w:rPr>
                <w:rFonts w:ascii="Courier New" w:cs="Courier New" w:eastAsia="Courier New" w:hAnsi="Courier New"/>
                <w:sz w:val="16"/>
                <w:szCs w:val="16"/>
                <w:color w:val="auto"/>
              </w:rPr>
              <w:t>Six Months Ended June 30, 1997:</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04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Revenues, net............................................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$13.6</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$184.2</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$92.9</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$442.3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$733.0</w:t>
            </w:r>
          </w:p>
        </w:tc>
      </w:tr>
      <w:tr>
        <w:trPr>
          <w:trHeight w:val="180"/>
        </w:trPr>
        <w:tc>
          <w:tcPr>
            <w:tcW w:w="6040" w:type="dxa"/>
            <w:vAlign w:val="bottom"/>
          </w:tcPr>
          <w:p>
            <w:pPr>
              <w:jc w:val="right"/>
              <w:ind w:right="2582"/>
              <w:spacing w:after="0"/>
              <w:rPr>
                <w:sz w:val="20"/>
                <w:szCs w:val="20"/>
                <w:color w:val="auto"/>
              </w:rPr>
            </w:pPr>
            <w:r>
              <w:rPr>
                <w:rFonts w:ascii="Courier New" w:cs="Courier New" w:eastAsia="Courier New" w:hAnsi="Courier New"/>
                <w:sz w:val="16"/>
                <w:szCs w:val="16"/>
                <w:color w:val="auto"/>
              </w:rPr>
              <w:t>Operating, selling, general and</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administrative expenses................................</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351.5</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171.9</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82.2</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456.4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1,062.0</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43.8</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56.2</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36.0</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54.1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190.1</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Operating loss...........................................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(381.7)</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(43.9)</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(519.1)</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Net loss (1).............................................</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(398.8)</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(87.7)</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(44.8)</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(620.9)</w:t>
            </w:r>
          </w:p>
        </w:tc>
      </w:tr>
      <w:tr>
        <w:trPr>
          <w:trHeight w:val="361"/>
        </w:trPr>
        <w:tc>
          <w:tcPr>
            <w:tcW w:w="604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Equity in current period net loss (2)....................</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($59.8)</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($16.7)</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($36.3)   ($127.0)</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Amortization expense.....................................</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(0.4)</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0"/>
        </w:trPr>
        <w:tc>
          <w:tcPr>
            <w:tcW w:w="604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Total equity in net loss...............................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($59.9)</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($17.0)</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($39.7)   ($131.2)</w:t>
            </w:r>
          </w:p>
        </w:tc>
      </w:tr>
      <w:tr>
        <w:trPr>
          <w:trHeight w:val="180"/>
        </w:trPr>
        <w:tc>
          <w:tcPr>
            <w:tcW w:w="604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040" w:type="dxa"/>
            <w:vAlign w:val="bottom"/>
          </w:tcPr>
          <w:p>
            <w:pPr>
              <w:spacing w:after="0"/>
              <w:rPr>
                <w:sz w:val="20"/>
                <w:szCs w:val="20"/>
                <w:color w:val="auto"/>
              </w:rPr>
            </w:pPr>
            <w:r>
              <w:rPr>
                <w:rFonts w:ascii="Courier New" w:cs="Courier New" w:eastAsia="Courier New" w:hAnsi="Courier New"/>
                <w:sz w:val="16"/>
                <w:szCs w:val="16"/>
                <w:color w:val="auto"/>
              </w:rPr>
              <w:t>Three Months Ended June 30, 1997:</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04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Revenues, net............................................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$9.5</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$96.8</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$48.4</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$241.2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$395.9</w:t>
            </w:r>
          </w:p>
        </w:tc>
      </w:tr>
      <w:tr>
        <w:trPr>
          <w:trHeight w:val="180"/>
        </w:trPr>
        <w:tc>
          <w:tcPr>
            <w:tcW w:w="6040" w:type="dxa"/>
            <w:vAlign w:val="bottom"/>
          </w:tcPr>
          <w:p>
            <w:pPr>
              <w:jc w:val="right"/>
              <w:ind w:right="2582"/>
              <w:spacing w:after="0"/>
              <w:rPr>
                <w:sz w:val="20"/>
                <w:szCs w:val="20"/>
                <w:color w:val="auto"/>
              </w:rPr>
            </w:pPr>
            <w:r>
              <w:rPr>
                <w:rFonts w:ascii="Courier New" w:cs="Courier New" w:eastAsia="Courier New" w:hAnsi="Courier New"/>
                <w:sz w:val="16"/>
                <w:szCs w:val="16"/>
                <w:color w:val="auto"/>
              </w:rPr>
              <w:t>Operating, selling, general and</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administrative expenses................................</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165.9</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90.7</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42.0</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240.8</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539.4</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34.4</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29.8</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18.6</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106.9</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Operating loss...........................................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(190.8)</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(23.7)</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(250.4)</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Net loss (1).............................................</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(215.5)</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(45.0)</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(22.6)</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(321.9)</w:t>
            </w:r>
          </w:p>
        </w:tc>
      </w:tr>
      <w:tr>
        <w:trPr>
          <w:trHeight w:val="361"/>
        </w:trPr>
        <w:tc>
          <w:tcPr>
            <w:tcW w:w="604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Equity in current period net loss........................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($32.3)</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($7.4)</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($59.2)</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Amortization expense.....................................</w:t>
            </w:r>
          </w:p>
        </w:tc>
        <w:tc>
          <w:tcPr>
            <w:tcW w:w="1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604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Total equity in net loss...............................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($32.3)</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($61.1)</w:t>
            </w:r>
          </w:p>
        </w:tc>
      </w:tr>
      <w:tr>
        <w:trPr>
          <w:trHeight w:val="180"/>
        </w:trPr>
        <w:tc>
          <w:tcPr>
            <w:tcW w:w="604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840" w:right="3760" w:hanging="375"/>
        <w:spacing w:after="0" w:line="237" w:lineRule="auto"/>
        <w:tabs>
          <w:tab w:leader="none" w:pos="8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also represents loss from continuing operations before extraordinary items and cumulative effect of changes in accounting principle.</w:t>
      </w:r>
    </w:p>
    <w:p>
      <w:pPr>
        <w:spacing w:after="0" w:line="4" w:lineRule="exact"/>
        <w:rPr>
          <w:rFonts w:ascii="Courier New" w:cs="Courier New" w:eastAsia="Courier New" w:hAnsi="Courier New"/>
          <w:sz w:val="16"/>
          <w:szCs w:val="16"/>
          <w:color w:val="auto"/>
        </w:rPr>
      </w:pPr>
    </w:p>
    <w:p>
      <w:pPr>
        <w:jc w:val="both"/>
        <w:ind w:left="840" w:right="3760" w:hanging="375"/>
        <w:spacing w:after="0" w:line="238" w:lineRule="auto"/>
        <w:tabs>
          <w:tab w:leader="none" w:pos="8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acquisition of E! Entertainment Television, Inc. ("E! Entertainment") on March 31, 1997,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six months ended June 30, 1997 as it is not significant for restatement of the Company's prior year financial statements.</w:t>
      </w:r>
    </w:p>
    <w:p>
      <w:pPr>
        <w:spacing w:after="0" w:line="200" w:lineRule="exact"/>
        <w:rPr>
          <w:sz w:val="20"/>
          <w:szCs w:val="20"/>
          <w:color w:val="auto"/>
        </w:rPr>
      </w:pPr>
    </w:p>
    <w:p>
      <w:pPr>
        <w:spacing w:after="0" w:line="351" w:lineRule="exact"/>
        <w:rPr>
          <w:sz w:val="20"/>
          <w:szCs w:val="20"/>
          <w:color w:val="auto"/>
        </w:rPr>
      </w:pPr>
    </w:p>
    <w:p>
      <w:pPr>
        <w:jc w:val="both"/>
        <w:ind w:left="460" w:right="3760"/>
        <w:spacing w:after="0" w:line="255" w:lineRule="auto"/>
        <w:rPr>
          <w:sz w:val="20"/>
          <w:szCs w:val="20"/>
          <w:color w:val="auto"/>
        </w:rPr>
      </w:pPr>
      <w:r>
        <w:rPr>
          <w:rFonts w:ascii="Courier New" w:cs="Courier New" w:eastAsia="Courier New" w:hAnsi="Courier New"/>
          <w:sz w:val="15"/>
          <w:szCs w:val="15"/>
          <w:color w:val="auto"/>
        </w:rPr>
        <w:t>Sprint PCS. The Company, Tele-Communications, Inc. ("TCI"), Cox Communications, Inc. ("Cox," and together with the Company and TCI, the "Cable Partners") and Sprint Corporation ("Sprint," and together with the Cable Partners, the "Parents"), engage in the wireless communications business through a limited partnership known as "Sprint Spectrum" or "Sprint PCS." The Company made its initial investment in 1994 to hold a general and limited partnership interest of 15% in Sprint PCS. The Parents had committed to contribute $4.2 billion in cash to Sprint PCS through 1999, of which the Company's share was $630.0 million. As of June 30, 1998, the Company had contributed $609.5 million of its original funding commitment. Under the terms of the Restructuring Agreement described below, the Company has loaned $60.0 million to Sprint PCS, and no further amounts are due with respect to the balance of the original funding commitment.</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260"/>
          </w:cols>
          <w:pgMar w:left="240" w:top="473" w:right="399" w:bottom="1440" w:gutter="0" w:footer="0" w:header="0"/>
        </w:sectPr>
      </w:pPr>
    </w:p>
    <w:bookmarkStart w:id="9" w:name="page10"/>
    <w:bookmarkEnd w:id="9"/>
    <w:p>
      <w:pPr>
        <w:jc w:val="center"/>
        <w:ind w:right="31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099"/>
        <w:spacing w:after="0"/>
        <w:rPr>
          <w:sz w:val="20"/>
          <w:szCs w:val="20"/>
          <w:color w:val="auto"/>
        </w:rPr>
      </w:pPr>
      <w:r>
        <w:rPr>
          <w:rFonts w:ascii="Courier New" w:cs="Courier New" w:eastAsia="Courier New" w:hAnsi="Courier New"/>
          <w:sz w:val="16"/>
          <w:szCs w:val="16"/>
          <w:color w:val="auto"/>
        </w:rPr>
        <w:t>FORM 10-Q</w:t>
      </w:r>
    </w:p>
    <w:p>
      <w:pPr>
        <w:jc w:val="center"/>
        <w:ind w:right="3099"/>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31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099"/>
        <w:spacing w:after="0" w:line="238" w:lineRule="auto"/>
        <w:rPr>
          <w:sz w:val="20"/>
          <w:szCs w:val="20"/>
          <w:color w:val="auto"/>
        </w:rPr>
      </w:pPr>
      <w:r>
        <w:rPr>
          <w:rFonts w:ascii="Courier New" w:cs="Courier New" w:eastAsia="Courier New" w:hAnsi="Courier New"/>
          <w:sz w:val="16"/>
          <w:szCs w:val="16"/>
          <w:color w:val="auto"/>
        </w:rPr>
        <w:t>(Unaudited)</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In May 1998, the Parents announced an agreement (the "Restructuring Agreement") under which Sprint would assume total ownership and management control of Sprint PCS.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At closing of the Restructuring Agreement, Sprint will issue a new class of Sprint stock (the "Sprint PCS Stock") to track the performance of Sprint's combined wireless operations. Initially, the Company will receive an approximate 11.4% interest in the Sprint PCS Stock in exchange for its interests in Sprint PCS. The Restructuring Agreement also contemplates an initial public offering ("IPO") of Sprint PCS Stock to occur concurrently with the above, followed by the distribution of Sprint's interest in the Sprint PCS Stock to its existing shareholders. If the IPO can not be completed at that time, the shareholder distribution will be made. The Cable Partners' interests in the Sprint PCS Stock would be reduced proportionately by the amount of ownership interests issued in connection with the IPO, and in connection with any purchases made at that time by two of Sprint's major shareholders under existing anti-dilution rights - France Telecom S.A. ("France Telecom") and Deutsche Telekom AG ("Deutsche Telekom").</w:t>
      </w:r>
    </w:p>
    <w:p>
      <w:pPr>
        <w:spacing w:after="0" w:line="190" w:lineRule="exact"/>
        <w:rPr>
          <w:sz w:val="20"/>
          <w:szCs w:val="20"/>
          <w:color w:val="auto"/>
        </w:rPr>
      </w:pPr>
    </w:p>
    <w:p>
      <w:pPr>
        <w:jc w:val="both"/>
        <w:ind w:right="2719"/>
        <w:spacing w:after="0" w:line="254" w:lineRule="auto"/>
        <w:rPr>
          <w:sz w:val="20"/>
          <w:szCs w:val="20"/>
          <w:color w:val="auto"/>
        </w:rPr>
      </w:pPr>
      <w:r>
        <w:rPr>
          <w:rFonts w:ascii="Courier New" w:cs="Courier New" w:eastAsia="Courier New" w:hAnsi="Courier New"/>
          <w:sz w:val="15"/>
          <w:szCs w:val="15"/>
          <w:color w:val="auto"/>
        </w:rPr>
        <w:t>The Sprint PCS Stock will be divided into three categories: (i) Series 1 (one vote per share) to be held by the public, (ii) Series 2 (1/10 vote per share other than in class votes) to be held by the Cable Partners, and</w:t>
      </w:r>
    </w:p>
    <w:p>
      <w:pPr>
        <w:spacing w:after="0" w:line="2" w:lineRule="exact"/>
        <w:rPr>
          <w:sz w:val="20"/>
          <w:szCs w:val="20"/>
          <w:color w:val="auto"/>
        </w:rPr>
      </w:pPr>
    </w:p>
    <w:p>
      <w:pPr>
        <w:jc w:val="both"/>
        <w:ind w:right="2719" w:firstLine="5"/>
        <w:spacing w:after="0" w:line="256" w:lineRule="auto"/>
        <w:tabs>
          <w:tab w:leader="none" w:pos="65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3 (one vote per share) to be held by France Telecom and Deutsche Telekom. Under the terms of the Restructuring Agreement, the Cable Partners have registration rights, subject to customary restrictions, and certain anti-dilution rights of France Telecom and Deutsche Telekom, that, if used, will permit the monetization of their Sprint PCS holdings through equity offerings or derivatives. If the Series 2 shares are transferred by a Cable Partner, the transferred shares become full vote Series 1 shares.</w:t>
      </w:r>
    </w:p>
    <w:p>
      <w:pPr>
        <w:spacing w:after="0" w:line="174"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The Restructuring Agreement is expected to close in 1998, subject to the receipt of necessary regulatory and shareholder approvals.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TCGI. In November 1997, TCGI filed a registration statement with the Securities and Exchange Commission to sell 7.3 million shares of TCGI Class A Stock (the "TCGI Offering"). As a result of the TCGI Offering, the Company recognized a $59.6 million increase in its proportionate share of TCGI's net assets as a gain from equity offering of affiliate. Such pre-tax gain is included in the Company's condensed consolidated statement of operations and accumulated deficit for the six months ended June 30, 1998 as the Company records its proportionate share of TCGI's net losses one quarter in arrears.</w:t>
      </w:r>
    </w:p>
    <w:p>
      <w:pPr>
        <w:spacing w:after="0" w:line="186"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UK Investees. As of June 30, 1998, Comcast UK Cable (see Note 3) holds a 27.5% interest in Birmingham Cable Corporation Limited and a 50.0% interest in Cable London PLC.</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Comcast-Spectacor. Effective January 1, 1998, the Company's condensed consolidated financial statements include the accounts of Comcast Spectacor, L.P. ("Comcast-Spectacor"), an affiliate previously accounted for under the equity method, due to certain call rights held by the Company which became exercisable effective January 16, 1998.</w:t>
      </w:r>
    </w:p>
    <w:p>
      <w:pPr>
        <w:spacing w:after="0" w:line="187"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Other. The Company's other equity investees include investments in cable communications (including Garden State Cablevision L.P., a cable communications company serving more than 210,000 subscribers as of June 30, 1998 in the State of New Jersey), cellular/PCS telecommunications and content providers. The Company does not consider these other equity method investments to be individually significant to its consolidated financial position, results of operations or liquidity.</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Restructuring of Primestar's Operations. As of March 31, 1998, the Company held a 10.4% general and limited partnership interest in PRIMESTAR Partners L.P. ("Primestar"), which was principally engaged in the business of acquiring, originating and/or providing television programming services delivered by satellite through a network of distributors, including the Company, throughout the United States ("US").</w:t>
      </w:r>
    </w:p>
    <w:p>
      <w:pPr>
        <w:spacing w:after="0" w:line="189"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Company, through a wholly owned subsidiary, distributed the Primestar DBS service (the "Primestar Service") to subscribers within specified areas of 19 states in the US. As of March 31, 1998, the Company provided the Primestar Service to more than 189,000 subscribers.</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59"/>
          </w:cols>
          <w:pgMar w:left="700" w:top="473" w:right="1440" w:bottom="1440" w:gutter="0" w:footer="0" w:header="0"/>
        </w:sectPr>
      </w:pPr>
    </w:p>
    <w:bookmarkStart w:id="10" w:name="page11"/>
    <w:bookmarkEnd w:id="10"/>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35"/>
        <w:spacing w:after="0"/>
        <w:rPr>
          <w:sz w:val="20"/>
          <w:szCs w:val="20"/>
          <w:color w:val="auto"/>
        </w:rPr>
      </w:pPr>
      <w:r>
        <w:rPr>
          <w:rFonts w:ascii="Courier New" w:cs="Courier New" w:eastAsia="Courier New" w:hAnsi="Courier New"/>
          <w:sz w:val="16"/>
          <w:szCs w:val="16"/>
          <w:color w:val="auto"/>
        </w:rPr>
        <w:t>FORM 10-Q</w:t>
      </w:r>
    </w:p>
    <w:p>
      <w:pPr>
        <w:jc w:val="center"/>
        <w:ind w:right="2635"/>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27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635"/>
        <w:spacing w:after="0" w:line="238" w:lineRule="auto"/>
        <w:rPr>
          <w:sz w:val="20"/>
          <w:szCs w:val="20"/>
          <w:color w:val="auto"/>
        </w:rPr>
      </w:pPr>
      <w:r>
        <w:rPr>
          <w:rFonts w:ascii="Courier New" w:cs="Courier New" w:eastAsia="Courier New" w:hAnsi="Courier New"/>
          <w:sz w:val="16"/>
          <w:szCs w:val="16"/>
          <w:color w:val="auto"/>
        </w:rPr>
        <w:t>(Unaudited)</w:t>
      </w:r>
    </w:p>
    <w:p>
      <w:pPr>
        <w:spacing w:after="0" w:line="185" w:lineRule="exact"/>
        <w:rPr>
          <w:sz w:val="20"/>
          <w:szCs w:val="20"/>
          <w:color w:val="auto"/>
        </w:rPr>
      </w:pPr>
    </w:p>
    <w:p>
      <w:pPr>
        <w:jc w:val="both"/>
        <w:ind w:left="464" w:right="2719"/>
        <w:spacing w:after="0" w:line="238" w:lineRule="auto"/>
        <w:rPr>
          <w:sz w:val="20"/>
          <w:szCs w:val="20"/>
          <w:color w:val="auto"/>
        </w:rPr>
      </w:pPr>
      <w:r>
        <w:rPr>
          <w:rFonts w:ascii="Courier New" w:cs="Courier New" w:eastAsia="Courier New" w:hAnsi="Courier New"/>
          <w:sz w:val="16"/>
          <w:szCs w:val="16"/>
          <w:color w:val="auto"/>
        </w:rPr>
        <w:t>On February 6, 1998, the Company entered into a Merger and Contribution Agreement (the "Merger and Contribution Agreement") with Primestar and the affiliates of each of the other partners of Primestar, including TCI Satellite Entertainment, Inc. ("TSAT"), a publicly-traded company, pursuant to which the Company's DBS operations, the Company's partnership interests in Primestar and the Primestar partnership interests and the DBS operations of the other partners of Primestar were to be consolidated into a newly formed company ("New Primestar"). Under the terms of the Merger and Contribution Agreement, which closed on April 1, 1998, in exchange for the Company's DBS operations and equity interest in Primestar, New Primestar, through a series of transactions, assumed $74.7 million of the Company's debt and the Company received 9.5% of New Primestar common equity, both subject to adjustment based on the number of the Company's subscribers to the Primestar Service, inventory amounts and other factors. Subsequent to the Merger and Contribution Agreement, New Primestar repaid indebtedness of $74.7 million to the Company. During the three months ended June 30, 1998, the Company recognized a pre-tax gain on the exchange of $9.9 million. Subject to receipt of regulatory approval and other conditions, TSAT will merge with and into New Primestar in a transaction in which TSAT's outstanding common shares will be exchanged for common shares of New Primestar.</w:t>
      </w:r>
    </w:p>
    <w:p>
      <w:pPr>
        <w:spacing w:after="0" w:line="194" w:lineRule="exact"/>
        <w:rPr>
          <w:sz w:val="20"/>
          <w:szCs w:val="20"/>
          <w:color w:val="auto"/>
        </w:rPr>
      </w:pPr>
    </w:p>
    <w:p>
      <w:pPr>
        <w:jc w:val="both"/>
        <w:ind w:left="464" w:right="2719"/>
        <w:spacing w:after="0" w:line="255" w:lineRule="auto"/>
        <w:rPr>
          <w:sz w:val="20"/>
          <w:szCs w:val="20"/>
          <w:color w:val="auto"/>
        </w:rPr>
      </w:pPr>
      <w:r>
        <w:rPr>
          <w:rFonts w:ascii="Courier New" w:cs="Courier New" w:eastAsia="Courier New" w:hAnsi="Courier New"/>
          <w:sz w:val="15"/>
          <w:szCs w:val="15"/>
          <w:color w:val="auto"/>
        </w:rPr>
        <w:t>In June 1997, Primestar entered into an agreement with The News Corporation Limited, MCI Telecommunications Corporation and American Sky Broadcasting LLC ("ASkyB"), pursuant to which Primestar (or, under certain conditions, New Primestar) will acquire certain assets relating to a high-power DBS business (the "ASkyB Transaction"). In exchange for such assets, ASkyB will receive non-voting securities of New Primestar that will be convertible into non-voting common stock of New Primestar, and, accordingly, will reduce the Company's common equity interest in New Primestar to approximately 7% on a fully diluted basis, subject to adjustment.</w:t>
      </w:r>
    </w:p>
    <w:p>
      <w:pPr>
        <w:spacing w:after="0" w:line="179" w:lineRule="exact"/>
        <w:rPr>
          <w:sz w:val="20"/>
          <w:szCs w:val="20"/>
          <w:color w:val="auto"/>
        </w:rPr>
      </w:pPr>
    </w:p>
    <w:p>
      <w:pPr>
        <w:jc w:val="both"/>
        <w:ind w:left="464" w:right="2719"/>
        <w:spacing w:after="0" w:line="238" w:lineRule="auto"/>
        <w:rPr>
          <w:sz w:val="20"/>
          <w:szCs w:val="20"/>
          <w:color w:val="auto"/>
        </w:rPr>
      </w:pPr>
      <w:r>
        <w:rPr>
          <w:rFonts w:ascii="Courier New" w:cs="Courier New" w:eastAsia="Courier New" w:hAnsi="Courier New"/>
          <w:sz w:val="16"/>
          <w:szCs w:val="16"/>
          <w:color w:val="auto"/>
        </w:rPr>
        <w:t>On May 12, 1998, the Antitrust Division of the Department of Justice ("DOJ") filed a Complaint in the United States District Court for the District of Columbia seeking to permanently enjoin the ASkyB Transaction, or, in the alternative, requiring that the cable stockholders of New Primestar, including the Company, divest their ownership interests in New Primestar. All parties have answered the DOJ's complaint. Discovery is underway and a trial date has been set for early 1999.</w:t>
      </w:r>
    </w:p>
    <w:p>
      <w:pPr>
        <w:spacing w:after="0" w:line="180"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1880" w:type="dxa"/>
            <w:vAlign w:val="bottom"/>
            <w:gridSpan w:val="3"/>
          </w:tcPr>
          <w:p>
            <w:pPr>
              <w:spacing w:after="0"/>
              <w:rPr>
                <w:sz w:val="20"/>
                <w:szCs w:val="20"/>
                <w:color w:val="auto"/>
              </w:rPr>
            </w:pPr>
            <w:r>
              <w:rPr>
                <w:rFonts w:ascii="Courier New" w:cs="Courier New" w:eastAsia="Courier New" w:hAnsi="Courier New"/>
                <w:sz w:val="16"/>
                <w:szCs w:val="16"/>
                <w:color w:val="auto"/>
              </w:rPr>
              <w:t>Fair Value Method</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w w:val="96"/>
              </w:rPr>
              <w:t>The Company</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holds</w:t>
            </w:r>
          </w:p>
        </w:tc>
        <w:tc>
          <w:tcPr>
            <w:tcW w:w="1260" w:type="dxa"/>
            <w:vAlign w:val="bottom"/>
            <w:gridSpan w:val="3"/>
          </w:tcPr>
          <w:p>
            <w:pPr>
              <w:spacing w:after="0"/>
              <w:rPr>
                <w:sz w:val="20"/>
                <w:szCs w:val="20"/>
                <w:color w:val="auto"/>
              </w:rPr>
            </w:pPr>
            <w:r>
              <w:rPr>
                <w:rFonts w:ascii="Courier New" w:cs="Courier New" w:eastAsia="Courier New" w:hAnsi="Courier New"/>
                <w:sz w:val="16"/>
                <w:szCs w:val="16"/>
                <w:color w:val="auto"/>
              </w:rPr>
              <w:t>unrestricted</w:t>
            </w:r>
          </w:p>
        </w:tc>
        <w:tc>
          <w:tcPr>
            <w:tcW w:w="7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equity</w:t>
            </w:r>
          </w:p>
        </w:tc>
        <w:tc>
          <w:tcPr>
            <w:tcW w:w="130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investments</w:t>
            </w:r>
          </w:p>
        </w:tc>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in certain</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publicly</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traded</w:t>
            </w:r>
          </w:p>
        </w:tc>
        <w:tc>
          <w:tcPr>
            <w:tcW w:w="11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companies,</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with</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an</w:t>
            </w:r>
          </w:p>
        </w:tc>
        <w:tc>
          <w:tcPr>
            <w:tcW w:w="128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historical</w:t>
            </w:r>
          </w:p>
        </w:tc>
        <w:tc>
          <w:tcPr>
            <w:tcW w:w="13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5"/>
              </w:rPr>
              <w:t>cost of $132.1</w:t>
            </w:r>
          </w:p>
        </w:tc>
        <w:tc>
          <w:tcPr>
            <w:tcW w:w="1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million and $130.0</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million</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w w:val="93"/>
              </w:rPr>
              <w:t>as</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of June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1998 and</w:t>
            </w:r>
          </w:p>
        </w:tc>
        <w:tc>
          <w:tcPr>
            <w:tcW w:w="10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December</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31,  1997,</w:t>
            </w:r>
          </w:p>
        </w:tc>
        <w:tc>
          <w:tcPr>
            <w:tcW w:w="15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respectively.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w w:val="96"/>
              </w:rPr>
              <w:t>Company has</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w w:val="93"/>
              </w:rPr>
              <w:t>recorded</w:t>
            </w:r>
          </w:p>
        </w:tc>
        <w:tc>
          <w:tcPr>
            <w:tcW w:w="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these</w:t>
            </w:r>
          </w:p>
        </w:tc>
        <w:tc>
          <w:tcPr>
            <w:tcW w:w="12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investments,</w:t>
            </w:r>
          </w:p>
        </w:tc>
        <w:tc>
          <w:tcPr>
            <w:tcW w:w="6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which</w:t>
            </w:r>
          </w:p>
        </w:tc>
        <w:tc>
          <w:tcPr>
            <w:tcW w:w="2540" w:type="dxa"/>
            <w:vAlign w:val="bottom"/>
            <w:gridSpan w:val="5"/>
          </w:tcPr>
          <w:p>
            <w:pPr>
              <w:spacing w:after="0"/>
              <w:rPr>
                <w:sz w:val="20"/>
                <w:szCs w:val="20"/>
                <w:color w:val="auto"/>
              </w:rPr>
            </w:pPr>
            <w:r>
              <w:rPr>
                <w:rFonts w:ascii="Courier New" w:cs="Courier New" w:eastAsia="Courier New" w:hAnsi="Courier New"/>
                <w:sz w:val="16"/>
                <w:szCs w:val="16"/>
                <w:color w:val="auto"/>
                <w:w w:val="97"/>
              </w:rPr>
              <w:t>are classified as available</w:t>
            </w:r>
          </w:p>
        </w:tc>
      </w:tr>
      <w:tr>
        <w:trPr>
          <w:trHeight w:val="18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for sale,</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at their</w:t>
            </w:r>
          </w:p>
        </w:tc>
        <w:tc>
          <w:tcPr>
            <w:tcW w:w="160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estimated  fair</w:t>
            </w:r>
          </w:p>
        </w:tc>
        <w:tc>
          <w:tcPr>
            <w:tcW w:w="7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values</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of</w:t>
            </w:r>
          </w:p>
        </w:tc>
        <w:tc>
          <w:tcPr>
            <w:tcW w:w="660" w:type="dxa"/>
            <w:vAlign w:val="bottom"/>
          </w:tcPr>
          <w:p>
            <w:pPr>
              <w:spacing w:after="0"/>
              <w:rPr>
                <w:sz w:val="20"/>
                <w:szCs w:val="20"/>
                <w:color w:val="auto"/>
              </w:rPr>
            </w:pPr>
            <w:r>
              <w:rPr>
                <w:rFonts w:ascii="Courier New" w:cs="Courier New" w:eastAsia="Courier New" w:hAnsi="Courier New"/>
                <w:sz w:val="16"/>
                <w:szCs w:val="16"/>
                <w:color w:val="auto"/>
              </w:rPr>
              <w:t>$583.1</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w w:val="95"/>
              </w:rPr>
              <w:t>million</w:t>
            </w: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and $346.5</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million</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w w:val="93"/>
              </w:rPr>
              <w:t>as</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of June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1998 and</w:t>
            </w:r>
          </w:p>
        </w:tc>
        <w:tc>
          <w:tcPr>
            <w:tcW w:w="10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December</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31,  1997,</w:t>
            </w:r>
          </w:p>
        </w:tc>
        <w:tc>
          <w:tcPr>
            <w:tcW w:w="15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respectively.</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unrealized</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pre-tax</w:t>
            </w:r>
          </w:p>
        </w:tc>
        <w:tc>
          <w:tcPr>
            <w:tcW w:w="198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6"/>
              </w:rPr>
              <w:t>gains as of June 30,</w:t>
            </w:r>
          </w:p>
        </w:tc>
        <w:tc>
          <w:tcPr>
            <w:tcW w:w="6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1998</w:t>
            </w:r>
          </w:p>
        </w:tc>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and  December</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31,</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1997 of</w:t>
            </w:r>
          </w:p>
        </w:tc>
      </w:tr>
      <w:tr>
        <w:trPr>
          <w:trHeight w:val="180"/>
        </w:trPr>
        <w:tc>
          <w:tcPr>
            <w:tcW w:w="4500" w:type="dxa"/>
            <w:vAlign w:val="bottom"/>
            <w:gridSpan w:val="10"/>
          </w:tcPr>
          <w:p>
            <w:pPr>
              <w:spacing w:after="0"/>
              <w:rPr>
                <w:sz w:val="20"/>
                <w:szCs w:val="20"/>
                <w:color w:val="auto"/>
              </w:rPr>
            </w:pPr>
            <w:r>
              <w:rPr>
                <w:rFonts w:ascii="Courier New" w:cs="Courier New" w:eastAsia="Courier New" w:hAnsi="Courier New"/>
                <w:sz w:val="16"/>
                <w:szCs w:val="16"/>
                <w:color w:val="auto"/>
                <w:w w:val="97"/>
              </w:rPr>
              <w:t>$451.0 million and $216.5 million, respectively,</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have</w:t>
            </w:r>
          </w:p>
        </w:tc>
        <w:tc>
          <w:tcPr>
            <w:tcW w:w="18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been reported in the</w:t>
            </w:r>
          </w:p>
        </w:tc>
      </w:tr>
      <w:tr>
        <w:trPr>
          <w:trHeight w:val="180"/>
        </w:trPr>
        <w:tc>
          <w:tcPr>
            <w:tcW w:w="1040" w:type="dxa"/>
            <w:vAlign w:val="bottom"/>
            <w:gridSpan w:val="2"/>
          </w:tcPr>
          <w:p>
            <w:pPr>
              <w:spacing w:after="0"/>
              <w:rPr>
                <w:sz w:val="20"/>
                <w:szCs w:val="20"/>
                <w:color w:val="auto"/>
              </w:rPr>
            </w:pPr>
            <w:r>
              <w:rPr>
                <w:rFonts w:ascii="Courier New" w:cs="Courier New" w:eastAsia="Courier New" w:hAnsi="Courier New"/>
                <w:sz w:val="16"/>
                <w:szCs w:val="16"/>
                <w:color w:val="auto"/>
              </w:rPr>
              <w:t>Company's</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condensed</w:t>
            </w:r>
          </w:p>
        </w:tc>
        <w:tc>
          <w:tcPr>
            <w:tcW w:w="1220" w:type="dxa"/>
            <w:vAlign w:val="bottom"/>
            <w:gridSpan w:val="3"/>
          </w:tcPr>
          <w:p>
            <w:pPr>
              <w:spacing w:after="0"/>
              <w:rPr>
                <w:sz w:val="20"/>
                <w:szCs w:val="20"/>
                <w:color w:val="auto"/>
              </w:rPr>
            </w:pPr>
            <w:r>
              <w:rPr>
                <w:rFonts w:ascii="Courier New" w:cs="Courier New" w:eastAsia="Courier New" w:hAnsi="Courier New"/>
                <w:sz w:val="16"/>
                <w:szCs w:val="16"/>
                <w:color w:val="auto"/>
              </w:rPr>
              <w:t>consolidated</w:t>
            </w:r>
          </w:p>
        </w:tc>
        <w:tc>
          <w:tcPr>
            <w:tcW w:w="102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balance</w:t>
            </w:r>
          </w:p>
        </w:tc>
        <w:tc>
          <w:tcPr>
            <w:tcW w:w="660" w:type="dxa"/>
            <w:vAlign w:val="bottom"/>
          </w:tcPr>
          <w:p>
            <w:pPr>
              <w:spacing w:after="0"/>
              <w:rPr>
                <w:sz w:val="20"/>
                <w:szCs w:val="20"/>
                <w:color w:val="auto"/>
              </w:rPr>
            </w:pPr>
            <w:r>
              <w:rPr>
                <w:rFonts w:ascii="Courier New" w:cs="Courier New" w:eastAsia="Courier New" w:hAnsi="Courier New"/>
                <w:sz w:val="16"/>
                <w:szCs w:val="16"/>
                <w:color w:val="auto"/>
              </w:rPr>
              <w:t>sheet</w:t>
            </w:r>
          </w:p>
        </w:tc>
        <w:tc>
          <w:tcPr>
            <w:tcW w:w="1560" w:type="dxa"/>
            <w:vAlign w:val="bottom"/>
            <w:gridSpan w:val="3"/>
          </w:tcPr>
          <w:p>
            <w:pPr>
              <w:spacing w:after="0"/>
              <w:rPr>
                <w:sz w:val="20"/>
                <w:szCs w:val="20"/>
                <w:color w:val="auto"/>
              </w:rPr>
            </w:pPr>
            <w:r>
              <w:rPr>
                <w:rFonts w:ascii="Courier New" w:cs="Courier New" w:eastAsia="Courier New" w:hAnsi="Courier New"/>
                <w:sz w:val="16"/>
                <w:szCs w:val="16"/>
                <w:color w:val="auto"/>
              </w:rPr>
              <w:t>as  a  component</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r>
    </w:tbl>
    <w:p>
      <w:pPr>
        <w:spacing w:after="0" w:line="4" w:lineRule="exact"/>
        <w:rPr>
          <w:sz w:val="20"/>
          <w:szCs w:val="20"/>
          <w:color w:val="auto"/>
        </w:rPr>
      </w:pPr>
    </w:p>
    <w:p>
      <w:pPr>
        <w:jc w:val="both"/>
        <w:ind w:left="464" w:right="2719"/>
        <w:spacing w:after="0" w:line="236" w:lineRule="auto"/>
        <w:rPr>
          <w:sz w:val="20"/>
          <w:szCs w:val="20"/>
          <w:color w:val="auto"/>
        </w:rPr>
      </w:pPr>
      <w:r>
        <w:rPr>
          <w:rFonts w:ascii="Courier New" w:cs="Courier New" w:eastAsia="Courier New" w:hAnsi="Courier New"/>
          <w:sz w:val="16"/>
          <w:szCs w:val="16"/>
          <w:color w:val="auto"/>
        </w:rPr>
        <w:t>stockholders' equity, net of related deferred income tax expense of $157.8 million and $75.8 million, respectively.</w:t>
      </w:r>
    </w:p>
    <w:p>
      <w:pPr>
        <w:spacing w:after="0" w:line="185" w:lineRule="exact"/>
        <w:rPr>
          <w:sz w:val="20"/>
          <w:szCs w:val="20"/>
          <w:color w:val="auto"/>
        </w:rPr>
      </w:pPr>
    </w:p>
    <w:p>
      <w:pPr>
        <w:jc w:val="both"/>
        <w:ind w:left="464" w:right="2719"/>
        <w:spacing w:after="0" w:line="238" w:lineRule="auto"/>
        <w:rPr>
          <w:sz w:val="20"/>
          <w:szCs w:val="20"/>
          <w:color w:val="auto"/>
        </w:rPr>
      </w:pPr>
      <w:r>
        <w:rPr>
          <w:rFonts w:ascii="Courier New" w:cs="Courier New" w:eastAsia="Courier New" w:hAnsi="Courier New"/>
          <w:sz w:val="16"/>
          <w:szCs w:val="16"/>
          <w:color w:val="auto"/>
        </w:rPr>
        <w:t>In March 1998, the Company sold call options relating to its unrestricted equity investments in TCI, TCI Ventures Group, Inc. and Liberty Media Group common stock (together, the "TCI Stock") for $20.7 million. Such call options expire between March and September 1999. During the six and three months ended June 30, 1998, the Company recorded pre-tax investment expense of $40.2 million and $25.6 million, respectively, related to the increase in the value of the call options.</w:t>
      </w:r>
    </w:p>
    <w:p>
      <w:pPr>
        <w:spacing w:after="0" w:line="180" w:lineRule="exact"/>
        <w:rPr>
          <w:sz w:val="20"/>
          <w:szCs w:val="20"/>
          <w:color w:val="auto"/>
        </w:rPr>
      </w:pPr>
    </w:p>
    <w:p>
      <w:pPr>
        <w:ind w:left="464" w:hanging="464"/>
        <w:spacing w:after="0"/>
        <w:tabs>
          <w:tab w:leader="none" w:pos="4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of 1 1/8% Debentures</w:t>
      </w:r>
    </w:p>
    <w:p>
      <w:pPr>
        <w:spacing w:after="0" w:line="4" w:lineRule="exact"/>
        <w:rPr>
          <w:rFonts w:ascii="Courier New" w:cs="Courier New" w:eastAsia="Courier New" w:hAnsi="Courier New"/>
          <w:sz w:val="16"/>
          <w:szCs w:val="16"/>
          <w:color w:val="auto"/>
        </w:rPr>
      </w:pPr>
    </w:p>
    <w:p>
      <w:pPr>
        <w:jc w:val="both"/>
        <w:ind w:left="464"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March 1998, the Company completed the redemption of its $541.9 million principal amount 1 1/8% discount convertible subordinated debentures due 2007 (the "1 1/8% Debentures"). The Company issued 10.4 million shares of its Class A Special Common Stock upon conversion of $540.2 million principal amount of 1 1/8% Debentures while $1.7 million principal amount of 1 1/8% Debentures was redeemed for cash at a redemption price of 67.112% of the principal amount, together with accrued interest thereon. Stockholders' equity was increased by the full amount of 1 1/8% Debentures converted plus accrued interest, less unamortized debt acquisition costs. Unamortized debt acquisition costs related to the 1 1/8% Debentures redeemed for cash were not significant. The issuance of the</w:t>
      </w:r>
    </w:p>
    <w:p>
      <w:pPr>
        <w:spacing w:after="0" w:line="17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3"/>
          </w:cols>
          <w:pgMar w:left="236" w:top="473" w:right="1440" w:bottom="828" w:gutter="0" w:footer="0" w:header="0"/>
        </w:sectPr>
      </w:pPr>
    </w:p>
    <w:bookmarkStart w:id="11" w:name="page12"/>
    <w:bookmarkEnd w:id="11"/>
    <w:p>
      <w:pPr>
        <w:jc w:val="center"/>
        <w:ind w:right="2715"/>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5"/>
        <w:spacing w:after="0"/>
        <w:rPr>
          <w:sz w:val="20"/>
          <w:szCs w:val="20"/>
          <w:color w:val="auto"/>
        </w:rPr>
      </w:pPr>
      <w:r>
        <w:rPr>
          <w:rFonts w:ascii="Courier New" w:cs="Courier New" w:eastAsia="Courier New" w:hAnsi="Courier New"/>
          <w:sz w:val="16"/>
          <w:szCs w:val="16"/>
          <w:color w:val="auto"/>
        </w:rPr>
        <w:t>FORM 10-Q</w:t>
      </w:r>
    </w:p>
    <w:p>
      <w:pPr>
        <w:jc w:val="center"/>
        <w:ind w:right="2635"/>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271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615"/>
        <w:spacing w:after="0" w:line="238" w:lineRule="auto"/>
        <w:rPr>
          <w:sz w:val="20"/>
          <w:szCs w:val="20"/>
          <w:color w:val="auto"/>
        </w:rPr>
      </w:pPr>
      <w:r>
        <w:rPr>
          <w:rFonts w:ascii="Courier New" w:cs="Courier New" w:eastAsia="Courier New" w:hAnsi="Courier New"/>
          <w:sz w:val="16"/>
          <w:szCs w:val="16"/>
          <w:color w:val="auto"/>
        </w:rPr>
        <w:t>(Unaudited)</w:t>
      </w:r>
    </w:p>
    <w:p>
      <w:pPr>
        <w:spacing w:after="0" w:line="185" w:lineRule="exact"/>
        <w:rPr>
          <w:sz w:val="20"/>
          <w:szCs w:val="20"/>
          <w:color w:val="auto"/>
        </w:rPr>
      </w:pPr>
    </w:p>
    <w:p>
      <w:pPr>
        <w:jc w:val="both"/>
        <w:ind w:left="464" w:right="2719"/>
        <w:spacing w:after="0" w:line="237" w:lineRule="auto"/>
        <w:rPr>
          <w:sz w:val="20"/>
          <w:szCs w:val="20"/>
          <w:color w:val="auto"/>
        </w:rPr>
      </w:pPr>
      <w:r>
        <w:rPr>
          <w:rFonts w:ascii="Courier New" w:cs="Courier New" w:eastAsia="Courier New" w:hAnsi="Courier New"/>
          <w:sz w:val="16"/>
          <w:szCs w:val="16"/>
          <w:color w:val="auto"/>
        </w:rPr>
        <w:t>Company's Class A Special Common Stock upon conversion of the 1 1/8% Debentures had no impact on the Company's condensed consolidated statement of cash flows due to its noncash nature.</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Interest Rates</w:t>
      </w:r>
    </w:p>
    <w:p>
      <w:pPr>
        <w:spacing w:after="0" w:line="4" w:lineRule="exact"/>
        <w:rPr>
          <w:sz w:val="20"/>
          <w:szCs w:val="20"/>
          <w:color w:val="auto"/>
        </w:rPr>
      </w:pPr>
    </w:p>
    <w:p>
      <w:pPr>
        <w:jc w:val="both"/>
        <w:ind w:left="464" w:right="2719"/>
        <w:spacing w:after="0" w:line="237" w:lineRule="auto"/>
        <w:rPr>
          <w:sz w:val="20"/>
          <w:szCs w:val="20"/>
          <w:color w:val="auto"/>
        </w:rPr>
      </w:pPr>
      <w:r>
        <w:rPr>
          <w:rFonts w:ascii="Courier New" w:cs="Courier New" w:eastAsia="Courier New" w:hAnsi="Courier New"/>
          <w:sz w:val="16"/>
          <w:szCs w:val="16"/>
          <w:color w:val="auto"/>
        </w:rPr>
        <w:t>As of June 30, 1998 and December 31, 1997, the Company's effective weighted average interest rate on its long-term debt outstanding was 8.42% and 8.36%, respectively.</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Lines of Credit</w:t>
      </w:r>
    </w:p>
    <w:p>
      <w:pPr>
        <w:spacing w:after="0" w:line="4" w:lineRule="exact"/>
        <w:rPr>
          <w:sz w:val="20"/>
          <w:szCs w:val="20"/>
          <w:color w:val="auto"/>
        </w:rPr>
      </w:pPr>
    </w:p>
    <w:p>
      <w:pPr>
        <w:jc w:val="both"/>
        <w:ind w:left="464" w:right="2719"/>
        <w:spacing w:after="0" w:line="237" w:lineRule="auto"/>
        <w:rPr>
          <w:sz w:val="20"/>
          <w:szCs w:val="20"/>
          <w:color w:val="auto"/>
        </w:rPr>
      </w:pPr>
      <w:r>
        <w:rPr>
          <w:rFonts w:ascii="Courier New" w:cs="Courier New" w:eastAsia="Courier New" w:hAnsi="Courier New"/>
          <w:sz w:val="16"/>
          <w:szCs w:val="16"/>
          <w:color w:val="auto"/>
        </w:rPr>
        <w:t>As of July 31, 1998, certain subsidiaries of the Company had unused lines of credit of $1.164 billion. The availability and use of the unused lines of credit is restricted by the covenants of the related debt agreements and to subsidiary general purposes and dividend declaration.</w:t>
      </w:r>
    </w:p>
    <w:p>
      <w:pPr>
        <w:spacing w:after="0" w:line="181" w:lineRule="exact"/>
        <w:rPr>
          <w:sz w:val="20"/>
          <w:szCs w:val="20"/>
          <w:color w:val="auto"/>
        </w:rPr>
      </w:pPr>
    </w:p>
    <w:p>
      <w:pPr>
        <w:ind w:left="464" w:hanging="464"/>
        <w:spacing w:after="0"/>
        <w:tabs>
          <w:tab w:leader="none" w:pos="4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4" w:lineRule="exact"/>
        <w:rPr>
          <w:rFonts w:ascii="Courier New" w:cs="Courier New" w:eastAsia="Courier New" w:hAnsi="Courier New"/>
          <w:sz w:val="16"/>
          <w:szCs w:val="16"/>
          <w:color w:val="auto"/>
        </w:rPr>
      </w:pPr>
    </w:p>
    <w:p>
      <w:pPr>
        <w:jc w:val="both"/>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1997, in connection with the Company's market repurchase program which terminated in May 1997, the Company sold put options on 2.0 million shares of its Class A Special Common Stock. The put options, which expired unexercised during the three months ended June 30, 1998, gave the holder the right to require the Company to repurchase such shares at a specified price on specific dates in April and May 1998. Upon expiration, the Company reclassified $31.4 million, the amount it would have been obligated to pay to repurchase such shares had the put options been exercised, from common equity put options to additional capital in the Company's condensed consolidated balance sheet.</w:t>
      </w:r>
    </w:p>
    <w:p>
      <w:pPr>
        <w:spacing w:after="0" w:line="181"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4" w:lineRule="exact"/>
        <w:rPr>
          <w:rFonts w:ascii="Courier New" w:cs="Courier New" w:eastAsia="Courier New" w:hAnsi="Courier New"/>
          <w:sz w:val="16"/>
          <w:szCs w:val="16"/>
          <w:color w:val="auto"/>
        </w:rPr>
      </w:pPr>
    </w:p>
    <w:p>
      <w:pPr>
        <w:jc w:val="both"/>
        <w:ind w:left="4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interest of $262.6 million, $233.8 million, $198.5 million and $116.7 million during the six and three months ended June 30, 1998 and 1997, respectively.</w:t>
      </w:r>
    </w:p>
    <w:p>
      <w:pPr>
        <w:sectPr>
          <w:pgSz w:w="11900" w:h="16838" w:orient="portrait"/>
          <w:cols w:equalWidth="0" w:num="1">
            <w:col w:w="10223"/>
          </w:cols>
          <w:pgMar w:left="236" w:top="473" w:right="1440" w:bottom="1440" w:gutter="0" w:footer="0" w:header="0"/>
        </w:sectPr>
      </w:pPr>
    </w:p>
    <w:p>
      <w:pPr>
        <w:spacing w:after="0" w:line="185" w:lineRule="exact"/>
        <w:rPr>
          <w:sz w:val="20"/>
          <w:szCs w:val="20"/>
          <w:color w:val="auto"/>
        </w:rPr>
      </w:pPr>
    </w:p>
    <w:p>
      <w:pPr>
        <w:ind w:left="464"/>
        <w:spacing w:after="0" w:line="259" w:lineRule="auto"/>
        <w:rPr>
          <w:sz w:val="20"/>
          <w:szCs w:val="20"/>
          <w:color w:val="auto"/>
        </w:rPr>
      </w:pPr>
      <w:r>
        <w:rPr>
          <w:rFonts w:ascii="Courier New" w:cs="Courier New" w:eastAsia="Courier New" w:hAnsi="Courier New"/>
          <w:sz w:val="15"/>
          <w:szCs w:val="15"/>
          <w:color w:val="auto"/>
        </w:rPr>
        <w:t>The Company made cash payments for income million, $73.0 million and $56.7 million ended June 30, 1998 and 1997, respectively.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taxes of $88.1 million, $75.0 during the six and three months</w:t>
      </w:r>
    </w:p>
    <w:p>
      <w:pPr>
        <w:spacing w:after="0" w:line="343" w:lineRule="exact"/>
        <w:rPr>
          <w:sz w:val="20"/>
          <w:szCs w:val="20"/>
          <w:color w:val="auto"/>
        </w:rPr>
      </w:pPr>
    </w:p>
    <w:p>
      <w:pPr>
        <w:sectPr>
          <w:pgSz w:w="11900" w:h="16838" w:orient="portrait"/>
          <w:cols w:equalWidth="0" w:num="2">
            <w:col w:w="4504" w:space="100"/>
            <w:col w:w="5619"/>
          </w:cols>
          <w:pgMar w:left="236" w:top="473" w:right="1440" w:bottom="1440" w:gutter="0" w:footer="0" w:header="0"/>
          <w:type w:val="continuous"/>
        </w:sectPr>
      </w:pPr>
    </w:p>
    <w:p>
      <w:pPr>
        <w:ind w:left="464" w:hanging="464"/>
        <w:spacing w:after="0"/>
        <w:tabs>
          <w:tab w:leader="none" w:pos="46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4" w:lineRule="exact"/>
        <w:rPr>
          <w:rFonts w:ascii="Courier New" w:cs="Courier New" w:eastAsia="Courier New" w:hAnsi="Courier New"/>
          <w:sz w:val="16"/>
          <w:szCs w:val="16"/>
          <w:color w:val="auto"/>
        </w:rPr>
      </w:pPr>
    </w:p>
    <w:p>
      <w:pPr>
        <w:jc w:val="both"/>
        <w:ind w:left="4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36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3"/>
          </w:cols>
          <w:pgMar w:left="236" w:top="473" w:right="1440" w:bottom="1440" w:gutter="0" w:footer="0" w:header="0"/>
          <w:type w:val="continuous"/>
        </w:sectPr>
      </w:pPr>
    </w:p>
    <w:bookmarkStart w:id="12" w:name="page13"/>
    <w:bookmarkEnd w:id="12"/>
    <w:p>
      <w:pPr>
        <w:jc w:val="center"/>
        <w:ind w:right="4016"/>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916"/>
        <w:spacing w:after="0"/>
        <w:rPr>
          <w:sz w:val="20"/>
          <w:szCs w:val="20"/>
          <w:color w:val="auto"/>
        </w:rPr>
      </w:pPr>
      <w:r>
        <w:rPr>
          <w:rFonts w:ascii="Courier New" w:cs="Courier New" w:eastAsia="Courier New" w:hAnsi="Courier New"/>
          <w:sz w:val="16"/>
          <w:szCs w:val="16"/>
          <w:color w:val="auto"/>
        </w:rPr>
        <w:t>FORM 10-Q</w:t>
      </w:r>
    </w:p>
    <w:p>
      <w:pPr>
        <w:jc w:val="center"/>
        <w:ind w:right="3916"/>
        <w:spacing w:after="0" w:line="237" w:lineRule="auto"/>
        <w:rPr>
          <w:sz w:val="20"/>
          <w:szCs w:val="20"/>
          <w:color w:val="auto"/>
        </w:rPr>
      </w:pPr>
      <w:r>
        <w:rPr>
          <w:rFonts w:ascii="Courier New" w:cs="Courier New" w:eastAsia="Courier New" w:hAnsi="Courier New"/>
          <w:sz w:val="16"/>
          <w:szCs w:val="16"/>
          <w:color w:val="auto"/>
        </w:rPr>
        <w:t>QUARTER ENDED JUNE 30, 1998</w:t>
      </w:r>
    </w:p>
    <w:p>
      <w:pPr>
        <w:jc w:val="center"/>
        <w:ind w:right="4016"/>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jc w:val="center"/>
        <w:ind w:right="3916"/>
        <w:spacing w:after="0" w:line="238" w:lineRule="auto"/>
        <w:rPr>
          <w:sz w:val="20"/>
          <w:szCs w:val="20"/>
          <w:color w:val="auto"/>
        </w:rPr>
      </w:pPr>
      <w:r>
        <w:rPr>
          <w:rFonts w:ascii="Courier New" w:cs="Courier New" w:eastAsia="Courier New" w:hAnsi="Courier New"/>
          <w:sz w:val="16"/>
          <w:szCs w:val="16"/>
          <w:color w:val="auto"/>
        </w:rPr>
        <w:t>(Unaudited)</w:t>
      </w:r>
    </w:p>
    <w:p>
      <w:pPr>
        <w:spacing w:after="0" w:line="185" w:lineRule="exact"/>
        <w:rPr>
          <w:sz w:val="20"/>
          <w:szCs w:val="20"/>
          <w:color w:val="auto"/>
        </w:rPr>
      </w:pPr>
    </w:p>
    <w:p>
      <w:pPr>
        <w:ind w:left="464" w:right="7860" w:hanging="464"/>
        <w:spacing w:after="0" w:line="236"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millions)</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00" w:type="dxa"/>
            <w:vAlign w:val="bottom"/>
          </w:tcPr>
          <w:p>
            <w:pPr>
              <w:spacing w:after="0"/>
              <w:rPr>
                <w:sz w:val="15"/>
                <w:szCs w:val="15"/>
                <w:color w:val="auto"/>
              </w:rPr>
            </w:pPr>
          </w:p>
        </w:tc>
        <w:tc>
          <w:tcPr>
            <w:tcW w:w="17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Domestic</w:t>
            </w: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Cable</w:t>
            </w:r>
          </w:p>
        </w:tc>
        <w:tc>
          <w:tcPr>
            <w:tcW w:w="1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Electronic</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Cellular</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Corporate</w:t>
            </w:r>
          </w:p>
        </w:tc>
        <w:tc>
          <w:tcPr>
            <w:tcW w:w="98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Communications</w:t>
            </w:r>
          </w:p>
        </w:tc>
        <w:tc>
          <w:tcPr>
            <w:tcW w:w="1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Retailing</w:t>
            </w:r>
          </w:p>
        </w:tc>
        <w:tc>
          <w:tcPr>
            <w:tcW w:w="15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Communications</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and Other (1)</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Total</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Six Months Ended June 30, 1998</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$1,109.5</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$1,074.6</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$221.3</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$276.1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$2,681.5</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323.6</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58.4</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57.7</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86.7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526.4</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201.8</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129.5</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31.0</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(97.9)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264.4</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107.9</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26.4</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53.3</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104.3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291.9</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293.7</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41.6</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17.4</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66.9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419.6</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237.0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237.0</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Three Months Ended June 30, 1998</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$568.3</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$530.0</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$115.9</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$107.5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$1,321.7</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161.7</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28.9</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29.7</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259.1</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114.3</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63.8</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19.5</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(54.2)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143.4</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54.4</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13.1</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26.1</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50.7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144.3</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153.4</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22.1</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13.0</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220.5</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107.3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107.3</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As of June 30, 1998</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$6,254.7</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$2,221.0</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$1,455.6</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$3,358.4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$13,289.7</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2,709.1</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725.0</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1,249.3</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1,975.5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6,658.9</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Six Months Ended June 30, 1997</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$1,021.9</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$947.4</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$220.3</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$125.7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$2,315.3</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306.8</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51.6</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53.6</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50.4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462.4</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169.9</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103.0</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35.0</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(69.2)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238.7</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119.9</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27.9</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52.1</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79.0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278.9</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251.5</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41.1</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57.9</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96.6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447.1</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131.2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131.2</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Three Months Ended June 30, 1997</w:t>
            </w: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$520.8</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$467.7</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$116.2</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$79.8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$1,184.5</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168.0</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24.8</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25.6</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31.6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78.4</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50.7</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25.3</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(37.0)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117.4</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63.2</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13.9</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28.1</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40.4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145.6</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144.9</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26.1</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40.0</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56.1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267.1</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61.1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61.1</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464" w:right="4020" w:hanging="464"/>
        <w:spacing w:after="0" w:line="237" w:lineRule="auto"/>
        <w:tabs>
          <w:tab w:leader="none" w:pos="4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certain operating businesses, including Comcast-Spectacor (effective January 1, 1998) and E! Entertainment (effective March 31, 1997), the Company's consolidated UK cable and telecommunications operations, the Company's DBS operations (prior to April 1, 1998) and elimination entries related to the segments presented.</w:t>
      </w:r>
    </w:p>
    <w:p>
      <w:pPr>
        <w:spacing w:after="0" w:line="200" w:lineRule="exact"/>
        <w:rPr>
          <w:sz w:val="20"/>
          <w:szCs w:val="20"/>
          <w:color w:val="auto"/>
        </w:rPr>
      </w:pPr>
    </w:p>
    <w:p>
      <w:pPr>
        <w:spacing w:after="0" w:line="34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524"/>
          </w:cols>
          <w:pgMar w:left="236" w:top="473" w:right="139" w:bottom="1440"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9"/>
        <w:spacing w:after="0"/>
        <w:rPr>
          <w:sz w:val="20"/>
          <w:szCs w:val="20"/>
          <w:color w:val="auto"/>
        </w:rPr>
      </w:pPr>
      <w:r>
        <w:rPr>
          <w:rFonts w:ascii="Courier New" w:cs="Courier New" w:eastAsia="Courier New" w:hAnsi="Courier New"/>
          <w:sz w:val="16"/>
          <w:szCs w:val="16"/>
          <w:color w:val="auto"/>
        </w:rPr>
        <w:t>FORM 10-Q</w:t>
      </w:r>
    </w:p>
    <w:p>
      <w:pPr>
        <w:jc w:val="center"/>
        <w:ind w:right="2639"/>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365" w:lineRule="exact"/>
        <w:rPr>
          <w:sz w:val="20"/>
          <w:szCs w:val="20"/>
          <w:color w:val="auto"/>
        </w:rPr>
      </w:pPr>
    </w:p>
    <w:p>
      <w:pPr>
        <w:ind w:left="940" w:right="3379" w:hanging="937"/>
        <w:spacing w:after="0" w:line="236" w:lineRule="auto"/>
        <w:tabs>
          <w:tab w:leader="none" w:pos="92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cash equivalents and short-term investments.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5"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See Note 3 to the Company's condensed consolidated financial statements included in Item 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4"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The Company has traditionally maintained significant levels of cash, cash equivalents and short-term investments to meet its short-term liquidity requirements. Cash, cash equivalents and short-term investments as of June 30, 1998 were $565.1 million. As of June 30, 1998, $402.8 million of the Company's cash, cash equivalents and short-term investments is restricted to use by subsidiaries of the Company under contractual or other arrangements, including $154.0 million which is restricted to use by Comcast UK Cable Partners Limited ("Comcast UK Cable"), a consolidated subsidiary of the Company.</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Company's cash equivalents and short-term investments are recorded at cost which approximates their fair value. As of June 30, 1998, short-term investments have a weighted average maturity of approximately eight months.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See Notes 3 and 4 to the Company's condensed consolidated financial statements included in Item 1.</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Company does not have any significant contractual commitments with respect to any of its investments. However, to the extent the Company does not fund its investees' capital calls, it exposes itself to dilution of its ownership interests. The Company continually evaluates its existing investments as well as new investment opportunities.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w:t>
      </w:r>
    </w:p>
    <w:p>
      <w:pPr>
        <w:spacing w:after="0" w:line="4"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As of June 30, 1998 and December 31, 1997, the Company's long-term debt, including current portion, was $6.763 billion and $6.691 billion, respectively, of which 22.6% and 17.1%, respectively, was at variable rates. As of July 31, 1998, certain subsidiaries of the Company had unused lines of credit of $1.164 billion. The availability and use of these unused lines of credit is restricted by the covenants of the related debt agreements and to subsidiary general purposes and dividend declaration. As of June 30, 1998 and December 31, 1997, the Company's effective weighted average interest rate on its long-term debt outstanding was 8.42% and 8.36%, respectively.</w:t>
      </w:r>
    </w:p>
    <w:p>
      <w:pPr>
        <w:spacing w:after="0" w:line="186"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In March 1998, the Company completed the redemption of its $541.9 million principal amount 1 1/8% discount convertible subordinated debentures due 2007 (the "1 1/8% Debentures"). The Company issued 10.4 million shares of its Class A Special Common Stock upon conversion of $540.2 million principal amount of 1 1/8% Debentures while $1.7 million principal amount of 1 1/8% Debentures was redeemed for cash at a redemption price of 67.112% of the principal amount, together with accrued interest thereon. Stockholders' equity was increased by the full amount of 1 1/8% Debentures converted plus accrued interest, less unamortized debt acquisition costs. Unamortized debt acquisition costs related to the 1 1/8% Debentures redeemed for cash were not significant. The issuance of the Company's Class A Special Common Stock upon conversion of the 1 1/8% Debentures had no impact on the Company's condensed consolidated statement of cash flows due to its noncash nature.</w:t>
      </w:r>
    </w:p>
    <w:p>
      <w:pPr>
        <w:spacing w:after="0" w:line="184"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3" w:right="1440" w:bottom="1440" w:gutter="0" w:footer="0" w:header="0"/>
        </w:sectPr>
      </w:pPr>
    </w:p>
    <w:bookmarkStart w:id="14" w:name="page15"/>
    <w:bookmarkEnd w:id="14"/>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9"/>
        <w:spacing w:after="0"/>
        <w:rPr>
          <w:sz w:val="20"/>
          <w:szCs w:val="20"/>
          <w:color w:val="auto"/>
        </w:rPr>
      </w:pPr>
      <w:r>
        <w:rPr>
          <w:rFonts w:ascii="Courier New" w:cs="Courier New" w:eastAsia="Courier New" w:hAnsi="Courier New"/>
          <w:sz w:val="16"/>
          <w:szCs w:val="16"/>
          <w:color w:val="auto"/>
        </w:rPr>
        <w:t>FORM 10-Q</w:t>
      </w:r>
    </w:p>
    <w:p>
      <w:pPr>
        <w:jc w:val="center"/>
        <w:ind w:right="2639"/>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365" w:lineRule="exact"/>
        <w:rPr>
          <w:sz w:val="20"/>
          <w:szCs w:val="20"/>
          <w:color w:val="auto"/>
        </w:rPr>
      </w:pPr>
    </w:p>
    <w:p>
      <w:pPr>
        <w:jc w:val="both"/>
        <w:ind w:right="2719"/>
        <w:spacing w:after="0" w:line="256" w:lineRule="auto"/>
        <w:rPr>
          <w:sz w:val="20"/>
          <w:szCs w:val="20"/>
          <w:color w:val="auto"/>
        </w:rPr>
      </w:pPr>
      <w:r>
        <w:rPr>
          <w:rFonts w:ascii="Courier New" w:cs="Courier New" w:eastAsia="Courier New" w:hAnsi="Courier New"/>
          <w:sz w:val="15"/>
          <w:szCs w:val="15"/>
          <w:color w:val="auto"/>
        </w:rPr>
        <w:t>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the Company believes that competition, technological changes and its history of significant losses will not significantly affect its ability to obtain financing.</w:t>
      </w:r>
    </w:p>
    <w:p>
      <w:pPr>
        <w:spacing w:after="0" w:line="174"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5" w:lineRule="exact"/>
        <w:rPr>
          <w:sz w:val="20"/>
          <w:szCs w:val="20"/>
          <w:color w:val="auto"/>
        </w:rPr>
      </w:pPr>
    </w:p>
    <w:p>
      <w:pPr>
        <w:jc w:val="both"/>
        <w:ind w:right="2719"/>
        <w:spacing w:after="0" w:line="257" w:lineRule="auto"/>
        <w:rPr>
          <w:sz w:val="20"/>
          <w:szCs w:val="20"/>
          <w:color w:val="auto"/>
        </w:rPr>
      </w:pPr>
      <w:r>
        <w:rPr>
          <w:rFonts w:ascii="Courier New" w:cs="Courier New" w:eastAsia="Courier New" w:hAnsi="Courier New"/>
          <w:sz w:val="15"/>
          <w:szCs w:val="15"/>
          <w:color w:val="auto"/>
        </w:rPr>
        <w:t>Cash and cash equivalents increased $102.9 million as of June 30, 1998 from December 31, 1997 and increased $933.3 million as of June 30, 1997 from December 31, 1996. Changes in cash and cash equivalents resulted from cash flows from operating, financing and investing activities which are explained below.</w:t>
      </w:r>
    </w:p>
    <w:p>
      <w:pPr>
        <w:spacing w:after="0" w:line="174"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Net cash provided by operating activities amounted to $438.1 million and $436.4 million for the six months ended June 30, 1998 and 1997, respectively. The increase of $1.7 million is principally due to the increase in the Company's operating income before depreciation and amortization (see "Results of Operations") and changes in working capital as a result of the timing of receipts and disbursements, including the effects of the consolidation of Comcast Spectacor, L.P. ("Comcast-Spectacor") effective January 1, 1998 (see Note 4 to the Company's condensed consolidated financial statements included in Item 1) and the acquisition of E! Entertainment Television, Inc. ("E! Entertainment") on March 31, 1997 (the "E! Acquisition").</w:t>
      </w:r>
    </w:p>
    <w:p>
      <w:pPr>
        <w:spacing w:after="0" w:line="187"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Net cash provided by financing activities was $207.2 million and $924.7 million for the six months ended June 30, 1998 and 1997, respectively. During the six months ended June 30, 1998, the Company borrowed $1.029 billion and repaid $815.9 million of its long-term debt, primarily in connection with the refinancing of certain subsidiary indebtedness in March 1998. In addition, during the six months ended June 30, 1998, the Company had net issuances of $13.9 million of its common stock and paid cash dividends of $17.9 million on its common stock and Series A Preferred Stock. During the six months ended June 30, 1997, the Company borrowed $2.958 billion, primarily in connection with the refinancing of certain subsidiary indebtedness and the acquisition of E! Entertainment (the "E! Acquisition"), and repaid $2.940 billion of its long-term debt, primarily in connection with the refinancing of certain subsidiary indebtedness and the redemption of debt. Deferred financing costs of $43.2 million were incurred during the six months ended June 30, 1997 related to the issuance of certain subsidiary senior notes. In addition, during the six months ended June 30, 1997, the Company received $1.0 billion from Microsoft Corporation for the issuance of its Class A Special Common Stock and Series B Preferred Stock, repurchased $33.6 million of its common stock and paid cash dividends of $16.5 million on its common stock and Series A Preferred Stock.</w:t>
      </w:r>
    </w:p>
    <w:p>
      <w:pPr>
        <w:spacing w:after="0" w:line="358"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Net cash used in investing activities was $542.4 million and $427.8 million for the six months ended June 30, 1998 and 1997, respectively. During the six months ended June 30, 1998, net cash used in investing activities includes acquisitions, net of cash acquired, of $219.4 million, investments in affiliates of $83.4 million and capital expenditures of $419.6 million, offset by proceeds from the sales of short-term investments and call options of $136.1 million and repayment of a loan by an investee of $74.7 million. During the six months ended June 30, 1997, net cash used in investing activities includes acquisitions, net of cash acquired, of $125.8 million, investments in affiliates of $78.5 million and capital expenditures of $447.1 million, offset by the proceeds from the sales of short-term and long-term investments and a distribution from an investee of $222.9 million and repayment of a loan by an investee of $25.2 million.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The effects of the Company's recent acquisitions and the consolidation of Comcast-Spectacor effective January 1, 1998, as well as increased levels of capital expenditures, were to increase the Company's revenues and expenses resulting in increases in its operating income before depreciation and amortization, depreciation expense, amortization expense and interest expense. In addition, the Company's equity in net losses of affiliates has increased principally as a result of the start-up nature of certain of the Company's equity investees (see "Consolidated Analysis").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73" w:right="1440" w:bottom="1009" w:gutter="0" w:footer="0" w:header="0"/>
        </w:sectPr>
      </w:pPr>
    </w:p>
    <w:bookmarkStart w:id="15" w:name="page16"/>
    <w:bookmarkEnd w:id="15"/>
    <w:p>
      <w:pPr>
        <w:jc w:val="center"/>
        <w:ind w:right="3176"/>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076"/>
        <w:spacing w:after="0"/>
        <w:rPr>
          <w:sz w:val="20"/>
          <w:szCs w:val="20"/>
          <w:color w:val="auto"/>
        </w:rPr>
      </w:pPr>
      <w:r>
        <w:rPr>
          <w:rFonts w:ascii="Courier New" w:cs="Courier New" w:eastAsia="Courier New" w:hAnsi="Courier New"/>
          <w:sz w:val="16"/>
          <w:szCs w:val="16"/>
          <w:color w:val="auto"/>
        </w:rPr>
        <w:t>FORM 10-Q</w:t>
      </w:r>
    </w:p>
    <w:p>
      <w:pPr>
        <w:jc w:val="center"/>
        <w:ind w:right="3076"/>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365" w:lineRule="exact"/>
        <w:rPr>
          <w:sz w:val="20"/>
          <w:szCs w:val="20"/>
          <w:color w:val="auto"/>
        </w:rPr>
      </w:pPr>
    </w:p>
    <w:p>
      <w:pPr>
        <w:jc w:val="both"/>
        <w:ind w:left="4" w:right="3180"/>
        <w:spacing w:after="0" w:line="237" w:lineRule="auto"/>
        <w:rPr>
          <w:sz w:val="20"/>
          <w:szCs w:val="20"/>
          <w:color w:val="auto"/>
        </w:rPr>
      </w:pPr>
      <w:r>
        <w:rPr>
          <w:rFonts w:ascii="Courier New" w:cs="Courier New" w:eastAsia="Courier New" w:hAnsi="Courier New"/>
          <w:sz w:val="16"/>
          <w:szCs w:val="16"/>
          <w:color w:val="auto"/>
        </w:rPr>
        <w:t>Summarized consolidated financial information for the Company for the six and three months ended June 30, 1998 and 1997 is as follows (dollars in millions, "NM" denotes percentage is not meaningful):</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2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Six Months Ended</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27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June 30,</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0"/>
        </w:trPr>
        <w:tc>
          <w:tcPr>
            <w:tcW w:w="5720" w:type="dxa"/>
            <w:vAlign w:val="bottom"/>
          </w:tcPr>
          <w:p>
            <w:pPr>
              <w:spacing w:after="0"/>
              <w:rPr>
                <w:sz w:val="15"/>
                <w:szCs w:val="15"/>
                <w:color w:val="auto"/>
              </w:rPr>
            </w:pPr>
          </w:p>
        </w:tc>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$2,681.5</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$2,315.3</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$366.2</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652.4</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571.8</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80.6</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14.1</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1,238.3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1,042.4</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195.9</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18.8</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amortization (1).......................................</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790.8</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701.1</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89.7</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268.8</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221.5</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47.3</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21.4</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257.6</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240.9</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16.7</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264.4</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238.7</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25.7</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10.8</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291.9</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278.9</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Investment expense (income), net..........................</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(93.6)</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(94.8)</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NM</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237.0</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131.2</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105.8</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Gain from equity offering of affiliate....................</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(59.6)</w:t>
            </w:r>
          </w:p>
        </w:tc>
        <w:tc>
          <w:tcPr>
            <w:tcW w:w="13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59.6</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NM</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(7.9)</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NM</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36.9</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(36.6)</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(99.2)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(39.2)</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(39.8)</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(0.6)</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Extraordinary items.......................................</w:t>
            </w:r>
          </w:p>
        </w:tc>
        <w:tc>
          <w:tcPr>
            <w:tcW w:w="1400" w:type="dxa"/>
            <w:vAlign w:val="bottom"/>
          </w:tcPr>
          <w:p>
            <w:pPr>
              <w:spacing w:after="0"/>
              <w:rPr>
                <w:sz w:val="15"/>
                <w:szCs w:val="15"/>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(22.8)</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(22.8)</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NM</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($163.7)</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($102.1)</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$61.6</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60.3%</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61"/>
        </w:trPr>
        <w:tc>
          <w:tcPr>
            <w:tcW w:w="5720" w:type="dxa"/>
            <w:vAlign w:val="bottom"/>
          </w:tcPr>
          <w:p>
            <w:pPr>
              <w:spacing w:after="0"/>
              <w:rPr>
                <w:sz w:val="24"/>
                <w:szCs w:val="24"/>
                <w:color w:val="auto"/>
              </w:rPr>
            </w:pPr>
          </w:p>
        </w:tc>
        <w:tc>
          <w:tcPr>
            <w:tcW w:w="27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Three Months Ended</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0"/>
        </w:trPr>
        <w:tc>
          <w:tcPr>
            <w:tcW w:w="5720" w:type="dxa"/>
            <w:vAlign w:val="bottom"/>
          </w:tcPr>
          <w:p>
            <w:pPr>
              <w:spacing w:after="0"/>
              <w:rPr>
                <w:sz w:val="15"/>
                <w:szCs w:val="15"/>
                <w:color w:val="auto"/>
              </w:rPr>
            </w:pPr>
          </w:p>
        </w:tc>
        <w:tc>
          <w:tcPr>
            <w:tcW w:w="27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June 30,</w:t>
            </w: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0"/>
        </w:trPr>
        <w:tc>
          <w:tcPr>
            <w:tcW w:w="5720" w:type="dxa"/>
            <w:vAlign w:val="bottom"/>
          </w:tcPr>
          <w:p>
            <w:pPr>
              <w:spacing w:after="0"/>
              <w:rPr>
                <w:sz w:val="15"/>
                <w:szCs w:val="15"/>
                <w:color w:val="auto"/>
              </w:rPr>
            </w:pPr>
          </w:p>
        </w:tc>
        <w:tc>
          <w:tcPr>
            <w:tcW w:w="1400" w:type="dxa"/>
            <w:vAlign w:val="bottom"/>
          </w:tcPr>
          <w:p>
            <w:pPr>
              <w:ind w:left="560"/>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$1,321.7</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$1,184.5</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$137.2</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320.0</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279.0</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599.2</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538.1</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61.1</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11.4</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amortization (1) ......................................</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402.5</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367.4</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35.1</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131.4</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125.7</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127.7</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124.3</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143.4</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117.4</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22.1</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145.6</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(81.4)</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(81.3)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(99.9)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107.3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61.1</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46.2</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27.0</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(27.3)</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NM</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(22.0)</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(15.8)</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6.2</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Extraordinary items.......................................</w:t>
            </w:r>
          </w:p>
        </w:tc>
        <w:tc>
          <w:tcPr>
            <w:tcW w:w="1400" w:type="dxa"/>
            <w:vAlign w:val="bottom"/>
          </w:tcPr>
          <w:p>
            <w:pPr>
              <w:spacing w:after="0"/>
              <w:rPr>
                <w:sz w:val="15"/>
                <w:szCs w:val="15"/>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(22.8)</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(22.8)</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NM</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($84.8)</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($37.4)</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$47.4</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NM</w:t>
            </w:r>
          </w:p>
        </w:tc>
      </w:tr>
      <w:tr>
        <w:trPr>
          <w:trHeight w:val="180"/>
        </w:trPr>
        <w:tc>
          <w:tcPr>
            <w:tcW w:w="57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464" w:right="3180" w:hanging="464"/>
        <w:spacing w:after="0" w:line="238" w:lineRule="auto"/>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expense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does not purport to represent net income or net cash provided by operating activities, as those terms are defined under generally accepted accounting</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684"/>
          </w:cols>
          <w:pgMar w:left="236" w:top="473" w:right="979" w:bottom="1440" w:gutter="0" w:footer="0" w:header="0"/>
        </w:sectPr>
      </w:pPr>
    </w:p>
    <w:bookmarkStart w:id="16" w:name="page17"/>
    <w:bookmarkEnd w:id="16"/>
    <w:p>
      <w:pPr>
        <w:jc w:val="center"/>
        <w:ind w:right="12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0"/>
        <w:spacing w:after="0"/>
        <w:rPr>
          <w:sz w:val="20"/>
          <w:szCs w:val="20"/>
          <w:color w:val="auto"/>
        </w:rPr>
      </w:pPr>
      <w:r>
        <w:rPr>
          <w:rFonts w:ascii="Courier New" w:cs="Courier New" w:eastAsia="Courier New" w:hAnsi="Courier New"/>
          <w:sz w:val="16"/>
          <w:szCs w:val="16"/>
          <w:color w:val="auto"/>
        </w:rPr>
        <w:t>FORM 10-Q</w:t>
      </w:r>
    </w:p>
    <w:p>
      <w:pPr>
        <w:jc w:val="center"/>
        <w:ind w:right="40"/>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185" w:lineRule="exact"/>
        <w:rPr>
          <w:sz w:val="20"/>
          <w:szCs w:val="20"/>
          <w:color w:val="auto"/>
        </w:rPr>
      </w:pPr>
    </w:p>
    <w:p>
      <w:pPr>
        <w:jc w:val="both"/>
        <w:ind w:left="460" w:right="120"/>
        <w:spacing w:after="0" w:line="237" w:lineRule="auto"/>
        <w:rPr>
          <w:sz w:val="20"/>
          <w:szCs w:val="20"/>
          <w:color w:val="auto"/>
        </w:rPr>
      </w:pPr>
      <w:r>
        <w:rPr>
          <w:rFonts w:ascii="Courier New" w:cs="Courier New" w:eastAsia="Courier New" w:hAnsi="Courier New"/>
          <w:sz w:val="16"/>
          <w:szCs w:val="16"/>
          <w:color w:val="auto"/>
        </w:rPr>
        <w:t>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Domestic Cable Communications</w:t>
      </w:r>
    </w:p>
    <w:p>
      <w:pPr>
        <w:spacing w:after="0" w:line="185" w:lineRule="exact"/>
        <w:rPr>
          <w:sz w:val="20"/>
          <w:szCs w:val="20"/>
          <w:color w:val="auto"/>
        </w:rPr>
      </w:pPr>
    </w:p>
    <w:p>
      <w:pPr>
        <w:jc w:val="both"/>
        <w:ind w:right="120"/>
        <w:spacing w:after="0" w:line="236" w:lineRule="auto"/>
        <w:rPr>
          <w:sz w:val="20"/>
          <w:szCs w:val="20"/>
          <w:color w:val="auto"/>
        </w:rPr>
      </w:pPr>
      <w:r>
        <w:rPr>
          <w:rFonts w:ascii="Courier New" w:cs="Courier New" w:eastAsia="Courier New" w:hAnsi="Courier New"/>
          <w:sz w:val="16"/>
          <w:szCs w:val="16"/>
          <w:color w:val="auto"/>
        </w:rPr>
        <w:t>The following table sets forth the operating results for the Company's domestic cable communications segment (dollars 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4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Six Months Ended</w:t>
            </w:r>
          </w:p>
        </w:tc>
      </w:tr>
      <w:tr>
        <w:trPr>
          <w:trHeight w:val="180"/>
        </w:trPr>
        <w:tc>
          <w:tcPr>
            <w:tcW w:w="4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w w:val="96"/>
              </w:rPr>
              <w:t>June 30,</w:t>
            </w:r>
          </w:p>
        </w:tc>
      </w:tr>
      <w:tr>
        <w:trPr>
          <w:trHeight w:val="180"/>
        </w:trPr>
        <w:tc>
          <w:tcPr>
            <w:tcW w:w="474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c>
          <w:tcPr>
            <w:tcW w:w="1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$1,109.5</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$1,021.9</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74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584.2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545.2</w:t>
            </w:r>
          </w:p>
        </w:tc>
      </w:tr>
      <w:tr>
        <w:trPr>
          <w:trHeight w:val="180"/>
        </w:trPr>
        <w:tc>
          <w:tcPr>
            <w:tcW w:w="47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74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$525.3</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$476.7</w:t>
            </w:r>
          </w:p>
        </w:tc>
      </w:tr>
      <w:tr>
        <w:trPr>
          <w:trHeight w:val="180"/>
        </w:trPr>
        <w:tc>
          <w:tcPr>
            <w:tcW w:w="47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740" w:type="dxa"/>
            <w:vAlign w:val="bottom"/>
          </w:tcPr>
          <w:p>
            <w:pPr>
              <w:spacing w:after="0"/>
              <w:rPr>
                <w:sz w:val="24"/>
                <w:szCs w:val="24"/>
                <w:color w:val="auto"/>
              </w:rPr>
            </w:pPr>
          </w:p>
        </w:tc>
        <w:tc>
          <w:tcPr>
            <w:tcW w:w="24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Three Months Ended</w:t>
            </w:r>
          </w:p>
        </w:tc>
      </w:tr>
      <w:tr>
        <w:trPr>
          <w:trHeight w:val="180"/>
        </w:trPr>
        <w:tc>
          <w:tcPr>
            <w:tcW w:w="4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w w:val="96"/>
              </w:rPr>
              <w:t>June 30,</w:t>
            </w:r>
          </w:p>
        </w:tc>
      </w:tr>
      <w:tr>
        <w:trPr>
          <w:trHeight w:val="180"/>
        </w:trPr>
        <w:tc>
          <w:tcPr>
            <w:tcW w:w="474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c>
          <w:tcPr>
            <w:tcW w:w="1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$568.3</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$520.8</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74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292.4</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274.4</w:t>
            </w:r>
          </w:p>
        </w:tc>
      </w:tr>
      <w:tr>
        <w:trPr>
          <w:trHeight w:val="180"/>
        </w:trPr>
        <w:tc>
          <w:tcPr>
            <w:tcW w:w="47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74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$275.9</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$246.4</w:t>
            </w:r>
          </w:p>
        </w:tc>
      </w:tr>
      <w:tr>
        <w:trPr>
          <w:trHeight w:val="180"/>
        </w:trPr>
        <w:tc>
          <w:tcPr>
            <w:tcW w:w="47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(a) See footnote (1) on page 15.</w:t>
      </w:r>
    </w:p>
    <w:p>
      <w:pPr>
        <w:spacing w:after="0" w:line="200" w:lineRule="exact"/>
        <w:rPr>
          <w:sz w:val="20"/>
          <w:szCs w:val="20"/>
          <w:color w:val="auto"/>
        </w:rPr>
      </w:pPr>
    </w:p>
    <w:p>
      <w:pPr>
        <w:spacing w:after="0" w:line="344" w:lineRule="exact"/>
        <w:rPr>
          <w:sz w:val="20"/>
          <w:szCs w:val="20"/>
          <w:color w:val="auto"/>
        </w:rPr>
      </w:pPr>
    </w:p>
    <w:p>
      <w:pPr>
        <w:jc w:val="both"/>
        <w:ind w:right="120"/>
        <w:spacing w:after="0" w:line="238" w:lineRule="auto"/>
        <w:rPr>
          <w:sz w:val="20"/>
          <w:szCs w:val="20"/>
          <w:color w:val="auto"/>
        </w:rPr>
      </w:pPr>
      <w:r>
        <w:rPr>
          <w:rFonts w:ascii="Courier New" w:cs="Courier New" w:eastAsia="Courier New" w:hAnsi="Courier New"/>
          <w:sz w:val="16"/>
          <w:szCs w:val="16"/>
          <w:color w:val="auto"/>
        </w:rPr>
        <w:t>Of the respective $87.6 million and $47.5 million increases in service income for the six and three month periods from 1997 to 1998, $9.9 million is attributable to the effects of the acquisitions of cable communications systems, $17.1 million and $8.6 million are attributable to subscriber growth, $50.2 million and $25.9 million relate to changes in rates, $9.3 million and $5.4 million are attributable to growth in cable advertising sales and the remaining changes relate to other product offerings.</w:t>
      </w:r>
    </w:p>
    <w:p>
      <w:pPr>
        <w:spacing w:after="0" w:line="185" w:lineRule="exact"/>
        <w:rPr>
          <w:sz w:val="20"/>
          <w:szCs w:val="20"/>
          <w:color w:val="auto"/>
        </w:rPr>
      </w:pPr>
    </w:p>
    <w:p>
      <w:pPr>
        <w:jc w:val="both"/>
        <w:ind w:right="120"/>
        <w:spacing w:after="0" w:line="238" w:lineRule="auto"/>
        <w:rPr>
          <w:sz w:val="20"/>
          <w:szCs w:val="20"/>
          <w:color w:val="auto"/>
        </w:rPr>
      </w:pPr>
      <w:r>
        <w:rPr>
          <w:rFonts w:ascii="Courier New" w:cs="Courier New" w:eastAsia="Courier New" w:hAnsi="Courier New"/>
          <w:sz w:val="16"/>
          <w:szCs w:val="16"/>
          <w:color w:val="auto"/>
        </w:rPr>
        <w:t>Of the respective $39.0 million and $18.0 million increases in operating, selling, general and administrative expenses for the six and three months period from 1997 to 1998, $5.4 million is attributable to the effects of the acquisitions of cable communications systems, $22.4 million and $9.2 million are attributable to increases in the costs of cable programming as a result of changes in rates, subscriber growth and additional channel offerings, $3.6 million and $1.6 million are attributable to growth in advertising sales and $7.6 million and $1.8 million result from increases in the cost of labor, other volume related expenses and costs associated with new product offerings. It is anticipated that the Company's cost of cable programming will increase in the future as cable programming rates increase and additional sources of cable programming become available.</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5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Increase</w:t>
            </w:r>
          </w:p>
        </w:tc>
      </w:tr>
      <w:tr>
        <w:trPr>
          <w:trHeight w:val="180"/>
        </w:trPr>
        <w:tc>
          <w:tcPr>
            <w:tcW w:w="5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$87.6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36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39.0</w:t>
            </w:r>
          </w:p>
        </w:tc>
        <w:tc>
          <w:tcPr>
            <w:tcW w:w="15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7.2</w:t>
            </w:r>
          </w:p>
        </w:tc>
      </w:tr>
      <w:tr>
        <w:trPr>
          <w:trHeight w:val="18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540" w:type="dxa"/>
            <w:vAlign w:val="bottom"/>
          </w:tcPr>
          <w:p>
            <w:pPr>
              <w:spacing w:after="0"/>
              <w:rPr>
                <w:sz w:val="15"/>
                <w:szCs w:val="15"/>
                <w:color w:val="auto"/>
              </w:rPr>
            </w:pPr>
          </w:p>
        </w:tc>
      </w:tr>
      <w:tr>
        <w:trPr>
          <w:trHeight w:val="36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$48.6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r>
        <w:trPr>
          <w:trHeight w:val="18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540" w:type="dxa"/>
            <w:vAlign w:val="bottom"/>
          </w:tcPr>
          <w:p>
            <w:pPr>
              <w:spacing w:after="0"/>
              <w:rPr>
                <w:sz w:val="15"/>
                <w:szCs w:val="15"/>
                <w:color w:val="auto"/>
              </w:rPr>
            </w:pPr>
          </w:p>
        </w:tc>
      </w:tr>
      <w:tr>
        <w:trPr>
          <w:trHeight w:val="541"/>
        </w:trPr>
        <w:tc>
          <w:tcPr>
            <w:tcW w:w="520" w:type="dxa"/>
            <w:vAlign w:val="bottom"/>
          </w:tcPr>
          <w:p>
            <w:pPr>
              <w:spacing w:after="0"/>
              <w:rPr>
                <w:sz w:val="24"/>
                <w:szCs w:val="24"/>
                <w:color w:val="auto"/>
              </w:rPr>
            </w:pPr>
          </w:p>
        </w:tc>
        <w:tc>
          <w:tcPr>
            <w:tcW w:w="15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Increase</w:t>
            </w:r>
          </w:p>
        </w:tc>
      </w:tr>
      <w:tr>
        <w:trPr>
          <w:trHeight w:val="180"/>
        </w:trPr>
        <w:tc>
          <w:tcPr>
            <w:tcW w:w="5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$47.5</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r>
      <w:tr>
        <w:trPr>
          <w:trHeight w:val="36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18.0</w:t>
            </w:r>
          </w:p>
        </w:tc>
        <w:tc>
          <w:tcPr>
            <w:tcW w:w="15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w:t>
            </w:r>
          </w:p>
        </w:tc>
      </w:tr>
      <w:tr>
        <w:trPr>
          <w:trHeight w:val="18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540" w:type="dxa"/>
            <w:vAlign w:val="bottom"/>
          </w:tcPr>
          <w:p>
            <w:pPr>
              <w:spacing w:after="0"/>
              <w:rPr>
                <w:sz w:val="15"/>
                <w:szCs w:val="15"/>
                <w:color w:val="auto"/>
              </w:rPr>
            </w:pPr>
          </w:p>
        </w:tc>
      </w:tr>
      <w:tr>
        <w:trPr>
          <w:trHeight w:val="36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$29.5</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540" w:type="dxa"/>
            <w:vAlign w:val="bottom"/>
          </w:tcPr>
          <w:p>
            <w:pPr>
              <w:spacing w:after="0"/>
              <w:rPr>
                <w:sz w:val="15"/>
                <w:szCs w:val="15"/>
                <w:color w:val="auto"/>
              </w:rPr>
            </w:pPr>
          </w:p>
        </w:tc>
      </w:tr>
    </w:tbl>
    <w:p>
      <w:pPr>
        <w:sectPr>
          <w:pgSz w:w="11900" w:h="16838" w:orient="portrait"/>
          <w:cols w:equalWidth="0" w:num="2">
            <w:col w:w="7620" w:space="720"/>
            <w:col w:w="2060"/>
          </w:cols>
          <w:pgMar w:left="240" w:top="473" w:right="1259" w:bottom="1440" w:gutter="0" w:footer="0" w:header="0"/>
        </w:sectPr>
      </w:pPr>
    </w:p>
    <w:bookmarkStart w:id="17" w:name="page18"/>
    <w:bookmarkEnd w:id="17"/>
    <w:p>
      <w:pPr>
        <w:jc w:val="center"/>
        <w:ind w:right="290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800"/>
        <w:spacing w:after="0"/>
        <w:rPr>
          <w:sz w:val="20"/>
          <w:szCs w:val="20"/>
          <w:color w:val="auto"/>
        </w:rPr>
      </w:pPr>
      <w:r>
        <w:rPr>
          <w:rFonts w:ascii="Courier New" w:cs="Courier New" w:eastAsia="Courier New" w:hAnsi="Courier New"/>
          <w:sz w:val="16"/>
          <w:szCs w:val="16"/>
          <w:color w:val="auto"/>
        </w:rPr>
        <w:t>FORM 10-Q</w:t>
      </w:r>
    </w:p>
    <w:p>
      <w:pPr>
        <w:jc w:val="center"/>
        <w:ind w:right="2800"/>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5" w:lineRule="exact"/>
        <w:rPr>
          <w:sz w:val="20"/>
          <w:szCs w:val="20"/>
          <w:color w:val="auto"/>
        </w:rPr>
      </w:pPr>
    </w:p>
    <w:p>
      <w:pPr>
        <w:jc w:val="both"/>
        <w:ind w:right="2900"/>
        <w:spacing w:after="0" w:line="237" w:lineRule="auto"/>
        <w:rPr>
          <w:sz w:val="20"/>
          <w:szCs w:val="20"/>
          <w:color w:val="auto"/>
        </w:rPr>
      </w:pPr>
      <w:r>
        <w:rPr>
          <w:rFonts w:ascii="Courier New" w:cs="Courier New" w:eastAsia="Courier New" w:hAnsi="Courier New"/>
          <w:sz w:val="16"/>
          <w:szCs w:val="16"/>
          <w:color w:val="auto"/>
        </w:rPr>
        <w:t>The following table sets forth the operating results for the Company's electronic retailing segment, consisting of the operations of QVC, Inc. and its subsidiaries ("QVC"), a majority owned and controlled subsidiary of the Company (dollars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Six Months Ended</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4740" w:type="dxa"/>
            <w:vAlign w:val="bottom"/>
          </w:tcPr>
          <w:p>
            <w:pPr>
              <w:spacing w:after="0"/>
              <w:rPr>
                <w:sz w:val="15"/>
                <w:szCs w:val="15"/>
                <w:color w:val="auto"/>
              </w:rPr>
            </w:pPr>
          </w:p>
        </w:tc>
        <w:tc>
          <w:tcPr>
            <w:tcW w:w="1920" w:type="dxa"/>
            <w:vAlign w:val="bottom"/>
          </w:tcPr>
          <w:p>
            <w:pPr>
              <w:jc w:val="center"/>
              <w:ind w:left="522"/>
              <w:spacing w:after="0"/>
              <w:rPr>
                <w:sz w:val="20"/>
                <w:szCs w:val="20"/>
                <w:color w:val="auto"/>
              </w:rPr>
            </w:pPr>
            <w:r>
              <w:rPr>
                <w:rFonts w:ascii="Courier New" w:cs="Courier New" w:eastAsia="Courier New" w:hAnsi="Courier New"/>
                <w:sz w:val="16"/>
                <w:szCs w:val="16"/>
                <w:color w:val="auto"/>
                <w:w w:val="98"/>
              </w:rPr>
              <w:t>June 30,</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6"/>
              </w:rPr>
              <w:t>Increase</w:t>
            </w:r>
          </w:p>
        </w:tc>
      </w:tr>
      <w:tr>
        <w:trPr>
          <w:trHeight w:val="180"/>
        </w:trPr>
        <w:tc>
          <w:tcPr>
            <w:tcW w:w="4740" w:type="dxa"/>
            <w:vAlign w:val="bottom"/>
          </w:tcPr>
          <w:p>
            <w:pPr>
              <w:spacing w:after="0"/>
              <w:rPr>
                <w:sz w:val="15"/>
                <w:szCs w:val="15"/>
                <w:color w:val="auto"/>
              </w:rPr>
            </w:pPr>
          </w:p>
        </w:tc>
        <w:tc>
          <w:tcPr>
            <w:tcW w:w="19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702"/>
              <w:spacing w:after="0"/>
              <w:rPr>
                <w:sz w:val="20"/>
                <w:szCs w:val="20"/>
                <w:color w:val="auto"/>
              </w:rPr>
            </w:pPr>
            <w:r>
              <w:rPr>
                <w:rFonts w:ascii="Courier New" w:cs="Courier New" w:eastAsia="Courier New" w:hAnsi="Courier New"/>
                <w:sz w:val="16"/>
                <w:szCs w:val="16"/>
                <w:color w:val="auto"/>
                <w:w w:val="93"/>
              </w:rPr>
              <w:t>1997</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$1,074.6</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$947.4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$127.2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652.4</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571.8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80.6</w:t>
            </w:r>
          </w:p>
        </w:tc>
        <w:tc>
          <w:tcPr>
            <w:tcW w:w="1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14.1</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474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234.4</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221.0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c>
          <w:tcPr>
            <w:tcW w:w="1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w:t>
            </w:r>
          </w:p>
        </w:tc>
      </w:tr>
      <w:tr>
        <w:trPr>
          <w:trHeight w:val="180"/>
        </w:trPr>
        <w:tc>
          <w:tcPr>
            <w:tcW w:w="4740" w:type="dxa"/>
            <w:vAlign w:val="bottom"/>
          </w:tcPr>
          <w:p>
            <w:pPr>
              <w:spacing w:after="0"/>
              <w:rPr>
                <w:sz w:val="15"/>
                <w:szCs w:val="15"/>
                <w:color w:val="auto"/>
              </w:rPr>
            </w:pP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spacing w:after="0"/>
              <w:rPr>
                <w:sz w:val="15"/>
                <w:szCs w:val="15"/>
                <w:color w:val="auto"/>
              </w:rPr>
            </w:pP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474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$187.8</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$154.6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r>
      <w:tr>
        <w:trPr>
          <w:trHeight w:val="180"/>
        </w:trPr>
        <w:tc>
          <w:tcPr>
            <w:tcW w:w="4740" w:type="dxa"/>
            <w:vAlign w:val="bottom"/>
          </w:tcPr>
          <w:p>
            <w:pPr>
              <w:spacing w:after="0"/>
              <w:rPr>
                <w:sz w:val="15"/>
                <w:szCs w:val="15"/>
                <w:color w:val="auto"/>
              </w:rPr>
            </w:pP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spacing w:after="0"/>
              <w:rPr>
                <w:sz w:val="15"/>
                <w:szCs w:val="15"/>
                <w:color w:val="auto"/>
              </w:rPr>
            </w:pP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92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39.3%</w:t>
            </w: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39.6%</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0"/>
        </w:trPr>
        <w:tc>
          <w:tcPr>
            <w:tcW w:w="4740" w:type="dxa"/>
            <w:vAlign w:val="bottom"/>
          </w:tcPr>
          <w:p>
            <w:pPr>
              <w:spacing w:after="0"/>
              <w:rPr>
                <w:sz w:val="15"/>
                <w:szCs w:val="15"/>
                <w:color w:val="auto"/>
              </w:rPr>
            </w:pP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61"/>
        </w:trPr>
        <w:tc>
          <w:tcPr>
            <w:tcW w:w="4740" w:type="dxa"/>
            <w:vAlign w:val="bottom"/>
          </w:tcPr>
          <w:p>
            <w:pPr>
              <w:spacing w:after="0"/>
              <w:rPr>
                <w:sz w:val="24"/>
                <w:szCs w:val="24"/>
                <w:color w:val="auto"/>
              </w:rPr>
            </w:pPr>
          </w:p>
        </w:tc>
        <w:tc>
          <w:tcPr>
            <w:tcW w:w="3080" w:type="dxa"/>
            <w:vAlign w:val="bottom"/>
            <w:gridSpan w:val="2"/>
          </w:tcPr>
          <w:p>
            <w:pPr>
              <w:jc w:val="center"/>
              <w:ind w:right="482"/>
              <w:spacing w:after="0"/>
              <w:rPr>
                <w:sz w:val="20"/>
                <w:szCs w:val="20"/>
                <w:color w:val="auto"/>
              </w:rPr>
            </w:pPr>
            <w:r>
              <w:rPr>
                <w:rFonts w:ascii="Courier New" w:cs="Courier New" w:eastAsia="Courier New" w:hAnsi="Courier New"/>
                <w:sz w:val="16"/>
                <w:szCs w:val="16"/>
                <w:color w:val="auto"/>
                <w:w w:val="97"/>
              </w:rPr>
              <w:t>Three Months Ended</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0"/>
        </w:trPr>
        <w:tc>
          <w:tcPr>
            <w:tcW w:w="4740" w:type="dxa"/>
            <w:vAlign w:val="bottom"/>
          </w:tcPr>
          <w:p>
            <w:pPr>
              <w:spacing w:after="0"/>
              <w:rPr>
                <w:sz w:val="15"/>
                <w:szCs w:val="15"/>
                <w:color w:val="auto"/>
              </w:rPr>
            </w:pPr>
          </w:p>
        </w:tc>
        <w:tc>
          <w:tcPr>
            <w:tcW w:w="1920" w:type="dxa"/>
            <w:vAlign w:val="bottom"/>
          </w:tcPr>
          <w:p>
            <w:pPr>
              <w:jc w:val="center"/>
              <w:ind w:left="522"/>
              <w:spacing w:after="0"/>
              <w:rPr>
                <w:sz w:val="20"/>
                <w:szCs w:val="20"/>
                <w:color w:val="auto"/>
              </w:rPr>
            </w:pPr>
            <w:r>
              <w:rPr>
                <w:rFonts w:ascii="Courier New" w:cs="Courier New" w:eastAsia="Courier New" w:hAnsi="Courier New"/>
                <w:sz w:val="16"/>
                <w:szCs w:val="16"/>
                <w:color w:val="auto"/>
                <w:w w:val="98"/>
              </w:rPr>
              <w:t>June 30,</w:t>
            </w: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6"/>
              </w:rPr>
              <w:t>Increase</w:t>
            </w:r>
          </w:p>
        </w:tc>
      </w:tr>
      <w:tr>
        <w:trPr>
          <w:trHeight w:val="180"/>
        </w:trPr>
        <w:tc>
          <w:tcPr>
            <w:tcW w:w="4740" w:type="dxa"/>
            <w:vAlign w:val="bottom"/>
          </w:tcPr>
          <w:p>
            <w:pPr>
              <w:spacing w:after="0"/>
              <w:rPr>
                <w:sz w:val="15"/>
                <w:szCs w:val="15"/>
                <w:color w:val="auto"/>
              </w:rPr>
            </w:pPr>
          </w:p>
        </w:tc>
        <w:tc>
          <w:tcPr>
            <w:tcW w:w="19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702"/>
              <w:spacing w:after="0"/>
              <w:rPr>
                <w:sz w:val="20"/>
                <w:szCs w:val="20"/>
                <w:color w:val="auto"/>
              </w:rPr>
            </w:pPr>
            <w:r>
              <w:rPr>
                <w:rFonts w:ascii="Courier New" w:cs="Courier New" w:eastAsia="Courier New" w:hAnsi="Courier New"/>
                <w:sz w:val="16"/>
                <w:szCs w:val="16"/>
                <w:color w:val="auto"/>
                <w:w w:val="93"/>
              </w:rPr>
              <w:t>1997</w:t>
            </w: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$530.0</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$467.7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$62.3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320.0</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279.0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41.0</w:t>
            </w:r>
          </w:p>
        </w:tc>
        <w:tc>
          <w:tcPr>
            <w:tcW w:w="1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14.7</w:t>
            </w: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474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117.3</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113.2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1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w:t>
            </w:r>
          </w:p>
        </w:tc>
      </w:tr>
      <w:tr>
        <w:trPr>
          <w:trHeight w:val="180"/>
        </w:trPr>
        <w:tc>
          <w:tcPr>
            <w:tcW w:w="4740" w:type="dxa"/>
            <w:vAlign w:val="bottom"/>
          </w:tcPr>
          <w:p>
            <w:pPr>
              <w:spacing w:after="0"/>
              <w:rPr>
                <w:sz w:val="15"/>
                <w:szCs w:val="15"/>
                <w:color w:val="auto"/>
              </w:rPr>
            </w:pP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spacing w:after="0"/>
              <w:rPr>
                <w:sz w:val="15"/>
                <w:szCs w:val="15"/>
                <w:color w:val="auto"/>
              </w:rPr>
            </w:pPr>
          </w:p>
        </w:tc>
      </w:tr>
      <w:tr>
        <w:trPr>
          <w:trHeight w:val="180"/>
        </w:trPr>
        <w:tc>
          <w:tcPr>
            <w:tcW w:w="474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474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$92.7</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$75.5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22.8%</w:t>
            </w:r>
          </w:p>
        </w:tc>
      </w:tr>
      <w:tr>
        <w:trPr>
          <w:trHeight w:val="180"/>
        </w:trPr>
        <w:tc>
          <w:tcPr>
            <w:tcW w:w="4740" w:type="dxa"/>
            <w:vAlign w:val="bottom"/>
          </w:tcPr>
          <w:p>
            <w:pPr>
              <w:spacing w:after="0"/>
              <w:rPr>
                <w:sz w:val="15"/>
                <w:szCs w:val="15"/>
                <w:color w:val="auto"/>
              </w:rPr>
            </w:pP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spacing w:after="0"/>
              <w:rPr>
                <w:sz w:val="15"/>
                <w:szCs w:val="15"/>
                <w:color w:val="auto"/>
              </w:rPr>
            </w:pP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92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39.6%</w:t>
            </w:r>
          </w:p>
        </w:tc>
        <w:tc>
          <w:tcPr>
            <w:tcW w:w="11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40.3%</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0"/>
        </w:trPr>
        <w:tc>
          <w:tcPr>
            <w:tcW w:w="4740" w:type="dxa"/>
            <w:vAlign w:val="bottom"/>
          </w:tcPr>
          <w:p>
            <w:pPr>
              <w:spacing w:after="0"/>
              <w:rPr>
                <w:sz w:val="15"/>
                <w:szCs w:val="15"/>
                <w:color w:val="auto"/>
              </w:rPr>
            </w:pPr>
          </w:p>
        </w:tc>
        <w:tc>
          <w:tcPr>
            <w:tcW w:w="19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(a) See footnote (1) on page 15.</w:t>
      </w:r>
    </w:p>
    <w:p>
      <w:pPr>
        <w:spacing w:after="0" w:line="200" w:lineRule="exact"/>
        <w:rPr>
          <w:sz w:val="20"/>
          <w:szCs w:val="20"/>
          <w:color w:val="auto"/>
        </w:rPr>
      </w:pPr>
    </w:p>
    <w:p>
      <w:pPr>
        <w:spacing w:after="0" w:line="344" w:lineRule="exact"/>
        <w:rPr>
          <w:sz w:val="20"/>
          <w:szCs w:val="20"/>
          <w:color w:val="auto"/>
        </w:rPr>
      </w:pPr>
    </w:p>
    <w:p>
      <w:pPr>
        <w:jc w:val="both"/>
        <w:ind w:right="2900"/>
        <w:spacing w:after="0" w:line="238" w:lineRule="auto"/>
        <w:rPr>
          <w:sz w:val="20"/>
          <w:szCs w:val="20"/>
          <w:color w:val="auto"/>
        </w:rPr>
      </w:pPr>
      <w:r>
        <w:rPr>
          <w:rFonts w:ascii="Courier New" w:cs="Courier New" w:eastAsia="Courier New" w:hAnsi="Courier New"/>
          <w:sz w:val="16"/>
          <w:szCs w:val="16"/>
          <w:color w:val="auto"/>
        </w:rPr>
        <w:t>The respective increases in net sales from electronic retailing of $127.2 million and $62.3 million for the six and three month periods from 1997 to 1998 are primarily attributable to the effects of 7.2% and 6.8% increases in the average number of homes receiving QVC services in the United States ("US") and increases in net sales to existing subscribers in the United Kingdom ("UK"), and to a lesser extent 13.3% and 13.0% increases in the average number of homes receiving QVC services in the UK.</w:t>
      </w:r>
    </w:p>
    <w:p>
      <w:pPr>
        <w:spacing w:after="0" w:line="185" w:lineRule="exact"/>
        <w:rPr>
          <w:sz w:val="20"/>
          <w:szCs w:val="20"/>
          <w:color w:val="auto"/>
        </w:rPr>
      </w:pPr>
    </w:p>
    <w:p>
      <w:pPr>
        <w:jc w:val="both"/>
        <w:ind w:right="2900"/>
        <w:spacing w:after="0" w:line="236" w:lineRule="auto"/>
        <w:rPr>
          <w:sz w:val="20"/>
          <w:szCs w:val="20"/>
          <w:color w:val="auto"/>
        </w:rPr>
      </w:pPr>
      <w:r>
        <w:rPr>
          <w:rFonts w:ascii="Courier New" w:cs="Courier New" w:eastAsia="Courier New" w:hAnsi="Courier New"/>
          <w:sz w:val="16"/>
          <w:szCs w:val="16"/>
          <w:color w:val="auto"/>
        </w:rPr>
        <w:t>The increases in cost of goods sold from electronic retailing are primarily related to the growth in net sales.</w:t>
      </w:r>
    </w:p>
    <w:p>
      <w:pPr>
        <w:spacing w:after="0" w:line="185" w:lineRule="exact"/>
        <w:rPr>
          <w:sz w:val="20"/>
          <w:szCs w:val="20"/>
          <w:color w:val="auto"/>
        </w:rPr>
      </w:pPr>
    </w:p>
    <w:p>
      <w:pPr>
        <w:jc w:val="both"/>
        <w:ind w:right="2900"/>
        <w:spacing w:after="0" w:line="238" w:lineRule="auto"/>
        <w:rPr>
          <w:sz w:val="20"/>
          <w:szCs w:val="20"/>
          <w:color w:val="auto"/>
        </w:rPr>
      </w:pPr>
      <w:r>
        <w:rPr>
          <w:rFonts w:ascii="Courier New" w:cs="Courier New" w:eastAsia="Courier New" w:hAnsi="Courier New"/>
          <w:sz w:val="16"/>
          <w:szCs w:val="16"/>
          <w:color w:val="auto"/>
        </w:rPr>
        <w:t>Of the $13.4 million increase in operating, selling, general and administrative expenses for the six month period from 1997 to 1998, $12.1 million is attributable to higher variable costs associated with the increase in sales volume. The remaining increase is attributable to personnel and facilities based costs associated with Studio Park, QVC's new production, studio and administrative facility which was opened in the third quarter of 1997 and expansion in the UK and Germany, partially offset by savings in marketing and promotional costs in the US. Of the $4.1 million increase in operating, selling, general and administrative expenses for the three month period from 1997 to 1998, $5.8 million is attributable to higher variable costs associated with the increase in sales volume. The remaining decrease is primarily attributable to reduced marketing and promotional costs in the US.</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400"/>
          </w:cols>
          <w:pgMar w:left="240" w:top="473" w:right="1259" w:bottom="1440" w:gutter="0" w:footer="0" w:header="0"/>
        </w:sectPr>
      </w:pPr>
    </w:p>
    <w:bookmarkStart w:id="18" w:name="page19"/>
    <w:bookmarkEnd w:id="18"/>
    <w:p>
      <w:pPr>
        <w:jc w:val="center"/>
        <w:ind w:right="40"/>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left="60"/>
        <w:spacing w:after="0"/>
        <w:rPr>
          <w:sz w:val="20"/>
          <w:szCs w:val="20"/>
          <w:color w:val="auto"/>
        </w:rPr>
      </w:pPr>
      <w:r>
        <w:rPr>
          <w:rFonts w:ascii="Courier New" w:cs="Courier New" w:eastAsia="Courier New" w:hAnsi="Courier New"/>
          <w:sz w:val="16"/>
          <w:szCs w:val="16"/>
          <w:color w:val="auto"/>
        </w:rPr>
        <w:t>FORM 10-Q</w:t>
      </w:r>
    </w:p>
    <w:p>
      <w:pPr>
        <w:jc w:val="center"/>
        <w:ind w:left="40"/>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5" w:lineRule="exact"/>
        <w:rPr>
          <w:sz w:val="20"/>
          <w:szCs w:val="20"/>
          <w:color w:val="auto"/>
        </w:rPr>
      </w:pPr>
    </w:p>
    <w:p>
      <w:pPr>
        <w:jc w:val="both"/>
        <w:ind w:right="40"/>
        <w:spacing w:after="0" w:line="236" w:lineRule="auto"/>
        <w:rPr>
          <w:sz w:val="20"/>
          <w:szCs w:val="20"/>
          <w:color w:val="auto"/>
        </w:rPr>
      </w:pPr>
      <w:r>
        <w:rPr>
          <w:rFonts w:ascii="Courier New" w:cs="Courier New" w:eastAsia="Courier New" w:hAnsi="Courier New"/>
          <w:sz w:val="16"/>
          <w:szCs w:val="16"/>
          <w:color w:val="auto"/>
        </w:rPr>
        <w:t>The following table sets forth the operating results for the Company's cellular communications segment (dollars 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Six Months Ended</w:t>
            </w:r>
          </w:p>
        </w:tc>
      </w:tr>
      <w:tr>
        <w:trPr>
          <w:trHeight w:val="180"/>
        </w:trPr>
        <w:tc>
          <w:tcPr>
            <w:tcW w:w="4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0" w:type="dxa"/>
            <w:vAlign w:val="bottom"/>
          </w:tcPr>
          <w:p>
            <w:pPr>
              <w:jc w:val="center"/>
              <w:ind w:right="762"/>
              <w:spacing w:after="0"/>
              <w:rPr>
                <w:sz w:val="20"/>
                <w:szCs w:val="20"/>
                <w:color w:val="auto"/>
              </w:rPr>
            </w:pPr>
            <w:r>
              <w:rPr>
                <w:rFonts w:ascii="Courier New" w:cs="Courier New" w:eastAsia="Courier New" w:hAnsi="Courier New"/>
                <w:sz w:val="16"/>
                <w:szCs w:val="16"/>
                <w:color w:val="auto"/>
                <w:w w:val="98"/>
              </w:rPr>
              <w:t>June 30,</w:t>
            </w:r>
          </w:p>
        </w:tc>
      </w:tr>
      <w:tr>
        <w:trPr>
          <w:trHeight w:val="180"/>
        </w:trPr>
        <w:tc>
          <w:tcPr>
            <w:tcW w:w="482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c>
          <w:tcPr>
            <w:tcW w:w="1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361"/>
        </w:trPr>
        <w:tc>
          <w:tcPr>
            <w:tcW w:w="482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$221.3</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$220.3</w:t>
            </w:r>
          </w:p>
        </w:tc>
      </w:tr>
      <w:tr>
        <w:trPr>
          <w:trHeight w:val="1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8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132.6</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131.7</w:t>
            </w:r>
          </w:p>
        </w:tc>
      </w:tr>
      <w:tr>
        <w:trPr>
          <w:trHeight w:val="180"/>
        </w:trPr>
        <w:tc>
          <w:tcPr>
            <w:tcW w:w="48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8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$88.7</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$88.6</w:t>
            </w:r>
          </w:p>
        </w:tc>
      </w:tr>
      <w:tr>
        <w:trPr>
          <w:trHeight w:val="180"/>
        </w:trPr>
        <w:tc>
          <w:tcPr>
            <w:tcW w:w="48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82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Three Months Ended</w:t>
            </w:r>
          </w:p>
        </w:tc>
      </w:tr>
      <w:tr>
        <w:trPr>
          <w:trHeight w:val="180"/>
        </w:trPr>
        <w:tc>
          <w:tcPr>
            <w:tcW w:w="4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0" w:type="dxa"/>
            <w:vAlign w:val="bottom"/>
          </w:tcPr>
          <w:p>
            <w:pPr>
              <w:jc w:val="center"/>
              <w:ind w:right="762"/>
              <w:spacing w:after="0"/>
              <w:rPr>
                <w:sz w:val="20"/>
                <w:szCs w:val="20"/>
                <w:color w:val="auto"/>
              </w:rPr>
            </w:pPr>
            <w:r>
              <w:rPr>
                <w:rFonts w:ascii="Courier New" w:cs="Courier New" w:eastAsia="Courier New" w:hAnsi="Courier New"/>
                <w:sz w:val="16"/>
                <w:szCs w:val="16"/>
                <w:color w:val="auto"/>
                <w:w w:val="98"/>
              </w:rPr>
              <w:t>June 30,</w:t>
            </w:r>
          </w:p>
        </w:tc>
      </w:tr>
      <w:tr>
        <w:trPr>
          <w:trHeight w:val="180"/>
        </w:trPr>
        <w:tc>
          <w:tcPr>
            <w:tcW w:w="482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c>
          <w:tcPr>
            <w:tcW w:w="1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$115.9</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$116.2</w:t>
            </w:r>
          </w:p>
        </w:tc>
      </w:tr>
      <w:tr>
        <w:trPr>
          <w:trHeight w:val="1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8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66.7</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65.3</w:t>
            </w:r>
          </w:p>
        </w:tc>
      </w:tr>
      <w:tr>
        <w:trPr>
          <w:trHeight w:val="180"/>
        </w:trPr>
        <w:tc>
          <w:tcPr>
            <w:tcW w:w="48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8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$49.2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$50.9</w:t>
            </w:r>
          </w:p>
        </w:tc>
      </w:tr>
      <w:tr>
        <w:trPr>
          <w:trHeight w:val="180"/>
        </w:trPr>
        <w:tc>
          <w:tcPr>
            <w:tcW w:w="48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(a) See footnote (1) on page 15.</w:t>
      </w:r>
    </w:p>
    <w:p>
      <w:pPr>
        <w:spacing w:after="0" w:line="200" w:lineRule="exact"/>
        <w:rPr>
          <w:sz w:val="20"/>
          <w:szCs w:val="20"/>
          <w:color w:val="auto"/>
        </w:rPr>
      </w:pPr>
    </w:p>
    <w:p>
      <w:pPr>
        <w:spacing w:after="0" w:line="344" w:lineRule="exact"/>
        <w:rPr>
          <w:sz w:val="20"/>
          <w:szCs w:val="20"/>
          <w:color w:val="auto"/>
        </w:rPr>
      </w:pPr>
    </w:p>
    <w:p>
      <w:pPr>
        <w:jc w:val="both"/>
        <w:ind w:right="40"/>
        <w:spacing w:after="0" w:line="237" w:lineRule="auto"/>
        <w:rPr>
          <w:sz w:val="20"/>
          <w:szCs w:val="20"/>
          <w:color w:val="auto"/>
        </w:rPr>
      </w:pPr>
      <w:r>
        <w:rPr>
          <w:rFonts w:ascii="Courier New" w:cs="Courier New" w:eastAsia="Courier New" w:hAnsi="Courier New"/>
          <w:sz w:val="16"/>
          <w:szCs w:val="16"/>
          <w:color w:val="auto"/>
        </w:rPr>
        <w:t>Service income was flat for the six and three month periods from 1997 to 1998, as subscriber growth was offset, in part, by the effects of increased use of promotional and free minute plans offered to subscribers. These plans generally have higher access fees and increase the minutes of use per subscriber while lowering the average rate per minute of use.</w:t>
      </w:r>
    </w:p>
    <w:p>
      <w:pPr>
        <w:spacing w:after="0" w:line="187" w:lineRule="exact"/>
        <w:rPr>
          <w:sz w:val="20"/>
          <w:szCs w:val="20"/>
          <w:color w:val="auto"/>
        </w:rPr>
      </w:pPr>
    </w:p>
    <w:p>
      <w:pPr>
        <w:jc w:val="both"/>
        <w:ind w:right="40"/>
        <w:spacing w:after="0" w:line="237" w:lineRule="auto"/>
        <w:rPr>
          <w:sz w:val="20"/>
          <w:szCs w:val="20"/>
          <w:color w:val="auto"/>
        </w:rPr>
      </w:pPr>
      <w:r>
        <w:rPr>
          <w:rFonts w:ascii="Courier New" w:cs="Courier New" w:eastAsia="Courier New" w:hAnsi="Courier New"/>
          <w:sz w:val="16"/>
          <w:szCs w:val="16"/>
          <w:color w:val="auto"/>
        </w:rPr>
        <w:t>Operating, selling, general and administrative expenses were flat for the six and three month periods from 1997 to 1998 as a result of improved bad debt experience due to stronger credit procedures offset, in part, by an increase in commission costs associated with more gross sales in 1998.</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5" w:lineRule="exact"/>
        <w:rPr>
          <w:sz w:val="20"/>
          <w:szCs w:val="20"/>
          <w:color w:val="auto"/>
        </w:rPr>
      </w:pPr>
    </w:p>
    <w:p>
      <w:pPr>
        <w:jc w:val="both"/>
        <w:ind w:right="40"/>
        <w:spacing w:after="0" w:line="237" w:lineRule="auto"/>
        <w:rPr>
          <w:sz w:val="20"/>
          <w:szCs w:val="20"/>
          <w:color w:val="auto"/>
        </w:rPr>
      </w:pPr>
      <w:r>
        <w:rPr>
          <w:rFonts w:ascii="Courier New" w:cs="Courier New" w:eastAsia="Courier New" w:hAnsi="Courier New"/>
          <w:sz w:val="16"/>
          <w:szCs w:val="16"/>
          <w:color w:val="auto"/>
        </w:rPr>
        <w:t>The respective $47.3 million and $5.7 million increases in depreciation expense for the six and three month periods from 1997 to 1998 are primarily attributable to the effects of capital expenditures, increased losses on asset disposals in connection with the Company's domestic cable communications rebuild activities, the consolidation of Comcast- Spectacor and the acquisition of cable communications systems.</w:t>
      </w:r>
    </w:p>
    <w:p>
      <w:pPr>
        <w:spacing w:after="0" w:line="189" w:lineRule="exact"/>
        <w:rPr>
          <w:sz w:val="20"/>
          <w:szCs w:val="20"/>
          <w:color w:val="auto"/>
        </w:rPr>
      </w:pPr>
    </w:p>
    <w:p>
      <w:pPr>
        <w:jc w:val="both"/>
        <w:ind w:right="40"/>
        <w:spacing w:after="0" w:line="237" w:lineRule="auto"/>
        <w:rPr>
          <w:sz w:val="20"/>
          <w:szCs w:val="20"/>
          <w:color w:val="auto"/>
        </w:rPr>
      </w:pPr>
      <w:r>
        <w:rPr>
          <w:rFonts w:ascii="Courier New" w:cs="Courier New" w:eastAsia="Courier New" w:hAnsi="Courier New"/>
          <w:sz w:val="16"/>
          <w:szCs w:val="16"/>
          <w:color w:val="auto"/>
        </w:rPr>
        <w:t>The respective $16.7 million and $3.4 million increases in amortization expense for the six and three month periods from 1997 to 1998 are primarily attributable to the effects of the consolidation of Comcast-Spectacor.</w:t>
      </w:r>
    </w:p>
    <w:p>
      <w:pPr>
        <w:spacing w:after="0" w:line="185" w:lineRule="exact"/>
        <w:rPr>
          <w:sz w:val="20"/>
          <w:szCs w:val="20"/>
          <w:color w:val="auto"/>
        </w:rPr>
      </w:pPr>
    </w:p>
    <w:p>
      <w:pPr>
        <w:jc w:val="both"/>
        <w:ind w:right="40"/>
        <w:spacing w:after="0" w:line="238" w:lineRule="auto"/>
        <w:rPr>
          <w:sz w:val="20"/>
          <w:szCs w:val="20"/>
          <w:color w:val="auto"/>
        </w:rPr>
      </w:pPr>
      <w:r>
        <w:rPr>
          <w:rFonts w:ascii="Courier New" w:cs="Courier New" w:eastAsia="Courier New" w:hAnsi="Courier New"/>
          <w:sz w:val="16"/>
          <w:szCs w:val="16"/>
          <w:color w:val="auto"/>
        </w:rPr>
        <w:t>The $13.0 million increase in interest expense for the six month period from 1997 to 1998 is attributable to the effects of capitalized interest associated with the Company's investment in Sprint PCS during the six months ended June 30, 1997, the consolidation of Comcast-Spectacor, the E! Acquisition and an increase in the Company's effective weighted average interest rate, offset, in part, by lower levels of debt outstanding. 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87" w:lineRule="exact"/>
        <w:rPr>
          <w:sz w:val="20"/>
          <w:szCs w:val="20"/>
          <w:color w:val="auto"/>
        </w:rPr>
      </w:pPr>
    </w:p>
    <w:p>
      <w:pPr>
        <w:jc w:val="both"/>
        <w:ind w:right="40"/>
        <w:spacing w:after="0" w:line="255" w:lineRule="auto"/>
        <w:rPr>
          <w:sz w:val="20"/>
          <w:szCs w:val="20"/>
          <w:color w:val="auto"/>
        </w:rPr>
      </w:pPr>
      <w:r>
        <w:rPr>
          <w:rFonts w:ascii="Courier New" w:cs="Courier New" w:eastAsia="Courier New" w:hAnsi="Courier New"/>
          <w:sz w:val="15"/>
          <w:szCs w:val="15"/>
          <w:color w:val="auto"/>
        </w:rPr>
        <w:t>In March 1998, the Company sold call options relating to its unrestricted equity investments in Tele-Communications, Inc. ("TCI"), TCI Ventures Group, Inc. and Liberty Media Group common stock (together, the "TCI Stock") for $20.7 million. Such call options expire between March and September 1999. During the six and three months ended June 30, 1998, the Company recorded pre-tax investment expense of $40.2 million and $25.6 million, respectively, related to the increase in the value of the call options. In addition, as of June 30, 1998, the Company recorded net unrealized gains of $53.1 million and $25.5 million related to the TCI Stock, net of deferred income tax expense of $28.6 million and $13.7</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Increase</w:t>
      </w:r>
    </w:p>
    <w:p>
      <w:pPr>
        <w:ind w:left="1680" w:hanging="1502"/>
        <w:spacing w:after="0"/>
        <w:tabs>
          <w:tab w:leader="none" w:pos="16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w:t>
            </w:r>
          </w:p>
        </w:tc>
        <w:tc>
          <w:tcPr>
            <w:tcW w:w="880" w:type="dxa"/>
            <w:vAlign w:val="bottom"/>
          </w:tcPr>
          <w:p>
            <w:pPr>
              <w:ind w:left="520"/>
              <w:spacing w:after="0"/>
              <w:rPr>
                <w:sz w:val="20"/>
                <w:szCs w:val="20"/>
                <w:color w:val="auto"/>
              </w:rPr>
            </w:pPr>
            <w:r>
              <w:rPr>
                <w:rFonts w:ascii="Courier New" w:cs="Courier New" w:eastAsia="Courier New" w:hAnsi="Courier New"/>
                <w:sz w:val="16"/>
                <w:szCs w:val="16"/>
                <w:color w:val="auto"/>
                <w:w w:val="88"/>
              </w:rPr>
              <w:t>0.5%</w:t>
            </w:r>
          </w:p>
        </w:tc>
      </w:tr>
      <w:tr>
        <w:trPr>
          <w:trHeight w:val="361"/>
        </w:trPr>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0.9</w:t>
            </w:r>
          </w:p>
        </w:tc>
        <w:tc>
          <w:tcPr>
            <w:tcW w:w="880" w:type="dxa"/>
            <w:vAlign w:val="bottom"/>
          </w:tcPr>
          <w:p>
            <w:pPr>
              <w:ind w:left="520"/>
              <w:spacing w:after="0"/>
              <w:rPr>
                <w:sz w:val="20"/>
                <w:szCs w:val="20"/>
                <w:color w:val="auto"/>
              </w:rPr>
            </w:pPr>
            <w:r>
              <w:rPr>
                <w:rFonts w:ascii="Courier New" w:cs="Courier New" w:eastAsia="Courier New" w:hAnsi="Courier New"/>
                <w:sz w:val="16"/>
                <w:szCs w:val="16"/>
                <w:color w:val="auto"/>
              </w:rPr>
              <w:t>0.7</w:t>
            </w:r>
          </w:p>
        </w:tc>
      </w:tr>
      <w:tr>
        <w:trPr>
          <w:trHeight w:val="180"/>
        </w:trPr>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1"/>
              </w:rPr>
              <w:t>-----</w:t>
            </w:r>
          </w:p>
        </w:tc>
        <w:tc>
          <w:tcPr>
            <w:tcW w:w="880" w:type="dxa"/>
            <w:vAlign w:val="bottom"/>
          </w:tcPr>
          <w:p>
            <w:pPr>
              <w:spacing w:after="0"/>
              <w:rPr>
                <w:sz w:val="15"/>
                <w:szCs w:val="15"/>
                <w:color w:val="auto"/>
              </w:rPr>
            </w:pPr>
          </w:p>
        </w:tc>
      </w:tr>
      <w:tr>
        <w:trPr>
          <w:trHeight w:val="361"/>
        </w:trPr>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$0.1</w:t>
            </w:r>
          </w:p>
        </w:tc>
        <w:tc>
          <w:tcPr>
            <w:tcW w:w="880" w:type="dxa"/>
            <w:vAlign w:val="bottom"/>
          </w:tcPr>
          <w:p>
            <w:pPr>
              <w:ind w:left="520"/>
              <w:spacing w:after="0"/>
              <w:rPr>
                <w:sz w:val="20"/>
                <w:szCs w:val="20"/>
                <w:color w:val="auto"/>
              </w:rPr>
            </w:pPr>
            <w:r>
              <w:rPr>
                <w:rFonts w:ascii="Courier New" w:cs="Courier New" w:eastAsia="Courier New" w:hAnsi="Courier New"/>
                <w:sz w:val="16"/>
                <w:szCs w:val="16"/>
                <w:color w:val="auto"/>
                <w:w w:val="88"/>
              </w:rPr>
              <w:t>0.1%</w:t>
            </w:r>
          </w:p>
        </w:tc>
      </w:tr>
      <w:tr>
        <w:trPr>
          <w:trHeight w:val="180"/>
        </w:trPr>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1"/>
              </w:rPr>
              <w:t>=====</w:t>
            </w:r>
          </w:p>
        </w:tc>
        <w:tc>
          <w:tcPr>
            <w:tcW w:w="880" w:type="dxa"/>
            <w:vAlign w:val="bottom"/>
          </w:tcPr>
          <w:p>
            <w:pPr>
              <w:spacing w:after="0"/>
              <w:rPr>
                <w:sz w:val="15"/>
                <w:szCs w:val="15"/>
                <w:color w:val="auto"/>
              </w:rPr>
            </w:pPr>
          </w:p>
        </w:tc>
      </w:tr>
    </w:tbl>
    <w:p>
      <w:pPr>
        <w:spacing w:after="0" w:line="3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Increase/(Decrease)</w:t>
      </w:r>
    </w:p>
    <w:p>
      <w:pPr>
        <w:spacing w:after="0" w:line="5" w:lineRule="exact"/>
        <w:rPr>
          <w:sz w:val="20"/>
          <w:szCs w:val="20"/>
          <w:color w:val="auto"/>
        </w:rPr>
      </w:pPr>
    </w:p>
    <w:p>
      <w:pPr>
        <w:ind w:left="1680" w:hanging="1502"/>
        <w:spacing w:after="0"/>
        <w:tabs>
          <w:tab w:leader="none" w:pos="16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tabs>
          <w:tab w:leader="none" w:pos="1380" w:val="left"/>
        </w:tabs>
        <w:rPr>
          <w:sz w:val="20"/>
          <w:szCs w:val="20"/>
          <w:color w:val="auto"/>
        </w:rPr>
      </w:pPr>
      <w:r>
        <w:rPr>
          <w:rFonts w:ascii="Courier New" w:cs="Courier New" w:eastAsia="Courier New" w:hAnsi="Courier New"/>
          <w:sz w:val="16"/>
          <w:szCs w:val="16"/>
          <w:color w:val="auto"/>
        </w:rPr>
        <w:t>($0.3)</w:t>
      </w:r>
      <w:r>
        <w:rPr>
          <w:sz w:val="20"/>
          <w:szCs w:val="20"/>
          <w:color w:val="auto"/>
        </w:rPr>
        <w:tab/>
      </w:r>
      <w:r>
        <w:rPr>
          <w:rFonts w:ascii="Courier New" w:cs="Courier New" w:eastAsia="Courier New" w:hAnsi="Courier New"/>
          <w:sz w:val="15"/>
          <w:szCs w:val="15"/>
          <w:color w:val="auto"/>
        </w:rPr>
        <w:t>(0.3%)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w:t>
            </w:r>
          </w:p>
        </w:tc>
      </w:tr>
      <w:tr>
        <w:trPr>
          <w:trHeight w:val="180"/>
        </w:trPr>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1"/>
              </w:rPr>
              <w:t>-----</w:t>
            </w:r>
          </w:p>
        </w:tc>
        <w:tc>
          <w:tcPr>
            <w:tcW w:w="980" w:type="dxa"/>
            <w:vAlign w:val="bottom"/>
          </w:tcPr>
          <w:p>
            <w:pPr>
              <w:spacing w:after="0"/>
              <w:rPr>
                <w:sz w:val="15"/>
                <w:szCs w:val="15"/>
                <w:color w:val="auto"/>
              </w:rPr>
            </w:pPr>
          </w:p>
        </w:tc>
      </w:tr>
      <w:tr>
        <w:trPr>
          <w:trHeight w:val="361"/>
        </w:trPr>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($1.7)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0"/>
        </w:trPr>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1"/>
              </w:rPr>
              <w:t>=====</w:t>
            </w:r>
          </w:p>
        </w:tc>
        <w:tc>
          <w:tcPr>
            <w:tcW w:w="980" w:type="dxa"/>
            <w:vAlign w:val="bottom"/>
          </w:tcPr>
          <w:p>
            <w:pPr>
              <w:spacing w:after="0"/>
              <w:rPr>
                <w:sz w:val="15"/>
                <w:szCs w:val="15"/>
                <w:color w:val="auto"/>
              </w:rPr>
            </w:pPr>
          </w:p>
        </w:tc>
      </w:tr>
    </w:tbl>
    <w:p>
      <w:pPr>
        <w:sectPr>
          <w:pgSz w:w="11900" w:h="16838" w:orient="portrait"/>
          <w:cols w:equalWidth="0" w:num="2">
            <w:col w:w="7540" w:space="720"/>
            <w:col w:w="1960"/>
          </w:cols>
          <w:pgMar w:left="240" w:top="473" w:right="1439" w:bottom="468" w:gutter="0" w:footer="0" w:header="0"/>
        </w:sectPr>
      </w:pPr>
    </w:p>
    <w:bookmarkStart w:id="19" w:name="page20"/>
    <w:bookmarkEnd w:id="19"/>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9"/>
        <w:spacing w:after="0"/>
        <w:rPr>
          <w:sz w:val="20"/>
          <w:szCs w:val="20"/>
          <w:color w:val="auto"/>
        </w:rPr>
      </w:pPr>
      <w:r>
        <w:rPr>
          <w:rFonts w:ascii="Courier New" w:cs="Courier New" w:eastAsia="Courier New" w:hAnsi="Courier New"/>
          <w:sz w:val="16"/>
          <w:szCs w:val="16"/>
          <w:color w:val="auto"/>
        </w:rPr>
        <w:t>FORM 10-Q</w:t>
      </w:r>
    </w:p>
    <w:p>
      <w:pPr>
        <w:jc w:val="center"/>
        <w:ind w:right="2639"/>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365"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million, to its condensed consolidated balance sheet, representing the increase in fair value of the TCI Stock during the six and three months ended June 30, 1998, respectively. In April 1998, the Company received $74.7 million (repayment of indebtedness) and a 9.5% common equity interest in New Primestar in exchange for the Company's direct broadcast satellite operations and its 10.4% equity interest in PRIMESTAR Partners L.P. ("Primestar"). During the three months ended June 30, 1998, the Company recognized a pre-tax gain of $9.9 million on the exchange.</w:t>
      </w:r>
    </w:p>
    <w:p>
      <w:pPr>
        <w:spacing w:after="0" w:line="185"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During the first quarter of 1997 the Company received 2.76 million shares of Teleport Communications Group, Inc. ("TCGI") Class A Stock from TCGI in exchange for the Company's shares of an alternate access provider. In May 1997, the Company sold all of its shares of TCGI Class A Stock for $68.9 million and recognized a pre-tax gain of $68.9 million. In February 1997, the Company sold options to acquire 25.0 million shares of Nextel Communications, Inc. ("Nextel") common stock to Nextel for $25.0 million and recognized a pre-tax gain of $5.0 million. In January 1997, the Company sold 1.27 million shares of Time Warner, Inc. ("Time Warner") common stock, representing the Company's entire interest in Time Warner, for $48.6 million and recognized a pre-tax loss of $3.8 million.</w:t>
      </w:r>
    </w:p>
    <w:p>
      <w:pPr>
        <w:spacing w:after="0" w:line="179" w:lineRule="exact"/>
        <w:rPr>
          <w:sz w:val="20"/>
          <w:szCs w:val="20"/>
          <w:color w:val="auto"/>
        </w:rPr>
      </w:pPr>
    </w:p>
    <w:p>
      <w:pPr>
        <w:jc w:val="both"/>
        <w:ind w:right="2719"/>
        <w:spacing w:after="0" w:line="255" w:lineRule="auto"/>
        <w:rPr>
          <w:sz w:val="20"/>
          <w:szCs w:val="20"/>
          <w:color w:val="auto"/>
        </w:rPr>
      </w:pPr>
      <w:r>
        <w:rPr>
          <w:rFonts w:ascii="Courier New" w:cs="Courier New" w:eastAsia="Courier New" w:hAnsi="Courier New"/>
          <w:sz w:val="15"/>
          <w:szCs w:val="15"/>
          <w:color w:val="auto"/>
        </w:rPr>
        <w:t>The $105.8 million and $46.2 million increases in equity in net losses of affiliates for the six and three month periods from 1997 to 1998 are primarily due to the effects of increased losses incurred by Sprint PCS. Based on Sprint PCS' current operations and business plan, the Company anticipates that its proportionate share of Sprint PCS' losses will be significant in future periods (see Note 4 to the Company's condensed consolidated financial statements included in Item 1). 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six and three months ended June 30, 1997.</w:t>
      </w:r>
    </w:p>
    <w:p>
      <w:pPr>
        <w:spacing w:after="0" w:line="178"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In November 1997, TCGI filed a registration statement with the Securities and Exchange Commission to sell 7.3 million shares of TCGI Class A Stock (the "TCGI Offering"). As a result of the TCGI Offering, the Company recognized a $59.6 million increase in its proportionate share of TCGI's net assets as a gain from equity offering of affiliate. Such pre-tax gain is included in the Company's condensed consolidated statement of operations and accumulated deficit for the six months ended June 30, 1998 as the Company records its proportionate share of TCGI's net losses one quarter in arrears.</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fluctuations in other (income) expense for the six and three month periods from 1997 to 1998 are primarily attributable to the effects of fluctuations in the foreign currency exchange rate.</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$36.6 million and $27.3 million decreases in income tax expense for the six and three month periods from 1997 to 1998 are primarily a result of the effects of the increase in the Company's loss before income tax expense and minority interest and decreases in non-deductible foreign losses and non-deductible equity in net losses of affiliates.</w:t>
      </w:r>
    </w:p>
    <w:p>
      <w:pPr>
        <w:spacing w:after="0" w:line="187"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$6.2 million increase in minority interest for the three month period from 1997 to 1998 is primarily attributable to the effects of changes in the net income (loss) of Comcast UK Cable and QVC, the consolidation of Comcast-Spectacor and the E! Acquisition.</w:t>
      </w:r>
    </w:p>
    <w:p>
      <w:pPr>
        <w:spacing w:after="0" w:line="186"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In connection with the refinancing of certain subsidiaries' indebtedness and the redemption of debt, the Company expensed unamortized debt acquisition costs and incurred debt extinguishment costs of $35.1 million, resulting in an extraordinary loss, net of tax, of $22.8 million or $0.07 per common share during the six and three months ended June 30, 1997.</w:t>
      </w:r>
    </w:p>
    <w:p>
      <w:pPr>
        <w:spacing w:after="0" w:line="187" w:lineRule="exact"/>
        <w:rPr>
          <w:sz w:val="20"/>
          <w:szCs w:val="20"/>
          <w:color w:val="auto"/>
        </w:rPr>
      </w:pPr>
    </w:p>
    <w:p>
      <w:pPr>
        <w:jc w:val="both"/>
        <w:ind w:right="2719"/>
        <w:spacing w:after="0" w:line="238" w:lineRule="auto"/>
        <w:rPr>
          <w:sz w:val="20"/>
          <w:szCs w:val="20"/>
          <w:color w:val="auto"/>
        </w:rPr>
      </w:pPr>
      <w:r>
        <w:rPr>
          <w:rFonts w:ascii="Courier New" w:cs="Courier New" w:eastAsia="Courier New" w:hAnsi="Courier New"/>
          <w:sz w:val="16"/>
          <w:szCs w:val="16"/>
          <w:color w:val="auto"/>
        </w:rPr>
        <w:t>For the six and three months ended June 30, 1998 and 1997, the Company's earnings (net loss plus income tax expense (benefit), equity in net losses of affiliates, fixed charges (interest expense)) were $365.5 million, $364.5 million, $166.5 million and $214.1 million, respectively. Such earnings were adequate to cover the Company's fixed charges (including interest capitalized of $18.0 million and $9.4 million for the six and three months ended June 30, 1997) of $291.9 million, $296.9 million, $144.3 million and $155.0 million for the six and three months ended June 30, 1998 and 1997,</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73" w:right="1440" w:bottom="828" w:gutter="0" w:footer="0" w:header="0"/>
        </w:sectPr>
      </w:pPr>
    </w:p>
    <w:bookmarkStart w:id="20" w:name="page21"/>
    <w:bookmarkEnd w:id="20"/>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9"/>
        <w:spacing w:after="0"/>
        <w:rPr>
          <w:sz w:val="20"/>
          <w:szCs w:val="20"/>
          <w:color w:val="auto"/>
        </w:rPr>
      </w:pPr>
      <w:r>
        <w:rPr>
          <w:rFonts w:ascii="Courier New" w:cs="Courier New" w:eastAsia="Courier New" w:hAnsi="Courier New"/>
          <w:sz w:val="16"/>
          <w:szCs w:val="16"/>
          <w:color w:val="auto"/>
        </w:rPr>
        <w:t>FORM 10-Q</w:t>
      </w:r>
    </w:p>
    <w:p>
      <w:pPr>
        <w:jc w:val="center"/>
        <w:ind w:right="2639"/>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36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respectively. Fixed charges include non-cash interest expense, net of interest capitalized, of $26.1 million, $28.9 million, $11.6 million and $11.9 million for the six and three months ended June 30, 1998 and 1997, respectively.</w:t>
      </w:r>
    </w:p>
    <w:p>
      <w:pPr>
        <w:spacing w:after="0" w:line="185" w:lineRule="exact"/>
        <w:rPr>
          <w:sz w:val="20"/>
          <w:szCs w:val="20"/>
          <w:color w:val="auto"/>
        </w:rPr>
      </w:pPr>
    </w:p>
    <w:p>
      <w:pPr>
        <w:jc w:val="both"/>
        <w:ind w:right="2719"/>
        <w:spacing w:after="0" w:line="237" w:lineRule="auto"/>
        <w:rPr>
          <w:sz w:val="20"/>
          <w:szCs w:val="20"/>
          <w:color w:val="auto"/>
        </w:rPr>
      </w:pPr>
      <w:r>
        <w:rPr>
          <w:rFonts w:ascii="Courier New" w:cs="Courier New" w:eastAsia="Courier New" w:hAnsi="Courier New"/>
          <w:sz w:val="16"/>
          <w:szCs w:val="16"/>
          <w:color w:val="auto"/>
        </w:rPr>
        <w:t>The Company believes that its losses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87" w:lineRule="exact"/>
        <w:rPr>
          <w:sz w:val="20"/>
          <w:szCs w:val="20"/>
          <w:color w:val="auto"/>
        </w:rPr>
      </w:pPr>
    </w:p>
    <w:p>
      <w:pPr>
        <w:jc w:val="both"/>
        <w:ind w:right="2719"/>
        <w:spacing w:after="0" w:line="236"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73" w:right="1440" w:bottom="1440" w:gutter="0" w:footer="0" w:header="0"/>
        </w:sectPr>
      </w:pPr>
    </w:p>
    <w:bookmarkStart w:id="21" w:name="page22"/>
    <w:bookmarkEnd w:id="21"/>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9"/>
        <w:spacing w:after="0"/>
        <w:rPr>
          <w:sz w:val="20"/>
          <w:szCs w:val="20"/>
          <w:color w:val="auto"/>
        </w:rPr>
      </w:pPr>
      <w:r>
        <w:rPr>
          <w:rFonts w:ascii="Courier New" w:cs="Courier New" w:eastAsia="Courier New" w:hAnsi="Courier New"/>
          <w:sz w:val="16"/>
          <w:szCs w:val="16"/>
          <w:color w:val="auto"/>
        </w:rPr>
        <w:t>FORM 10-Q</w:t>
      </w:r>
    </w:p>
    <w:p>
      <w:pPr>
        <w:jc w:val="center"/>
        <w:ind w:right="2619"/>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36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5" w:lineRule="exact"/>
        <w:rPr>
          <w:sz w:val="20"/>
          <w:szCs w:val="20"/>
          <w:color w:val="auto"/>
        </w:rPr>
      </w:pPr>
    </w:p>
    <w:p>
      <w:pPr>
        <w:jc w:val="both"/>
        <w:ind w:left="460" w:right="2719"/>
        <w:spacing w:after="0" w:line="237"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18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280" w:type="dxa"/>
            <w:vAlign w:val="bottom"/>
          </w:tcPr>
          <w:p>
            <w:pPr>
              <w:spacing w:after="0"/>
              <w:rPr>
                <w:sz w:val="20"/>
                <w:szCs w:val="20"/>
                <w:color w:val="auto"/>
              </w:rPr>
            </w:pPr>
            <w:r>
              <w:rPr>
                <w:rFonts w:ascii="Courier New" w:cs="Courier New" w:eastAsia="Courier New" w:hAnsi="Courier New"/>
                <w:sz w:val="16"/>
                <w:szCs w:val="16"/>
                <w:color w:val="auto"/>
              </w:rPr>
              <w:t>At the Annual</w:t>
            </w:r>
          </w:p>
        </w:tc>
        <w:tc>
          <w:tcPr>
            <w:tcW w:w="27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Meeting on June 17,  1998,</w:t>
            </w: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shareholders</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approved</w:t>
            </w:r>
          </w:p>
        </w:tc>
        <w:tc>
          <w:tcPr>
            <w:tcW w:w="12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the</w:t>
            </w:r>
          </w:p>
        </w:tc>
        <w:tc>
          <w:tcPr>
            <w:tcW w:w="1400" w:type="dxa"/>
            <w:vAlign w:val="bottom"/>
          </w:tcPr>
          <w:p>
            <w:pPr>
              <w:spacing w:after="0"/>
              <w:rPr>
                <w:sz w:val="15"/>
                <w:szCs w:val="15"/>
                <w:color w:val="auto"/>
              </w:rPr>
            </w:pPr>
          </w:p>
        </w:tc>
      </w:tr>
      <w:tr>
        <w:trPr>
          <w:trHeight w:val="180"/>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following proposals:</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61"/>
        </w:trPr>
        <w:tc>
          <w:tcPr>
            <w:tcW w:w="1280" w:type="dxa"/>
            <w:vAlign w:val="bottom"/>
          </w:tcPr>
          <w:p>
            <w:pPr>
              <w:spacing w:after="0"/>
              <w:rPr>
                <w:sz w:val="20"/>
                <w:szCs w:val="20"/>
                <w:color w:val="auto"/>
              </w:rPr>
            </w:pPr>
            <w:r>
              <w:rPr>
                <w:rFonts w:ascii="Courier New" w:cs="Courier New" w:eastAsia="Courier New" w:hAnsi="Courier New"/>
                <w:sz w:val="16"/>
                <w:szCs w:val="16"/>
                <w:color w:val="auto"/>
              </w:rPr>
              <w:t>To elect ten</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w w:val="96"/>
              </w:rPr>
              <w:t>directors  to serve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for the</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rPr>
              <w:t>ensuing</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year and</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until</w:t>
            </w:r>
          </w:p>
        </w:tc>
        <w:tc>
          <w:tcPr>
            <w:tcW w:w="1220" w:type="dxa"/>
            <w:vAlign w:val="bottom"/>
          </w:tcPr>
          <w:p>
            <w:pPr>
              <w:jc w:val="right"/>
              <w:ind w:right="682"/>
              <w:spacing w:after="0"/>
              <w:rPr>
                <w:sz w:val="20"/>
                <w:szCs w:val="20"/>
                <w:color w:val="auto"/>
              </w:rPr>
            </w:pPr>
            <w:r>
              <w:rPr>
                <w:rFonts w:ascii="Courier New" w:cs="Courier New" w:eastAsia="Courier New" w:hAnsi="Courier New"/>
                <w:sz w:val="16"/>
                <w:szCs w:val="16"/>
                <w:color w:val="auto"/>
                <w:w w:val="91"/>
              </w:rPr>
              <w:t>their</w:t>
            </w:r>
          </w:p>
        </w:tc>
        <w:tc>
          <w:tcPr>
            <w:tcW w:w="1400" w:type="dxa"/>
            <w:vAlign w:val="bottom"/>
          </w:tcPr>
          <w:p>
            <w:pPr>
              <w:spacing w:after="0"/>
              <w:rPr>
                <w:sz w:val="24"/>
                <w:szCs w:val="24"/>
                <w:color w:val="auto"/>
              </w:rPr>
            </w:pPr>
          </w:p>
        </w:tc>
      </w:tr>
      <w:tr>
        <w:trPr>
          <w:trHeight w:val="180"/>
        </w:trPr>
        <w:tc>
          <w:tcPr>
            <w:tcW w:w="4000" w:type="dxa"/>
            <w:vAlign w:val="bottom"/>
            <w:gridSpan w:val="3"/>
          </w:tcPr>
          <w:p>
            <w:pPr>
              <w:spacing w:after="0"/>
              <w:rPr>
                <w:sz w:val="20"/>
                <w:szCs w:val="20"/>
                <w:color w:val="auto"/>
              </w:rPr>
            </w:pPr>
            <w:r>
              <w:rPr>
                <w:rFonts w:ascii="Courier New" w:cs="Courier New" w:eastAsia="Courier New" w:hAnsi="Courier New"/>
                <w:sz w:val="16"/>
                <w:szCs w:val="16"/>
                <w:color w:val="auto"/>
                <w:w w:val="98"/>
              </w:rPr>
              <w:t>respective successors shall have been duly</w:t>
            </w:r>
          </w:p>
        </w:tc>
        <w:tc>
          <w:tcPr>
            <w:tcW w:w="25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elected and qualified.</w:t>
            </w:r>
          </w:p>
        </w:tc>
        <w:tc>
          <w:tcPr>
            <w:tcW w:w="1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21"/>
        </w:trPr>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Class of Stock</w:t>
            </w:r>
          </w:p>
        </w:tc>
        <w:tc>
          <w:tcPr>
            <w:tcW w:w="860" w:type="dxa"/>
            <w:vAlign w:val="bottom"/>
          </w:tcPr>
          <w:p>
            <w:pPr>
              <w:spacing w:after="0"/>
              <w:rPr>
                <w:sz w:val="24"/>
                <w:szCs w:val="24"/>
                <w:color w:val="auto"/>
              </w:rPr>
            </w:pPr>
          </w:p>
        </w:tc>
        <w:tc>
          <w:tcPr>
            <w:tcW w:w="20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For</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Withheld</w:t>
            </w:r>
          </w:p>
        </w:tc>
      </w:tr>
      <w:tr>
        <w:trPr>
          <w:trHeight w:val="36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Ralph J. Roberts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29,109,733</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67,115</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Julian A. Brodsky</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29,110,945</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65,903</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Brian L. Roberts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29,110,484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66,364</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1280" w:type="dxa"/>
            <w:vAlign w:val="bottom"/>
          </w:tcPr>
          <w:p>
            <w:pPr>
              <w:spacing w:after="0"/>
              <w:rPr>
                <w:sz w:val="20"/>
                <w:szCs w:val="20"/>
                <w:color w:val="auto"/>
              </w:rPr>
            </w:pPr>
            <w:r>
              <w:rPr>
                <w:rFonts w:ascii="Courier New" w:cs="Courier New" w:eastAsia="Courier New" w:hAnsi="Courier New"/>
                <w:sz w:val="16"/>
                <w:szCs w:val="16"/>
                <w:color w:val="auto"/>
              </w:rPr>
              <w:t>Daniel Aaron</w:t>
            </w:r>
          </w:p>
        </w:tc>
        <w:tc>
          <w:tcPr>
            <w:tcW w:w="18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28,399,848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777,000</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Gustave G. Amsterdam</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29,119,242</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57,606</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Sheldon M. Bonovitz</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28,399,229</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777,619</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Joseph L. Castle II</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29,123,323</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53,525</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Bernard C. Watson</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29,119,257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57,591</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Irving A. Wechsler</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29,118,578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58,270</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361"/>
        </w:trPr>
        <w:tc>
          <w:tcPr>
            <w:tcW w:w="128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18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60" w:type="dxa"/>
            <w:vAlign w:val="bottom"/>
          </w:tcPr>
          <w:p>
            <w:pPr>
              <w:spacing w:after="0"/>
              <w:rPr>
                <w:sz w:val="24"/>
                <w:szCs w:val="24"/>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28,397,716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779,132</w:t>
            </w:r>
          </w:p>
        </w:tc>
      </w:tr>
      <w:tr>
        <w:trPr>
          <w:trHeight w:val="180"/>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60" w:type="dxa"/>
            <w:vAlign w:val="bottom"/>
          </w:tcPr>
          <w:p>
            <w:pPr>
              <w:spacing w:after="0"/>
              <w:rPr>
                <w:sz w:val="15"/>
                <w:szCs w:val="15"/>
                <w:color w:val="auto"/>
              </w:rPr>
            </w:pPr>
          </w:p>
        </w:tc>
        <w:tc>
          <w:tcPr>
            <w:tcW w:w="20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131,793,750</w:t>
            </w:r>
          </w:p>
        </w:tc>
        <w:tc>
          <w:tcPr>
            <w:tcW w:w="1400" w:type="dxa"/>
            <w:vAlign w:val="bottom"/>
          </w:tcPr>
          <w:p>
            <w:pPr>
              <w:spacing w:after="0"/>
              <w:rPr>
                <w:sz w:val="15"/>
                <w:szCs w:val="15"/>
                <w:color w:val="auto"/>
              </w:rPr>
            </w:pPr>
          </w:p>
        </w:tc>
      </w:tr>
      <w:tr>
        <w:trPr>
          <w:trHeight w:val="541"/>
        </w:trPr>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To  ratify  the  appointment  of</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Deloitte</w:t>
            </w:r>
          </w:p>
        </w:tc>
        <w:tc>
          <w:tcPr>
            <w:tcW w:w="920" w:type="dxa"/>
            <w:vAlign w:val="bottom"/>
          </w:tcPr>
          <w:p>
            <w:pPr>
              <w:ind w:left="140"/>
              <w:spacing w:after="0"/>
              <w:rPr>
                <w:sz w:val="20"/>
                <w:szCs w:val="20"/>
                <w:color w:val="auto"/>
              </w:rPr>
            </w:pPr>
            <w:r>
              <w:rPr>
                <w:rFonts w:ascii="Courier New" w:cs="Courier New" w:eastAsia="Courier New" w:hAnsi="Courier New"/>
                <w:sz w:val="16"/>
                <w:szCs w:val="16"/>
                <w:color w:val="auto"/>
                <w:w w:val="98"/>
              </w:rPr>
              <w:t>&amp; Touche</w:t>
            </w:r>
          </w:p>
        </w:tc>
        <w:tc>
          <w:tcPr>
            <w:tcW w:w="288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LLP as the  Company's</w:t>
            </w:r>
          </w:p>
        </w:tc>
        <w:tc>
          <w:tcPr>
            <w:tcW w:w="140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independent auditors for the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fiscal year.</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1"/>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Class of</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128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Against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Abstain</w:t>
            </w:r>
          </w:p>
        </w:tc>
      </w:tr>
      <w:tr>
        <w:trPr>
          <w:trHeight w:val="180"/>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2500" w:type="dxa"/>
            <w:vAlign w:val="bottom"/>
            <w:gridSpan w:val="3"/>
          </w:tcPr>
          <w:p>
            <w:pPr>
              <w:jc w:val="right"/>
              <w:ind w:right="862"/>
              <w:spacing w:after="0"/>
              <w:rPr>
                <w:sz w:val="20"/>
                <w:szCs w:val="20"/>
                <w:color w:val="auto"/>
              </w:rPr>
            </w:pPr>
            <w:r>
              <w:rPr>
                <w:rFonts w:ascii="Courier New" w:cs="Courier New" w:eastAsia="Courier New" w:hAnsi="Courier New"/>
                <w:sz w:val="16"/>
                <w:szCs w:val="16"/>
                <w:color w:val="auto"/>
              </w:rPr>
              <w:t>29,105,521</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21,817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49,510</w:t>
            </w:r>
          </w:p>
        </w:tc>
      </w:tr>
      <w:tr>
        <w:trPr>
          <w:trHeight w:val="180"/>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2500" w:type="dxa"/>
            <w:vAlign w:val="bottom"/>
            <w:gridSpan w:val="3"/>
          </w:tcPr>
          <w:p>
            <w:pPr>
              <w:jc w:val="right"/>
              <w:ind w:right="862"/>
              <w:spacing w:after="0"/>
              <w:rPr>
                <w:sz w:val="20"/>
                <w:szCs w:val="20"/>
                <w:color w:val="auto"/>
              </w:rPr>
            </w:pPr>
            <w:r>
              <w:rPr>
                <w:rFonts w:ascii="Courier New" w:cs="Courier New" w:eastAsia="Courier New" w:hAnsi="Courier New"/>
                <w:sz w:val="16"/>
                <w:szCs w:val="16"/>
                <w:color w:val="auto"/>
              </w:rPr>
              <w:t>131,793,750</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1"/>
        </w:trPr>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ITEM 6.   EXHIBITS AND REPORTS 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FORM</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8-K</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79" w:lineRule="exact"/>
        <w:rPr>
          <w:sz w:val="20"/>
          <w:szCs w:val="20"/>
          <w:color w:val="auto"/>
        </w:rPr>
      </w:pPr>
    </w:p>
    <w:p>
      <w:pPr>
        <w:ind w:left="940" w:hanging="475"/>
        <w:spacing w:after="0"/>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85" w:lineRule="exact"/>
        <w:rPr>
          <w:sz w:val="20"/>
          <w:szCs w:val="20"/>
          <w:color w:val="auto"/>
        </w:rPr>
      </w:pPr>
    </w:p>
    <w:p>
      <w:pPr>
        <w:jc w:val="both"/>
        <w:ind w:left="1880" w:right="2719" w:hanging="937"/>
        <w:spacing w:after="0" w:line="237" w:lineRule="auto"/>
        <w:tabs>
          <w:tab w:leader="none" w:pos="18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Restructuring and Merger Agreement dated as of May 26, 1998 among Sprint Corporation, TeleCommunications, Inc., Comcast Corporation, Cox Communications, Inc. and the entities listed therein (incorporated by reference to Exhibit No. 2 to the Sprint Corporation Current Report on Form 8-K filed on June 2, 1998).</w:t>
      </w:r>
    </w:p>
    <w:p>
      <w:pPr>
        <w:spacing w:after="0" w:line="184" w:lineRule="exact"/>
        <w:rPr>
          <w:sz w:val="20"/>
          <w:szCs w:val="20"/>
          <w:color w:val="auto"/>
        </w:rPr>
      </w:pPr>
    </w:p>
    <w:p>
      <w:pPr>
        <w:ind w:left="940"/>
        <w:spacing w:after="0"/>
        <w:tabs>
          <w:tab w:leader="none" w:pos="1860"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73" w:right="1440" w:bottom="1440" w:gutter="0" w:footer="0" w:header="0"/>
        </w:sectPr>
      </w:pPr>
    </w:p>
    <w:bookmarkStart w:id="22" w:name="page23"/>
    <w:bookmarkEnd w:id="22"/>
    <w:p>
      <w:pPr>
        <w:jc w:val="center"/>
        <w:ind w:right="317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3099"/>
        <w:spacing w:after="0"/>
        <w:rPr>
          <w:sz w:val="20"/>
          <w:szCs w:val="20"/>
          <w:color w:val="auto"/>
        </w:rPr>
      </w:pPr>
      <w:r>
        <w:rPr>
          <w:rFonts w:ascii="Courier New" w:cs="Courier New" w:eastAsia="Courier New" w:hAnsi="Courier New"/>
          <w:sz w:val="16"/>
          <w:szCs w:val="16"/>
          <w:color w:val="auto"/>
        </w:rPr>
        <w:t>FORM 10-Q</w:t>
      </w:r>
    </w:p>
    <w:p>
      <w:pPr>
        <w:jc w:val="center"/>
        <w:ind w:right="3099"/>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360" w:lineRule="exact"/>
        <w:rPr>
          <w:sz w:val="20"/>
          <w:szCs w:val="20"/>
          <w:color w:val="auto"/>
        </w:rPr>
      </w:pPr>
    </w:p>
    <w:p>
      <w:pPr>
        <w:ind w:left="480" w:hanging="475"/>
        <w:spacing w:after="0"/>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4" w:lineRule="exact"/>
        <w:rPr>
          <w:rFonts w:ascii="Courier New" w:cs="Courier New" w:eastAsia="Courier New" w:hAnsi="Courier New"/>
          <w:sz w:val="16"/>
          <w:szCs w:val="16"/>
          <w:color w:val="auto"/>
        </w:rPr>
      </w:pPr>
    </w:p>
    <w:p>
      <w:pPr>
        <w:jc w:val="both"/>
        <w:ind w:left="940" w:right="2719" w:hanging="466"/>
        <w:spacing w:after="0" w:line="238" w:lineRule="auto"/>
        <w:tabs>
          <w:tab w:leader="none" w:pos="94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filed a Current Report on Form 8-K under Item 5 on May 28, 1998 relating to its announcement to, among other things, purchase from BCI Telecom Holding, Inc. ("BTH") 6.4 million Class A common shares in Jones Intercable, Inc., as well as a 49% interest in the BTH subsidiaries, which will continue to own BTH's investment in another 6.4 million shares of Jones Intercable, Inc. Class A common stock, and a control option to acquire approximately 2.9 million shares.</w:t>
      </w:r>
    </w:p>
    <w:p>
      <w:pPr>
        <w:spacing w:after="0" w:line="185" w:lineRule="exact"/>
        <w:rPr>
          <w:rFonts w:ascii="Courier New" w:cs="Courier New" w:eastAsia="Courier New" w:hAnsi="Courier New"/>
          <w:sz w:val="16"/>
          <w:szCs w:val="16"/>
          <w:color w:val="auto"/>
        </w:rPr>
      </w:pPr>
    </w:p>
    <w:p>
      <w:pPr>
        <w:jc w:val="both"/>
        <w:ind w:left="940" w:right="2719" w:hanging="466"/>
        <w:spacing w:after="0" w:line="237" w:lineRule="auto"/>
        <w:tabs>
          <w:tab w:leader="none" w:pos="94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filed a Current Report on Form 8-K under Item 5 on June 9, 1998 relating to the Restructuring Agreement between Sprint Corporation, Comcast Corporation, Tele-Communications, Inc. and Cox Communications, Inc.</w:t>
      </w:r>
    </w:p>
    <w:p>
      <w:pPr>
        <w:spacing w:after="0" w:line="200" w:lineRule="exact"/>
        <w:rPr>
          <w:sz w:val="20"/>
          <w:szCs w:val="20"/>
          <w:color w:val="auto"/>
        </w:rPr>
      </w:pPr>
    </w:p>
    <w:p>
      <w:pPr>
        <w:spacing w:after="0" w:line="342"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759"/>
          </w:cols>
          <w:pgMar w:left="700" w:top="473" w:right="1440" w:bottom="1440" w:gutter="0" w:footer="0" w:header="0"/>
        </w:sectPr>
      </w:pPr>
    </w:p>
    <w:bookmarkStart w:id="23" w:name="page24"/>
    <w:bookmarkEnd w:id="23"/>
    <w:p>
      <w:pPr>
        <w:jc w:val="center"/>
        <w:ind w:right="2719"/>
        <w:spacing w:after="0"/>
        <w:rPr>
          <w:sz w:val="20"/>
          <w:szCs w:val="20"/>
          <w:color w:val="auto"/>
        </w:rPr>
      </w:pPr>
      <w:r>
        <w:rPr>
          <w:rFonts w:ascii="Courier New" w:cs="Courier New" w:eastAsia="Courier New" w:hAnsi="Courier New"/>
          <w:sz w:val="16"/>
          <w:szCs w:val="16"/>
          <w:color w:val="auto"/>
        </w:rPr>
        <w:t>COMCAST CORPORATION AND SUBSIDIARIES</w:t>
      </w:r>
    </w:p>
    <w:p>
      <w:pPr>
        <w:jc w:val="center"/>
        <w:ind w:right="2619"/>
        <w:spacing w:after="0"/>
        <w:rPr>
          <w:sz w:val="20"/>
          <w:szCs w:val="20"/>
          <w:color w:val="auto"/>
        </w:rPr>
      </w:pPr>
      <w:r>
        <w:rPr>
          <w:rFonts w:ascii="Courier New" w:cs="Courier New" w:eastAsia="Courier New" w:hAnsi="Courier New"/>
          <w:sz w:val="16"/>
          <w:szCs w:val="16"/>
          <w:color w:val="auto"/>
        </w:rPr>
        <w:t>FORM 10-Q</w:t>
      </w:r>
    </w:p>
    <w:p>
      <w:pPr>
        <w:jc w:val="center"/>
        <w:ind w:right="2639"/>
        <w:spacing w:after="0" w:line="237" w:lineRule="auto"/>
        <w:rPr>
          <w:sz w:val="20"/>
          <w:szCs w:val="20"/>
          <w:color w:val="auto"/>
        </w:rPr>
      </w:pPr>
      <w:r>
        <w:rPr>
          <w:rFonts w:ascii="Courier New" w:cs="Courier New" w:eastAsia="Courier New" w:hAnsi="Courier New"/>
          <w:sz w:val="16"/>
          <w:szCs w:val="16"/>
          <w:color w:val="auto"/>
        </w:rPr>
        <w:t>QUARTER ENDED JUNE 30, 1998</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 LAWRENCE S. SMITH</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Lawrence S. Smith</w:t>
      </w:r>
    </w:p>
    <w:p>
      <w:pPr>
        <w:ind w:left="3280"/>
        <w:spacing w:after="0"/>
        <w:rPr>
          <w:sz w:val="20"/>
          <w:szCs w:val="20"/>
          <w:color w:val="auto"/>
        </w:rPr>
      </w:pPr>
      <w:r>
        <w:rPr>
          <w:rFonts w:ascii="Courier New" w:cs="Courier New" w:eastAsia="Courier New" w:hAnsi="Courier New"/>
          <w:sz w:val="16"/>
          <w:szCs w:val="16"/>
          <w:color w:val="auto"/>
        </w:rPr>
        <w:t>Executive Vice President</w:t>
      </w:r>
    </w:p>
    <w:p>
      <w:pPr>
        <w:ind w:left="3280"/>
        <w:spacing w:after="0" w:line="237" w:lineRule="auto"/>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14, 1998</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73" w:right="1440" w:bottom="1440" w:gutter="0" w:footer="0" w:header="0"/>
        </w:sectPr>
      </w:pPr>
    </w:p>
    <w:bookmarkStart w:id="24" w:name="page25"/>
    <w:bookmarkEnd w:id="24"/>
    <w:p>
      <w:pPr>
        <w:ind w:left="100"/>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left="20" w:right="3259"/>
        <w:spacing w:after="0" w:line="23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ind w:left="100"/>
        <w:spacing w:after="0"/>
        <w:rPr>
          <w:sz w:val="20"/>
          <w:szCs w:val="20"/>
          <w:color w:val="auto"/>
        </w:rPr>
      </w:pPr>
      <w:r>
        <w:rPr>
          <w:rFonts w:ascii="Courier New" w:cs="Courier New" w:eastAsia="Courier New" w:hAnsi="Courier New"/>
          <w:sz w:val="16"/>
          <w:szCs w:val="16"/>
          <w:color w:val="auto"/>
        </w:rPr>
        <w:t>COMCAST CORPORATION</w:t>
      </w:r>
    </w:p>
    <w:p>
      <w:pPr>
        <w:ind w:left="100"/>
        <w:spacing w:after="0" w:line="237" w:lineRule="auto"/>
        <w:rPr>
          <w:sz w:val="20"/>
          <w:szCs w:val="20"/>
          <w:color w:val="auto"/>
        </w:rPr>
      </w:pPr>
      <w:r>
        <w:rPr>
          <w:rFonts w:ascii="Courier New" w:cs="Courier New" w:eastAsia="Courier New" w:hAnsi="Courier New"/>
          <w:sz w:val="16"/>
          <w:szCs w:val="16"/>
          <w:color w:val="auto"/>
        </w:rPr>
        <w:t>1,000,000</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6-MOS</w:t>
      </w:r>
    </w:p>
    <w:p>
      <w:pPr>
        <w:ind w:left="2440"/>
        <w:spacing w:after="0"/>
        <w:rPr>
          <w:sz w:val="20"/>
          <w:szCs w:val="20"/>
          <w:color w:val="auto"/>
        </w:rPr>
      </w:pPr>
      <w:r>
        <w:rPr>
          <w:rFonts w:ascii="Courier New" w:cs="Courier New" w:eastAsia="Courier New" w:hAnsi="Courier New"/>
          <w:sz w:val="16"/>
          <w:szCs w:val="16"/>
          <w:color w:val="auto"/>
        </w:rPr>
        <w:t>DEC-31-1998</w:t>
      </w:r>
    </w:p>
    <w:p>
      <w:pPr>
        <w:ind w:left="2900"/>
        <w:spacing w:after="0" w:line="237" w:lineRule="auto"/>
        <w:rPr>
          <w:sz w:val="20"/>
          <w:szCs w:val="20"/>
          <w:color w:val="auto"/>
        </w:rPr>
      </w:pPr>
      <w:r>
        <w:rPr>
          <w:rFonts w:ascii="Courier New" w:cs="Courier New" w:eastAsia="Courier New" w:hAnsi="Courier New"/>
          <w:sz w:val="16"/>
          <w:szCs w:val="16"/>
          <w:color w:val="auto"/>
        </w:rPr>
        <w:t>JUN-30-1998</w:t>
      </w:r>
    </w:p>
    <w:p>
      <w:pPr>
        <w:ind w:left="4220"/>
        <w:spacing w:after="0"/>
        <w:rPr>
          <w:sz w:val="20"/>
          <w:szCs w:val="20"/>
          <w:color w:val="auto"/>
        </w:rPr>
      </w:pPr>
      <w:r>
        <w:rPr>
          <w:rFonts w:ascii="Courier New" w:cs="Courier New" w:eastAsia="Courier New" w:hAnsi="Courier New"/>
          <w:sz w:val="16"/>
          <w:szCs w:val="16"/>
          <w:color w:val="auto"/>
        </w:rPr>
        <w:t>517</w:t>
      </w:r>
    </w:p>
    <w:p>
      <w:pPr>
        <w:ind w:left="3740"/>
        <w:spacing w:after="0" w:line="238" w:lineRule="auto"/>
        <w:rPr>
          <w:sz w:val="20"/>
          <w:szCs w:val="20"/>
          <w:color w:val="auto"/>
        </w:rPr>
      </w:pPr>
      <w:r>
        <w:rPr>
          <w:rFonts w:ascii="Courier New" w:cs="Courier New" w:eastAsia="Courier New" w:hAnsi="Courier New"/>
          <w:sz w:val="16"/>
          <w:szCs w:val="16"/>
          <w:color w:val="auto"/>
        </w:rPr>
        <w:t>49</w:t>
      </w:r>
    </w:p>
    <w:p>
      <w:pPr>
        <w:ind w:left="3560"/>
        <w:spacing w:after="0"/>
        <w:rPr>
          <w:sz w:val="20"/>
          <w:szCs w:val="20"/>
          <w:color w:val="auto"/>
        </w:rPr>
      </w:pPr>
      <w:r>
        <w:rPr>
          <w:rFonts w:ascii="Courier New" w:cs="Courier New" w:eastAsia="Courier New" w:hAnsi="Courier New"/>
          <w:sz w:val="16"/>
          <w:szCs w:val="16"/>
          <w:color w:val="auto"/>
        </w:rPr>
        <w:t>599</w:t>
      </w:r>
    </w:p>
    <w:p>
      <w:pPr>
        <w:ind w:left="3660"/>
        <w:spacing w:after="0" w:line="238" w:lineRule="auto"/>
        <w:rPr>
          <w:sz w:val="20"/>
          <w:szCs w:val="20"/>
          <w:color w:val="auto"/>
        </w:rPr>
      </w:pPr>
      <w:r>
        <w:rPr>
          <w:rFonts w:ascii="Courier New" w:cs="Courier New" w:eastAsia="Courier New" w:hAnsi="Courier New"/>
          <w:sz w:val="16"/>
          <w:szCs w:val="16"/>
          <w:color w:val="auto"/>
        </w:rPr>
        <w:t>114</w:t>
      </w:r>
    </w:p>
    <w:p>
      <w:pPr>
        <w:ind w:left="3740"/>
        <w:spacing w:after="0"/>
        <w:rPr>
          <w:sz w:val="20"/>
          <w:szCs w:val="20"/>
          <w:color w:val="auto"/>
        </w:rPr>
      </w:pPr>
      <w:r>
        <w:rPr>
          <w:rFonts w:ascii="Courier New" w:cs="Courier New" w:eastAsia="Courier New" w:hAnsi="Courier New"/>
          <w:sz w:val="16"/>
          <w:szCs w:val="16"/>
          <w:color w:val="auto"/>
        </w:rPr>
        <w:t>314</w:t>
      </w:r>
    </w:p>
    <w:p>
      <w:pPr>
        <w:ind w:left="3100"/>
        <w:spacing w:after="0" w:line="237" w:lineRule="auto"/>
        <w:rPr>
          <w:sz w:val="20"/>
          <w:szCs w:val="20"/>
          <w:color w:val="auto"/>
        </w:rPr>
      </w:pPr>
      <w:r>
        <w:rPr>
          <w:rFonts w:ascii="Courier New" w:cs="Courier New" w:eastAsia="Courier New" w:hAnsi="Courier New"/>
          <w:sz w:val="16"/>
          <w:szCs w:val="16"/>
          <w:color w:val="auto"/>
        </w:rPr>
        <w:t>1,537</w:t>
      </w:r>
    </w:p>
    <w:p>
      <w:pPr>
        <w:ind w:left="4020"/>
        <w:spacing w:after="0"/>
        <w:rPr>
          <w:sz w:val="20"/>
          <w:szCs w:val="20"/>
          <w:color w:val="auto"/>
        </w:rPr>
      </w:pPr>
      <w:r>
        <w:rPr>
          <w:rFonts w:ascii="Courier New" w:cs="Courier New" w:eastAsia="Courier New" w:hAnsi="Courier New"/>
          <w:sz w:val="16"/>
          <w:szCs w:val="16"/>
          <w:color w:val="auto"/>
        </w:rPr>
        <w:t>4,743</w:t>
      </w:r>
    </w:p>
    <w:p>
      <w:pPr>
        <w:jc w:val="right"/>
        <w:ind w:right="6479"/>
        <w:spacing w:after="0" w:line="238" w:lineRule="auto"/>
        <w:rPr>
          <w:sz w:val="20"/>
          <w:szCs w:val="20"/>
          <w:color w:val="auto"/>
        </w:rPr>
      </w:pPr>
      <w:r>
        <w:rPr>
          <w:rFonts w:ascii="Courier New" w:cs="Courier New" w:eastAsia="Courier New" w:hAnsi="Courier New"/>
          <w:sz w:val="16"/>
          <w:szCs w:val="16"/>
          <w:color w:val="auto"/>
        </w:rPr>
        <w:t>(1,565)</w:t>
      </w:r>
    </w:p>
    <w:p>
      <w:pPr>
        <w:jc w:val="right"/>
        <w:ind w:right="6479"/>
        <w:spacing w:after="0"/>
        <w:rPr>
          <w:sz w:val="20"/>
          <w:szCs w:val="20"/>
          <w:color w:val="auto"/>
        </w:rPr>
      </w:pPr>
      <w:r>
        <w:rPr>
          <w:rFonts w:ascii="Courier New" w:cs="Courier New" w:eastAsia="Courier New" w:hAnsi="Courier New"/>
          <w:sz w:val="16"/>
          <w:szCs w:val="16"/>
          <w:color w:val="auto"/>
        </w:rPr>
        <w:t>13,290</w:t>
      </w:r>
    </w:p>
    <w:p>
      <w:pPr>
        <w:ind w:left="2620"/>
        <w:spacing w:after="0" w:line="238" w:lineRule="auto"/>
        <w:rPr>
          <w:sz w:val="20"/>
          <w:szCs w:val="20"/>
          <w:color w:val="auto"/>
        </w:rPr>
      </w:pPr>
      <w:r>
        <w:rPr>
          <w:rFonts w:ascii="Courier New" w:cs="Courier New" w:eastAsia="Courier New" w:hAnsi="Courier New"/>
          <w:sz w:val="16"/>
          <w:szCs w:val="16"/>
          <w:color w:val="auto"/>
        </w:rPr>
        <w:t>1,458</w:t>
      </w:r>
    </w:p>
    <w:p>
      <w:pPr>
        <w:ind w:left="3940"/>
        <w:spacing w:after="0"/>
        <w:rPr>
          <w:sz w:val="20"/>
          <w:szCs w:val="20"/>
          <w:color w:val="auto"/>
        </w:rPr>
      </w:pPr>
      <w:r>
        <w:rPr>
          <w:rFonts w:ascii="Courier New" w:cs="Courier New" w:eastAsia="Courier New" w:hAnsi="Courier New"/>
          <w:sz w:val="16"/>
          <w:szCs w:val="16"/>
          <w:color w:val="auto"/>
        </w:rPr>
        <w:t>6,763</w:t>
      </w:r>
    </w:p>
    <w:p>
      <w:pPr>
        <w:ind w:left="2820"/>
        <w:spacing w:after="0" w:line="237" w:lineRule="auto"/>
        <w:rPr>
          <w:sz w:val="20"/>
          <w:szCs w:val="20"/>
          <w:color w:val="auto"/>
        </w:rPr>
      </w:pPr>
      <w:r>
        <w:rPr>
          <w:rFonts w:ascii="Courier New" w:cs="Courier New" w:eastAsia="Courier New" w:hAnsi="Courier New"/>
          <w:sz w:val="16"/>
          <w:szCs w:val="16"/>
          <w:color w:val="auto"/>
        </w:rPr>
        <w:t>527</w:t>
      </w:r>
    </w:p>
    <w:p>
      <w:pPr>
        <w:ind w:left="3840"/>
        <w:spacing w:after="0"/>
        <w:rPr>
          <w:sz w:val="20"/>
          <w:szCs w:val="20"/>
          <w:color w:val="auto"/>
        </w:rPr>
      </w:pPr>
      <w:r>
        <w:rPr>
          <w:rFonts w:ascii="Courier New" w:cs="Courier New" w:eastAsia="Courier New" w:hAnsi="Courier New"/>
          <w:sz w:val="16"/>
          <w:szCs w:val="16"/>
          <w:color w:val="auto"/>
        </w:rPr>
        <w:t>32</w:t>
      </w:r>
    </w:p>
    <w:p>
      <w:pPr>
        <w:ind w:left="4020"/>
        <w:spacing w:after="0" w:line="238" w:lineRule="auto"/>
        <w:rPr>
          <w:sz w:val="20"/>
          <w:szCs w:val="20"/>
          <w:color w:val="auto"/>
        </w:rPr>
      </w:pPr>
      <w:r>
        <w:rPr>
          <w:rFonts w:ascii="Courier New" w:cs="Courier New" w:eastAsia="Courier New" w:hAnsi="Courier New"/>
          <w:sz w:val="16"/>
          <w:szCs w:val="16"/>
          <w:color w:val="auto"/>
        </w:rPr>
        <w:t>369</w:t>
      </w:r>
    </w:p>
    <w:p>
      <w:pPr>
        <w:ind w:left="3660"/>
        <w:spacing w:after="0"/>
        <w:rPr>
          <w:sz w:val="20"/>
          <w:szCs w:val="20"/>
          <w:color w:val="auto"/>
        </w:rPr>
      </w:pPr>
      <w:r>
        <w:rPr>
          <w:rFonts w:ascii="Courier New" w:cs="Courier New" w:eastAsia="Courier New" w:hAnsi="Courier New"/>
          <w:sz w:val="16"/>
          <w:szCs w:val="16"/>
          <w:color w:val="auto"/>
        </w:rPr>
        <w:t>1,095</w:t>
      </w:r>
    </w:p>
    <w:p>
      <w:pPr>
        <w:ind w:left="1880"/>
        <w:spacing w:after="0" w:line="238" w:lineRule="auto"/>
        <w:rPr>
          <w:sz w:val="20"/>
          <w:szCs w:val="20"/>
          <w:color w:val="auto"/>
        </w:rPr>
      </w:pPr>
      <w:r>
        <w:rPr>
          <w:rFonts w:ascii="Courier New" w:cs="Courier New" w:eastAsia="Courier New" w:hAnsi="Courier New"/>
          <w:sz w:val="16"/>
          <w:szCs w:val="16"/>
          <w:color w:val="auto"/>
        </w:rPr>
        <w:t>13,290</w:t>
      </w:r>
    </w:p>
    <w:p>
      <w:pPr>
        <w:ind w:left="3940"/>
        <w:spacing w:after="0"/>
        <w:rPr>
          <w:sz w:val="20"/>
          <w:szCs w:val="20"/>
          <w:color w:val="auto"/>
        </w:rPr>
      </w:pPr>
      <w:r>
        <w:rPr>
          <w:rFonts w:ascii="Courier New" w:cs="Courier New" w:eastAsia="Courier New" w:hAnsi="Courier New"/>
          <w:sz w:val="16"/>
          <w:szCs w:val="16"/>
          <w:color w:val="auto"/>
        </w:rPr>
        <w:t>2,682</w:t>
      </w:r>
    </w:p>
    <w:p>
      <w:pPr>
        <w:ind w:left="3100"/>
        <w:spacing w:after="0" w:line="237" w:lineRule="auto"/>
        <w:rPr>
          <w:sz w:val="20"/>
          <w:szCs w:val="20"/>
          <w:color w:val="auto"/>
        </w:rPr>
      </w:pPr>
      <w:r>
        <w:rPr>
          <w:rFonts w:ascii="Courier New" w:cs="Courier New" w:eastAsia="Courier New" w:hAnsi="Courier New"/>
          <w:sz w:val="16"/>
          <w:szCs w:val="16"/>
          <w:color w:val="auto"/>
        </w:rPr>
        <w:t>2,682</w:t>
      </w:r>
    </w:p>
    <w:p>
      <w:pPr>
        <w:ind w:left="4320"/>
        <w:spacing w:after="0"/>
        <w:rPr>
          <w:sz w:val="20"/>
          <w:szCs w:val="20"/>
          <w:color w:val="auto"/>
        </w:rPr>
      </w:pPr>
      <w:r>
        <w:rPr>
          <w:rFonts w:ascii="Courier New" w:cs="Courier New" w:eastAsia="Courier New" w:hAnsi="Courier New"/>
          <w:sz w:val="16"/>
          <w:szCs w:val="16"/>
          <w:color w:val="auto"/>
        </w:rPr>
        <w:t>652</w:t>
      </w:r>
    </w:p>
    <w:p>
      <w:pPr>
        <w:ind w:left="3380"/>
        <w:spacing w:after="0" w:line="238" w:lineRule="auto"/>
        <w:rPr>
          <w:sz w:val="20"/>
          <w:szCs w:val="20"/>
          <w:color w:val="auto"/>
        </w:rPr>
      </w:pPr>
      <w:r>
        <w:rPr>
          <w:rFonts w:ascii="Courier New" w:cs="Courier New" w:eastAsia="Courier New" w:hAnsi="Courier New"/>
          <w:sz w:val="16"/>
          <w:szCs w:val="16"/>
          <w:color w:val="auto"/>
        </w:rPr>
        <w:t>2,417</w:t>
      </w:r>
    </w:p>
    <w:p>
      <w:pPr>
        <w:ind w:left="3280"/>
        <w:spacing w:after="0"/>
        <w:rPr>
          <w:sz w:val="20"/>
          <w:szCs w:val="20"/>
          <w:color w:val="auto"/>
        </w:rPr>
      </w:pPr>
      <w:r>
        <w:rPr>
          <w:rFonts w:ascii="Courier New" w:cs="Courier New" w:eastAsia="Courier New" w:hAnsi="Courier New"/>
          <w:sz w:val="16"/>
          <w:szCs w:val="16"/>
          <w:color w:val="auto"/>
        </w:rPr>
        <w:t>175</w:t>
      </w:r>
    </w:p>
    <w:p>
      <w:pPr>
        <w:ind w:left="3460"/>
        <w:spacing w:after="0" w:line="238" w:lineRule="auto"/>
        <w:rPr>
          <w:sz w:val="20"/>
          <w:szCs w:val="20"/>
          <w:color w:val="auto"/>
        </w:rPr>
      </w:pPr>
      <w:r>
        <w:rPr>
          <w:rFonts w:ascii="Courier New" w:cs="Courier New" w:eastAsia="Courier New" w:hAnsi="Courier New"/>
          <w:sz w:val="16"/>
          <w:szCs w:val="16"/>
          <w:color w:val="auto"/>
        </w:rPr>
        <w:t>0</w:t>
      </w:r>
    </w:p>
    <w:p>
      <w:pPr>
        <w:ind w:left="3100"/>
        <w:spacing w:after="0"/>
        <w:rPr>
          <w:sz w:val="20"/>
          <w:szCs w:val="20"/>
          <w:color w:val="auto"/>
        </w:rPr>
      </w:pPr>
      <w:r>
        <w:rPr>
          <w:rFonts w:ascii="Courier New" w:cs="Courier New" w:eastAsia="Courier New" w:hAnsi="Courier New"/>
          <w:sz w:val="16"/>
          <w:szCs w:val="16"/>
          <w:color w:val="auto"/>
        </w:rPr>
        <w:t>292</w:t>
      </w:r>
    </w:p>
    <w:p>
      <w:pPr>
        <w:ind w:left="2820"/>
        <w:spacing w:after="0" w:line="237" w:lineRule="auto"/>
        <w:rPr>
          <w:sz w:val="20"/>
          <w:szCs w:val="20"/>
          <w:color w:val="auto"/>
        </w:rPr>
      </w:pPr>
      <w:r>
        <w:rPr>
          <w:rFonts w:ascii="Courier New" w:cs="Courier New" w:eastAsia="Courier New" w:hAnsi="Courier New"/>
          <w:sz w:val="16"/>
          <w:szCs w:val="16"/>
          <w:color w:val="auto"/>
        </w:rPr>
        <w:t>(163)</w:t>
      </w:r>
    </w:p>
    <w:p>
      <w:pPr>
        <w:ind w:left="3840"/>
        <w:spacing w:after="0"/>
        <w:rPr>
          <w:sz w:val="20"/>
          <w:szCs w:val="20"/>
          <w:color w:val="auto"/>
        </w:rPr>
      </w:pPr>
      <w:r>
        <w:rPr>
          <w:rFonts w:ascii="Courier New" w:cs="Courier New" w:eastAsia="Courier New" w:hAnsi="Courier New"/>
          <w:sz w:val="16"/>
          <w:szCs w:val="16"/>
          <w:color w:val="auto"/>
        </w:rPr>
        <w:t>0</w:t>
      </w:r>
    </w:p>
    <w:p>
      <w:pPr>
        <w:ind w:left="2820"/>
        <w:spacing w:after="0" w:line="238" w:lineRule="auto"/>
        <w:rPr>
          <w:sz w:val="20"/>
          <w:szCs w:val="20"/>
          <w:color w:val="auto"/>
        </w:rPr>
      </w:pPr>
      <w:r>
        <w:rPr>
          <w:rFonts w:ascii="Courier New" w:cs="Courier New" w:eastAsia="Courier New" w:hAnsi="Courier New"/>
          <w:sz w:val="16"/>
          <w:szCs w:val="16"/>
          <w:color w:val="auto"/>
        </w:rPr>
        <w:t>(164)</w:t>
      </w:r>
    </w:p>
    <w:p>
      <w:pPr>
        <w:ind w:left="3660"/>
        <w:spacing w:after="0"/>
        <w:rPr>
          <w:sz w:val="20"/>
          <w:szCs w:val="20"/>
          <w:color w:val="auto"/>
        </w:rPr>
      </w:pPr>
      <w:r>
        <w:rPr>
          <w:rFonts w:ascii="Courier New" w:cs="Courier New" w:eastAsia="Courier New" w:hAnsi="Courier New"/>
          <w:sz w:val="16"/>
          <w:szCs w:val="16"/>
          <w:color w:val="auto"/>
        </w:rPr>
        <w:t>0</w:t>
      </w:r>
    </w:p>
    <w:p>
      <w:pPr>
        <w:ind w:left="3560"/>
        <w:spacing w:after="0" w:line="238" w:lineRule="auto"/>
        <w:rPr>
          <w:sz w:val="20"/>
          <w:szCs w:val="20"/>
          <w:color w:val="auto"/>
        </w:rPr>
      </w:pPr>
      <w:r>
        <w:rPr>
          <w:rFonts w:ascii="Courier New" w:cs="Courier New" w:eastAsia="Courier New" w:hAnsi="Courier New"/>
          <w:sz w:val="16"/>
          <w:szCs w:val="16"/>
          <w:color w:val="auto"/>
        </w:rPr>
        <w:t>0</w:t>
      </w:r>
    </w:p>
    <w:p>
      <w:pPr>
        <w:ind w:left="4120"/>
        <w:spacing w:after="0"/>
        <w:rPr>
          <w:sz w:val="20"/>
          <w:szCs w:val="20"/>
          <w:color w:val="auto"/>
        </w:rPr>
      </w:pPr>
      <w:r>
        <w:rPr>
          <w:rFonts w:ascii="Courier New" w:cs="Courier New" w:eastAsia="Courier New" w:hAnsi="Courier New"/>
          <w:sz w:val="16"/>
          <w:szCs w:val="16"/>
          <w:color w:val="auto"/>
        </w:rPr>
        <w:t>0</w:t>
      </w:r>
    </w:p>
    <w:p>
      <w:pPr>
        <w:ind w:left="3460"/>
        <w:spacing w:after="0" w:line="237" w:lineRule="auto"/>
        <w:rPr>
          <w:sz w:val="20"/>
          <w:szCs w:val="20"/>
          <w:color w:val="auto"/>
        </w:rPr>
      </w:pPr>
      <w:r>
        <w:rPr>
          <w:rFonts w:ascii="Courier New" w:cs="Courier New" w:eastAsia="Courier New" w:hAnsi="Courier New"/>
          <w:sz w:val="16"/>
          <w:szCs w:val="16"/>
          <w:color w:val="auto"/>
        </w:rPr>
        <w:t>(164)</w:t>
      </w:r>
    </w:p>
    <w:p>
      <w:pPr>
        <w:ind w:left="3380"/>
        <w:spacing w:after="0"/>
        <w:rPr>
          <w:sz w:val="20"/>
          <w:szCs w:val="20"/>
          <w:color w:val="auto"/>
        </w:rPr>
      </w:pPr>
      <w:r>
        <w:rPr>
          <w:rFonts w:ascii="Courier New" w:cs="Courier New" w:eastAsia="Courier New" w:hAnsi="Courier New"/>
          <w:sz w:val="16"/>
          <w:szCs w:val="16"/>
          <w:color w:val="auto"/>
        </w:rPr>
        <w:t>(.49)</w:t>
      </w:r>
    </w:p>
    <w:p>
      <w:pPr>
        <w:ind w:left="3380"/>
        <w:spacing w:after="0" w:line="238" w:lineRule="auto"/>
        <w:rPr>
          <w:sz w:val="20"/>
          <w:szCs w:val="20"/>
          <w:color w:val="auto"/>
        </w:rPr>
      </w:pPr>
      <w:r>
        <w:rPr>
          <w:rFonts w:ascii="Courier New" w:cs="Courier New" w:eastAsia="Courier New" w:hAnsi="Courier New"/>
          <w:sz w:val="16"/>
          <w:szCs w:val="16"/>
          <w:color w:val="auto"/>
        </w:rPr>
        <w:t>(.49)</w:t>
      </w:r>
    </w:p>
    <w:p>
      <w:pPr>
        <w:spacing w:after="0" w:line="185"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6"/>
          <w:szCs w:val="16"/>
          <w:color w:val="auto"/>
        </w:rPr>
        <w:t>loss before income tax expense and other items excludes the effect of minority interests, net of tax, of $39.2.</w:t>
      </w:r>
    </w:p>
    <w:sectPr>
      <w:pgSz w:w="11900" w:h="16838" w:orient="portrait"/>
      <w:cols w:equalWidth="0" w:num="1">
        <w:col w:w="10219"/>
      </w:cols>
      <w:pgMar w:left="240"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8"/>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2019-12-12T06:14:29Z</dcterms:created>
  <dcterms:modified xsi:type="dcterms:W3CDTF">2019-12-12T06:14:29Z</dcterms:modified>
</cp:coreProperties>
</file>