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80"/>
        <w:spacing w:after="0"/>
        <w:rPr>
          <w:sz w:val="20"/>
          <w:szCs w:val="20"/>
          <w:color w:val="auto"/>
        </w:rPr>
      </w:pPr>
      <w:r>
        <w:rPr>
          <w:rFonts w:ascii="Arial" w:cs="Arial" w:eastAsia="Arial" w:hAnsi="Arial"/>
          <w:sz w:val="22"/>
          <w:szCs w:val="22"/>
          <w:b w:val="1"/>
          <w:bCs w:val="1"/>
          <w:color w:val="auto"/>
        </w:rPr>
        <w:t>Date of report (Date of earliest event reported): March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3380" w:type="dxa"/>
            <w:vAlign w:val="bottom"/>
          </w:tcPr>
          <w:p>
            <w:pPr>
              <w:jc w:val="center"/>
              <w:ind w:right="839"/>
              <w:spacing w:after="0"/>
              <w:rPr>
                <w:sz w:val="20"/>
                <w:szCs w:val="20"/>
                <w:color w:val="auto"/>
              </w:rPr>
            </w:pPr>
            <w:r>
              <w:rPr>
                <w:rFonts w:ascii="Arial" w:cs="Arial" w:eastAsia="Arial" w:hAnsi="Arial"/>
                <w:sz w:val="18"/>
                <w:szCs w:val="18"/>
                <w:b w:val="1"/>
                <w:bCs w:val="1"/>
                <w:color w:val="auto"/>
                <w:w w:val="90"/>
              </w:rPr>
              <w:t>001-32871</w:t>
            </w:r>
          </w:p>
        </w:tc>
        <w:tc>
          <w:tcPr>
            <w:tcW w:w="3740" w:type="dxa"/>
            <w:vAlign w:val="bottom"/>
          </w:tcPr>
          <w:p>
            <w:pPr>
              <w:jc w:val="center"/>
              <w:ind w:right="162"/>
              <w:spacing w:after="0"/>
              <w:rPr>
                <w:sz w:val="20"/>
                <w:szCs w:val="20"/>
                <w:color w:val="auto"/>
              </w:rPr>
            </w:pPr>
            <w:r>
              <w:rPr>
                <w:rFonts w:ascii="Arial" w:cs="Arial" w:eastAsia="Arial" w:hAnsi="Arial"/>
                <w:sz w:val="18"/>
                <w:szCs w:val="18"/>
                <w:b w:val="1"/>
                <w:bCs w:val="1"/>
                <w:color w:val="auto"/>
                <w:w w:val="88"/>
              </w:rPr>
              <w:t>Pennsylvania</w:t>
            </w:r>
          </w:p>
        </w:tc>
        <w:tc>
          <w:tcPr>
            <w:tcW w:w="2320" w:type="dxa"/>
            <w:vAlign w:val="bottom"/>
          </w:tcPr>
          <w:p>
            <w:pPr>
              <w:jc w:val="center"/>
              <w:ind w:left="1121"/>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3380" w:type="dxa"/>
            <w:vAlign w:val="bottom"/>
          </w:tcPr>
          <w:p>
            <w:pPr>
              <w:jc w:val="center"/>
              <w:ind w:right="839"/>
              <w:spacing w:after="0" w:line="149" w:lineRule="exact"/>
              <w:rPr>
                <w:sz w:val="20"/>
                <w:szCs w:val="20"/>
                <w:color w:val="auto"/>
              </w:rPr>
            </w:pPr>
            <w:r>
              <w:rPr>
                <w:rFonts w:ascii="Arial" w:cs="Arial" w:eastAsia="Arial" w:hAnsi="Arial"/>
                <w:sz w:val="14"/>
                <w:szCs w:val="14"/>
                <w:b w:val="1"/>
                <w:bCs w:val="1"/>
                <w:color w:val="auto"/>
                <w:w w:val="92"/>
              </w:rPr>
              <w:t>(Commission</w:t>
            </w:r>
          </w:p>
        </w:tc>
        <w:tc>
          <w:tcPr>
            <w:tcW w:w="37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left="11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80" w:type="dxa"/>
            <w:vAlign w:val="bottom"/>
          </w:tcPr>
          <w:p>
            <w:pPr>
              <w:jc w:val="center"/>
              <w:ind w:right="839"/>
              <w:spacing w:after="0"/>
              <w:rPr>
                <w:sz w:val="20"/>
                <w:szCs w:val="20"/>
                <w:color w:val="auto"/>
              </w:rPr>
            </w:pPr>
            <w:r>
              <w:rPr>
                <w:rFonts w:ascii="Arial" w:cs="Arial" w:eastAsia="Arial" w:hAnsi="Arial"/>
                <w:sz w:val="14"/>
                <w:szCs w:val="14"/>
                <w:b w:val="1"/>
                <w:bCs w:val="1"/>
                <w:color w:val="auto"/>
                <w:w w:val="95"/>
              </w:rPr>
              <w:t>File Number)</w:t>
            </w:r>
          </w:p>
        </w:tc>
        <w:tc>
          <w:tcPr>
            <w:tcW w:w="37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of incorporation)</w:t>
            </w:r>
          </w:p>
        </w:tc>
        <w:tc>
          <w:tcPr>
            <w:tcW w:w="2320" w:type="dxa"/>
            <w:vAlign w:val="bottom"/>
          </w:tcPr>
          <w:p>
            <w:pPr>
              <w:jc w:val="center"/>
              <w:ind w:left="11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380" w:type="dxa"/>
            <w:vAlign w:val="bottom"/>
          </w:tcPr>
          <w:p>
            <w:pPr>
              <w:jc w:val="center"/>
              <w:ind w:right="839"/>
              <w:spacing w:after="0"/>
              <w:rPr>
                <w:sz w:val="20"/>
                <w:szCs w:val="20"/>
                <w:color w:val="auto"/>
              </w:rPr>
            </w:pPr>
            <w:r>
              <w:rPr>
                <w:rFonts w:ascii="Arial" w:cs="Arial" w:eastAsia="Arial" w:hAnsi="Arial"/>
                <w:sz w:val="18"/>
                <w:szCs w:val="18"/>
                <w:b w:val="1"/>
                <w:bCs w:val="1"/>
                <w:color w:val="auto"/>
                <w:w w:val="90"/>
              </w:rPr>
              <w:t>One Comcast Center</w:t>
            </w:r>
          </w:p>
        </w:tc>
        <w:tc>
          <w:tcPr>
            <w:tcW w:w="3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2"/>
        </w:trPr>
        <w:tc>
          <w:tcPr>
            <w:tcW w:w="3380" w:type="dxa"/>
            <w:vAlign w:val="bottom"/>
          </w:tcPr>
          <w:p>
            <w:pPr>
              <w:jc w:val="center"/>
              <w:ind w:right="859"/>
              <w:spacing w:after="0"/>
              <w:rPr>
                <w:sz w:val="20"/>
                <w:szCs w:val="20"/>
                <w:color w:val="auto"/>
              </w:rPr>
            </w:pPr>
            <w:r>
              <w:rPr>
                <w:rFonts w:ascii="Arial" w:cs="Arial" w:eastAsia="Arial" w:hAnsi="Arial"/>
                <w:sz w:val="18"/>
                <w:szCs w:val="18"/>
                <w:b w:val="1"/>
                <w:bCs w:val="1"/>
                <w:color w:val="auto"/>
                <w:w w:val="90"/>
              </w:rPr>
              <w:t>Philadelphia, PA</w:t>
            </w:r>
          </w:p>
        </w:tc>
        <w:tc>
          <w:tcPr>
            <w:tcW w:w="3740" w:type="dxa"/>
            <w:vAlign w:val="bottom"/>
          </w:tcPr>
          <w:p>
            <w:pPr>
              <w:spacing w:after="0"/>
              <w:rPr>
                <w:sz w:val="18"/>
                <w:szCs w:val="18"/>
                <w:color w:val="auto"/>
              </w:rPr>
            </w:pPr>
          </w:p>
        </w:tc>
        <w:tc>
          <w:tcPr>
            <w:tcW w:w="2320" w:type="dxa"/>
            <w:vAlign w:val="bottom"/>
          </w:tcPr>
          <w:p>
            <w:pPr>
              <w:jc w:val="center"/>
              <w:ind w:left="1121"/>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3380" w:type="dxa"/>
            <w:vAlign w:val="bottom"/>
          </w:tcPr>
          <w:p>
            <w:pPr>
              <w:jc w:val="center"/>
              <w:ind w:right="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40" w:type="dxa"/>
            <w:vAlign w:val="bottom"/>
          </w:tcPr>
          <w:p>
            <w:pPr>
              <w:spacing w:after="0"/>
              <w:rPr>
                <w:sz w:val="16"/>
                <w:szCs w:val="16"/>
                <w:color w:val="auto"/>
              </w:rPr>
            </w:pPr>
          </w:p>
        </w:tc>
        <w:tc>
          <w:tcPr>
            <w:tcW w:w="2320" w:type="dxa"/>
            <w:vAlign w:val="bottom"/>
          </w:tcPr>
          <w:p>
            <w:pPr>
              <w:jc w:val="center"/>
              <w:ind w:left="11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March 14, 2017 Comcast Corporation (“Comcast”) consummated the issuance and sale of $1,005,000,000 aggregate principal amount of its 4.450% Notes due 2047 (the “Notes”), pursuant to a subscription agreement dated February 15, 2017 among Comcast, the Guarantors (defined below), Deutsche Bank AG, Taipei Branch and Citibank Taiwan Limited, as the managers named therein. The Notes will be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78" w:lineRule="exact"/>
        <w:rPr>
          <w:sz w:val="20"/>
          <w:szCs w:val="20"/>
          <w:color w:val="auto"/>
        </w:rPr>
      </w:pPr>
    </w:p>
    <w:p>
      <w:pPr>
        <w:jc w:val="both"/>
        <w:ind w:right="860" w:firstLine="456"/>
        <w:spacing w:after="0" w:line="264" w:lineRule="auto"/>
        <w:rPr>
          <w:sz w:val="20"/>
          <w:szCs w:val="20"/>
          <w:color w:val="auto"/>
        </w:rPr>
      </w:pPr>
      <w:r>
        <w:rPr>
          <w:rFonts w:ascii="Arial" w:cs="Arial" w:eastAsia="Arial" w:hAnsi="Arial"/>
          <w:sz w:val="18"/>
          <w:szCs w:val="18"/>
          <w:color w:val="auto"/>
        </w:rPr>
        <w:t>The Notes are being offered pursuant to Comcast’s Registration Statement on Form S-3 filed on July 28, 2016, as amended at the date of the subscription agreement (Reg. No. 333-212719), including the prospectus contained therein, and a related preliminary prospectus supplement dated February 15, 2017 and a prospectus supplement dated February 15, 2017.</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5"/>
                <w:szCs w:val="15"/>
                <w:color w:val="auto"/>
              </w:rPr>
            </w:pPr>
          </w:p>
        </w:tc>
        <w:tc>
          <w:tcPr>
            <w:tcW w:w="10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40" w:val="left"/>
          <w:tab w:leader="none" w:pos="5880" w:val="left"/>
        </w:tabs>
        <w:rPr>
          <w:sz w:val="20"/>
          <w:szCs w:val="20"/>
          <w:color w:val="auto"/>
        </w:rPr>
      </w:pPr>
      <w:r>
        <w:rPr>
          <w:rFonts w:ascii="Arial" w:cs="Arial" w:eastAsia="Arial" w:hAnsi="Arial"/>
          <w:sz w:val="18"/>
          <w:szCs w:val="18"/>
          <w:color w:val="auto"/>
        </w:rPr>
        <w:t>Date:</w:t>
        <w:tab/>
        <w:t>March 14, 2017</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 General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14, 2017</w:t>
      </w:r>
    </w:p>
    <w:p>
      <w:pPr>
        <w:spacing w:after="0" w:line="2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Section 2.03 of the Indenture dated as of September 18, 2013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$1,005,000,000 aggregate principal amount of 4.450% Notes due 2047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7500" w:type="dxa"/>
            <w:vAlign w:val="bottom"/>
            <w:gridSpan w:val="3"/>
          </w:tcPr>
          <w:p>
            <w:pPr>
              <w:ind w:left="9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450%</w:t>
            </w:r>
            <w:r>
              <w:rPr>
                <w:rFonts w:ascii="Arial" w:cs="Arial" w:eastAsia="Arial" w:hAnsi="Arial"/>
                <w:sz w:val="18"/>
                <w:szCs w:val="18"/>
                <w:b w:val="1"/>
                <w:bCs w:val="1"/>
                <w:color w:val="auto"/>
              </w:rPr>
              <w:t xml:space="preserve"> Notes due 2047</w:t>
            </w:r>
          </w:p>
        </w:tc>
      </w:tr>
      <w:tr>
        <w:trPr>
          <w:trHeight w:val="20"/>
        </w:trPr>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80"/>
        </w:trPr>
        <w:tc>
          <w:tcPr>
            <w:tcW w:w="39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rPr>
              <w:t>4.450% Notes due 2047</w:t>
            </w:r>
          </w:p>
        </w:tc>
      </w:tr>
      <w:tr>
        <w:trPr>
          <w:trHeight w:val="324"/>
        </w:trPr>
        <w:tc>
          <w:tcPr>
            <w:tcW w:w="39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00" w:type="dxa"/>
            <w:vAlign w:val="bottom"/>
            <w:gridSpan w:val="2"/>
          </w:tcPr>
          <w:p>
            <w:pPr>
              <w:ind w:left="1140"/>
              <w:spacing w:after="0"/>
              <w:rPr>
                <w:sz w:val="20"/>
                <w:szCs w:val="20"/>
                <w:color w:val="auto"/>
              </w:rPr>
            </w:pPr>
            <w:r>
              <w:rPr>
                <w:rFonts w:ascii="Arial" w:cs="Arial" w:eastAsia="Arial" w:hAnsi="Arial"/>
                <w:sz w:val="18"/>
                <w:szCs w:val="18"/>
                <w:color w:val="auto"/>
              </w:rPr>
              <w:t>$1,005,000,000</w:t>
            </w:r>
          </w:p>
        </w:tc>
        <w:tc>
          <w:tcPr>
            <w:tcW w:w="4800" w:type="dxa"/>
            <w:vAlign w:val="bottom"/>
          </w:tcPr>
          <w:p>
            <w:pPr>
              <w:spacing w:after="0"/>
              <w:rPr>
                <w:sz w:val="24"/>
                <w:szCs w:val="24"/>
                <w:color w:val="auto"/>
              </w:rPr>
            </w:pPr>
          </w:p>
        </w:tc>
      </w:tr>
      <w:tr>
        <w:trPr>
          <w:trHeight w:val="324"/>
        </w:trPr>
        <w:tc>
          <w:tcPr>
            <w:tcW w:w="39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rPr>
              <w:t>March 15, 2047</w:t>
            </w:r>
          </w:p>
        </w:tc>
      </w:tr>
      <w:tr>
        <w:trPr>
          <w:trHeight w:val="324"/>
        </w:trPr>
        <w:tc>
          <w:tcPr>
            <w:tcW w:w="39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00" w:type="dxa"/>
            <w:vAlign w:val="bottom"/>
            <w:gridSpan w:val="2"/>
          </w:tcPr>
          <w:p>
            <w:pPr>
              <w:ind w:left="1140"/>
              <w:spacing w:after="0"/>
              <w:rPr>
                <w:sz w:val="20"/>
                <w:szCs w:val="20"/>
                <w:color w:val="auto"/>
              </w:rPr>
            </w:pPr>
            <w:r>
              <w:rPr>
                <w:rFonts w:ascii="Arial" w:cs="Arial" w:eastAsia="Arial" w:hAnsi="Arial"/>
                <w:sz w:val="18"/>
                <w:szCs w:val="18"/>
                <w:color w:val="auto"/>
              </w:rPr>
              <w:t>4.450%</w:t>
            </w:r>
          </w:p>
        </w:tc>
        <w:tc>
          <w:tcPr>
            <w:tcW w:w="4800" w:type="dxa"/>
            <w:vAlign w:val="bottom"/>
          </w:tcPr>
          <w:p>
            <w:pPr>
              <w:spacing w:after="0"/>
              <w:rPr>
                <w:sz w:val="24"/>
                <w:szCs w:val="24"/>
                <w:color w:val="auto"/>
              </w:rPr>
            </w:pPr>
          </w:p>
        </w:tc>
      </w:tr>
      <w:tr>
        <w:trPr>
          <w:trHeight w:val="310"/>
        </w:trPr>
        <w:tc>
          <w:tcPr>
            <w:tcW w:w="3900" w:type="dxa"/>
            <w:vAlign w:val="bottom"/>
          </w:tcPr>
          <w:p>
            <w:pPr>
              <w:spacing w:after="0"/>
              <w:rPr>
                <w:sz w:val="20"/>
                <w:szCs w:val="20"/>
                <w:color w:val="auto"/>
              </w:rPr>
            </w:pPr>
            <w:r>
              <w:rPr>
                <w:rFonts w:ascii="Arial" w:cs="Arial" w:eastAsia="Arial" w:hAnsi="Arial"/>
                <w:sz w:val="18"/>
                <w:szCs w:val="18"/>
                <w:i w:val="1"/>
                <w:iCs w:val="1"/>
                <w:color w:val="auto"/>
              </w:rPr>
              <w:t>Optional Redemption:</w:t>
            </w:r>
          </w:p>
        </w:tc>
        <w:tc>
          <w:tcPr>
            <w:tcW w:w="920" w:type="dxa"/>
            <w:vAlign w:val="bottom"/>
          </w:tcPr>
          <w:p>
            <w:pPr>
              <w:spacing w:after="0"/>
              <w:rPr>
                <w:sz w:val="24"/>
                <w:szCs w:val="24"/>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5"/>
              </w:rPr>
              <w:t>The Company may at its option redeem the Notes, in whole but not in part, on each</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3"/>
              </w:rPr>
              <w:t>March 15 on or after March 15, 2020, on at least 30 days, but not more than 60 days,</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0"/>
              </w:rPr>
              <w:t>prior notice electronically delivered or mailed to the registered address of each holder of</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5"/>
              </w:rPr>
              <w:t>the Notes, at the “Redemption Price.” The Redemption Price will equal 100% of the</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0"/>
              </w:rPr>
              <w:t>principal amount of the Notes being redeemed plus accrued and unpaid interest thereon</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w w:val="95"/>
              </w:rPr>
              <w:t>to, but not including, the date of redemption, subject to the further description in the</w:t>
            </w:r>
          </w:p>
        </w:tc>
      </w:tr>
      <w:tr>
        <w:trPr>
          <w:trHeight w:val="230"/>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rPr>
              <w:t>Prospectus Supplement dated February 15, 2017.</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i w:val="1"/>
                <w:iCs w:val="1"/>
                <w:color w:val="auto"/>
              </w:rPr>
              <w:t>Redemption for Tax Reasons:</w:t>
            </w: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4"/>
              </w:rPr>
              <w:t>The Company may redeem the Notes, in whole but not in part, in the event of certain</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8"/>
              </w:rPr>
              <w:t>changes in the tax laws of the United States (or any taxing authority in the United</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3"/>
              </w:rPr>
              <w:t>States), on not less than 10 nor more than 60 days prior notice. The redemption price</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1"/>
              </w:rPr>
              <w:t>will equal 100% of the principal amount of the Notes being redeemed, together with any</w:t>
            </w:r>
          </w:p>
        </w:tc>
      </w:tr>
      <w:tr>
        <w:trPr>
          <w:trHeight w:val="230"/>
        </w:trPr>
        <w:tc>
          <w:tcPr>
            <w:tcW w:w="3580" w:type="dxa"/>
            <w:vAlign w:val="bottom"/>
          </w:tcPr>
          <w:p>
            <w:pPr>
              <w:spacing w:after="0"/>
              <w:rPr>
                <w:sz w:val="20"/>
                <w:szCs w:val="20"/>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rPr>
              <w:t>accrued and unpaid interest to, but not including, the redemption date.</w:t>
            </w:r>
          </w:p>
        </w:tc>
      </w:tr>
      <w:tr>
        <w:trPr>
          <w:trHeight w:val="310"/>
        </w:trPr>
        <w:tc>
          <w:tcPr>
            <w:tcW w:w="35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1"/>
              </w:rPr>
              <w:t>To the extent permitted by applicable authorities in the Republic of China and subject to</w:t>
            </w:r>
          </w:p>
        </w:tc>
      </w:tr>
      <w:tr>
        <w:trPr>
          <w:trHeight w:val="212"/>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8"/>
              </w:rPr>
              <w:t>the receipt of all necessary regulatory and listing approvals from such authorities,</w:t>
            </w:r>
          </w:p>
        </w:tc>
      </w:tr>
      <w:tr>
        <w:trPr>
          <w:trHeight w:val="220"/>
        </w:trPr>
        <w:tc>
          <w:tcPr>
            <w:tcW w:w="3580" w:type="dxa"/>
            <w:vAlign w:val="bottom"/>
          </w:tcPr>
          <w:p>
            <w:pPr>
              <w:spacing w:after="0"/>
              <w:rPr>
                <w:sz w:val="19"/>
                <w:szCs w:val="19"/>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5"/>
              </w:rPr>
              <w:t>including but not limited to the Taipei Exchange (“</w:t>
            </w:r>
            <w:r>
              <w:rPr>
                <w:rFonts w:ascii="Arial" w:cs="Arial" w:eastAsia="Arial" w:hAnsi="Arial"/>
                <w:sz w:val="18"/>
                <w:szCs w:val="18"/>
                <w:b w:val="1"/>
                <w:bCs w:val="1"/>
                <w:color w:val="auto"/>
                <w:w w:val="95"/>
              </w:rPr>
              <w:t>TPEx</w:t>
            </w:r>
            <w:r>
              <w:rPr>
                <w:rFonts w:ascii="Arial" w:cs="Arial" w:eastAsia="Arial" w:hAnsi="Arial"/>
                <w:sz w:val="18"/>
                <w:szCs w:val="18"/>
                <w:color w:val="auto"/>
                <w:w w:val="95"/>
              </w:rPr>
              <w:t>”) and the Taiwan Securities</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2"/>
              </w:rPr>
              <w:t>Association, an unlimited amount of additional 4.450% Notes due 2047 may be issued.</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89"/>
              </w:rPr>
              <w:t>The Notes and any additional 4.450% Notes due 2047 that may be issued may be treated</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9"/>
              </w:rPr>
              <w:t>as a single series for all purposes under the Indenture, to the extent permitted by</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0"/>
              </w:rPr>
              <w:t>applicable authorities in the Republic of China and subject to the receipt of all necessary</w:t>
            </w:r>
          </w:p>
        </w:tc>
      </w:tr>
      <w:tr>
        <w:trPr>
          <w:trHeight w:val="216"/>
        </w:trPr>
        <w:tc>
          <w:tcPr>
            <w:tcW w:w="3580" w:type="dxa"/>
            <w:vAlign w:val="bottom"/>
          </w:tcPr>
          <w:p>
            <w:pPr>
              <w:spacing w:after="0"/>
              <w:rPr>
                <w:sz w:val="18"/>
                <w:szCs w:val="18"/>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5"/>
              </w:rPr>
              <w:t>regulatory and listing approvals from such authorities, including but not limited to the</w:t>
            </w:r>
          </w:p>
        </w:tc>
      </w:tr>
      <w:tr>
        <w:trPr>
          <w:trHeight w:val="230"/>
        </w:trPr>
        <w:tc>
          <w:tcPr>
            <w:tcW w:w="3580" w:type="dxa"/>
            <w:vAlign w:val="bottom"/>
          </w:tcPr>
          <w:p>
            <w:pPr>
              <w:spacing w:after="0"/>
              <w:rPr>
                <w:sz w:val="20"/>
                <w:szCs w:val="20"/>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rPr>
              <w:t>TPEx and the TSA.</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306"/>
        </w:trPr>
        <w:tc>
          <w:tcPr>
            <w:tcW w:w="35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840" w:type="dxa"/>
            <w:vAlign w:val="bottom"/>
            <w:gridSpan w:val="3"/>
          </w:tcPr>
          <w:p>
            <w:pPr>
              <w:ind w:left="1460"/>
              <w:spacing w:after="0"/>
              <w:rPr>
                <w:sz w:val="20"/>
                <w:szCs w:val="20"/>
                <w:color w:val="auto"/>
              </w:rPr>
            </w:pPr>
            <w:r>
              <w:rPr>
                <w:rFonts w:ascii="Arial" w:cs="Arial" w:eastAsia="Arial" w:hAnsi="Arial"/>
                <w:sz w:val="18"/>
                <w:szCs w:val="18"/>
                <w:color w:val="auto"/>
                <w:w w:val="95"/>
              </w:rPr>
              <w:t>The terms of the Notes shall include such other terms as are set forth in the Form of</w:t>
            </w:r>
          </w:p>
        </w:tc>
      </w:tr>
      <w:tr>
        <w:trPr>
          <w:trHeight w:val="194"/>
        </w:trPr>
        <w:tc>
          <w:tcPr>
            <w:tcW w:w="3580" w:type="dxa"/>
            <w:vAlign w:val="bottom"/>
          </w:tcPr>
          <w:p>
            <w:pPr>
              <w:spacing w:after="0"/>
              <w:rPr>
                <w:sz w:val="16"/>
                <w:szCs w:val="16"/>
                <w:color w:val="auto"/>
              </w:rPr>
            </w:pPr>
          </w:p>
        </w:tc>
        <w:tc>
          <w:tcPr>
            <w:tcW w:w="7840" w:type="dxa"/>
            <w:vAlign w:val="bottom"/>
            <w:gridSpan w:val="3"/>
          </w:tcPr>
          <w:p>
            <w:pPr>
              <w:ind w:left="1460"/>
              <w:spacing w:after="0" w:line="194" w:lineRule="exact"/>
              <w:rPr>
                <w:sz w:val="20"/>
                <w:szCs w:val="20"/>
                <w:color w:val="auto"/>
              </w:rPr>
            </w:pPr>
            <w:r>
              <w:rPr>
                <w:rFonts w:ascii="Arial" w:cs="Arial" w:eastAsia="Arial" w:hAnsi="Arial"/>
                <w:sz w:val="18"/>
                <w:szCs w:val="18"/>
                <w:color w:val="auto"/>
              </w:rPr>
              <w:t xml:space="preserve">Note Due 2047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jc w:val="both"/>
        <w:ind w:left="6720"/>
        <w:spacing w:after="0"/>
        <w:tabs>
          <w:tab w:leader="none" w:pos="73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720"/>
          </w:cols>
          <w:pgMar w:left="700" w:top="274"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2047]</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INASMUCH AS THE REGISTERED OWNER HEREOF, THE BANK OF NEW YORK MELLON, LONDON BRANCH, HAS AN INTEREST HEREIN.</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TRANSFERS OF THIS NOTE ARE LIMITED TO TRANSFERS IN WHOLE, BUT NOT IN PART, TO NOMINEES OF THE COMMON DEPOSITARY OR TO A SUCCESSOR THEREOF OR SUCH SUCCESSOR’S NOMINEE AND TRANSFERS OF PORTIONS OF THIS GLOBAL SECURITY ARE LIMITED TO TRANSFERS MADE IN ACCORDANCE WITH THE TRANSFER PROVISIONS OF THE INDENTURE.</w:t>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4.450% Note Due 2047</w:t>
      </w:r>
    </w:p>
    <w:p>
      <w:pPr>
        <w:sectPr>
          <w:pgSz w:w="11900" w:h="16838" w:orient="portrait"/>
          <w:cols w:equalWidth="0" w:num="1">
            <w:col w:w="11420"/>
          </w:cols>
          <w:pgMar w:left="240" w:top="270"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0" w:space="180"/>
            <w:col w:w="10860"/>
          </w:cols>
          <w:pgMar w:left="240" w:top="270" w:right="239" w:bottom="1440" w:gutter="0" w:footer="0" w:header="0"/>
          <w:type w:val="continuous"/>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XS1569497107</w:t>
      </w:r>
    </w:p>
    <w:p>
      <w:pPr>
        <w:spacing w:after="0" w:line="2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Luxembourg, or registered assigns, the principal sum of $[ ] on March 15, 2047.</w:t>
      </w:r>
    </w:p>
    <w:p>
      <w:pPr>
        <w:sectPr>
          <w:pgSz w:w="11900" w:h="16838" w:orient="portrait"/>
          <w:cols w:equalWidth="0" w:num="1">
            <w:col w:w="11420"/>
          </w:cols>
          <w:pgMar w:left="240" w:top="270" w:right="239" w:bottom="1440" w:gutter="0" w:footer="0" w:header="0"/>
          <w:type w:val="continuous"/>
        </w:sectPr>
      </w:pP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15 and September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March 1 and September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74" w:right="4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4.450% Note Due 2047</w:t>
      </w:r>
    </w:p>
    <w:p>
      <w:pPr>
        <w:spacing w:after="0" w:line="33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14, 2017. The Issuer will pay interest semi-annually in arrears on each Interest Payment Date, commencing September 15, 2017. Interest will be computed on the basis of a 360-day year of twelve 30-day months.</w:t>
      </w:r>
    </w:p>
    <w:p>
      <w:pPr>
        <w:spacing w:after="0" w:line="18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If any Interest Payment Date, principal payment date, date of redemption or other payment date with respect to the Securities is not a Business Day (as defined below), the required payment of principal, premium, if any, or interest will be due on the next succeeding Business Day as if made on the date that such payment was due, and no interest will accrue on that payment for the period from and after that Interest Payment Date, principal payment date, date of redemption or other payment date, as the case may be, to the date of that payment on the next succeeding Business Day.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w:t>
      </w:r>
      <w:r>
        <w:rPr>
          <w:rFonts w:ascii="Arial" w:cs="Arial" w:eastAsia="Arial" w:hAnsi="Arial"/>
          <w:sz w:val="16"/>
          <w:szCs w:val="16"/>
          <w:color w:val="auto"/>
        </w:rPr>
        <w:t xml:space="preserve"> </w:t>
      </w:r>
      <w:r>
        <w:rPr>
          <w:rFonts w:ascii="Arial" w:cs="Arial" w:eastAsia="Arial" w:hAnsi="Arial"/>
          <w:sz w:val="16"/>
          <w:szCs w:val="16"/>
          <w:b w:val="1"/>
          <w:bCs w:val="1"/>
          <w:color w:val="auto"/>
        </w:rPr>
        <w:t>Tender</w:t>
      </w:r>
      <w:r>
        <w:rPr>
          <w:rFonts w:ascii="Arial" w:cs="Arial" w:eastAsia="Arial" w:hAnsi="Arial"/>
          <w:sz w:val="16"/>
          <w:szCs w:val="16"/>
          <w:color w:val="auto"/>
        </w:rPr>
        <w:t>”). The payments of interest, and any portion of the principal shall be made by the Paying Agent, upon receipt from the Issuer of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funds by 4:00 p.m.,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All payment dates with respect to the Securities, whether upon maturity, on any redemption date or on any Interest Payment Date, shall be determined in accordance with the time-zone applicable to The City of New York.</w:t>
      </w:r>
    </w:p>
    <w:p>
      <w:pPr>
        <w:sectPr>
          <w:pgSz w:w="11900" w:h="16838" w:orient="portrait"/>
          <w:cols w:equalWidth="0" w:num="1">
            <w:col w:w="11400"/>
          </w:cols>
          <w:pgMar w:left="240" w:top="274" w:right="259" w:bottom="1440" w:gutter="0" w:footer="0" w:header="0"/>
        </w:sectPr>
      </w:pPr>
    </w:p>
    <w:bookmarkStart w:id="11" w:name="page12"/>
    <w:bookmarkEnd w:id="11"/>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London or Taipei, are authorized or required by law, regulation or executive order to close.</w:t>
      </w:r>
    </w:p>
    <w:p>
      <w:pPr>
        <w:spacing w:after="0" w:line="274"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27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Trustee, as amended by the First Supplemental Indenture dated as of November 17, 2015 by and among the Issuer, the guarantors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(together,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w:t>
      </w:r>
    </w:p>
    <w:p>
      <w:pPr>
        <w:spacing w:after="0" w:line="31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55"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of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is not required to transfer or exchange any Security selected for redemption during a period of fifteen (15) days before the electronic delivery or mailing of a notice of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2" w:name="page13"/>
    <w:bookmarkEnd w:id="12"/>
    <w:p>
      <w:pPr>
        <w:ind w:left="46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7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7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9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7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Issuer will have the right at its option to redeem any of the Securities, in whole but not in part, on each March 15 on or after March 15, 2020, on at least 30 days,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not more than 60 days, prior notice electronically delivered or mailed to the registered address of each Holder of the Securities, at a Redemption Price equal to 100% of the principal amount of the Securities being redeemed plus any accrued interest to, but not including, the date of redemption.</w:t>
      </w:r>
    </w:p>
    <w:p>
      <w:pPr>
        <w:spacing w:after="0" w:line="23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Issuer will have right to redeem the Securities, in whole but not in part, on not less than 10 nor more than 60 days prior notice, at a redemption price equal to 100% of their principal amount, together with any accrued and unpaid interest to, but not including, the date of redemption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February 15, 2017, the Issuer becomes or, based upon a written opinion of independent counsel selected by the Issuer, will become obligated to pay additional amounts as described in Section 14 herein under the heading “Payment of Additional Amounts.”</w:t>
      </w:r>
    </w:p>
    <w:p>
      <w:pPr>
        <w:spacing w:after="0" w:line="29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on the Securities to a Holder who is not a United States person (as defined below), after withholding or deduction for any present or future tax, assessment or other governmental charge (“</w:t>
      </w:r>
      <w:r>
        <w:rPr>
          <w:rFonts w:ascii="Arial" w:cs="Arial" w:eastAsia="Arial" w:hAnsi="Arial"/>
          <w:sz w:val="18"/>
          <w:szCs w:val="18"/>
          <w:b w:val="1"/>
          <w:bCs w:val="1"/>
          <w:color w:val="auto"/>
        </w:rPr>
        <w:t>Tax</w:t>
      </w:r>
      <w:r>
        <w:rPr>
          <w:rFonts w:ascii="Arial" w:cs="Arial" w:eastAsia="Arial" w:hAnsi="Arial"/>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0" w:lineRule="exact"/>
        <w:rPr>
          <w:sz w:val="20"/>
          <w:szCs w:val="20"/>
          <w:color w:val="auto"/>
        </w:rPr>
      </w:pPr>
    </w:p>
    <w:p>
      <w:pPr>
        <w:ind w:left="920" w:right="20" w:firstLine="1"/>
        <w:spacing w:after="0" w:line="264" w:lineRule="auto"/>
        <w:tabs>
          <w:tab w:leader="none" w:pos="12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if the Holder is an estate, trust, partnership or corporation, or a person holding a power over an estate or trust administered by a fiduciary Holder, being considered as:</w:t>
      </w:r>
    </w:p>
    <w:p>
      <w:pPr>
        <w:spacing w:after="0" w:line="73" w:lineRule="exact"/>
        <w:rPr>
          <w:rFonts w:ascii="Arial" w:cs="Arial" w:eastAsia="Arial" w:hAnsi="Arial"/>
          <w:sz w:val="18"/>
          <w:szCs w:val="18"/>
          <w:color w:val="auto"/>
        </w:rPr>
      </w:pPr>
    </w:p>
    <w:p>
      <w:pPr>
        <w:ind w:left="1500" w:right="260" w:hanging="8"/>
        <w:spacing w:after="0" w:line="277" w:lineRule="auto"/>
        <w:tabs>
          <w:tab w:leader="none" w:pos="1805" w:val="left"/>
        </w:tabs>
        <w:numPr>
          <w:ilvl w:val="1"/>
          <w:numId w:val="2"/>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62" w:lineRule="exact"/>
        <w:rPr>
          <w:rFonts w:ascii="Arial" w:cs="Arial" w:eastAsia="Arial" w:hAnsi="Arial"/>
          <w:sz w:val="18"/>
          <w:szCs w:val="18"/>
          <w:color w:val="auto"/>
        </w:rPr>
      </w:pPr>
    </w:p>
    <w:p>
      <w:pPr>
        <w:ind w:left="1500" w:right="220" w:hanging="8"/>
        <w:spacing w:after="0" w:line="264" w:lineRule="auto"/>
        <w:tabs>
          <w:tab w:leader="none" w:pos="1815" w:val="left"/>
        </w:tabs>
        <w:numPr>
          <w:ilvl w:val="1"/>
          <w:numId w:val="2"/>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p>
      <w:pPr>
        <w:ind w:left="579" w:right="20" w:hanging="8"/>
        <w:spacing w:after="0" w:line="308" w:lineRule="auto"/>
        <w:tabs>
          <w:tab w:leader="none" w:pos="884" w:val="left"/>
        </w:tabs>
        <w:numPr>
          <w:ilvl w:val="1"/>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or having been a personal holding company, a passive foreign investment company or a controlled foreign corporation for U.S. federal income tax purposes or a corporation that has accumulated earnings to avoid U.S. federal income tax;</w:t>
      </w:r>
    </w:p>
    <w:p>
      <w:pPr>
        <w:spacing w:after="0" w:line="38" w:lineRule="exact"/>
        <w:rPr>
          <w:rFonts w:ascii="Arial" w:cs="Arial" w:eastAsia="Arial" w:hAnsi="Arial"/>
          <w:sz w:val="17"/>
          <w:szCs w:val="17"/>
          <w:color w:val="auto"/>
        </w:rPr>
      </w:pPr>
    </w:p>
    <w:p>
      <w:pPr>
        <w:ind w:left="579" w:right="440" w:hanging="8"/>
        <w:spacing w:after="0" w:line="277" w:lineRule="auto"/>
        <w:tabs>
          <w:tab w:leader="none" w:pos="89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79" w:right="80" w:hanging="8"/>
        <w:spacing w:after="0" w:line="277" w:lineRule="auto"/>
        <w:tabs>
          <w:tab w:leader="none" w:pos="88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62" w:lineRule="exact"/>
        <w:rPr>
          <w:rFonts w:ascii="Arial" w:cs="Arial" w:eastAsia="Arial" w:hAnsi="Arial"/>
          <w:sz w:val="18"/>
          <w:szCs w:val="18"/>
          <w:color w:val="auto"/>
        </w:rPr>
      </w:pPr>
    </w:p>
    <w:p>
      <w:pPr>
        <w:ind w:left="579" w:right="160" w:hanging="8"/>
        <w:spacing w:after="0" w:line="277" w:lineRule="auto"/>
        <w:tabs>
          <w:tab w:leader="none" w:pos="86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62" w:lineRule="exact"/>
        <w:rPr>
          <w:rFonts w:ascii="Arial" w:cs="Arial" w:eastAsia="Arial" w:hAnsi="Arial"/>
          <w:sz w:val="18"/>
          <w:szCs w:val="18"/>
          <w:color w:val="auto"/>
        </w:rPr>
      </w:pPr>
    </w:p>
    <w:p>
      <w:pPr>
        <w:jc w:val="both"/>
        <w:ind w:left="-1" w:firstLine="1"/>
        <w:spacing w:after="0" w:line="302" w:lineRule="auto"/>
        <w:tabs>
          <w:tab w:leader="none" w:pos="31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6" w:lineRule="exact"/>
        <w:rPr>
          <w:rFonts w:ascii="Arial" w:cs="Arial" w:eastAsia="Arial" w:hAnsi="Arial"/>
          <w:sz w:val="16"/>
          <w:szCs w:val="16"/>
          <w:color w:val="auto"/>
        </w:rPr>
      </w:pPr>
    </w:p>
    <w:p>
      <w:pPr>
        <w:ind w:left="-1" w:right="40" w:firstLine="1"/>
        <w:spacing w:after="0" w:line="279"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w:t>
      </w:r>
    </w:p>
    <w:p>
      <w:pPr>
        <w:spacing w:after="0" w:line="63" w:lineRule="exact"/>
        <w:rPr>
          <w:rFonts w:ascii="Arial" w:cs="Arial" w:eastAsia="Arial" w:hAnsi="Arial"/>
          <w:sz w:val="17"/>
          <w:szCs w:val="17"/>
          <w:color w:val="auto"/>
        </w:rPr>
      </w:pPr>
    </w:p>
    <w:p>
      <w:pPr>
        <w:ind w:left="319" w:hanging="319"/>
        <w:spacing w:after="0"/>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17" w:lineRule="exact"/>
        <w:rPr>
          <w:rFonts w:ascii="Arial" w:cs="Arial" w:eastAsia="Arial" w:hAnsi="Arial"/>
          <w:sz w:val="18"/>
          <w:szCs w:val="18"/>
          <w:color w:val="auto"/>
        </w:rPr>
      </w:pPr>
    </w:p>
    <w:p>
      <w:pPr>
        <w:ind w:left="-1" w:right="300" w:firstLine="1"/>
        <w:spacing w:after="0" w:line="277" w:lineRule="auto"/>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2" w:lineRule="exact"/>
        <w:rPr>
          <w:rFonts w:ascii="Arial" w:cs="Arial" w:eastAsia="Arial" w:hAnsi="Arial"/>
          <w:sz w:val="18"/>
          <w:szCs w:val="18"/>
          <w:color w:val="auto"/>
        </w:rPr>
      </w:pPr>
    </w:p>
    <w:p>
      <w:pPr>
        <w:ind w:left="319" w:hanging="319"/>
        <w:spacing w:after="0"/>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58"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79"/>
          </w:cols>
          <w:pgMar w:left="1161" w:top="274" w:right="259" w:bottom="1440" w:gutter="0" w:footer="0" w:header="0"/>
        </w:sectPr>
      </w:pPr>
    </w:p>
    <w:bookmarkStart w:id="15" w:name="page16"/>
    <w:bookmarkEnd w:id="15"/>
    <w:p>
      <w:pPr>
        <w:ind w:left="1500" w:hanging="8"/>
        <w:spacing w:after="0" w:line="277"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Tax required to be withheld by any paying agent from any payment of principal of or interest on any Security, if such payment can be made without such withholding by at least one other paying agent;</w:t>
      </w:r>
    </w:p>
    <w:p>
      <w:pPr>
        <w:spacing w:after="0" w:line="62" w:lineRule="exact"/>
        <w:rPr>
          <w:rFonts w:ascii="Arial" w:cs="Arial" w:eastAsia="Arial" w:hAnsi="Arial"/>
          <w:sz w:val="18"/>
          <w:szCs w:val="18"/>
          <w:color w:val="auto"/>
        </w:rPr>
      </w:pPr>
    </w:p>
    <w:p>
      <w:pPr>
        <w:ind w:left="1500" w:right="60" w:hanging="8"/>
        <w:spacing w:after="0" w:line="264"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73" w:lineRule="exact"/>
        <w:rPr>
          <w:rFonts w:ascii="Arial" w:cs="Arial" w:eastAsia="Arial" w:hAnsi="Arial"/>
          <w:sz w:val="18"/>
          <w:szCs w:val="18"/>
          <w:color w:val="auto"/>
        </w:rPr>
      </w:pPr>
    </w:p>
    <w:p>
      <w:pPr>
        <w:ind w:left="1500" w:right="160" w:hanging="8"/>
        <w:spacing w:after="0" w:line="259"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78" w:lineRule="exact"/>
        <w:rPr>
          <w:rFonts w:ascii="Arial" w:cs="Arial" w:eastAsia="Arial" w:hAnsi="Arial"/>
          <w:sz w:val="18"/>
          <w:szCs w:val="18"/>
          <w:color w:val="auto"/>
        </w:rPr>
      </w:pPr>
    </w:p>
    <w:p>
      <w:pPr>
        <w:ind w:left="1900" w:hanging="408"/>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used in this Section 14,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29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 w:name="page17"/>
    <w:bookmarkEnd w:id="16"/>
    <w:p>
      <w:pPr>
        <w:ind w:left="46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w:t>
      </w:r>
      <w:r>
        <w:rPr>
          <w:sz w:val="20"/>
          <w:szCs w:val="20"/>
          <w:color w:val="auto"/>
        </w:rPr>
        <w:tab/>
      </w:r>
      <w:r>
        <w:rPr>
          <w:rFonts w:ascii="Arial" w:cs="Arial" w:eastAsia="Arial" w:hAnsi="Arial"/>
          <w:sz w:val="16"/>
          <w:szCs w:val="16"/>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7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ISIN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780" w:type="dxa"/>
            <w:vAlign w:val="bottom"/>
            <w:tcBorders>
              <w:top w:val="single" w:sz="8" w:color="auto"/>
            </w:tcBorders>
            <w:gridSpan w:val="5"/>
          </w:tcPr>
          <w:p>
            <w:pPr>
              <w:jc w:val="center"/>
              <w:ind w:right="262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431"/>
        </w:trPr>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780" w:type="dxa"/>
            <w:vAlign w:val="bottom"/>
            <w:gridSpan w:val="5"/>
          </w:tcPr>
          <w:p>
            <w:pPr>
              <w:jc w:val="center"/>
              <w:ind w:right="264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1"/>
        </w:trPr>
        <w:tc>
          <w:tcPr>
            <w:tcW w:w="1720" w:type="dxa"/>
            <w:vAlign w:val="bottom"/>
            <w:gridSpan w:val="3"/>
          </w:tcPr>
          <w:p>
            <w:pPr>
              <w:spacing w:after="0"/>
              <w:rPr>
                <w:sz w:val="20"/>
                <w:szCs w:val="20"/>
                <w:color w:val="auto"/>
              </w:rPr>
            </w:pPr>
            <w:r>
              <w:rPr>
                <w:rFonts w:ascii="Arial" w:cs="Arial" w:eastAsia="Arial" w:hAnsi="Arial"/>
                <w:sz w:val="18"/>
                <w:szCs w:val="18"/>
                <w:color w:val="auto"/>
                <w:w w:val="91"/>
              </w:rPr>
              <w:t>and irrevocably appoint</w:t>
            </w: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420" w:type="dxa"/>
            <w:vAlign w:val="bottom"/>
            <w:gridSpan w:val="4"/>
          </w:tcPr>
          <w:p>
            <w:pPr>
              <w:ind w:left="40"/>
              <w:spacing w:after="0"/>
              <w:rPr>
                <w:sz w:val="20"/>
                <w:szCs w:val="20"/>
                <w:color w:val="auto"/>
              </w:rPr>
            </w:pPr>
            <w:r>
              <w:rPr>
                <w:rFonts w:ascii="Arial" w:cs="Arial" w:eastAsia="Arial" w:hAnsi="Arial"/>
                <w:sz w:val="18"/>
                <w:szCs w:val="18"/>
                <w:color w:val="auto"/>
                <w:w w:val="96"/>
              </w:rPr>
              <w:t>agent to transfer this Security on the books of the Issuer. The agent may substitute</w:t>
            </w:r>
          </w:p>
        </w:tc>
      </w:tr>
      <w:tr>
        <w:trPr>
          <w:trHeight w:val="237"/>
        </w:trPr>
        <w:tc>
          <w:tcPr>
            <w:tcW w:w="2640" w:type="dxa"/>
            <w:vAlign w:val="bottom"/>
            <w:gridSpan w:val="4"/>
          </w:tcPr>
          <w:p>
            <w:pPr>
              <w:spacing w:after="0"/>
              <w:rPr>
                <w:sz w:val="20"/>
                <w:szCs w:val="20"/>
                <w:color w:val="auto"/>
              </w:rPr>
            </w:pPr>
            <w:r>
              <w:rPr>
                <w:rFonts w:ascii="Arial" w:cs="Arial" w:eastAsia="Arial" w:hAnsi="Arial"/>
                <w:sz w:val="18"/>
                <w:szCs w:val="18"/>
                <w:color w:val="auto"/>
              </w:rPr>
              <w:t>another to act for him.</w:t>
            </w: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9"/>
        </w:trPr>
        <w:tc>
          <w:tcPr>
            <w:tcW w:w="2640" w:type="dxa"/>
            <w:vAlign w:val="bottom"/>
            <w:gridSpan w:val="4"/>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Signed:</w:t>
            </w:r>
          </w:p>
        </w:tc>
      </w:tr>
      <w:tr>
        <w:trPr>
          <w:trHeight w:val="209"/>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on the other side of this Security)</w:t>
            </w:r>
          </w:p>
        </w:tc>
      </w:tr>
      <w:tr>
        <w:trPr>
          <w:trHeight w:val="473"/>
        </w:trPr>
        <w:tc>
          <w:tcPr>
            <w:tcW w:w="2640" w:type="dxa"/>
            <w:vAlign w:val="bottom"/>
            <w:gridSpan w:val="4"/>
          </w:tcPr>
          <w:p>
            <w:pPr>
              <w:spacing w:after="0"/>
              <w:rPr>
                <w:sz w:val="20"/>
                <w:szCs w:val="20"/>
                <w:color w:val="auto"/>
              </w:rPr>
            </w:pPr>
            <w:r>
              <w:rPr>
                <w:rFonts w:ascii="Arial" w:cs="Arial" w:eastAsia="Arial" w:hAnsi="Arial"/>
                <w:sz w:val="18"/>
                <w:szCs w:val="18"/>
                <w:color w:val="auto"/>
              </w:rPr>
              <w:t>Signature Guarantee:</w:t>
            </w:r>
          </w:p>
        </w:tc>
        <w:tc>
          <w:tcPr>
            <w:tcW w:w="2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209"/>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Participant in a recognized Signature Guarantee</w:t>
            </w:r>
          </w:p>
        </w:tc>
        <w:tc>
          <w:tcPr>
            <w:tcW w:w="37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80" w:type="dxa"/>
            <w:vAlign w:val="bottom"/>
            <w:gridSpan w:val="3"/>
          </w:tcPr>
          <w:p>
            <w:pPr>
              <w:jc w:val="center"/>
              <w:ind w:left="2170"/>
              <w:spacing w:after="0"/>
              <w:rPr>
                <w:sz w:val="20"/>
                <w:szCs w:val="20"/>
                <w:color w:val="auto"/>
              </w:rPr>
            </w:pPr>
            <w:r>
              <w:rPr>
                <w:rFonts w:ascii="Arial" w:cs="Arial" w:eastAsia="Arial" w:hAnsi="Arial"/>
                <w:sz w:val="18"/>
                <w:szCs w:val="18"/>
                <w:color w:val="auto"/>
                <w:w w:val="99"/>
              </w:rPr>
              <w:t>8</w:t>
            </w:r>
          </w:p>
        </w:tc>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 am Executive Vice President, General Counsel and Secretary of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have acted for the Company in connection with the issuance by the Company, pursuant to the Subscription Agreement dated February 15, 2017 (the “</w:t>
      </w:r>
      <w:r>
        <w:rPr>
          <w:rFonts w:ascii="Arial" w:cs="Arial" w:eastAsia="Arial" w:hAnsi="Arial"/>
          <w:sz w:val="18"/>
          <w:szCs w:val="18"/>
          <w:b w:val="1"/>
          <w:b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among the Company, the Guarantors (as defined below) and Deutsche Bank AG, Taipei Branch and Citibank Taiwan Limited, as the 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named therein (the “</w:t>
      </w:r>
      <w:r>
        <w:rPr>
          <w:rFonts w:ascii="Arial" w:cs="Arial" w:eastAsia="Arial" w:hAnsi="Arial"/>
          <w:sz w:val="18"/>
          <w:szCs w:val="18"/>
          <w:b w:val="1"/>
          <w:bCs w:val="1"/>
          <w:color w:val="auto"/>
        </w:rPr>
        <w:t>Managers</w:t>
      </w:r>
      <w:r>
        <w:rPr>
          <w:rFonts w:ascii="Arial" w:cs="Arial" w:eastAsia="Arial" w:hAnsi="Arial"/>
          <w:sz w:val="18"/>
          <w:szCs w:val="18"/>
          <w:color w:val="auto"/>
        </w:rPr>
        <w:t>”), of $1,005,000,000 aggregate principal amount of its 4.450% Notes due 2047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The Notes are to be issued pursuant to the provisions of the Indenture dated as of September 18, 2013 (the “ </w:t>
      </w:r>
      <w:r>
        <w:rPr>
          <w:rFonts w:ascii="Arial" w:cs="Arial" w:eastAsia="Arial" w:hAnsi="Arial"/>
          <w:sz w:val="18"/>
          <w:szCs w:val="18"/>
          <w:b w:val="1"/>
          <w:bCs w:val="1"/>
          <w:color w:val="auto"/>
        </w:rPr>
        <w:t>Base Indenture</w:t>
      </w:r>
      <w:r>
        <w:rPr>
          <w:rFonts w:ascii="Arial" w:cs="Arial" w:eastAsia="Arial" w:hAnsi="Arial"/>
          <w:sz w:val="18"/>
          <w:szCs w:val="18"/>
          <w:color w:val="auto"/>
        </w:rPr>
        <w:t>”)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among the Company, the guarantors named therein and the Trustee and guaranteed on an unsecured and unsubordinated basis by Comcast Cable Communications, LLC and NBCUniversal Media, LLC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19" w:name="page20"/>
    <w:bookmarkEnd w:id="19"/>
    <w:p>
      <w:pPr>
        <w:spacing w:after="0"/>
        <w:tabs>
          <w:tab w:leader="none" w:pos="5900" w:val="left"/>
          <w:tab w:leader="none" w:pos="10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14,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1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Subscription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Subscription Agreement dated February 15, 2017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among the Company, the Guarantors (as defined below) and Deutsche Bank AG, Taipei Branch and Citibank Taiwan Limited, as the managers named therein (the “</w:t>
      </w:r>
      <w:r>
        <w:rPr>
          <w:rFonts w:ascii="Arial" w:cs="Arial" w:eastAsia="Arial" w:hAnsi="Arial"/>
          <w:sz w:val="16"/>
          <w:szCs w:val="16"/>
          <w:b w:val="1"/>
          <w:bCs w:val="1"/>
          <w:color w:val="auto"/>
        </w:rPr>
        <w:t>Managers</w:t>
      </w:r>
      <w:r>
        <w:rPr>
          <w:rFonts w:ascii="Arial" w:cs="Arial" w:eastAsia="Arial" w:hAnsi="Arial"/>
          <w:sz w:val="16"/>
          <w:szCs w:val="16"/>
          <w:color w:val="auto"/>
        </w:rPr>
        <w:t>”), of $1,005,000,000 aggregate principal amount of its 4.450% Notes due 2047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The Notes are to be issued pursuant to the provisions of the Indenture dated as of September 18, 2013 (the “ </w:t>
      </w:r>
      <w:r>
        <w:rPr>
          <w:rFonts w:ascii="Arial" w:cs="Arial" w:eastAsia="Arial" w:hAnsi="Arial"/>
          <w:sz w:val="16"/>
          <w:szCs w:val="16"/>
          <w:b w:val="1"/>
          <w:bCs w:val="1"/>
          <w:color w:val="auto"/>
        </w:rPr>
        <w:t>Base Indenture</w:t>
      </w:r>
      <w:r>
        <w:rPr>
          <w:rFonts w:ascii="Arial" w:cs="Arial" w:eastAsia="Arial" w:hAnsi="Arial"/>
          <w:sz w:val="16"/>
          <w:szCs w:val="16"/>
          <w:color w:val="auto"/>
        </w:rPr>
        <w:t>”)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the guarantors named therein and the Trustee and guaranteed (the “</w:t>
      </w:r>
      <w:r>
        <w:rPr>
          <w:rFonts w:ascii="Arial" w:cs="Arial" w:eastAsia="Arial" w:hAnsi="Arial"/>
          <w:sz w:val="16"/>
          <w:szCs w:val="16"/>
          <w:b w:val="1"/>
          <w:bCs w:val="1"/>
          <w:color w:val="auto"/>
        </w:rPr>
        <w:t>Guarantees</w:t>
      </w:r>
      <w:r>
        <w:rPr>
          <w:rFonts w:ascii="Arial" w:cs="Arial" w:eastAsia="Arial" w:hAnsi="Arial"/>
          <w:sz w:val="16"/>
          <w:szCs w:val="16"/>
          <w:color w:val="auto"/>
        </w:rPr>
        <w:t>”) on an unsecured and unsubordinated basis by Comcast Cable Communications, LLC and NBCUniversal Media, LLC (the “</w:t>
      </w:r>
      <w:r>
        <w:rPr>
          <w:rFonts w:ascii="Arial" w:cs="Arial" w:eastAsia="Arial" w:hAnsi="Arial"/>
          <w:sz w:val="16"/>
          <w:szCs w:val="16"/>
          <w:b w:val="1"/>
          <w:bCs w:val="1"/>
          <w:color w:val="auto"/>
        </w:rPr>
        <w:t>Guarantors</w:t>
      </w:r>
      <w:r>
        <w:rPr>
          <w:rFonts w:ascii="Arial" w:cs="Arial" w:eastAsia="Arial" w:hAnsi="Arial"/>
          <w:sz w:val="16"/>
          <w:szCs w:val="16"/>
          <w:color w:val="auto"/>
        </w:rPr>
        <w:t>”).</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ectPr>
          <w:pgSz w:w="11900" w:h="16838" w:orient="portrait"/>
          <w:cols w:equalWidth="0" w:num="1">
            <w:col w:w="11420"/>
          </w:cols>
          <w:pgMar w:left="240" w:top="121" w:right="239" w:bottom="1440" w:gutter="0" w:footer="0" w:header="0"/>
        </w:sectPr>
      </w:pPr>
    </w:p>
    <w:bookmarkStart w:id="21" w:name="page22"/>
    <w:bookmarkEnd w:id="21"/>
    <w:p>
      <w:pPr>
        <w:spacing w:after="0"/>
        <w:tabs>
          <w:tab w:leader="none" w:pos="5900" w:val="left"/>
          <w:tab w:leader="none" w:pos="10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14, 2017</w:t>
      </w:r>
    </w:p>
    <w:p>
      <w:pPr>
        <w:spacing w:after="0" w:line="158" w:lineRule="exact"/>
        <w:rPr>
          <w:sz w:val="20"/>
          <w:szCs w:val="20"/>
          <w:color w:val="auto"/>
        </w:rPr>
      </w:pPr>
    </w:p>
    <w:p>
      <w:pPr>
        <w:ind w:right="2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w:t>
      </w:r>
    </w:p>
    <w:p>
      <w:pPr>
        <w:spacing w:after="0" w:line="193" w:lineRule="exact"/>
        <w:rPr>
          <w:rFonts w:ascii="Arial" w:cs="Arial" w:eastAsia="Arial" w:hAnsi="Arial"/>
          <w:sz w:val="18"/>
          <w:szCs w:val="18"/>
          <w:color w:val="auto"/>
        </w:rPr>
      </w:pPr>
    </w:p>
    <w:p>
      <w:pPr>
        <w:ind w:right="40" w:firstLine="8"/>
        <w:spacing w:after="0" w:line="272"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Manager in accordance with the terms of the Subscription Agreement, the Notes will be valid and binding obligations of the Company and the Guarantees will be valid and binding obligations of the Guarantors, in each case enforceable against the Company and the Guarantors, respectively,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effect of fraudulent conveyance, fraudulent transfer or similar provision of applicable law on the conclusions expressed above.</w:t>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Bars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as an exhibit to a report on Form 8-K filed by the Company on the date hereof and its incorporation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reference into the Company’s registration statement on Form S-3 filed on July 28, 2016, as amended as of the date of the Subscription Agreement (File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333-212719). In addition, we consent to the reference to our name under the caption “Legal Matters” in the prospectus, which is a part of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In giving this consent, we do not admit that we are in the category of persons whose consent is required under Section 7 of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1"/>
    </w:lvl>
    <w:lvl w:ilvl="1">
      <w:lvlJc w:val="left"/>
      <w:lvlText w:val="%2."/>
      <w:numFmt w:val="lowerLetter"/>
      <w:start w:val="3"/>
    </w:lvl>
  </w:abstractNum>
  <w:abstractNum w:abstractNumId="3">
    <w:nsid w:val="3D1B58BA"/>
    <w:multiLevelType w:val="hybridMultilevel"/>
    <w:lvl w:ilvl="0">
      <w:lvlJc w:val="left"/>
      <w:lvlText w:val="%1."/>
      <w:numFmt w:val="decimal"/>
      <w:start w:val="2"/>
    </w:lvl>
    <w:lvl w:ilvl="1">
      <w:lvlJc w:val="left"/>
      <w:lvlText w:val="%2"/>
      <w:numFmt w:val="lowerLetter"/>
      <w:start w:val="1"/>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2019-12-06T18:09:09Z</dcterms:created>
  <dcterms:modified xsi:type="dcterms:W3CDTF">2019-12-06T18:09:09Z</dcterms:modified>
</cp:coreProperties>
</file>