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6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229235</wp:posOffset>
            </wp:positionV>
            <wp:extent cx="2933065" cy="763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3306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420" w:type="dxa"/>
        <w:tblCellMar>
          <w:top w:w="0" w:type="dxa"/>
          <w:left w:w="0" w:type="dxa"/>
          <w:bottom w:w="0" w:type="dxa"/>
          <w:right w:w="0" w:type="dxa"/>
        </w:tblCellMar>
      </w:tblPr>
      <w:tr>
        <w:trPr>
          <w:trHeight w:val="222"/>
        </w:trPr>
        <w:tc>
          <w:tcPr>
            <w:tcW w:w="4740" w:type="dxa"/>
            <w:vAlign w:val="bottom"/>
          </w:tcPr>
          <w:p>
            <w:pPr>
              <w:jc w:val="center"/>
              <w:ind w:right="1772"/>
              <w:spacing w:after="0"/>
              <w:rPr>
                <w:sz w:val="20"/>
                <w:szCs w:val="20"/>
                <w:color w:val="auto"/>
              </w:rPr>
            </w:pPr>
            <w:r>
              <w:rPr>
                <w:rFonts w:ascii="Arial" w:cs="Arial" w:eastAsia="Arial" w:hAnsi="Arial"/>
                <w:sz w:val="18"/>
                <w:szCs w:val="18"/>
                <w:b w:val="1"/>
                <w:bCs w:val="1"/>
                <w:color w:val="auto"/>
                <w:w w:val="96"/>
              </w:rPr>
              <w:t>PENNSYLVANIA</w:t>
            </w:r>
          </w:p>
        </w:tc>
        <w:tc>
          <w:tcPr>
            <w:tcW w:w="3180" w:type="dxa"/>
            <w:vAlign w:val="bottom"/>
          </w:tcPr>
          <w:p>
            <w:pPr>
              <w:jc w:val="center"/>
              <w:ind w:left="177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740" w:type="dxa"/>
            <w:vAlign w:val="bottom"/>
          </w:tcPr>
          <w:p>
            <w:pPr>
              <w:jc w:val="center"/>
              <w:ind w:right="1772"/>
              <w:spacing w:after="0"/>
              <w:rPr>
                <w:sz w:val="20"/>
                <w:szCs w:val="20"/>
                <w:color w:val="auto"/>
              </w:rPr>
            </w:pPr>
            <w:r>
              <w:rPr>
                <w:rFonts w:ascii="Arial" w:cs="Arial" w:eastAsia="Arial" w:hAnsi="Arial"/>
                <w:sz w:val="18"/>
                <w:szCs w:val="18"/>
                <w:color w:val="auto"/>
                <w:w w:val="90"/>
              </w:rPr>
              <w:t>(State or other jurisdiction of</w:t>
            </w:r>
          </w:p>
        </w:tc>
        <w:tc>
          <w:tcPr>
            <w:tcW w:w="3180" w:type="dxa"/>
            <w:vAlign w:val="bottom"/>
          </w:tcPr>
          <w:p>
            <w:pPr>
              <w:jc w:val="center"/>
              <w:ind w:left="1772"/>
              <w:spacing w:after="0"/>
              <w:rPr>
                <w:sz w:val="20"/>
                <w:szCs w:val="20"/>
                <w:color w:val="auto"/>
              </w:rPr>
            </w:pPr>
            <w:r>
              <w:rPr>
                <w:rFonts w:ascii="Arial" w:cs="Arial" w:eastAsia="Arial" w:hAnsi="Arial"/>
                <w:sz w:val="18"/>
                <w:szCs w:val="18"/>
                <w:color w:val="auto"/>
                <w:w w:val="90"/>
              </w:rPr>
              <w:t>(I.R.S. Employer</w:t>
            </w:r>
          </w:p>
        </w:tc>
      </w:tr>
      <w:tr>
        <w:trPr>
          <w:trHeight w:val="222"/>
        </w:trPr>
        <w:tc>
          <w:tcPr>
            <w:tcW w:w="4740" w:type="dxa"/>
            <w:vAlign w:val="bottom"/>
          </w:tcPr>
          <w:p>
            <w:pPr>
              <w:jc w:val="center"/>
              <w:ind w:right="1772"/>
              <w:spacing w:after="0"/>
              <w:rPr>
                <w:sz w:val="20"/>
                <w:szCs w:val="20"/>
                <w:color w:val="auto"/>
              </w:rPr>
            </w:pPr>
            <w:r>
              <w:rPr>
                <w:rFonts w:ascii="Arial" w:cs="Arial" w:eastAsia="Arial" w:hAnsi="Arial"/>
                <w:sz w:val="18"/>
                <w:szCs w:val="18"/>
                <w:color w:val="auto"/>
                <w:w w:val="90"/>
              </w:rPr>
              <w:t>incorporation or organization)</w:t>
            </w:r>
          </w:p>
        </w:tc>
        <w:tc>
          <w:tcPr>
            <w:tcW w:w="3180" w:type="dxa"/>
            <w:vAlign w:val="bottom"/>
          </w:tcPr>
          <w:p>
            <w:pPr>
              <w:jc w:val="center"/>
              <w:ind w:left="1772"/>
              <w:spacing w:after="0"/>
              <w:rPr>
                <w:sz w:val="20"/>
                <w:szCs w:val="20"/>
                <w:color w:val="auto"/>
              </w:rPr>
            </w:pPr>
            <w:r>
              <w:rPr>
                <w:rFonts w:ascii="Arial" w:cs="Arial" w:eastAsia="Arial" w:hAnsi="Arial"/>
                <w:sz w:val="18"/>
                <w:szCs w:val="18"/>
                <w:color w:val="auto"/>
                <w:w w:val="94"/>
              </w:rPr>
              <w:t>Identification No.)</w:t>
            </w:r>
          </w:p>
        </w:tc>
      </w:tr>
      <w:tr>
        <w:trPr>
          <w:trHeight w:val="439"/>
        </w:trPr>
        <w:tc>
          <w:tcPr>
            <w:tcW w:w="4740" w:type="dxa"/>
            <w:vAlign w:val="bottom"/>
          </w:tcPr>
          <w:p>
            <w:pPr>
              <w:jc w:val="center"/>
              <w:ind w:right="175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180" w:type="dxa"/>
            <w:vAlign w:val="bottom"/>
          </w:tcPr>
          <w:p>
            <w:pPr>
              <w:jc w:val="center"/>
              <w:ind w:left="177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740" w:type="dxa"/>
            <w:vAlign w:val="bottom"/>
          </w:tcPr>
          <w:p>
            <w:pPr>
              <w:jc w:val="center"/>
              <w:ind w:right="1752"/>
              <w:spacing w:after="0"/>
              <w:rPr>
                <w:sz w:val="20"/>
                <w:szCs w:val="20"/>
                <w:color w:val="auto"/>
              </w:rPr>
            </w:pPr>
            <w:r>
              <w:rPr>
                <w:rFonts w:ascii="Arial" w:cs="Arial" w:eastAsia="Arial" w:hAnsi="Arial"/>
                <w:sz w:val="18"/>
                <w:szCs w:val="18"/>
                <w:color w:val="auto"/>
                <w:w w:val="90"/>
              </w:rPr>
              <w:t>(Address of principal executive offices)</w:t>
            </w:r>
          </w:p>
        </w:tc>
        <w:tc>
          <w:tcPr>
            <w:tcW w:w="3180" w:type="dxa"/>
            <w:vAlign w:val="bottom"/>
          </w:tcPr>
          <w:p>
            <w:pPr>
              <w:jc w:val="center"/>
              <w:ind w:left="177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380" w:firstLine="5"/>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June 30, 2012, there were 2,114,859,096 shares of our Class A common stock, 551,522,669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60" w:type="dxa"/>
            <w:vAlign w:val="bottom"/>
          </w:tcPr>
          <w:p>
            <w:pPr>
              <w:jc w:val="right"/>
              <w:ind w:right="92"/>
              <w:spacing w:after="0" w:line="152" w:lineRule="exact"/>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140" w:type="dxa"/>
            <w:vAlign w:val="bottom"/>
            <w:gridSpan w:val="17"/>
          </w:tcPr>
          <w:p>
            <w:pPr>
              <w:spacing w:after="0" w:line="129" w:lineRule="exact"/>
              <w:rPr>
                <w:sz w:val="20"/>
                <w:szCs w:val="20"/>
                <w:color w:val="auto"/>
              </w:rPr>
            </w:pPr>
            <w:r>
              <w:rPr>
                <w:rFonts w:ascii="Arial" w:cs="Arial" w:eastAsia="Arial" w:hAnsi="Arial"/>
                <w:sz w:val="14"/>
                <w:szCs w:val="14"/>
                <w:b w:val="1"/>
                <w:bCs w:val="1"/>
                <w:color w:val="auto"/>
              </w:rPr>
              <w:t>PART I. FINANCIAL INFORMATION</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1140" w:type="dxa"/>
            <w:vAlign w:val="bottom"/>
            <w:tcBorders>
              <w:bottom w:val="single" w:sz="8" w:color="0000EE"/>
            </w:tcBorders>
            <w:gridSpan w:val="4"/>
          </w:tcPr>
          <w:p>
            <w:pPr>
              <w:spacing w:after="0" w:line="148" w:lineRule="exact"/>
              <w:rPr>
                <w:rFonts w:ascii="Arial" w:cs="Arial" w:eastAsia="Arial" w:hAnsi="Arial"/>
                <w:sz w:val="14"/>
                <w:szCs w:val="14"/>
                <w:color w:val="0000EE"/>
                <w:w w:val="85"/>
              </w:rPr>
            </w:pPr>
            <w:hyperlink w:anchor="page3">
              <w:r>
                <w:rPr>
                  <w:rFonts w:ascii="Arial" w:cs="Arial" w:eastAsia="Arial" w:hAnsi="Arial"/>
                  <w:sz w:val="14"/>
                  <w:szCs w:val="14"/>
                  <w:color w:val="0000EE"/>
                  <w:w w:val="85"/>
                </w:rPr>
                <w:t>Financial Statements</w:t>
              </w:r>
            </w:hyperlink>
          </w:p>
        </w:tc>
        <w:tc>
          <w:tcPr>
            <w:tcW w:w="7020" w:type="dxa"/>
            <w:vAlign w:val="bottom"/>
            <w:gridSpan w:val="11"/>
          </w:tcPr>
          <w:p>
            <w:pPr>
              <w:spacing w:after="0"/>
              <w:rPr>
                <w:sz w:val="12"/>
                <w:szCs w:val="12"/>
                <w:color w:val="auto"/>
              </w:rPr>
            </w:pPr>
          </w:p>
        </w:tc>
        <w:tc>
          <w:tcPr>
            <w:tcW w:w="1260" w:type="dxa"/>
            <w:vAlign w:val="bottom"/>
          </w:tcPr>
          <w:p>
            <w:pPr>
              <w:jc w:val="right"/>
              <w:spacing w:after="0" w:line="148"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160" w:type="dxa"/>
            <w:vAlign w:val="bottom"/>
            <w:gridSpan w:val="15"/>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Condensed Consolidated Balance Sheet as of June 30, 2012 and December 31, 2011 (Unaudited)</w:t>
              </w:r>
            </w:hyperlink>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40" w:type="dxa"/>
            <w:vAlign w:val="bottom"/>
            <w:tcBorders>
              <w:top w:val="single" w:sz="8" w:color="0000EE"/>
            </w:tcBorders>
            <w:gridSpan w:val="10"/>
          </w:tcPr>
          <w:p>
            <w:pPr>
              <w:spacing w:after="0" w:line="129" w:lineRule="exact"/>
              <w:rPr>
                <w:rFonts w:ascii="Arial" w:cs="Arial" w:eastAsia="Arial" w:hAnsi="Arial"/>
                <w:sz w:val="14"/>
                <w:szCs w:val="14"/>
                <w:color w:val="0000EE"/>
                <w:w w:val="85"/>
              </w:rPr>
            </w:pPr>
            <w:hyperlink w:anchor="page4">
              <w:r>
                <w:rPr>
                  <w:rFonts w:ascii="Arial" w:cs="Arial" w:eastAsia="Arial" w:hAnsi="Arial"/>
                  <w:sz w:val="14"/>
                  <w:szCs w:val="14"/>
                  <w:color w:val="0000EE"/>
                  <w:w w:val="85"/>
                </w:rPr>
                <w:t>Condensed Consolidated Statement of Income for the Three and Six Months Ended June 30, 2012</w:t>
              </w:r>
            </w:hyperlink>
          </w:p>
        </w:tc>
        <w:tc>
          <w:tcPr>
            <w:tcW w:w="2920" w:type="dxa"/>
            <w:vAlign w:val="bottom"/>
            <w:gridSpan w:val="5"/>
          </w:tcPr>
          <w:p>
            <w:pPr>
              <w:ind w:left="100"/>
              <w:spacing w:after="0" w:line="129" w:lineRule="exact"/>
              <w:rPr>
                <w:rFonts w:ascii="Arial" w:cs="Arial" w:eastAsia="Arial" w:hAnsi="Arial"/>
                <w:sz w:val="14"/>
                <w:szCs w:val="14"/>
                <w:color w:val="0000EE"/>
              </w:rPr>
            </w:pPr>
            <w:hyperlink w:anchor="page4">
              <w:r>
                <w:rPr>
                  <w:rFonts w:ascii="Arial" w:cs="Arial" w:eastAsia="Arial" w:hAnsi="Arial"/>
                  <w:sz w:val="14"/>
                  <w:szCs w:val="14"/>
                  <w:color w:val="0000EE"/>
                </w:rPr>
                <w:t>and 2011 (Unaudited)</w:t>
              </w:r>
            </w:hyperlink>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160" w:type="dxa"/>
            <w:vAlign w:val="bottom"/>
            <w:gridSpan w:val="15"/>
          </w:tcPr>
          <w:p>
            <w:pPr>
              <w:spacing w:after="0" w:line="129" w:lineRule="exact"/>
              <w:rPr>
                <w:rFonts w:ascii="Arial" w:cs="Arial" w:eastAsia="Arial" w:hAnsi="Arial"/>
                <w:sz w:val="14"/>
                <w:szCs w:val="14"/>
                <w:color w:val="0000EE"/>
                <w:w w:val="95"/>
              </w:rPr>
            </w:pPr>
            <w:hyperlink w:anchor="page5">
              <w:r>
                <w:rPr>
                  <w:rFonts w:ascii="Arial" w:cs="Arial" w:eastAsia="Arial" w:hAnsi="Arial"/>
                  <w:sz w:val="14"/>
                  <w:szCs w:val="14"/>
                  <w:color w:val="0000EE"/>
                  <w:w w:val="95"/>
                </w:rPr>
                <w:t>Condensed Consolidated Statement of Comprehensive Income for the Three and Six Months Ended June 30, 2012 and 2011 (Unaudited)</w:t>
              </w:r>
            </w:hyperlink>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180" w:type="dxa"/>
            <w:vAlign w:val="bottom"/>
            <w:tcBorders>
              <w:top w:val="single" w:sz="8" w:color="0000EE"/>
              <w:bottom w:val="single" w:sz="8" w:color="0000EE"/>
            </w:tcBorders>
            <w:gridSpan w:val="11"/>
          </w:tcPr>
          <w:p>
            <w:pPr>
              <w:spacing w:after="0" w:line="129" w:lineRule="exact"/>
              <w:rPr>
                <w:rFonts w:ascii="Arial" w:cs="Arial" w:eastAsia="Arial" w:hAnsi="Arial"/>
                <w:sz w:val="14"/>
                <w:szCs w:val="14"/>
                <w:color w:val="0000EE"/>
                <w:w w:val="86"/>
              </w:rPr>
            </w:pPr>
            <w:hyperlink w:anchor="page6">
              <w:r>
                <w:rPr>
                  <w:rFonts w:ascii="Arial" w:cs="Arial" w:eastAsia="Arial" w:hAnsi="Arial"/>
                  <w:sz w:val="14"/>
                  <w:szCs w:val="14"/>
                  <w:color w:val="0000EE"/>
                  <w:w w:val="86"/>
                </w:rPr>
                <w:t>Condensed Consolidated Statement of Cash Flows for the Six Months Ended June 30, 2012 and 2011 (Unaudited)</w:t>
              </w:r>
            </w:hyperlink>
          </w:p>
        </w:tc>
        <w:tc>
          <w:tcPr>
            <w:tcW w:w="1220" w:type="dxa"/>
            <w:vAlign w:val="bottom"/>
            <w:tcBorders>
              <w:top w:val="single" w:sz="8" w:color="0000EE"/>
            </w:tcBorders>
            <w:gridSpan w:val="3"/>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160" w:type="dxa"/>
            <w:vAlign w:val="bottom"/>
            <w:gridSpan w:val="15"/>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Six Months Ended June 30, 2012 and 2011 (Unaudited)</w:t>
              </w:r>
            </w:hyperlink>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54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620" w:type="dxa"/>
            <w:vAlign w:val="bottom"/>
            <w:gridSpan w:val="2"/>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3700" w:type="dxa"/>
            <w:vAlign w:val="bottom"/>
            <w:tcBorders>
              <w:top w:val="single" w:sz="8" w:color="0000EE"/>
            </w:tcBorders>
            <w:gridSpan w:val="8"/>
          </w:tcPr>
          <w:p>
            <w:pPr>
              <w:spacing w:after="0" w:line="129" w:lineRule="exact"/>
              <w:rPr>
                <w:rFonts w:ascii="Arial" w:cs="Arial" w:eastAsia="Arial" w:hAnsi="Arial"/>
                <w:sz w:val="14"/>
                <w:szCs w:val="14"/>
                <w:color w:val="0000EE"/>
                <w:w w:val="89"/>
              </w:rPr>
            </w:pPr>
            <w:hyperlink w:anchor="page30">
              <w:r>
                <w:rPr>
                  <w:rFonts w:ascii="Arial" w:cs="Arial" w:eastAsia="Arial" w:hAnsi="Arial"/>
                  <w:sz w:val="14"/>
                  <w:szCs w:val="14"/>
                  <w:color w:val="0000EE"/>
                  <w:w w:val="89"/>
                </w:rPr>
                <w:t>Management’s Discussion and Analysis of Financial Condition and</w:t>
              </w:r>
            </w:hyperlink>
          </w:p>
        </w:tc>
        <w:tc>
          <w:tcPr>
            <w:tcW w:w="4460" w:type="dxa"/>
            <w:vAlign w:val="bottom"/>
            <w:gridSpan w:val="7"/>
          </w:tcPr>
          <w:p>
            <w:pPr>
              <w:spacing w:after="0" w:line="129" w:lineRule="exact"/>
              <w:rPr>
                <w:rFonts w:ascii="Arial" w:cs="Arial" w:eastAsia="Arial" w:hAnsi="Arial"/>
                <w:sz w:val="14"/>
                <w:szCs w:val="14"/>
                <w:color w:val="0000EE"/>
              </w:rPr>
            </w:pPr>
            <w:hyperlink w:anchor="page30">
              <w:r>
                <w:rPr>
                  <w:rFonts w:ascii="Arial" w:cs="Arial" w:eastAsia="Arial" w:hAnsi="Arial"/>
                  <w:sz w:val="14"/>
                  <w:szCs w:val="14"/>
                  <w:color w:val="0000EE"/>
                </w:rPr>
                <w:t>Results of Operations</w:t>
              </w:r>
            </w:hyperlink>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3.</w:t>
            </w:r>
          </w:p>
        </w:tc>
        <w:tc>
          <w:tcPr>
            <w:tcW w:w="486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42">
              <w:r>
                <w:rPr>
                  <w:rFonts w:ascii="Arial" w:cs="Arial" w:eastAsia="Arial" w:hAnsi="Arial"/>
                  <w:sz w:val="14"/>
                  <w:szCs w:val="14"/>
                  <w:color w:val="0000EE"/>
                </w:rPr>
                <w:t>Quantitative and Qualitative Disclosures About Market Risk</w:t>
              </w:r>
            </w:hyperlink>
          </w:p>
        </w:tc>
        <w:tc>
          <w:tcPr>
            <w:tcW w:w="3300" w:type="dxa"/>
            <w:vAlign w:val="bottom"/>
            <w:gridSpan w:val="6"/>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328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42">
              <w:r>
                <w:rPr>
                  <w:rFonts w:ascii="Arial" w:cs="Arial" w:eastAsia="Arial" w:hAnsi="Arial"/>
                  <w:sz w:val="14"/>
                  <w:szCs w:val="14"/>
                  <w:color w:val="0000EE"/>
                </w:rPr>
                <w:t>Controls and Procedures</w:t>
              </w:r>
            </w:hyperlink>
          </w:p>
        </w:tc>
        <w:tc>
          <w:tcPr>
            <w:tcW w:w="4880" w:type="dxa"/>
            <w:vAlign w:val="bottom"/>
            <w:gridSpan w:val="8"/>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PART II. OTHER INFORMATION</w:t>
            </w:r>
          </w:p>
        </w:tc>
        <w:tc>
          <w:tcPr>
            <w:tcW w:w="4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gridSpan w:val="2"/>
          </w:tcPr>
          <w:p>
            <w:pPr>
              <w:spacing w:after="0"/>
              <w:rPr>
                <w:sz w:val="11"/>
                <w:szCs w:val="11"/>
                <w:color w:val="auto"/>
              </w:rPr>
            </w:pPr>
          </w:p>
        </w:tc>
        <w:tc>
          <w:tcPr>
            <w:tcW w:w="1920" w:type="dxa"/>
            <w:vAlign w:val="bottom"/>
          </w:tcPr>
          <w:p>
            <w:pPr>
              <w:spacing w:after="0"/>
              <w:rPr>
                <w:sz w:val="11"/>
                <w:szCs w:val="11"/>
                <w:color w:val="auto"/>
              </w:rPr>
            </w:pPr>
          </w:p>
        </w:tc>
        <w:tc>
          <w:tcPr>
            <w:tcW w:w="4900" w:type="dxa"/>
            <w:vAlign w:val="bottom"/>
            <w:gridSpan w:val="9"/>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8160" w:type="dxa"/>
            <w:vAlign w:val="bottom"/>
            <w:gridSpan w:val="15"/>
          </w:tcPr>
          <w:p>
            <w:pPr>
              <w:spacing w:after="0" w:line="148" w:lineRule="exact"/>
              <w:rPr>
                <w:rFonts w:ascii="Arial" w:cs="Arial" w:eastAsia="Arial" w:hAnsi="Arial"/>
                <w:sz w:val="14"/>
                <w:szCs w:val="14"/>
                <w:color w:val="0000EE"/>
              </w:rPr>
            </w:pPr>
            <w:hyperlink w:anchor="page43">
              <w:r>
                <w:rPr>
                  <w:rFonts w:ascii="Arial" w:cs="Arial" w:eastAsia="Arial" w:hAnsi="Arial"/>
                  <w:sz w:val="14"/>
                  <w:szCs w:val="14"/>
                  <w:color w:val="0000EE"/>
                </w:rPr>
                <w:t>Legal Proceedings</w:t>
              </w:r>
            </w:hyperlink>
          </w:p>
        </w:tc>
        <w:tc>
          <w:tcPr>
            <w:tcW w:w="1260" w:type="dxa"/>
            <w:vAlign w:val="bottom"/>
          </w:tcPr>
          <w:p>
            <w:pPr>
              <w:jc w:val="right"/>
              <w:spacing w:after="0" w:line="148"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43">
              <w:r>
                <w:rPr>
                  <w:rFonts w:ascii="Arial" w:cs="Arial" w:eastAsia="Arial" w:hAnsi="Arial"/>
                  <w:sz w:val="14"/>
                  <w:szCs w:val="14"/>
                  <w:color w:val="0000EE"/>
                </w:rPr>
                <w:t>Risk Factors</w:t>
              </w:r>
            </w:hyperlink>
          </w:p>
        </w:tc>
        <w:tc>
          <w:tcPr>
            <w:tcW w:w="2260" w:type="dxa"/>
            <w:vAlign w:val="bottom"/>
            <w:gridSpan w:val="3"/>
          </w:tcPr>
          <w:p>
            <w:pPr>
              <w:spacing w:after="0"/>
              <w:rPr>
                <w:sz w:val="11"/>
                <w:szCs w:val="11"/>
                <w:color w:val="auto"/>
              </w:rPr>
            </w:pPr>
          </w:p>
        </w:tc>
        <w:tc>
          <w:tcPr>
            <w:tcW w:w="4900" w:type="dxa"/>
            <w:vAlign w:val="bottom"/>
            <w:gridSpan w:val="9"/>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2.</w:t>
            </w:r>
          </w:p>
        </w:tc>
        <w:tc>
          <w:tcPr>
            <w:tcW w:w="680" w:type="dxa"/>
            <w:vAlign w:val="bottom"/>
            <w:tcBorders>
              <w:top w:val="single" w:sz="8" w:color="0000EE"/>
            </w:tcBorders>
            <w:gridSpan w:val="2"/>
          </w:tcPr>
          <w:p>
            <w:pPr>
              <w:spacing w:after="0" w:line="129" w:lineRule="exact"/>
              <w:rPr>
                <w:rFonts w:ascii="Arial" w:cs="Arial" w:eastAsia="Arial" w:hAnsi="Arial"/>
                <w:sz w:val="14"/>
                <w:szCs w:val="14"/>
                <w:color w:val="0000EE"/>
                <w:w w:val="82"/>
              </w:rPr>
            </w:pPr>
            <w:hyperlink w:anchor="page43">
              <w:r>
                <w:rPr>
                  <w:rFonts w:ascii="Arial" w:cs="Arial" w:eastAsia="Arial" w:hAnsi="Arial"/>
                  <w:sz w:val="14"/>
                  <w:szCs w:val="14"/>
                  <w:color w:val="0000EE"/>
                  <w:w w:val="82"/>
                </w:rPr>
                <w:t>Unregistered</w:t>
              </w:r>
            </w:hyperlink>
          </w:p>
        </w:tc>
        <w:tc>
          <w:tcPr>
            <w:tcW w:w="7480" w:type="dxa"/>
            <w:vAlign w:val="bottom"/>
            <w:gridSpan w:val="13"/>
          </w:tcPr>
          <w:p>
            <w:pPr>
              <w:ind w:left="60"/>
              <w:spacing w:after="0" w:line="129" w:lineRule="exact"/>
              <w:rPr>
                <w:rFonts w:ascii="Arial" w:cs="Arial" w:eastAsia="Arial" w:hAnsi="Arial"/>
                <w:sz w:val="14"/>
                <w:szCs w:val="14"/>
                <w:color w:val="0000EE"/>
              </w:rPr>
            </w:pPr>
            <w:hyperlink w:anchor="page43">
              <w:r>
                <w:rPr>
                  <w:rFonts w:ascii="Arial" w:cs="Arial" w:eastAsia="Arial" w:hAnsi="Arial"/>
                  <w:sz w:val="14"/>
                  <w:szCs w:val="14"/>
                  <w:color w:val="0000EE"/>
                </w:rPr>
                <w:t>Sales of Equity Securities and Use of Proceeds</w:t>
              </w:r>
            </w:hyperlink>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326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w:anchor="page44">
              <w:r>
                <w:rPr>
                  <w:rFonts w:ascii="Arial" w:cs="Arial" w:eastAsia="Arial" w:hAnsi="Arial"/>
                  <w:sz w:val="14"/>
                  <w:szCs w:val="14"/>
                  <w:color w:val="0000EE"/>
                </w:rPr>
                <w:t>Exhibits</w:t>
              </w:r>
            </w:hyperlink>
          </w:p>
        </w:tc>
        <w:tc>
          <w:tcPr>
            <w:tcW w:w="4900" w:type="dxa"/>
            <w:vAlign w:val="bottom"/>
            <w:gridSpan w:val="9"/>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rFonts w:ascii="Arial" w:cs="Arial" w:eastAsia="Arial" w:hAnsi="Arial"/>
                <w:sz w:val="14"/>
                <w:szCs w:val="14"/>
                <w:b w:val="1"/>
                <w:bCs w:val="1"/>
                <w:color w:val="0000EE"/>
              </w:rPr>
            </w:pPr>
            <w:hyperlink w:anchor="page45">
              <w:r>
                <w:rPr>
                  <w:rFonts w:ascii="Arial" w:cs="Arial" w:eastAsia="Arial" w:hAnsi="Arial"/>
                  <w:sz w:val="14"/>
                  <w:szCs w:val="14"/>
                  <w:b w:val="1"/>
                  <w:bCs w:val="1"/>
                  <w:color w:val="0000EE"/>
                </w:rPr>
                <w:t>SIGNATURES</w:t>
              </w:r>
            </w:hyperlink>
          </w:p>
        </w:tc>
        <w:tc>
          <w:tcPr>
            <w:tcW w:w="46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This Quarterly Report on Form 10-Q is for the three and six months ended June 30, 2012.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including NBCUniversal, as “we,” “us” and “our;” and Comcast Holdings Corporation as “Comcast Holdings.”</w:t>
      </w:r>
    </w:p>
    <w:p>
      <w:pPr>
        <w:spacing w:after="0" w:line="19"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spacing w:after="0" w:line="15" w:lineRule="exact"/>
        <w:rPr>
          <w:sz w:val="20"/>
          <w:szCs w:val="20"/>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consumer behavior driven by new technologies may adversely affect our competitive position, businesses and results of operations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programming expenses for our video services are increasing, which could adversely affect our future results of operations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businesses, results of operations and financial condition</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results of operations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NBCUniversal’s success depends on consumer acceptance of its content, which is difficult to predict, and our results of operations may be adversely affected if our content fails to achieve sufficient consumer acceptance or our costs to acquire content increase</w:t>
      </w:r>
    </w:p>
    <w:p>
      <w:pPr>
        <w:spacing w:after="0" w:line="3"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our programming distribution agreements, or the renewal of these agreements on less favorable terms, could adversely affect our businesses and results of operations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sales of DVDs have been declining</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arising from the outcome of various litigation matters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acquisitions and other strategic transactions present many risks, and we may not realize the financial and strategic goals that were contemplated at the time of any transaction</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color w:val="auto"/>
                <w:w w:val="85"/>
              </w:rPr>
              <w:t>June 30,</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904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360" w:type="dxa"/>
            <w:vAlign w:val="bottom"/>
          </w:tcPr>
          <w:p>
            <w:pPr>
              <w:spacing w:after="0"/>
              <w:rPr>
                <w:sz w:val="13"/>
                <w:szCs w:val="13"/>
                <w:color w:val="auto"/>
              </w:rPr>
            </w:pPr>
          </w:p>
        </w:tc>
        <w:tc>
          <w:tcPr>
            <w:tcW w:w="900" w:type="dxa"/>
            <w:vAlign w:val="bottom"/>
          </w:tcPr>
          <w:p>
            <w:pPr>
              <w:jc w:val="right"/>
              <w:ind w:right="433"/>
              <w:spacing w:after="0" w:line="159"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3"/>
                <w:szCs w:val="13"/>
                <w:color w:val="auto"/>
              </w:rPr>
            </w:pPr>
          </w:p>
        </w:tc>
        <w:tc>
          <w:tcPr>
            <w:tcW w:w="74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2,101</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2,231</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4,387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Programming rights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1,114</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1,521</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11,354</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5,120</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8,018</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$37,980 and $36,528</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26,891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Franchise rights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59,364</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27,010</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26,874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$7,325 and $6,665</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17,786</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18,165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2,145</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6"/>
              </w:rPr>
              <w:t>157,688</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157,818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5,730</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1,300</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1,027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4,731</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2,954</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15,742</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34,175</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29,881</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29,932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13,432</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16,279</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0"/>
              </w:rPr>
              <w:t>Class A common stock, $0.01 par value—authorized, 7,500,000,000 shares; issued, 2,480,319,846 and 2,460,937,253;</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outstanding, 2,114,859,096 and 2,095,476,503</w:t>
            </w:r>
          </w:p>
        </w:tc>
        <w:tc>
          <w:tcPr>
            <w:tcW w:w="360" w:type="dxa"/>
            <w:vAlign w:val="bottom"/>
          </w:tcPr>
          <w:p>
            <w:pPr>
              <w:spacing w:after="0"/>
              <w:rPr>
                <w:sz w:val="19"/>
                <w:szCs w:val="19"/>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Class A Special common stock, $0.01 par value—authorized, 7,500,000,000 shares; issued, 622,457,433 and</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671,947,577; outstanding, 551,522,669 and 601,012,813</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6</w:t>
            </w:r>
          </w:p>
        </w:tc>
        <w:tc>
          <w:tcPr>
            <w:tcW w:w="38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9"/>
              </w:rPr>
              <w:t>Class B common stock, $0.01 par value—authorized, 75,000,000 shares; issued and outstanding, 9,444,375</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40,761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14,626</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(7,517)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(170)</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47,731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448</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48,179</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6"/>
              </w:rPr>
              <w:t>157,688</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157,818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3"/>
          </w:tcPr>
          <w:p>
            <w:pPr>
              <w:jc w:val="right"/>
              <w:ind w:right="393"/>
              <w:spacing w:after="0"/>
              <w:rPr>
                <w:sz w:val="20"/>
                <w:szCs w:val="20"/>
                <w:color w:val="auto"/>
              </w:rPr>
            </w:pPr>
            <w:r>
              <w:rPr>
                <w:rFonts w:ascii="Arial" w:cs="Arial" w:eastAsia="Arial" w:hAnsi="Arial"/>
                <w:sz w:val="14"/>
                <w:szCs w:val="14"/>
                <w:color w:val="auto"/>
                <w:w w:val="96"/>
              </w:rPr>
              <w:t>Three Months Ended</w:t>
            </w:r>
          </w:p>
        </w:tc>
        <w:tc>
          <w:tcPr>
            <w:tcW w:w="280" w:type="dxa"/>
            <w:vAlign w:val="bottom"/>
          </w:tcPr>
          <w:p>
            <w:pPr>
              <w:spacing w:after="0"/>
              <w:rPr>
                <w:sz w:val="14"/>
                <w:szCs w:val="14"/>
                <w:color w:val="auto"/>
              </w:rPr>
            </w:pPr>
          </w:p>
        </w:tc>
        <w:tc>
          <w:tcPr>
            <w:tcW w:w="1600" w:type="dxa"/>
            <w:vAlign w:val="bottom"/>
            <w:gridSpan w:val="3"/>
          </w:tcPr>
          <w:p>
            <w:pPr>
              <w:jc w:val="right"/>
              <w:ind w:right="31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73"/>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495"/>
              <w:spacing w:after="0" w:line="142"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740" w:type="dxa"/>
            <w:vAlign w:val="bottom"/>
          </w:tcPr>
          <w:p>
            <w:pPr>
              <w:jc w:val="right"/>
              <w:ind w:right="333"/>
              <w:spacing w:after="0" w:line="142" w:lineRule="exact"/>
              <w:rPr>
                <w:sz w:val="20"/>
                <w:szCs w:val="20"/>
                <w:color w:val="auto"/>
              </w:rPr>
            </w:pPr>
            <w:r>
              <w:rPr>
                <w:rFonts w:ascii="Arial" w:cs="Arial" w:eastAsia="Arial" w:hAnsi="Arial"/>
                <w:sz w:val="14"/>
                <w:szCs w:val="14"/>
                <w:color w:val="auto"/>
                <w:w w:val="96"/>
              </w:rPr>
              <w:t>2011</w:t>
            </w:r>
          </w:p>
        </w:tc>
        <w:tc>
          <w:tcPr>
            <w:tcW w:w="280" w:type="dxa"/>
            <w:vAlign w:val="bottom"/>
          </w:tcPr>
          <w:p>
            <w:pPr>
              <w:spacing w:after="0"/>
              <w:rPr>
                <w:sz w:val="12"/>
                <w:szCs w:val="12"/>
                <w:color w:val="auto"/>
              </w:rPr>
            </w:pPr>
          </w:p>
        </w:tc>
        <w:tc>
          <w:tcPr>
            <w:tcW w:w="900" w:type="dxa"/>
            <w:vAlign w:val="bottom"/>
          </w:tcPr>
          <w:p>
            <w:pPr>
              <w:jc w:val="right"/>
              <w:ind w:right="495"/>
              <w:spacing w:after="0" w:line="142" w:lineRule="exact"/>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87"/>
              </w:rPr>
              <w:t>15,211</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w w:val="83"/>
              </w:rPr>
              <w:t>14,333</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83"/>
              </w:rPr>
              <w:t>30,089</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26,461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w w:val="87"/>
              </w:rPr>
              <w:t>10,207</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9,532</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w w:val="83"/>
              </w:rPr>
              <w:t>20,397</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17,594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1,478</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385</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87"/>
              </w:rPr>
              <w:t>12,132</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83"/>
              </w:rPr>
              <w:t>11,395</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83"/>
              </w:rPr>
              <w:t>24,252</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21,299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2,938</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5,837</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(621)</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w w:val="91"/>
              </w:rPr>
              <w:t>(1,265)</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29</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37</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32</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(557)</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91"/>
              </w:rPr>
              <w:t>(1,196)</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2,381</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4,641</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91"/>
              </w:rPr>
              <w:t>(1,014)</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91"/>
              </w:rPr>
              <w:t>(1,561)</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(1,610)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1,367</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(345)</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1,348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1,022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2,572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1,965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0.50</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0.37</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0.95</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w w:val="99"/>
              </w:rPr>
              <w:t>Diluted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35"/>
              <w:spacing w:after="0"/>
              <w:rPr>
                <w:sz w:val="20"/>
                <w:szCs w:val="20"/>
                <w:color w:val="auto"/>
              </w:rPr>
            </w:pPr>
            <w:r>
              <w:rPr>
                <w:rFonts w:ascii="Arial" w:cs="Arial" w:eastAsia="Arial" w:hAnsi="Arial"/>
                <w:sz w:val="18"/>
                <w:szCs w:val="18"/>
                <w:b w:val="1"/>
                <w:bCs w:val="1"/>
                <w:color w:val="auto"/>
              </w:rPr>
              <w:t>0.50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173"/>
              <w:spacing w:after="0"/>
              <w:rPr>
                <w:sz w:val="20"/>
                <w:szCs w:val="20"/>
                <w:color w:val="auto"/>
              </w:rPr>
            </w:pPr>
            <w:r>
              <w:rPr>
                <w:rFonts w:ascii="Arial" w:cs="Arial" w:eastAsia="Arial" w:hAnsi="Arial"/>
                <w:sz w:val="18"/>
                <w:szCs w:val="18"/>
                <w:b w:val="1"/>
                <w:bCs w:val="1"/>
                <w:color w:val="auto"/>
              </w:rPr>
              <w:t>0.37</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35"/>
              <w:spacing w:after="0"/>
              <w:rPr>
                <w:sz w:val="20"/>
                <w:szCs w:val="20"/>
                <w:color w:val="auto"/>
              </w:rPr>
            </w:pPr>
            <w:r>
              <w:rPr>
                <w:rFonts w:ascii="Arial" w:cs="Arial" w:eastAsia="Arial" w:hAnsi="Arial"/>
                <w:sz w:val="18"/>
                <w:szCs w:val="18"/>
                <w:b w:val="1"/>
                <w:bCs w:val="1"/>
                <w:color w:val="auto"/>
              </w:rPr>
              <w:t>0.94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0.70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5"/>
              </w:rPr>
              <w:t>Dividends declared per common share attributable to Comcast Corporation shareholders</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w w:val="87"/>
              </w:rPr>
              <w:t>0.1625</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w w:val="83"/>
              </w:rPr>
              <w:t>0.1125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0.325</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0.225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320" w:type="dxa"/>
            <w:vAlign w:val="bottom"/>
            <w:gridSpan w:val="2"/>
          </w:tcPr>
          <w:p>
            <w:pPr>
              <w:jc w:val="right"/>
              <w:ind w:right="454"/>
              <w:spacing w:after="0"/>
              <w:rPr>
                <w:sz w:val="20"/>
                <w:szCs w:val="20"/>
                <w:color w:val="auto"/>
              </w:rPr>
            </w:pPr>
            <w:r>
              <w:rPr>
                <w:rFonts w:ascii="Arial" w:cs="Arial" w:eastAsia="Arial" w:hAnsi="Arial"/>
                <w:sz w:val="14"/>
                <w:szCs w:val="14"/>
                <w:color w:val="auto"/>
              </w:rPr>
              <w:t>Three Months Ended</w:t>
            </w:r>
          </w:p>
        </w:tc>
        <w:tc>
          <w:tcPr>
            <w:tcW w:w="1940" w:type="dxa"/>
            <w:vAlign w:val="bottom"/>
            <w:gridSpan w:val="2"/>
          </w:tcPr>
          <w:p>
            <w:pPr>
              <w:jc w:val="right"/>
              <w:ind w:right="314"/>
              <w:spacing w:after="0"/>
              <w:rPr>
                <w:sz w:val="20"/>
                <w:szCs w:val="20"/>
                <w:color w:val="auto"/>
              </w:rPr>
            </w:pPr>
            <w:r>
              <w:rPr>
                <w:rFonts w:ascii="Arial" w:cs="Arial" w:eastAsia="Arial" w:hAnsi="Arial"/>
                <w:sz w:val="14"/>
                <w:szCs w:val="14"/>
                <w:color w:val="auto"/>
              </w:rPr>
              <w:t>Six Months Ended</w:t>
            </w:r>
          </w:p>
        </w:tc>
      </w:tr>
      <w:tr>
        <w:trPr>
          <w:trHeight w:val="172"/>
        </w:trPr>
        <w:tc>
          <w:tcPr>
            <w:tcW w:w="716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4"/>
                <w:szCs w:val="14"/>
                <w:color w:val="auto"/>
              </w:rPr>
            </w:pPr>
          </w:p>
        </w:tc>
      </w:tr>
      <w:tr>
        <w:trPr>
          <w:trHeight w:val="143"/>
        </w:trPr>
        <w:tc>
          <w:tcPr>
            <w:tcW w:w="716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tcPr>
          <w:p>
            <w:pPr>
              <w:jc w:val="right"/>
              <w:ind w:right="557"/>
              <w:spacing w:after="0" w:line="143" w:lineRule="exact"/>
              <w:rPr>
                <w:sz w:val="20"/>
                <w:szCs w:val="20"/>
                <w:color w:val="auto"/>
              </w:rPr>
            </w:pPr>
            <w:r>
              <w:rPr>
                <w:rFonts w:ascii="Arial" w:cs="Arial" w:eastAsia="Arial" w:hAnsi="Arial"/>
                <w:sz w:val="14"/>
                <w:szCs w:val="14"/>
                <w:color w:val="auto"/>
              </w:rPr>
              <w:t>2012</w:t>
            </w:r>
          </w:p>
        </w:tc>
        <w:tc>
          <w:tcPr>
            <w:tcW w:w="860" w:type="dxa"/>
            <w:vAlign w:val="bottom"/>
            <w:tcBorders>
              <w:bottom w:val="single" w:sz="8" w:color="auto"/>
            </w:tcBorders>
          </w:tcPr>
          <w:p>
            <w:pPr>
              <w:jc w:val="right"/>
              <w:ind w:right="354"/>
              <w:spacing w:after="0" w:line="143" w:lineRule="exact"/>
              <w:rPr>
                <w:sz w:val="20"/>
                <w:szCs w:val="20"/>
                <w:color w:val="auto"/>
              </w:rPr>
            </w:pPr>
            <w:r>
              <w:rPr>
                <w:rFonts w:ascii="Arial" w:cs="Arial" w:eastAsia="Arial" w:hAnsi="Arial"/>
                <w:sz w:val="14"/>
                <w:szCs w:val="14"/>
                <w:color w:val="auto"/>
              </w:rPr>
              <w:t>2011</w:t>
            </w:r>
          </w:p>
        </w:tc>
        <w:tc>
          <w:tcPr>
            <w:tcW w:w="1260" w:type="dxa"/>
            <w:vAlign w:val="bottom"/>
            <w:tcBorders>
              <w:bottom w:val="single" w:sz="8" w:color="auto"/>
            </w:tcBorders>
          </w:tcPr>
          <w:p>
            <w:pPr>
              <w:jc w:val="right"/>
              <w:ind w:right="537"/>
              <w:spacing w:after="0" w:line="143" w:lineRule="exact"/>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jc w:val="right"/>
              <w:ind w:right="154"/>
              <w:spacing w:after="0" w:line="143" w:lineRule="exact"/>
              <w:rPr>
                <w:sz w:val="20"/>
                <w:szCs w:val="20"/>
                <w:color w:val="auto"/>
              </w:rPr>
            </w:pPr>
            <w:r>
              <w:rPr>
                <w:rFonts w:ascii="Arial" w:cs="Arial" w:eastAsia="Arial" w:hAnsi="Arial"/>
                <w:sz w:val="14"/>
                <w:szCs w:val="14"/>
                <w:color w:val="auto"/>
              </w:rPr>
              <w:t>2011</w:t>
            </w:r>
          </w:p>
        </w:tc>
      </w:tr>
      <w:tr>
        <w:trPr>
          <w:trHeight w:val="210"/>
        </w:trPr>
        <w:tc>
          <w:tcPr>
            <w:tcW w:w="716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4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$ 1,633</w:t>
            </w:r>
          </w:p>
        </w:tc>
        <w:tc>
          <w:tcPr>
            <w:tcW w:w="8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w w:val="89"/>
              </w:rPr>
              <w:t>$ 1,367</w:t>
            </w:r>
          </w:p>
        </w:tc>
        <w:tc>
          <w:tcPr>
            <w:tcW w:w="12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$ 3,080</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3"/>
              </w:rPr>
              <w:t>$ 2,406</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w w:val="91"/>
              </w:rPr>
              <w:t>Unrealized gains (losses) on marketable securities, net of deferred taxes of $—, $—, $— and $(3)</w:t>
            </w:r>
          </w:p>
        </w:tc>
        <w:tc>
          <w:tcPr>
            <w:tcW w:w="1460" w:type="dxa"/>
            <w:vAlign w:val="bottom"/>
          </w:tcPr>
          <w:p>
            <w:pPr>
              <w:jc w:val="right"/>
              <w:ind w:right="41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1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16"/>
        </w:trPr>
        <w:tc>
          <w:tcPr>
            <w:tcW w:w="7160" w:type="dxa"/>
            <w:vAlign w:val="bottom"/>
            <w:shd w:val="clear" w:color="auto" w:fill="E5E5E5"/>
          </w:tcPr>
          <w:p>
            <w:pPr>
              <w:spacing w:after="0"/>
              <w:rPr>
                <w:sz w:val="20"/>
                <w:szCs w:val="20"/>
                <w:color w:val="auto"/>
              </w:rPr>
            </w:pPr>
            <w:r>
              <w:rPr>
                <w:rFonts w:ascii="Arial" w:cs="Arial" w:eastAsia="Arial" w:hAnsi="Arial"/>
                <w:sz w:val="18"/>
                <w:szCs w:val="18"/>
                <w:color w:val="auto"/>
                <w:w w:val="99"/>
              </w:rPr>
              <w:t>Deferred gains (losses) on cash flow hedges, net of deferred taxes of $20, $4, $9 and $(2)</w:t>
            </w:r>
          </w:p>
        </w:tc>
        <w:tc>
          <w:tcPr>
            <w:tcW w:w="1460" w:type="dxa"/>
            <w:vAlign w:val="bottom"/>
            <w:shd w:val="clear" w:color="auto" w:fill="E5E5E5"/>
          </w:tcPr>
          <w:p>
            <w:pPr>
              <w:jc w:val="right"/>
              <w:ind w:right="377"/>
              <w:spacing w:after="0"/>
              <w:rPr>
                <w:sz w:val="20"/>
                <w:szCs w:val="20"/>
                <w:color w:val="auto"/>
              </w:rPr>
            </w:pPr>
            <w:r>
              <w:rPr>
                <w:rFonts w:ascii="Arial" w:cs="Arial" w:eastAsia="Arial" w:hAnsi="Arial"/>
                <w:sz w:val="18"/>
                <w:szCs w:val="18"/>
                <w:color w:val="auto"/>
              </w:rPr>
              <w:t>(35)</w:t>
            </w:r>
          </w:p>
        </w:tc>
        <w:tc>
          <w:tcPr>
            <w:tcW w:w="8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w:t>
            </w:r>
          </w:p>
        </w:tc>
        <w:tc>
          <w:tcPr>
            <w:tcW w:w="126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(15)</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16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0"/>
              </w:rPr>
              <w:t>Realized (gains) losses on marketable securities, net of deferred taxes of $—, $1, $— and $5</w:t>
            </w:r>
          </w:p>
        </w:tc>
        <w:tc>
          <w:tcPr>
            <w:tcW w:w="14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w:t>
            </w:r>
          </w:p>
        </w:tc>
        <w:tc>
          <w:tcPr>
            <w:tcW w:w="12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w w:val="90"/>
              </w:rPr>
              <w:t>Realized (gains) losses on cash flow hedges, net of deferred taxes of $(10), $(1), $(1) and $6</w:t>
            </w:r>
          </w:p>
        </w:tc>
        <w:tc>
          <w:tcPr>
            <w:tcW w:w="1460" w:type="dxa"/>
            <w:vAlign w:val="bottom"/>
          </w:tcPr>
          <w:p>
            <w:pPr>
              <w:jc w:val="right"/>
              <w:ind w:right="417"/>
              <w:spacing w:after="0"/>
              <w:rPr>
                <w:sz w:val="20"/>
                <w:szCs w:val="20"/>
                <w:color w:val="auto"/>
              </w:rPr>
            </w:pPr>
            <w:r>
              <w:rPr>
                <w:rFonts w:ascii="Arial" w:cs="Arial" w:eastAsia="Arial" w:hAnsi="Arial"/>
                <w:sz w:val="18"/>
                <w:szCs w:val="18"/>
                <w:color w:val="auto"/>
              </w:rPr>
              <w:t>17</w:t>
            </w:r>
          </w:p>
        </w:tc>
        <w:tc>
          <w:tcPr>
            <w:tcW w:w="860" w:type="dxa"/>
            <w:vAlign w:val="bottom"/>
          </w:tcPr>
          <w:p>
            <w:pPr>
              <w:jc w:val="right"/>
              <w:ind w:right="214"/>
              <w:spacing w:after="0"/>
              <w:rPr>
                <w:sz w:val="20"/>
                <w:szCs w:val="20"/>
                <w:color w:val="auto"/>
              </w:rPr>
            </w:pPr>
            <w:r>
              <w:rPr>
                <w:rFonts w:ascii="Arial" w:cs="Arial" w:eastAsia="Arial" w:hAnsi="Arial"/>
                <w:sz w:val="18"/>
                <w:szCs w:val="18"/>
                <w:color w:val="auto"/>
              </w:rPr>
              <w:t>2</w:t>
            </w:r>
          </w:p>
        </w:tc>
        <w:tc>
          <w:tcPr>
            <w:tcW w:w="1260" w:type="dxa"/>
            <w:vAlign w:val="bottom"/>
          </w:tcPr>
          <w:p>
            <w:pPr>
              <w:jc w:val="right"/>
              <w:ind w:right="417"/>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16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$1, $1, $1 and $(1)</w:t>
            </w:r>
          </w:p>
        </w:tc>
        <w:tc>
          <w:tcPr>
            <w:tcW w:w="1460" w:type="dxa"/>
            <w:vAlign w:val="bottom"/>
            <w:shd w:val="clear" w:color="auto" w:fill="E5E5E5"/>
          </w:tcPr>
          <w:p>
            <w:pPr>
              <w:jc w:val="right"/>
              <w:ind w:right="377"/>
              <w:spacing w:after="0"/>
              <w:rPr>
                <w:sz w:val="20"/>
                <w:szCs w:val="20"/>
                <w:color w:val="auto"/>
              </w:rPr>
            </w:pPr>
            <w:r>
              <w:rPr>
                <w:rFonts w:ascii="Arial" w:cs="Arial" w:eastAsia="Arial" w:hAnsi="Arial"/>
                <w:sz w:val="18"/>
                <w:szCs w:val="18"/>
                <w:color w:val="auto"/>
              </w:rPr>
              <w:t>(3)</w:t>
            </w:r>
          </w:p>
        </w:tc>
        <w:tc>
          <w:tcPr>
            <w:tcW w:w="8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w:t>
            </w:r>
          </w:p>
        </w:tc>
        <w:tc>
          <w:tcPr>
            <w:tcW w:w="126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(5)</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 of deferred taxes of $2, $—, $2 and $—</w:t>
            </w:r>
          </w:p>
        </w:tc>
        <w:tc>
          <w:tcPr>
            <w:tcW w:w="146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color w:val="auto"/>
              </w:rPr>
              <w:t>(9)</w:t>
            </w: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color w:val="auto"/>
              </w:rPr>
              <w:t>(7)</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r>
      <w:tr>
        <w:trPr>
          <w:trHeight w:val="210"/>
        </w:trPr>
        <w:tc>
          <w:tcPr>
            <w:tcW w:w="716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14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1,603</w:t>
            </w:r>
          </w:p>
        </w:tc>
        <w:tc>
          <w:tcPr>
            <w:tcW w:w="8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1,357</w:t>
            </w:r>
          </w:p>
        </w:tc>
        <w:tc>
          <w:tcPr>
            <w:tcW w:w="12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3,054</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2,400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460" w:type="dxa"/>
            <w:vAlign w:val="bottom"/>
          </w:tcPr>
          <w:p>
            <w:pPr>
              <w:jc w:val="right"/>
              <w:ind w:right="377"/>
              <w:spacing w:after="0"/>
              <w:rPr>
                <w:sz w:val="20"/>
                <w:szCs w:val="20"/>
                <w:color w:val="auto"/>
              </w:rPr>
            </w:pPr>
            <w:r>
              <w:rPr>
                <w:rFonts w:ascii="Arial" w:cs="Arial" w:eastAsia="Arial" w:hAnsi="Arial"/>
                <w:sz w:val="18"/>
                <w:szCs w:val="18"/>
                <w:color w:val="auto"/>
              </w:rPr>
              <w:t>(285)</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(345)</w:t>
            </w:r>
          </w:p>
        </w:tc>
        <w:tc>
          <w:tcPr>
            <w:tcW w:w="1260" w:type="dxa"/>
            <w:vAlign w:val="bottom"/>
          </w:tcPr>
          <w:p>
            <w:pPr>
              <w:jc w:val="right"/>
              <w:ind w:right="357"/>
              <w:spacing w:after="0"/>
              <w:rPr>
                <w:sz w:val="20"/>
                <w:szCs w:val="20"/>
                <w:color w:val="auto"/>
              </w:rPr>
            </w:pPr>
            <w:r>
              <w:rPr>
                <w:rFonts w:ascii="Arial" w:cs="Arial" w:eastAsia="Arial" w:hAnsi="Arial"/>
                <w:sz w:val="18"/>
                <w:szCs w:val="18"/>
                <w:color w:val="auto"/>
              </w:rPr>
              <w:t>(508)</w:t>
            </w:r>
          </w:p>
        </w:tc>
        <w:tc>
          <w:tcPr>
            <w:tcW w:w="68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7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460" w:type="dxa"/>
            <w:vAlign w:val="bottom"/>
            <w:tcBorders>
              <w:bottom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color w:val="auto"/>
              </w:rPr>
              <w:t>8</w:t>
            </w:r>
          </w:p>
        </w:tc>
        <w:tc>
          <w:tcPr>
            <w:tcW w:w="86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color w:val="auto"/>
              </w:rPr>
              <w:t>8</w:t>
            </w: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7"/>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46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$ 1,326</w:t>
            </w: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w w:val="89"/>
              </w:rPr>
              <w:t>$ 1,014</w:t>
            </w: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$ 2,554</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3"/>
              </w:rPr>
              <w:t>$ 1,959</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180" w:type="dxa"/>
            <w:vAlign w:val="bottom"/>
            <w:gridSpan w:val="2"/>
          </w:tcPr>
          <w:p>
            <w:pPr>
              <w:jc w:val="right"/>
              <w:ind w:right="334"/>
              <w:spacing w:after="0"/>
              <w:rPr>
                <w:sz w:val="20"/>
                <w:szCs w:val="20"/>
                <w:color w:val="auto"/>
              </w:rPr>
            </w:pPr>
            <w:r>
              <w:rPr>
                <w:rFonts w:ascii="Arial" w:cs="Arial" w:eastAsia="Arial" w:hAnsi="Arial"/>
                <w:sz w:val="14"/>
                <w:szCs w:val="14"/>
                <w:color w:val="auto"/>
              </w:rPr>
              <w:t>Six Months Ended</w:t>
            </w:r>
          </w:p>
        </w:tc>
      </w:tr>
      <w:tr>
        <w:trPr>
          <w:trHeight w:val="172"/>
        </w:trPr>
        <w:tc>
          <w:tcPr>
            <w:tcW w:w="92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w w:val="80"/>
              </w:rPr>
              <w:t>June 30</w:t>
            </w:r>
          </w:p>
        </w:tc>
      </w:tr>
      <w:tr>
        <w:trPr>
          <w:trHeight w:val="143"/>
        </w:trPr>
        <w:tc>
          <w:tcPr>
            <w:tcW w:w="92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jc w:val="right"/>
              <w:ind w:right="114"/>
              <w:spacing w:after="0" w:line="143" w:lineRule="exact"/>
              <w:rPr>
                <w:sz w:val="20"/>
                <w:szCs w:val="20"/>
                <w:color w:val="auto"/>
              </w:rPr>
            </w:pPr>
            <w:r>
              <w:rPr>
                <w:rFonts w:ascii="Arial" w:cs="Arial" w:eastAsia="Arial" w:hAnsi="Arial"/>
                <w:sz w:val="14"/>
                <w:szCs w:val="14"/>
                <w:color w:val="auto"/>
              </w:rPr>
              <w:t>2012</w:t>
            </w:r>
          </w:p>
        </w:tc>
        <w:tc>
          <w:tcPr>
            <w:tcW w:w="1140" w:type="dxa"/>
            <w:vAlign w:val="bottom"/>
            <w:tcBorders>
              <w:bottom w:val="single" w:sz="8" w:color="auto"/>
            </w:tcBorders>
          </w:tcPr>
          <w:p>
            <w:pPr>
              <w:jc w:val="right"/>
              <w:ind w:right="174"/>
              <w:spacing w:after="0" w:line="143" w:lineRule="exact"/>
              <w:rPr>
                <w:sz w:val="20"/>
                <w:szCs w:val="20"/>
                <w:color w:val="auto"/>
              </w:rPr>
            </w:pPr>
            <w:r>
              <w:rPr>
                <w:rFonts w:ascii="Arial" w:cs="Arial" w:eastAsia="Arial" w:hAnsi="Arial"/>
                <w:sz w:val="14"/>
                <w:szCs w:val="14"/>
                <w:color w:val="auto"/>
              </w:rPr>
              <w:t>2011</w:t>
            </w:r>
          </w:p>
        </w:tc>
      </w:tr>
      <w:tr>
        <w:trPr>
          <w:trHeight w:val="210"/>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$ 7,815</w:t>
            </w:r>
          </w:p>
        </w:tc>
        <w:tc>
          <w:tcPr>
            <w:tcW w:w="11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$ 6,956</w:t>
            </w:r>
          </w:p>
        </w:tc>
      </w:tr>
      <w:tr>
        <w:trPr>
          <w:trHeight w:val="210"/>
        </w:trPr>
        <w:tc>
          <w:tcPr>
            <w:tcW w:w="92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Capital expenditures</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(2,461)</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(2,377)</w:t>
            </w: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1040" w:type="dxa"/>
            <w:vAlign w:val="bottom"/>
          </w:tcPr>
          <w:p>
            <w:pPr>
              <w:jc w:val="right"/>
              <w:spacing w:after="0"/>
              <w:rPr>
                <w:sz w:val="20"/>
                <w:szCs w:val="20"/>
                <w:color w:val="auto"/>
              </w:rPr>
            </w:pPr>
            <w:r>
              <w:rPr>
                <w:rFonts w:ascii="Arial" w:cs="Arial" w:eastAsia="Arial" w:hAnsi="Arial"/>
                <w:sz w:val="18"/>
                <w:szCs w:val="18"/>
                <w:color w:val="auto"/>
              </w:rPr>
              <w:t>(414)</w:t>
            </w: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Acquisitions, net of cash acquired</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(5,660)</w:t>
            </w: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Proceeds from sales of businesses and investments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116</w:t>
            </w: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Purchases of investments</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(108)</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(2,829)</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(8,286)</w:t>
            </w:r>
          </w:p>
        </w:tc>
      </w:tr>
      <w:tr>
        <w:trPr>
          <w:trHeight w:val="210"/>
        </w:trPr>
        <w:tc>
          <w:tcPr>
            <w:tcW w:w="9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(repayments of) short-term borrowings, net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(554)</w:t>
            </w:r>
          </w:p>
        </w:tc>
        <w:tc>
          <w:tcPr>
            <w:tcW w:w="11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741</w:t>
            </w: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Repurchases and repayments of debt</w:t>
            </w:r>
          </w:p>
        </w:tc>
        <w:tc>
          <w:tcPr>
            <w:tcW w:w="1040" w:type="dxa"/>
            <w:vAlign w:val="bottom"/>
          </w:tcPr>
          <w:p>
            <w:pPr>
              <w:jc w:val="right"/>
              <w:spacing w:after="0"/>
              <w:rPr>
                <w:sz w:val="20"/>
                <w:szCs w:val="20"/>
                <w:color w:val="auto"/>
              </w:rPr>
            </w:pPr>
            <w:r>
              <w:rPr>
                <w:rFonts w:ascii="Arial" w:cs="Arial" w:eastAsia="Arial" w:hAnsi="Arial"/>
                <w:sz w:val="18"/>
                <w:szCs w:val="18"/>
                <w:color w:val="auto"/>
              </w:rPr>
              <w:t>(1,692)</w:t>
            </w:r>
          </w:p>
        </w:tc>
        <w:tc>
          <w:tcPr>
            <w:tcW w:w="1140" w:type="dxa"/>
            <w:vAlign w:val="bottom"/>
          </w:tcPr>
          <w:p>
            <w:pPr>
              <w:jc w:val="right"/>
              <w:spacing w:after="0"/>
              <w:rPr>
                <w:sz w:val="20"/>
                <w:szCs w:val="20"/>
                <w:color w:val="auto"/>
              </w:rPr>
            </w:pPr>
            <w:r>
              <w:rPr>
                <w:rFonts w:ascii="Arial" w:cs="Arial" w:eastAsia="Arial" w:hAnsi="Arial"/>
                <w:sz w:val="18"/>
                <w:szCs w:val="18"/>
                <w:color w:val="auto"/>
              </w:rPr>
              <w:t>(1,764)</w:t>
            </w: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Repurchases and retirements of common stock</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(1,500)</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(1,050)</w:t>
            </w: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1040" w:type="dxa"/>
            <w:vAlign w:val="bottom"/>
          </w:tcPr>
          <w:p>
            <w:pPr>
              <w:jc w:val="right"/>
              <w:spacing w:after="0"/>
              <w:rPr>
                <w:sz w:val="20"/>
                <w:szCs w:val="20"/>
                <w:color w:val="auto"/>
              </w:rPr>
            </w:pPr>
            <w:r>
              <w:rPr>
                <w:rFonts w:ascii="Arial" w:cs="Arial" w:eastAsia="Arial" w:hAnsi="Arial"/>
                <w:sz w:val="18"/>
                <w:szCs w:val="18"/>
                <w:color w:val="auto"/>
              </w:rPr>
              <w:t>(741)</w:t>
            </w:r>
          </w:p>
        </w:tc>
        <w:tc>
          <w:tcPr>
            <w:tcW w:w="114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Issuances of common stock</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184</w:t>
            </w:r>
          </w:p>
        </w:tc>
        <w:tc>
          <w:tcPr>
            <w:tcW w:w="11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206</w:t>
            </w: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1040" w:type="dxa"/>
            <w:vAlign w:val="bottom"/>
          </w:tcPr>
          <w:p>
            <w:pPr>
              <w:jc w:val="right"/>
              <w:spacing w:after="0"/>
              <w:rPr>
                <w:sz w:val="20"/>
                <w:szCs w:val="20"/>
                <w:color w:val="auto"/>
              </w:rPr>
            </w:pPr>
            <w:r>
              <w:rPr>
                <w:rFonts w:ascii="Arial" w:cs="Arial" w:eastAsia="Arial" w:hAnsi="Arial"/>
                <w:sz w:val="18"/>
                <w:szCs w:val="18"/>
                <w:color w:val="auto"/>
              </w:rPr>
              <w:t>(233)</w:t>
            </w:r>
          </w:p>
        </w:tc>
        <w:tc>
          <w:tcPr>
            <w:tcW w:w="11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92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(2,657)</w:t>
            </w:r>
          </w:p>
        </w:tc>
      </w:tr>
      <w:tr>
        <w:trPr>
          <w:trHeight w:val="210"/>
        </w:trPr>
        <w:tc>
          <w:tcPr>
            <w:tcW w:w="924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481</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(3,987)</w:t>
            </w:r>
          </w:p>
        </w:tc>
      </w:tr>
      <w:tr>
        <w:trPr>
          <w:trHeight w:val="216"/>
        </w:trPr>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5,984</w:t>
            </w:r>
          </w:p>
        </w:tc>
      </w:tr>
      <w:tr>
        <w:trPr>
          <w:trHeight w:val="217"/>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$ 2,101</w:t>
            </w:r>
          </w:p>
        </w:tc>
        <w:tc>
          <w:tcPr>
            <w:tcW w:w="11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$ 1,997</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color w:val="auto"/>
              </w:rPr>
              <w:t>Redeemable</w:t>
            </w:r>
          </w:p>
        </w:tc>
        <w:tc>
          <w:tcPr>
            <w:tcW w:w="460" w:type="dxa"/>
            <w:vAlign w:val="bottom"/>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w w:val="91"/>
              </w:rPr>
              <w:t>Common Stock</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88"/>
              </w:rPr>
              <w:t>Accumulated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jc w:val="center"/>
              <w:ind w:right="395"/>
              <w:spacing w:after="0" w:line="129" w:lineRule="exact"/>
              <w:rPr>
                <w:sz w:val="20"/>
                <w:szCs w:val="20"/>
                <w:color w:val="auto"/>
              </w:rPr>
            </w:pPr>
            <w:r>
              <w:rPr>
                <w:rFonts w:ascii="Arial" w:cs="Arial" w:eastAsia="Arial" w:hAnsi="Arial"/>
                <w:sz w:val="14"/>
                <w:szCs w:val="14"/>
                <w:color w:val="auto"/>
                <w:w w:val="92"/>
              </w:rPr>
              <w:t>Non-</w:t>
            </w: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00" w:type="dxa"/>
            <w:vAlign w:val="bottom"/>
          </w:tcPr>
          <w:p>
            <w:pPr>
              <w:jc w:val="right"/>
              <w:ind w:right="76"/>
              <w:spacing w:after="0" w:line="129" w:lineRule="exact"/>
              <w:rPr>
                <w:sz w:val="20"/>
                <w:szCs w:val="20"/>
                <w:color w:val="auto"/>
              </w:rPr>
            </w:pPr>
            <w:r>
              <w:rPr>
                <w:rFonts w:ascii="Arial" w:cs="Arial" w:eastAsia="Arial" w:hAnsi="Arial"/>
                <w:sz w:val="14"/>
                <w:szCs w:val="14"/>
                <w:color w:val="auto"/>
              </w:rPr>
              <w:t>Additional</w:t>
            </w:r>
          </w:p>
        </w:tc>
        <w:tc>
          <w:tcPr>
            <w:tcW w:w="86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color w:val="auto"/>
                <w:w w:val="86"/>
              </w:rPr>
              <w:t>Treasury</w:t>
            </w:r>
          </w:p>
        </w:tc>
        <w:tc>
          <w:tcPr>
            <w:tcW w:w="280" w:type="dxa"/>
            <w:vAlign w:val="bottom"/>
          </w:tcPr>
          <w:p>
            <w:pPr>
              <w:spacing w:after="0"/>
              <w:rPr>
                <w:sz w:val="11"/>
                <w:szCs w:val="11"/>
                <w:color w:val="auto"/>
              </w:rPr>
            </w:pPr>
          </w:p>
        </w:tc>
        <w:tc>
          <w:tcPr>
            <w:tcW w:w="840" w:type="dxa"/>
            <w:vAlign w:val="bottom"/>
          </w:tcPr>
          <w:p>
            <w:pPr>
              <w:jc w:val="center"/>
              <w:ind w:right="255"/>
              <w:spacing w:after="0" w:line="129" w:lineRule="exact"/>
              <w:rPr>
                <w:sz w:val="20"/>
                <w:szCs w:val="20"/>
                <w:color w:val="auto"/>
              </w:rPr>
            </w:pPr>
            <w:r>
              <w:rPr>
                <w:rFonts w:ascii="Arial" w:cs="Arial" w:eastAsia="Arial" w:hAnsi="Arial"/>
                <w:sz w:val="14"/>
                <w:szCs w:val="14"/>
                <w:color w:val="auto"/>
                <w:w w:val="85"/>
              </w:rPr>
              <w:t>Other</w:t>
            </w:r>
          </w:p>
        </w:tc>
        <w:tc>
          <w:tcPr>
            <w:tcW w:w="220" w:type="dxa"/>
            <w:vAlign w:val="bottom"/>
          </w:tcPr>
          <w:p>
            <w:pPr>
              <w:spacing w:after="0"/>
              <w:rPr>
                <w:sz w:val="11"/>
                <w:szCs w:val="11"/>
                <w:color w:val="auto"/>
              </w:rPr>
            </w:pPr>
          </w:p>
        </w:tc>
        <w:tc>
          <w:tcPr>
            <w:tcW w:w="640" w:type="dxa"/>
            <w:vAlign w:val="bottom"/>
          </w:tcPr>
          <w:p>
            <w:pPr>
              <w:jc w:val="right"/>
              <w:ind w:right="234"/>
              <w:spacing w:after="0" w:line="129" w:lineRule="exact"/>
              <w:rPr>
                <w:sz w:val="20"/>
                <w:szCs w:val="20"/>
                <w:color w:val="auto"/>
              </w:rPr>
            </w:pPr>
            <w:r>
              <w:rPr>
                <w:rFonts w:ascii="Arial" w:cs="Arial" w:eastAsia="Arial" w:hAnsi="Arial"/>
                <w:sz w:val="14"/>
                <w:szCs w:val="14"/>
                <w:color w:val="auto"/>
                <w:w w:val="98"/>
              </w:rPr>
              <w:t>Non-</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95"/>
              <w:spacing w:after="0" w:line="149" w:lineRule="exact"/>
              <w:rPr>
                <w:sz w:val="20"/>
                <w:szCs w:val="20"/>
                <w:color w:val="auto"/>
              </w:rPr>
            </w:pPr>
            <w:r>
              <w:rPr>
                <w:rFonts w:ascii="Arial" w:cs="Arial" w:eastAsia="Arial" w:hAnsi="Arial"/>
                <w:sz w:val="14"/>
                <w:szCs w:val="14"/>
                <w:color w:val="auto"/>
                <w:w w:val="90"/>
              </w:rPr>
              <w:t>controlling</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ind w:right="176"/>
              <w:spacing w:after="0" w:line="149" w:lineRule="exact"/>
              <w:rPr>
                <w:sz w:val="20"/>
                <w:szCs w:val="20"/>
                <w:color w:val="auto"/>
              </w:rPr>
            </w:pPr>
            <w:r>
              <w:rPr>
                <w:rFonts w:ascii="Arial" w:cs="Arial" w:eastAsia="Arial" w:hAnsi="Arial"/>
                <w:sz w:val="14"/>
                <w:szCs w:val="14"/>
                <w:color w:val="auto"/>
              </w:rPr>
              <w:t>Paid-In</w:t>
            </w:r>
          </w:p>
        </w:tc>
        <w:tc>
          <w:tcPr>
            <w:tcW w:w="860" w:type="dxa"/>
            <w:vAlign w:val="bottom"/>
          </w:tcPr>
          <w:p>
            <w:pPr>
              <w:jc w:val="right"/>
              <w:ind w:right="135"/>
              <w:spacing w:after="0" w:line="149" w:lineRule="exact"/>
              <w:rPr>
                <w:sz w:val="20"/>
                <w:szCs w:val="20"/>
                <w:color w:val="auto"/>
              </w:rPr>
            </w:pPr>
            <w:r>
              <w:rPr>
                <w:rFonts w:ascii="Arial" w:cs="Arial" w:eastAsia="Arial" w:hAnsi="Arial"/>
                <w:sz w:val="14"/>
                <w:szCs w:val="14"/>
                <w:color w:val="auto"/>
              </w:rPr>
              <w:t>Retained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6"/>
              </w:rPr>
              <w:t>Stock at</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Comprehensive</w:t>
            </w:r>
          </w:p>
        </w:tc>
        <w:tc>
          <w:tcPr>
            <w:tcW w:w="8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controlling</w:t>
            </w:r>
          </w:p>
        </w:tc>
        <w:tc>
          <w:tcPr>
            <w:tcW w:w="800" w:type="dxa"/>
            <w:vAlign w:val="bottom"/>
          </w:tcPr>
          <w:p>
            <w:pPr>
              <w:jc w:val="right"/>
              <w:ind w:right="174"/>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3"/>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ind w:right="415"/>
              <w:spacing w:after="0"/>
              <w:rPr>
                <w:sz w:val="20"/>
                <w:szCs w:val="20"/>
                <w:color w:val="auto"/>
              </w:rPr>
            </w:pPr>
            <w:r>
              <w:rPr>
                <w:rFonts w:ascii="Arial" w:cs="Arial" w:eastAsia="Arial" w:hAnsi="Arial"/>
                <w:sz w:val="14"/>
                <w:szCs w:val="14"/>
                <w:color w:val="auto"/>
                <w:w w:val="85"/>
              </w:rPr>
              <w:t>Interests</w:t>
            </w: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A</w:t>
            </w: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A Special</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w:t>
            </w: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Capital</w:t>
            </w: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Earnings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Cost</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7"/>
              </w:rPr>
              <w:t>Income (Loss)</w:t>
            </w:r>
          </w:p>
        </w:tc>
        <w:tc>
          <w:tcPr>
            <w:tcW w:w="86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4"/>
                <w:szCs w:val="14"/>
                <w:color w:val="auto"/>
              </w:rPr>
              <w:t>Interests</w:t>
            </w: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0"/>
        </w:trPr>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2011</w:t>
            </w:r>
          </w:p>
        </w:tc>
        <w:tc>
          <w:tcPr>
            <w:tcW w:w="320" w:type="dxa"/>
            <w:vAlign w:val="bottom"/>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143</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6"/>
              </w:rPr>
              <w:t>$ —</w:t>
            </w:r>
          </w:p>
        </w:tc>
        <w:tc>
          <w:tcPr>
            <w:tcW w:w="90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$39,780</w:t>
            </w:r>
          </w:p>
        </w:tc>
        <w:tc>
          <w:tcPr>
            <w:tcW w:w="86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$12,158</w:t>
            </w:r>
          </w:p>
        </w:tc>
        <w:tc>
          <w:tcPr>
            <w:tcW w:w="820" w:type="dxa"/>
            <w:vAlign w:val="bottom"/>
            <w:shd w:val="clear" w:color="auto" w:fill="E5E5E5"/>
          </w:tcPr>
          <w:p>
            <w:pPr>
              <w:jc w:val="right"/>
              <w:ind w:right="21"/>
              <w:spacing w:after="0"/>
              <w:rPr>
                <w:sz w:val="20"/>
                <w:szCs w:val="20"/>
                <w:color w:val="auto"/>
              </w:rPr>
            </w:pPr>
            <w:r>
              <w:rPr>
                <w:rFonts w:ascii="Arial" w:cs="Arial" w:eastAsia="Arial" w:hAnsi="Arial"/>
                <w:sz w:val="18"/>
                <w:szCs w:val="18"/>
                <w:color w:val="auto"/>
              </w:rPr>
              <w:t>$(7,517)</w:t>
            </w:r>
          </w:p>
        </w:tc>
        <w:tc>
          <w:tcPr>
            <w:tcW w:w="28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(99)</w:t>
            </w:r>
          </w:p>
        </w:tc>
        <w:tc>
          <w:tcPr>
            <w:tcW w:w="220" w:type="dxa"/>
            <w:vAlign w:val="bottom"/>
            <w:shd w:val="clear" w:color="auto" w:fill="E5E5E5"/>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80</w:t>
            </w:r>
          </w:p>
        </w:tc>
        <w:tc>
          <w:tcPr>
            <w:tcW w:w="8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$44,434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3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310</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(35)</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8"/>
        </w:trPr>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w w:val="93"/>
              </w:rPr>
              <w:t>Repurchase and retirement of common</w:t>
            </w:r>
          </w:p>
        </w:tc>
        <w:tc>
          <w:tcPr>
            <w:tcW w:w="320" w:type="dxa"/>
            <w:vAlign w:val="bottom"/>
            <w:shd w:val="clear" w:color="auto" w:fill="E5E5E5"/>
          </w:tcPr>
          <w:p>
            <w:pPr>
              <w:spacing w:after="0"/>
              <w:rPr>
                <w:sz w:val="18"/>
                <w:szCs w:val="18"/>
                <w:color w:val="auto"/>
              </w:rPr>
            </w:pPr>
          </w:p>
        </w:tc>
        <w:tc>
          <w:tcPr>
            <w:tcW w:w="96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stock</w:t>
            </w:r>
          </w:p>
        </w:tc>
        <w:tc>
          <w:tcPr>
            <w:tcW w:w="320" w:type="dxa"/>
            <w:vAlign w:val="bottom"/>
            <w:shd w:val="clear" w:color="auto" w:fill="E5E5E5"/>
          </w:tcPr>
          <w:p>
            <w:pPr>
              <w:spacing w:after="0"/>
              <w:rPr>
                <w:sz w:val="19"/>
                <w:szCs w:val="19"/>
                <w:color w:val="auto"/>
              </w:rPr>
            </w:pPr>
          </w:p>
        </w:tc>
        <w:tc>
          <w:tcPr>
            <w:tcW w:w="960" w:type="dxa"/>
            <w:vAlign w:val="bottom"/>
            <w:tcBorders>
              <w:right w:val="single" w:sz="8" w:color="auto"/>
            </w:tcBorders>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w:t>
            </w:r>
          </w:p>
        </w:tc>
        <w:tc>
          <w:tcPr>
            <w:tcW w:w="44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(514)</w:t>
            </w:r>
          </w:p>
        </w:tc>
        <w:tc>
          <w:tcPr>
            <w:tcW w:w="8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(535)</w:t>
            </w:r>
          </w:p>
        </w:tc>
        <w:tc>
          <w:tcPr>
            <w:tcW w:w="8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3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33</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320" w:type="dxa"/>
            <w:vAlign w:val="bottom"/>
            <w:shd w:val="clear" w:color="auto" w:fill="E5E5E5"/>
          </w:tcPr>
          <w:p>
            <w:pPr>
              <w:spacing w:after="0"/>
              <w:rPr>
                <w:sz w:val="18"/>
                <w:szCs w:val="18"/>
                <w:color w:val="auto"/>
              </w:rPr>
            </w:pPr>
          </w:p>
        </w:tc>
        <w:tc>
          <w:tcPr>
            <w:tcW w:w="96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(621)</w:t>
            </w: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rPr>
              <w:t>NBCUniversal transaction</w:t>
            </w:r>
          </w:p>
        </w:tc>
        <w:tc>
          <w:tcPr>
            <w:tcW w:w="320" w:type="dxa"/>
            <w:vAlign w:val="bottom"/>
            <w:shd w:val="clear" w:color="auto" w:fill="E5E5E5"/>
          </w:tcPr>
          <w:p>
            <w:pPr>
              <w:spacing w:after="0"/>
              <w:rPr>
                <w:sz w:val="18"/>
                <w:szCs w:val="18"/>
                <w:color w:val="auto"/>
              </w:rPr>
            </w:pPr>
          </w:p>
        </w:tc>
        <w:tc>
          <w:tcPr>
            <w:tcW w:w="960" w:type="dxa"/>
            <w:vAlign w:val="bottom"/>
            <w:tcBorders>
              <w:right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15,166</w:t>
            </w:r>
          </w:p>
        </w:tc>
        <w:tc>
          <w:tcPr>
            <w:tcW w:w="4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1,692</w:t>
            </w:r>
          </w:p>
        </w:tc>
        <w:tc>
          <w:tcPr>
            <w:tcW w:w="8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188</w:t>
            </w:r>
          </w:p>
        </w:tc>
        <w:tc>
          <w:tcPr>
            <w:tcW w:w="8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08"/>
        </w:trPr>
        <w:tc>
          <w:tcPr>
            <w:tcW w:w="2940" w:type="dxa"/>
            <w:vAlign w:val="bottom"/>
          </w:tcPr>
          <w:p>
            <w:pPr>
              <w:spacing w:after="0"/>
              <w:rPr>
                <w:sz w:val="20"/>
                <w:szCs w:val="20"/>
                <w:color w:val="auto"/>
              </w:rPr>
            </w:pPr>
            <w:r>
              <w:rPr>
                <w:rFonts w:ascii="Arial" w:cs="Arial" w:eastAsia="Arial" w:hAnsi="Arial"/>
                <w:sz w:val="18"/>
                <w:szCs w:val="18"/>
                <w:color w:val="auto"/>
              </w:rPr>
              <w:t>Contributions from (distributions to)</w:t>
            </w:r>
          </w:p>
        </w:tc>
        <w:tc>
          <w:tcPr>
            <w:tcW w:w="3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220"/>
              <w:spacing w:after="0"/>
              <w:rPr>
                <w:sz w:val="20"/>
                <w:szCs w:val="20"/>
                <w:color w:val="auto"/>
              </w:rPr>
            </w:pPr>
            <w:r>
              <w:rPr>
                <w:rFonts w:ascii="Arial" w:cs="Arial" w:eastAsia="Arial" w:hAnsi="Arial"/>
                <w:sz w:val="18"/>
                <w:szCs w:val="18"/>
                <w:color w:val="auto"/>
              </w:rPr>
              <w:t>noncontrolling interests, net</w:t>
            </w:r>
          </w:p>
        </w:tc>
        <w:tc>
          <w:tcPr>
            <w:tcW w:w="320" w:type="dxa"/>
            <w:vAlign w:val="bottom"/>
          </w:tcPr>
          <w:p>
            <w:pPr>
              <w:spacing w:after="0"/>
              <w:rPr>
                <w:sz w:val="19"/>
                <w:szCs w:val="19"/>
                <w:color w:val="auto"/>
              </w:rPr>
            </w:pPr>
          </w:p>
        </w:tc>
        <w:tc>
          <w:tcPr>
            <w:tcW w:w="960" w:type="dxa"/>
            <w:vAlign w:val="bottom"/>
            <w:tcBorders>
              <w:right w:val="single" w:sz="8" w:color="auto"/>
            </w:tcBorders>
          </w:tcPr>
          <w:p>
            <w:pPr>
              <w:jc w:val="right"/>
              <w:ind w:right="255"/>
              <w:spacing w:after="0"/>
              <w:rPr>
                <w:sz w:val="20"/>
                <w:szCs w:val="20"/>
                <w:color w:val="auto"/>
              </w:rPr>
            </w:pPr>
            <w:r>
              <w:rPr>
                <w:rFonts w:ascii="Arial" w:cs="Arial" w:eastAsia="Arial" w:hAnsi="Arial"/>
                <w:sz w:val="18"/>
                <w:szCs w:val="18"/>
                <w:color w:val="auto"/>
              </w:rPr>
              <w:t>(162)</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(85)</w:t>
            </w: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8"/>
        </w:trPr>
        <w:tc>
          <w:tcPr>
            <w:tcW w:w="2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right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362</w:t>
            </w:r>
          </w:p>
        </w:tc>
        <w:tc>
          <w:tcPr>
            <w:tcW w:w="4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1,965</w:t>
            </w:r>
          </w:p>
        </w:tc>
        <w:tc>
          <w:tcPr>
            <w:tcW w:w="82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79</w:t>
            </w:r>
          </w:p>
        </w:tc>
        <w:tc>
          <w:tcPr>
            <w:tcW w:w="8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7"/>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2011</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right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15,509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7</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 —</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$41,301</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$12,932</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$(7,517)</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(105)</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262</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$46,905</w:t>
            </w:r>
          </w:p>
        </w:tc>
        <w:tc>
          <w:tcPr>
            <w:tcW w:w="0" w:type="dxa"/>
            <w:vAlign w:val="bottom"/>
          </w:tcPr>
          <w:p>
            <w:pPr>
              <w:spacing w:after="0"/>
              <w:rPr>
                <w:sz w:val="1"/>
                <w:szCs w:val="1"/>
                <w:color w:val="auto"/>
              </w:rPr>
            </w:pPr>
          </w:p>
        </w:tc>
      </w:tr>
      <w:tr>
        <w:trPr>
          <w:trHeight w:val="216"/>
        </w:trPr>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2012</w:t>
            </w:r>
          </w:p>
        </w:tc>
        <w:tc>
          <w:tcPr>
            <w:tcW w:w="320" w:type="dxa"/>
            <w:vAlign w:val="bottom"/>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16,014</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6"/>
              </w:rPr>
              <w:t>$ —</w:t>
            </w:r>
          </w:p>
        </w:tc>
        <w:tc>
          <w:tcPr>
            <w:tcW w:w="90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$40,940</w:t>
            </w:r>
          </w:p>
        </w:tc>
        <w:tc>
          <w:tcPr>
            <w:tcW w:w="86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$13,971</w:t>
            </w:r>
          </w:p>
        </w:tc>
        <w:tc>
          <w:tcPr>
            <w:tcW w:w="820" w:type="dxa"/>
            <w:vAlign w:val="bottom"/>
            <w:shd w:val="clear" w:color="auto" w:fill="E5E5E5"/>
          </w:tcPr>
          <w:p>
            <w:pPr>
              <w:jc w:val="right"/>
              <w:ind w:right="21"/>
              <w:spacing w:after="0"/>
              <w:rPr>
                <w:sz w:val="20"/>
                <w:szCs w:val="20"/>
                <w:color w:val="auto"/>
              </w:rPr>
            </w:pPr>
            <w:r>
              <w:rPr>
                <w:rFonts w:ascii="Arial" w:cs="Arial" w:eastAsia="Arial" w:hAnsi="Arial"/>
                <w:sz w:val="18"/>
                <w:szCs w:val="18"/>
                <w:color w:val="auto"/>
              </w:rPr>
              <w:t>$(7,517)</w:t>
            </w:r>
          </w:p>
        </w:tc>
        <w:tc>
          <w:tcPr>
            <w:tcW w:w="28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E5E5E5"/>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381</w:t>
            </w:r>
          </w:p>
        </w:tc>
        <w:tc>
          <w:tcPr>
            <w:tcW w:w="8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3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361</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(127)</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8"/>
        </w:trPr>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w w:val="93"/>
              </w:rPr>
              <w:t>Repurchase and retirement of common</w:t>
            </w:r>
          </w:p>
        </w:tc>
        <w:tc>
          <w:tcPr>
            <w:tcW w:w="320" w:type="dxa"/>
            <w:vAlign w:val="bottom"/>
            <w:shd w:val="clear" w:color="auto" w:fill="E5E5E5"/>
          </w:tcPr>
          <w:p>
            <w:pPr>
              <w:spacing w:after="0"/>
              <w:rPr>
                <w:sz w:val="18"/>
                <w:szCs w:val="18"/>
                <w:color w:val="auto"/>
              </w:rPr>
            </w:pPr>
          </w:p>
        </w:tc>
        <w:tc>
          <w:tcPr>
            <w:tcW w:w="96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stock</w:t>
            </w:r>
          </w:p>
        </w:tc>
        <w:tc>
          <w:tcPr>
            <w:tcW w:w="320" w:type="dxa"/>
            <w:vAlign w:val="bottom"/>
            <w:shd w:val="clear" w:color="auto" w:fill="E5E5E5"/>
          </w:tcPr>
          <w:p>
            <w:pPr>
              <w:spacing w:after="0"/>
              <w:rPr>
                <w:sz w:val="19"/>
                <w:szCs w:val="19"/>
                <w:color w:val="auto"/>
              </w:rPr>
            </w:pPr>
          </w:p>
        </w:tc>
        <w:tc>
          <w:tcPr>
            <w:tcW w:w="960" w:type="dxa"/>
            <w:vAlign w:val="bottom"/>
            <w:tcBorders>
              <w:right w:val="single" w:sz="8" w:color="auto"/>
            </w:tcBorders>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w:t>
            </w:r>
          </w:p>
        </w:tc>
        <w:tc>
          <w:tcPr>
            <w:tcW w:w="44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(583)</w:t>
            </w:r>
          </w:p>
        </w:tc>
        <w:tc>
          <w:tcPr>
            <w:tcW w:w="8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(916)</w:t>
            </w:r>
          </w:p>
        </w:tc>
        <w:tc>
          <w:tcPr>
            <w:tcW w:w="8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3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41</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320" w:type="dxa"/>
            <w:vAlign w:val="bottom"/>
            <w:shd w:val="clear" w:color="auto" w:fill="E5E5E5"/>
          </w:tcPr>
          <w:p>
            <w:pPr>
              <w:spacing w:after="0"/>
              <w:rPr>
                <w:sz w:val="18"/>
                <w:szCs w:val="18"/>
                <w:color w:val="auto"/>
              </w:rPr>
            </w:pPr>
          </w:p>
        </w:tc>
        <w:tc>
          <w:tcPr>
            <w:tcW w:w="96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(874)</w:t>
            </w: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8"/>
                <w:szCs w:val="18"/>
                <w:color w:val="auto"/>
              </w:rPr>
            </w:pPr>
          </w:p>
        </w:tc>
        <w:tc>
          <w:tcPr>
            <w:tcW w:w="960" w:type="dxa"/>
            <w:vAlign w:val="bottom"/>
            <w:tcBorders>
              <w:right w:val="single" w:sz="8" w:color="auto"/>
            </w:tcBorders>
          </w:tcPr>
          <w:p>
            <w:pPr>
              <w:jc w:val="right"/>
              <w:ind w:right="255"/>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8"/>
        </w:trPr>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rPr>
              <w:t>Contributions from (distributions to)</w:t>
            </w:r>
          </w:p>
        </w:tc>
        <w:tc>
          <w:tcPr>
            <w:tcW w:w="320" w:type="dxa"/>
            <w:vAlign w:val="bottom"/>
            <w:shd w:val="clear" w:color="auto" w:fill="E5E5E5"/>
          </w:tcPr>
          <w:p>
            <w:pPr>
              <w:spacing w:after="0"/>
              <w:rPr>
                <w:sz w:val="18"/>
                <w:szCs w:val="18"/>
                <w:color w:val="auto"/>
              </w:rPr>
            </w:pPr>
          </w:p>
        </w:tc>
        <w:tc>
          <w:tcPr>
            <w:tcW w:w="96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noncontrolling interests, net</w:t>
            </w:r>
          </w:p>
        </w:tc>
        <w:tc>
          <w:tcPr>
            <w:tcW w:w="320" w:type="dxa"/>
            <w:vAlign w:val="bottom"/>
            <w:shd w:val="clear" w:color="auto" w:fill="E5E5E5"/>
          </w:tcPr>
          <w:p>
            <w:pPr>
              <w:spacing w:after="0"/>
              <w:rPr>
                <w:sz w:val="19"/>
                <w:szCs w:val="19"/>
                <w:color w:val="auto"/>
              </w:rPr>
            </w:pPr>
          </w:p>
        </w:tc>
        <w:tc>
          <w:tcPr>
            <w:tcW w:w="960" w:type="dxa"/>
            <w:vAlign w:val="bottom"/>
            <w:tcBorders>
              <w:right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(132)</w:t>
            </w:r>
          </w:p>
        </w:tc>
        <w:tc>
          <w:tcPr>
            <w:tcW w:w="46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(85)</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960" w:type="dxa"/>
            <w:vAlign w:val="bottom"/>
            <w:tcBorders>
              <w:right w:val="single" w:sz="8" w:color="auto"/>
            </w:tcBorders>
          </w:tcPr>
          <w:p>
            <w:pPr>
              <w:jc w:val="right"/>
              <w:ind w:right="255"/>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93</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right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449</w:t>
            </w:r>
          </w:p>
        </w:tc>
        <w:tc>
          <w:tcPr>
            <w:tcW w:w="46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2,572</w:t>
            </w:r>
          </w:p>
        </w:tc>
        <w:tc>
          <w:tcPr>
            <w:tcW w:w="82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59</w:t>
            </w:r>
          </w:p>
        </w:tc>
        <w:tc>
          <w:tcPr>
            <w:tcW w:w="8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17"/>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2012</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right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16,279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6</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 —</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$40,761</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$14,626</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$(7,517)</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(170)</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448</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$48,179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2011 Annual Report on Form 10-K.</w:t>
      </w:r>
    </w:p>
    <w:p>
      <w:pPr>
        <w:spacing w:after="0" w:line="4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January 28, 2011, we closed the NBCUniversal transaction in which we acquired control of the businesses of NBC Universal, Inc. (now named NBCUniversal Media, LLC (“NBCUniversal”)), and on July 1, 2011, we closed the Universal Orlando transaction in which we acquired the remaining 50% equity interest in Universal City Development Partners, Ltd. (“Universal Orlando”) that we did not already own. NBCUniversal’s and Universal Orlando’s results of operations have been consolidated with our results following their respective acquisition dates. For a more complete discussion of the NBCUniversal and Universal Orlando transactions, refer to our consolidated financial statements included in our 2011 Annual Report on Form 10-K.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the condensed consolidated financial statements for the prior year to conform to classifications used in the current period.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Earnings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June 30</w:t>
            </w: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1"/>
              <w:spacing w:after="0" w:line="142"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0"/>
              <w:spacing w:after="0" w:line="142"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r>
      <w:tr>
        <w:trPr>
          <w:trHeight w:val="131"/>
        </w:trPr>
        <w:tc>
          <w:tcPr>
            <w:tcW w:w="5040" w:type="dxa"/>
            <w:vAlign w:val="bottom"/>
          </w:tcPr>
          <w:p>
            <w:pPr>
              <w:spacing w:after="0"/>
              <w:rPr>
                <w:sz w:val="11"/>
                <w:szCs w:val="11"/>
                <w:color w:val="auto"/>
              </w:rPr>
            </w:pPr>
          </w:p>
        </w:tc>
        <w:tc>
          <w:tcPr>
            <w:tcW w:w="1420" w:type="dxa"/>
            <w:vAlign w:val="bottom"/>
            <w:gridSpan w:val="2"/>
          </w:tcPr>
          <w:p>
            <w:pPr>
              <w:jc w:val="center"/>
              <w:ind w:left="104"/>
              <w:spacing w:after="0" w:line="131" w:lineRule="exact"/>
              <w:rPr>
                <w:sz w:val="20"/>
                <w:szCs w:val="20"/>
                <w:color w:val="auto"/>
              </w:rPr>
            </w:pPr>
            <w:r>
              <w:rPr>
                <w:rFonts w:ascii="Arial" w:cs="Arial" w:eastAsia="Arial" w:hAnsi="Arial"/>
                <w:sz w:val="14"/>
                <w:szCs w:val="14"/>
                <w:color w:val="auto"/>
                <w:w w:val="89"/>
              </w:rPr>
              <w:t>Net Income</w:t>
            </w: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9"/>
              </w:rPr>
              <w:t>Net Income</w:t>
            </w: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9"/>
        </w:trPr>
        <w:tc>
          <w:tcPr>
            <w:tcW w:w="5040" w:type="dxa"/>
            <w:vAlign w:val="bottom"/>
          </w:tcPr>
          <w:p>
            <w:pPr>
              <w:spacing w:after="0"/>
              <w:rPr>
                <w:sz w:val="12"/>
                <w:szCs w:val="12"/>
                <w:color w:val="auto"/>
              </w:rPr>
            </w:pPr>
          </w:p>
        </w:tc>
        <w:tc>
          <w:tcPr>
            <w:tcW w:w="1420" w:type="dxa"/>
            <w:vAlign w:val="bottom"/>
            <w:gridSpan w:val="2"/>
          </w:tcPr>
          <w:p>
            <w:pPr>
              <w:jc w:val="center"/>
              <w:ind w:left="104"/>
              <w:spacing w:after="0" w:line="149" w:lineRule="exact"/>
              <w:rPr>
                <w:sz w:val="20"/>
                <w:szCs w:val="20"/>
                <w:color w:val="auto"/>
              </w:rPr>
            </w:pPr>
            <w:r>
              <w:rPr>
                <w:rFonts w:ascii="Arial" w:cs="Arial" w:eastAsia="Arial" w:hAnsi="Arial"/>
                <w:sz w:val="14"/>
                <w:szCs w:val="14"/>
                <w:color w:val="auto"/>
                <w:w w:val="92"/>
              </w:rPr>
              <w:t>Attributable to</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Attributable to</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ind w:right="258"/>
              <w:spacing w:after="0" w:line="149" w:lineRule="exact"/>
              <w:rPr>
                <w:sz w:val="20"/>
                <w:szCs w:val="20"/>
                <w:color w:val="auto"/>
              </w:rPr>
            </w:pPr>
            <w:r>
              <w:rPr>
                <w:rFonts w:ascii="Arial" w:cs="Arial" w:eastAsia="Arial" w:hAnsi="Arial"/>
                <w:sz w:val="14"/>
                <w:szCs w:val="14"/>
                <w:color w:val="auto"/>
                <w:w w:val="86"/>
              </w:rPr>
              <w:t>Comcast</w:t>
            </w:r>
          </w:p>
        </w:tc>
        <w:tc>
          <w:tcPr>
            <w:tcW w:w="940" w:type="dxa"/>
            <w:vAlign w:val="bottom"/>
          </w:tcPr>
          <w:p>
            <w:pPr>
              <w:spacing w:after="0"/>
              <w:rPr>
                <w:sz w:val="12"/>
                <w:szCs w:val="12"/>
                <w:color w:val="auto"/>
              </w:rPr>
            </w:pPr>
          </w:p>
        </w:tc>
        <w:tc>
          <w:tcPr>
            <w:tcW w:w="10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Per Share</w:t>
            </w:r>
          </w:p>
        </w:tc>
        <w:tc>
          <w:tcPr>
            <w:tcW w:w="360" w:type="dxa"/>
            <w:vAlign w:val="bottom"/>
          </w:tcPr>
          <w:p>
            <w:pPr>
              <w:spacing w:after="0"/>
              <w:rPr>
                <w:sz w:val="12"/>
                <w:szCs w:val="12"/>
                <w:color w:val="auto"/>
              </w:rPr>
            </w:pPr>
          </w:p>
        </w:tc>
        <w:tc>
          <w:tcPr>
            <w:tcW w:w="90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86"/>
              </w:rPr>
              <w:t>Comcast</w:t>
            </w:r>
          </w:p>
        </w:tc>
        <w:tc>
          <w:tcPr>
            <w:tcW w:w="940" w:type="dxa"/>
            <w:vAlign w:val="bottom"/>
          </w:tcPr>
          <w:p>
            <w:pPr>
              <w:spacing w:after="0"/>
              <w:rPr>
                <w:sz w:val="12"/>
                <w:szCs w:val="12"/>
                <w:color w:val="auto"/>
              </w:rPr>
            </w:pPr>
          </w:p>
        </w:tc>
        <w:tc>
          <w:tcPr>
            <w:tcW w:w="8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88"/>
              </w:rPr>
              <w:t>Per Share</w:t>
            </w:r>
          </w:p>
        </w:tc>
      </w:tr>
      <w:tr>
        <w:trPr>
          <w:trHeight w:val="159"/>
        </w:trPr>
        <w:tc>
          <w:tcPr>
            <w:tcW w:w="50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420" w:type="dxa"/>
            <w:vAlign w:val="bottom"/>
            <w:tcBorders>
              <w:bottom w:val="single" w:sz="8" w:color="auto"/>
            </w:tcBorders>
            <w:gridSpan w:val="2"/>
          </w:tcPr>
          <w:p>
            <w:pPr>
              <w:jc w:val="center"/>
              <w:ind w:left="84"/>
              <w:spacing w:after="0" w:line="159" w:lineRule="exact"/>
              <w:rPr>
                <w:sz w:val="20"/>
                <w:szCs w:val="20"/>
                <w:color w:val="auto"/>
              </w:rPr>
            </w:pPr>
            <w:r>
              <w:rPr>
                <w:rFonts w:ascii="Arial" w:cs="Arial" w:eastAsia="Arial" w:hAnsi="Arial"/>
                <w:sz w:val="14"/>
                <w:szCs w:val="14"/>
                <w:color w:val="auto"/>
                <w:w w:val="90"/>
              </w:rPr>
              <w:t>Corporation</w:t>
            </w:r>
          </w:p>
        </w:tc>
        <w:tc>
          <w:tcPr>
            <w:tcW w:w="940" w:type="dxa"/>
            <w:vAlign w:val="bottom"/>
            <w:tcBorders>
              <w:bottom w:val="single" w:sz="8" w:color="auto"/>
            </w:tcBorders>
          </w:tcPr>
          <w:p>
            <w:pPr>
              <w:jc w:val="right"/>
              <w:ind w:right="201"/>
              <w:spacing w:after="0" w:line="159" w:lineRule="exact"/>
              <w:rPr>
                <w:sz w:val="20"/>
                <w:szCs w:val="20"/>
                <w:color w:val="auto"/>
              </w:rPr>
            </w:pPr>
            <w:r>
              <w:rPr>
                <w:rFonts w:ascii="Arial" w:cs="Arial" w:eastAsia="Arial" w:hAnsi="Arial"/>
                <w:sz w:val="14"/>
                <w:szCs w:val="14"/>
                <w:color w:val="auto"/>
              </w:rPr>
              <w:t>Shares</w:t>
            </w:r>
          </w:p>
        </w:tc>
        <w:tc>
          <w:tcPr>
            <w:tcW w:w="100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Amount</w:t>
            </w:r>
          </w:p>
        </w:tc>
        <w:tc>
          <w:tcPr>
            <w:tcW w:w="126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7"/>
              </w:rPr>
              <w:t>Corporation</w:t>
            </w:r>
          </w:p>
        </w:tc>
        <w:tc>
          <w:tcPr>
            <w:tcW w:w="940" w:type="dxa"/>
            <w:vAlign w:val="bottom"/>
            <w:tcBorders>
              <w:bottom w:val="single" w:sz="8" w:color="auto"/>
            </w:tcBorders>
          </w:tcPr>
          <w:p>
            <w:pPr>
              <w:jc w:val="right"/>
              <w:ind w:right="20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0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1,348</w:t>
            </w:r>
          </w:p>
        </w:tc>
        <w:tc>
          <w:tcPr>
            <w:tcW w:w="940" w:type="dxa"/>
            <w:vAlign w:val="bottom"/>
            <w:shd w:val="clear" w:color="auto" w:fill="E5E5E5"/>
          </w:tcPr>
          <w:p>
            <w:pPr>
              <w:jc w:val="right"/>
              <w:ind w:right="161"/>
              <w:spacing w:after="0"/>
              <w:rPr>
                <w:sz w:val="20"/>
                <w:szCs w:val="20"/>
                <w:color w:val="auto"/>
              </w:rPr>
            </w:pPr>
            <w:r>
              <w:rPr>
                <w:rFonts w:ascii="Arial" w:cs="Arial" w:eastAsia="Arial" w:hAnsi="Arial"/>
                <w:sz w:val="18"/>
                <w:szCs w:val="18"/>
                <w:color w:val="auto"/>
              </w:rPr>
              <w:t>2,687</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6"/>
              </w:rPr>
              <w:t>0.50</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1,022</w:t>
            </w:r>
          </w:p>
        </w:tc>
        <w:tc>
          <w:tcPr>
            <w:tcW w:w="94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2,759</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6"/>
              </w:rPr>
              <w:t>0.37</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0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1"/>
              </w:rPr>
              <w:t>Assumed exercise or issuance of shares relating to stock plans</w:t>
            </w:r>
          </w:p>
        </w:tc>
        <w:tc>
          <w:tcPr>
            <w:tcW w:w="5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61"/>
              <w:spacing w:after="0"/>
              <w:rPr>
                <w:sz w:val="20"/>
                <w:szCs w:val="20"/>
                <w:color w:val="auto"/>
              </w:rPr>
            </w:pPr>
            <w:r>
              <w:rPr>
                <w:rFonts w:ascii="Arial" w:cs="Arial" w:eastAsia="Arial" w:hAnsi="Arial"/>
                <w:sz w:val="18"/>
                <w:szCs w:val="18"/>
                <w:color w:val="auto"/>
              </w:rPr>
              <w:t>30</w:t>
            </w:r>
          </w:p>
        </w:tc>
        <w:tc>
          <w:tcPr>
            <w:tcW w:w="4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30</w:t>
            </w:r>
          </w:p>
        </w:tc>
        <w:tc>
          <w:tcPr>
            <w:tcW w:w="4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r>
      <w:tr>
        <w:trPr>
          <w:trHeight w:val="2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Diluted EPS attributable to Comcast Corporation shareholders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1,348</w:t>
            </w:r>
          </w:p>
        </w:tc>
        <w:tc>
          <w:tcPr>
            <w:tcW w:w="940" w:type="dxa"/>
            <w:vAlign w:val="bottom"/>
            <w:tcBorders>
              <w:bottom w:val="single" w:sz="8" w:color="auto"/>
            </w:tcBorders>
          </w:tcPr>
          <w:p>
            <w:pPr>
              <w:jc w:val="right"/>
              <w:ind w:right="161"/>
              <w:spacing w:after="0"/>
              <w:rPr>
                <w:sz w:val="20"/>
                <w:szCs w:val="20"/>
                <w:color w:val="auto"/>
              </w:rPr>
            </w:pPr>
            <w:r>
              <w:rPr>
                <w:rFonts w:ascii="Arial" w:cs="Arial" w:eastAsia="Arial" w:hAnsi="Arial"/>
                <w:sz w:val="18"/>
                <w:szCs w:val="18"/>
                <w:b w:val="1"/>
                <w:bCs w:val="1"/>
                <w:color w:val="auto"/>
              </w:rPr>
              <w:t>2,717</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6"/>
              </w:rPr>
              <w:t>0.50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1,022</w:t>
            </w:r>
          </w:p>
        </w:tc>
        <w:tc>
          <w:tcPr>
            <w:tcW w:w="94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b w:val="1"/>
                <w:bCs w:val="1"/>
                <w:color w:val="auto"/>
              </w:rPr>
              <w:t>2,789</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0.37</w:t>
            </w:r>
          </w:p>
        </w:tc>
      </w:tr>
      <w:tr>
        <w:trPr>
          <w:trHeight w:val="284"/>
        </w:trPr>
        <w:tc>
          <w:tcPr>
            <w:tcW w:w="50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color w:val="auto"/>
              </w:rPr>
              <w:t>Six Months Ended June 30</w:t>
            </w: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142"/>
        </w:trPr>
        <w:tc>
          <w:tcPr>
            <w:tcW w:w="50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1"/>
              <w:spacing w:after="0" w:line="142"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0"/>
              <w:spacing w:after="0" w:line="142"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r>
      <w:tr>
        <w:trPr>
          <w:trHeight w:val="131"/>
        </w:trPr>
        <w:tc>
          <w:tcPr>
            <w:tcW w:w="5040" w:type="dxa"/>
            <w:vAlign w:val="bottom"/>
          </w:tcPr>
          <w:p>
            <w:pPr>
              <w:spacing w:after="0"/>
              <w:rPr>
                <w:sz w:val="11"/>
                <w:szCs w:val="11"/>
                <w:color w:val="auto"/>
              </w:rPr>
            </w:pPr>
          </w:p>
        </w:tc>
        <w:tc>
          <w:tcPr>
            <w:tcW w:w="1420" w:type="dxa"/>
            <w:vAlign w:val="bottom"/>
            <w:gridSpan w:val="2"/>
          </w:tcPr>
          <w:p>
            <w:pPr>
              <w:jc w:val="center"/>
              <w:ind w:left="104"/>
              <w:spacing w:after="0" w:line="131" w:lineRule="exact"/>
              <w:rPr>
                <w:sz w:val="20"/>
                <w:szCs w:val="20"/>
                <w:color w:val="auto"/>
              </w:rPr>
            </w:pPr>
            <w:r>
              <w:rPr>
                <w:rFonts w:ascii="Arial" w:cs="Arial" w:eastAsia="Arial" w:hAnsi="Arial"/>
                <w:sz w:val="14"/>
                <w:szCs w:val="14"/>
                <w:color w:val="auto"/>
                <w:w w:val="89"/>
              </w:rPr>
              <w:t>Net Income</w:t>
            </w: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9"/>
              </w:rPr>
              <w:t>Net Income</w:t>
            </w: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9"/>
        </w:trPr>
        <w:tc>
          <w:tcPr>
            <w:tcW w:w="5040" w:type="dxa"/>
            <w:vAlign w:val="bottom"/>
          </w:tcPr>
          <w:p>
            <w:pPr>
              <w:spacing w:after="0"/>
              <w:rPr>
                <w:sz w:val="12"/>
                <w:szCs w:val="12"/>
                <w:color w:val="auto"/>
              </w:rPr>
            </w:pPr>
          </w:p>
        </w:tc>
        <w:tc>
          <w:tcPr>
            <w:tcW w:w="1420" w:type="dxa"/>
            <w:vAlign w:val="bottom"/>
            <w:gridSpan w:val="2"/>
          </w:tcPr>
          <w:p>
            <w:pPr>
              <w:jc w:val="center"/>
              <w:ind w:left="104"/>
              <w:spacing w:after="0" w:line="149" w:lineRule="exact"/>
              <w:rPr>
                <w:sz w:val="20"/>
                <w:szCs w:val="20"/>
                <w:color w:val="auto"/>
              </w:rPr>
            </w:pPr>
            <w:r>
              <w:rPr>
                <w:rFonts w:ascii="Arial" w:cs="Arial" w:eastAsia="Arial" w:hAnsi="Arial"/>
                <w:sz w:val="14"/>
                <w:szCs w:val="14"/>
                <w:color w:val="auto"/>
                <w:w w:val="92"/>
              </w:rPr>
              <w:t>Attributable to</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Attributable to</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ind w:right="258"/>
              <w:spacing w:after="0" w:line="149" w:lineRule="exact"/>
              <w:rPr>
                <w:sz w:val="20"/>
                <w:szCs w:val="20"/>
                <w:color w:val="auto"/>
              </w:rPr>
            </w:pPr>
            <w:r>
              <w:rPr>
                <w:rFonts w:ascii="Arial" w:cs="Arial" w:eastAsia="Arial" w:hAnsi="Arial"/>
                <w:sz w:val="14"/>
                <w:szCs w:val="14"/>
                <w:color w:val="auto"/>
                <w:w w:val="86"/>
              </w:rPr>
              <w:t>Comcast</w:t>
            </w:r>
          </w:p>
        </w:tc>
        <w:tc>
          <w:tcPr>
            <w:tcW w:w="940" w:type="dxa"/>
            <w:vAlign w:val="bottom"/>
          </w:tcPr>
          <w:p>
            <w:pPr>
              <w:spacing w:after="0"/>
              <w:rPr>
                <w:sz w:val="12"/>
                <w:szCs w:val="12"/>
                <w:color w:val="auto"/>
              </w:rPr>
            </w:pPr>
          </w:p>
        </w:tc>
        <w:tc>
          <w:tcPr>
            <w:tcW w:w="10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Per Share</w:t>
            </w:r>
          </w:p>
        </w:tc>
        <w:tc>
          <w:tcPr>
            <w:tcW w:w="360" w:type="dxa"/>
            <w:vAlign w:val="bottom"/>
          </w:tcPr>
          <w:p>
            <w:pPr>
              <w:spacing w:after="0"/>
              <w:rPr>
                <w:sz w:val="12"/>
                <w:szCs w:val="12"/>
                <w:color w:val="auto"/>
              </w:rPr>
            </w:pPr>
          </w:p>
        </w:tc>
        <w:tc>
          <w:tcPr>
            <w:tcW w:w="90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86"/>
              </w:rPr>
              <w:t>Comcast</w:t>
            </w:r>
          </w:p>
        </w:tc>
        <w:tc>
          <w:tcPr>
            <w:tcW w:w="940" w:type="dxa"/>
            <w:vAlign w:val="bottom"/>
          </w:tcPr>
          <w:p>
            <w:pPr>
              <w:spacing w:after="0"/>
              <w:rPr>
                <w:sz w:val="12"/>
                <w:szCs w:val="12"/>
                <w:color w:val="auto"/>
              </w:rPr>
            </w:pPr>
          </w:p>
        </w:tc>
        <w:tc>
          <w:tcPr>
            <w:tcW w:w="8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88"/>
              </w:rPr>
              <w:t>Per Share</w:t>
            </w:r>
          </w:p>
        </w:tc>
      </w:tr>
      <w:tr>
        <w:trPr>
          <w:trHeight w:val="159"/>
        </w:trPr>
        <w:tc>
          <w:tcPr>
            <w:tcW w:w="50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420" w:type="dxa"/>
            <w:vAlign w:val="bottom"/>
            <w:tcBorders>
              <w:bottom w:val="single" w:sz="8" w:color="auto"/>
            </w:tcBorders>
            <w:gridSpan w:val="2"/>
          </w:tcPr>
          <w:p>
            <w:pPr>
              <w:jc w:val="center"/>
              <w:ind w:left="84"/>
              <w:spacing w:after="0" w:line="159" w:lineRule="exact"/>
              <w:rPr>
                <w:sz w:val="20"/>
                <w:szCs w:val="20"/>
                <w:color w:val="auto"/>
              </w:rPr>
            </w:pPr>
            <w:r>
              <w:rPr>
                <w:rFonts w:ascii="Arial" w:cs="Arial" w:eastAsia="Arial" w:hAnsi="Arial"/>
                <w:sz w:val="14"/>
                <w:szCs w:val="14"/>
                <w:color w:val="auto"/>
                <w:w w:val="90"/>
              </w:rPr>
              <w:t>Corporation</w:t>
            </w:r>
          </w:p>
        </w:tc>
        <w:tc>
          <w:tcPr>
            <w:tcW w:w="940" w:type="dxa"/>
            <w:vAlign w:val="bottom"/>
            <w:tcBorders>
              <w:bottom w:val="single" w:sz="8" w:color="auto"/>
            </w:tcBorders>
          </w:tcPr>
          <w:p>
            <w:pPr>
              <w:jc w:val="right"/>
              <w:ind w:right="201"/>
              <w:spacing w:after="0" w:line="159" w:lineRule="exact"/>
              <w:rPr>
                <w:sz w:val="20"/>
                <w:szCs w:val="20"/>
                <w:color w:val="auto"/>
              </w:rPr>
            </w:pPr>
            <w:r>
              <w:rPr>
                <w:rFonts w:ascii="Arial" w:cs="Arial" w:eastAsia="Arial" w:hAnsi="Arial"/>
                <w:sz w:val="14"/>
                <w:szCs w:val="14"/>
                <w:color w:val="auto"/>
              </w:rPr>
              <w:t>Shares</w:t>
            </w:r>
          </w:p>
        </w:tc>
        <w:tc>
          <w:tcPr>
            <w:tcW w:w="100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Amount</w:t>
            </w:r>
          </w:p>
        </w:tc>
        <w:tc>
          <w:tcPr>
            <w:tcW w:w="126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7"/>
              </w:rPr>
              <w:t>Corporation</w:t>
            </w:r>
          </w:p>
        </w:tc>
        <w:tc>
          <w:tcPr>
            <w:tcW w:w="940" w:type="dxa"/>
            <w:vAlign w:val="bottom"/>
            <w:tcBorders>
              <w:bottom w:val="single" w:sz="8" w:color="auto"/>
            </w:tcBorders>
          </w:tcPr>
          <w:p>
            <w:pPr>
              <w:jc w:val="right"/>
              <w:ind w:right="20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0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2,572</w:t>
            </w:r>
          </w:p>
        </w:tc>
        <w:tc>
          <w:tcPr>
            <w:tcW w:w="940" w:type="dxa"/>
            <w:vAlign w:val="bottom"/>
            <w:shd w:val="clear" w:color="auto" w:fill="E5E5E5"/>
          </w:tcPr>
          <w:p>
            <w:pPr>
              <w:jc w:val="right"/>
              <w:ind w:right="161"/>
              <w:spacing w:after="0"/>
              <w:rPr>
                <w:sz w:val="20"/>
                <w:szCs w:val="20"/>
                <w:color w:val="auto"/>
              </w:rPr>
            </w:pPr>
            <w:r>
              <w:rPr>
                <w:rFonts w:ascii="Arial" w:cs="Arial" w:eastAsia="Arial" w:hAnsi="Arial"/>
                <w:sz w:val="18"/>
                <w:szCs w:val="18"/>
                <w:color w:val="auto"/>
              </w:rPr>
              <w:t>2,697</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6"/>
              </w:rPr>
              <w:t>0.95</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1,965</w:t>
            </w:r>
          </w:p>
        </w:tc>
        <w:tc>
          <w:tcPr>
            <w:tcW w:w="94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2,765</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6"/>
              </w:rPr>
              <w:t>0.71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0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1"/>
              </w:rPr>
              <w:t>Assumed exercise or issuance of shares relating to stock plans</w:t>
            </w:r>
          </w:p>
        </w:tc>
        <w:tc>
          <w:tcPr>
            <w:tcW w:w="5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61"/>
              <w:spacing w:after="0"/>
              <w:rPr>
                <w:sz w:val="20"/>
                <w:szCs w:val="20"/>
                <w:color w:val="auto"/>
              </w:rPr>
            </w:pPr>
            <w:r>
              <w:rPr>
                <w:rFonts w:ascii="Arial" w:cs="Arial" w:eastAsia="Arial" w:hAnsi="Arial"/>
                <w:sz w:val="18"/>
                <w:szCs w:val="18"/>
                <w:color w:val="auto"/>
              </w:rPr>
              <w:t>36</w:t>
            </w:r>
          </w:p>
        </w:tc>
        <w:tc>
          <w:tcPr>
            <w:tcW w:w="4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34</w:t>
            </w:r>
          </w:p>
        </w:tc>
        <w:tc>
          <w:tcPr>
            <w:tcW w:w="4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r>
      <w:tr>
        <w:trPr>
          <w:trHeight w:val="21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Diluted EPS attributable to Comcast Corporation shareholders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2,572</w:t>
            </w:r>
          </w:p>
        </w:tc>
        <w:tc>
          <w:tcPr>
            <w:tcW w:w="940" w:type="dxa"/>
            <w:vAlign w:val="bottom"/>
            <w:tcBorders>
              <w:bottom w:val="single" w:sz="8" w:color="auto"/>
            </w:tcBorders>
          </w:tcPr>
          <w:p>
            <w:pPr>
              <w:jc w:val="right"/>
              <w:ind w:right="161"/>
              <w:spacing w:after="0"/>
              <w:rPr>
                <w:sz w:val="20"/>
                <w:szCs w:val="20"/>
                <w:color w:val="auto"/>
              </w:rPr>
            </w:pPr>
            <w:r>
              <w:rPr>
                <w:rFonts w:ascii="Arial" w:cs="Arial" w:eastAsia="Arial" w:hAnsi="Arial"/>
                <w:sz w:val="18"/>
                <w:szCs w:val="18"/>
                <w:b w:val="1"/>
                <w:bCs w:val="1"/>
                <w:color w:val="auto"/>
              </w:rPr>
              <w:t>2,733</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6"/>
              </w:rPr>
              <w:t>0.94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1,965</w:t>
            </w:r>
          </w:p>
        </w:tc>
        <w:tc>
          <w:tcPr>
            <w:tcW w:w="94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b w:val="1"/>
                <w:bCs w:val="1"/>
                <w:color w:val="auto"/>
              </w:rPr>
              <w:t>2,799</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0.70</w:t>
            </w:r>
          </w:p>
        </w:tc>
      </w:tr>
      <w:tr>
        <w:trPr>
          <w:trHeight w:val="363"/>
        </w:trPr>
        <w:tc>
          <w:tcPr>
            <w:tcW w:w="5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ind w:right="618"/>
              <w:spacing w:after="0"/>
              <w:rPr>
                <w:sz w:val="20"/>
                <w:szCs w:val="20"/>
                <w:color w:val="auto"/>
              </w:rPr>
            </w:pPr>
            <w:r>
              <w:rPr>
                <w:rFonts w:ascii="Arial" w:cs="Arial" w:eastAsia="Arial" w:hAnsi="Arial"/>
                <w:sz w:val="18"/>
                <w:szCs w:val="18"/>
                <w:color w:val="auto"/>
              </w:rPr>
              <w:t>6</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Diluted earnings per common share attributable to Comcast Corporation shareholders (“diluted EPS”) for the three and six months ended June 30, 2012 excludes 44 million and 35 million, respectively, of potential common shares related to our share-based compensation plans, because the inclusion of the potential common shares would have had an antidilutive effect. For the three and six months ended June 30, 2011, diluted EPS excluded 52 million and 43 million, respectively, of potential common shares.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Film and Television Costs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980" w:type="dxa"/>
            <w:vAlign w:val="bottom"/>
          </w:tcPr>
          <w:p>
            <w:pPr>
              <w:jc w:val="right"/>
              <w:ind w:right="255"/>
              <w:spacing w:after="0"/>
              <w:rPr>
                <w:sz w:val="20"/>
                <w:szCs w:val="20"/>
                <w:color w:val="auto"/>
              </w:rPr>
            </w:pPr>
            <w:r>
              <w:rPr>
                <w:rFonts w:ascii="Arial" w:cs="Arial" w:eastAsia="Arial" w:hAnsi="Arial"/>
                <w:sz w:val="14"/>
                <w:szCs w:val="14"/>
                <w:color w:val="auto"/>
              </w:rPr>
              <w:t>June 30,</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w w:val="90"/>
              </w:rPr>
              <w:t>December 31,</w:t>
            </w:r>
          </w:p>
        </w:tc>
      </w:tr>
      <w:tr>
        <w:trPr>
          <w:trHeight w:val="159"/>
        </w:trPr>
        <w:tc>
          <w:tcPr>
            <w:tcW w:w="63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980" w:type="dxa"/>
            <w:vAlign w:val="bottom"/>
            <w:tcBorders>
              <w:bottom w:val="single" w:sz="8" w:color="auto"/>
            </w:tcBorders>
          </w:tcPr>
          <w:p>
            <w:pPr>
              <w:jc w:val="right"/>
              <w:ind w:right="335"/>
              <w:spacing w:after="0" w:line="159" w:lineRule="exact"/>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4"/>
              <w:spacing w:after="0" w:line="159" w:lineRule="exact"/>
              <w:rPr>
                <w:sz w:val="20"/>
                <w:szCs w:val="20"/>
                <w:color w:val="auto"/>
              </w:rPr>
            </w:pPr>
            <w:r>
              <w:rPr>
                <w:rFonts w:ascii="Arial" w:cs="Arial" w:eastAsia="Arial" w:hAnsi="Arial"/>
                <w:sz w:val="14"/>
                <w:szCs w:val="14"/>
                <w:color w:val="auto"/>
              </w:rPr>
              <w:t>2011</w:t>
            </w:r>
          </w:p>
        </w:tc>
      </w:tr>
      <w:tr>
        <w:trPr>
          <w:trHeight w:val="210"/>
        </w:trPr>
        <w:tc>
          <w:tcPr>
            <w:tcW w:w="6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39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980" w:type="dxa"/>
            <w:vAlign w:val="bottom"/>
          </w:tcPr>
          <w:p>
            <w:pPr>
              <w:jc w:val="right"/>
              <w:ind w:right="235"/>
              <w:spacing w:after="0"/>
              <w:rPr>
                <w:sz w:val="20"/>
                <w:szCs w:val="20"/>
                <w:color w:val="auto"/>
              </w:rPr>
            </w:pPr>
            <w:r>
              <w:rPr>
                <w:rFonts w:ascii="Arial" w:cs="Arial" w:eastAsia="Arial" w:hAnsi="Arial"/>
                <w:sz w:val="18"/>
                <w:szCs w:val="18"/>
                <w:color w:val="auto"/>
              </w:rPr>
              <w:t>$1,649</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1,428</w:t>
            </w:r>
          </w:p>
        </w:tc>
      </w:tr>
      <w:tr>
        <w:trPr>
          <w:trHeight w:val="216"/>
        </w:trPr>
        <w:tc>
          <w:tcPr>
            <w:tcW w:w="6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98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131</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6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98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1,053</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r>
      <w:tr>
        <w:trPr>
          <w:trHeight w:val="210"/>
        </w:trPr>
        <w:tc>
          <w:tcPr>
            <w:tcW w:w="6320" w:type="dxa"/>
            <w:vAlign w:val="bottom"/>
            <w:shd w:val="clear" w:color="auto" w:fill="E5E5E5"/>
          </w:tcPr>
          <w:p>
            <w:pPr>
              <w:spacing w:after="0"/>
              <w:rPr>
                <w:sz w:val="18"/>
                <w:szCs w:val="18"/>
                <w:color w:val="auto"/>
              </w:rPr>
            </w:pPr>
          </w:p>
        </w:tc>
        <w:tc>
          <w:tcPr>
            <w:tcW w:w="398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2,833</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2,950</w:t>
            </w: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3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98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1,025</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1,002</w:t>
            </w:r>
          </w:p>
        </w:tc>
      </w:tr>
      <w:tr>
        <w:trPr>
          <w:trHeight w:val="216"/>
        </w:trPr>
        <w:tc>
          <w:tcPr>
            <w:tcW w:w="6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98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183</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10"/>
        </w:trPr>
        <w:tc>
          <w:tcPr>
            <w:tcW w:w="6320" w:type="dxa"/>
            <w:vAlign w:val="bottom"/>
            <w:shd w:val="clear" w:color="auto" w:fill="E5E5E5"/>
          </w:tcPr>
          <w:p>
            <w:pPr>
              <w:spacing w:after="0"/>
              <w:rPr>
                <w:sz w:val="18"/>
                <w:szCs w:val="18"/>
                <w:color w:val="auto"/>
              </w:rPr>
            </w:pPr>
          </w:p>
        </w:tc>
        <w:tc>
          <w:tcPr>
            <w:tcW w:w="398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1,208</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1,203</w:t>
            </w:r>
          </w:p>
        </w:tc>
      </w:tr>
      <w:tr>
        <w:trPr>
          <w:trHeight w:val="216"/>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98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2,193</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r>
      <w:tr>
        <w:trPr>
          <w:trHeight w:val="210"/>
        </w:trPr>
        <w:tc>
          <w:tcPr>
            <w:tcW w:w="6320" w:type="dxa"/>
            <w:vAlign w:val="bottom"/>
            <w:shd w:val="clear" w:color="auto" w:fill="E5E5E5"/>
          </w:tcPr>
          <w:p>
            <w:pPr>
              <w:spacing w:after="0"/>
              <w:rPr>
                <w:sz w:val="18"/>
                <w:szCs w:val="18"/>
                <w:color w:val="auto"/>
              </w:rPr>
            </w:pPr>
          </w:p>
        </w:tc>
        <w:tc>
          <w:tcPr>
            <w:tcW w:w="398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6,234</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6,214</w:t>
            </w:r>
          </w:p>
        </w:tc>
      </w:tr>
      <w:tr>
        <w:trPr>
          <w:trHeight w:val="216"/>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98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1,114</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r>
      <w:tr>
        <w:trPr>
          <w:trHeight w:val="217"/>
        </w:trPr>
        <w:tc>
          <w:tcPr>
            <w:tcW w:w="6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98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b w:val="1"/>
                <w:bCs w:val="1"/>
                <w:color w:val="auto"/>
              </w:rPr>
              <w:t>$5,120</w:t>
            </w:r>
          </w:p>
        </w:tc>
        <w:tc>
          <w:tcPr>
            <w:tcW w:w="46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5,227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4420" w:type="dxa"/>
            <w:vAlign w:val="bottom"/>
            <w:gridSpan w:val="2"/>
          </w:tcPr>
          <w:p>
            <w:pPr>
              <w:jc w:val="right"/>
              <w:ind w:right="354"/>
              <w:spacing w:after="0"/>
              <w:rPr>
                <w:sz w:val="20"/>
                <w:szCs w:val="20"/>
                <w:color w:val="auto"/>
              </w:rPr>
            </w:pPr>
            <w:r>
              <w:rPr>
                <w:rFonts w:ascii="Arial" w:cs="Arial" w:eastAsia="Arial" w:hAnsi="Arial"/>
                <w:sz w:val="14"/>
                <w:szCs w:val="14"/>
                <w:color w:val="auto"/>
              </w:rPr>
              <w:t>June 30,</w:t>
            </w:r>
          </w:p>
        </w:tc>
        <w:tc>
          <w:tcPr>
            <w:tcW w:w="1200" w:type="dxa"/>
            <w:vAlign w:val="bottom"/>
            <w:gridSpan w:val="2"/>
          </w:tcPr>
          <w:p>
            <w:pPr>
              <w:ind w:left="380"/>
              <w:spacing w:after="0"/>
              <w:rPr>
                <w:sz w:val="20"/>
                <w:szCs w:val="20"/>
                <w:color w:val="auto"/>
              </w:rPr>
            </w:pPr>
            <w:r>
              <w:rPr>
                <w:rFonts w:ascii="Arial" w:cs="Arial" w:eastAsia="Arial" w:hAnsi="Arial"/>
                <w:sz w:val="14"/>
                <w:szCs w:val="14"/>
                <w:color w:val="auto"/>
                <w:w w:val="90"/>
              </w:rPr>
              <w:t>December 31,</w:t>
            </w:r>
          </w:p>
        </w:tc>
      </w:tr>
      <w:tr>
        <w:trPr>
          <w:trHeight w:val="159"/>
        </w:trPr>
        <w:tc>
          <w:tcPr>
            <w:tcW w:w="58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4"/>
              <w:spacing w:after="0" w:line="159" w:lineRule="exact"/>
              <w:rPr>
                <w:sz w:val="20"/>
                <w:szCs w:val="20"/>
                <w:color w:val="auto"/>
              </w:rPr>
            </w:pPr>
            <w:r>
              <w:rPr>
                <w:rFonts w:ascii="Arial" w:cs="Arial" w:eastAsia="Arial" w:hAnsi="Arial"/>
                <w:sz w:val="14"/>
                <w:szCs w:val="14"/>
                <w:color w:val="auto"/>
              </w:rPr>
              <w:t>2012</w:t>
            </w:r>
          </w:p>
        </w:tc>
        <w:tc>
          <w:tcPr>
            <w:tcW w:w="5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4"/>
              <w:spacing w:after="0" w:line="159" w:lineRule="exact"/>
              <w:rPr>
                <w:sz w:val="20"/>
                <w:szCs w:val="20"/>
                <w:color w:val="auto"/>
              </w:rPr>
            </w:pPr>
            <w:r>
              <w:rPr>
                <w:rFonts w:ascii="Arial" w:cs="Arial" w:eastAsia="Arial" w:hAnsi="Arial"/>
                <w:sz w:val="14"/>
                <w:szCs w:val="14"/>
                <w:color w:val="auto"/>
              </w:rPr>
              <w:t>2011</w:t>
            </w:r>
          </w:p>
        </w:tc>
      </w:tr>
      <w:tr>
        <w:trPr>
          <w:trHeight w:val="210"/>
        </w:trPr>
        <w:tc>
          <w:tcPr>
            <w:tcW w:w="580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3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3,514</w:t>
            </w:r>
          </w:p>
        </w:tc>
        <w:tc>
          <w:tcPr>
            <w:tcW w:w="54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3,028</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Equity Method:</w:t>
            </w:r>
          </w:p>
        </w:tc>
        <w:tc>
          <w:tcPr>
            <w:tcW w:w="3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A&amp;E Television Networks</w:t>
            </w:r>
          </w:p>
        </w:tc>
        <w:tc>
          <w:tcPr>
            <w:tcW w:w="35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2,006</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2,021</w:t>
            </w: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SpectrumCo</w:t>
            </w:r>
          </w:p>
        </w:tc>
        <w:tc>
          <w:tcPr>
            <w:tcW w:w="3560" w:type="dxa"/>
            <w:vAlign w:val="bottom"/>
          </w:tcPr>
          <w:p>
            <w:pPr>
              <w:spacing w:after="0"/>
              <w:rPr>
                <w:sz w:val="18"/>
                <w:szCs w:val="18"/>
                <w:color w:val="auto"/>
              </w:rPr>
            </w:pPr>
          </w:p>
        </w:tc>
        <w:tc>
          <w:tcPr>
            <w:tcW w:w="860" w:type="dxa"/>
            <w:vAlign w:val="bottom"/>
          </w:tcPr>
          <w:p>
            <w:pPr>
              <w:jc w:val="right"/>
              <w:ind w:right="274"/>
              <w:spacing w:after="0"/>
              <w:rPr>
                <w:sz w:val="20"/>
                <w:szCs w:val="20"/>
                <w:color w:val="auto"/>
              </w:rPr>
            </w:pPr>
            <w:r>
              <w:rPr>
                <w:rFonts w:ascii="Arial" w:cs="Arial" w:eastAsia="Arial" w:hAnsi="Arial"/>
                <w:sz w:val="18"/>
                <w:szCs w:val="18"/>
                <w:color w:val="auto"/>
              </w:rPr>
              <w:t>1,414</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16"/>
        </w:trPr>
        <w:tc>
          <w:tcPr>
            <w:tcW w:w="5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35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465</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463</w:t>
            </w: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MSNBC.com</w:t>
            </w:r>
          </w:p>
        </w:tc>
        <w:tc>
          <w:tcPr>
            <w:tcW w:w="3560" w:type="dxa"/>
            <w:vAlign w:val="bottom"/>
          </w:tcPr>
          <w:p>
            <w:pPr>
              <w:spacing w:after="0"/>
              <w:rPr>
                <w:sz w:val="18"/>
                <w:szCs w:val="18"/>
                <w:color w:val="auto"/>
              </w:rPr>
            </w:pPr>
          </w:p>
        </w:tc>
        <w:tc>
          <w:tcPr>
            <w:tcW w:w="860" w:type="dxa"/>
            <w:vAlign w:val="bottom"/>
          </w:tcPr>
          <w:p>
            <w:pPr>
              <w:jc w:val="right"/>
              <w:ind w:right="274"/>
              <w:spacing w:after="0"/>
              <w:rPr>
                <w:sz w:val="20"/>
                <w:szCs w:val="20"/>
                <w:color w:val="auto"/>
              </w:rPr>
            </w:pPr>
            <w:r>
              <w:rPr>
                <w:rFonts w:ascii="Arial" w:cs="Arial" w:eastAsia="Arial" w:hAnsi="Arial"/>
                <w:sz w:val="18"/>
                <w:szCs w:val="18"/>
                <w:color w:val="auto"/>
              </w:rPr>
              <w:t>176</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5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Clearwire LLC</w:t>
            </w:r>
          </w:p>
        </w:tc>
        <w:tc>
          <w:tcPr>
            <w:tcW w:w="35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58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652</w:t>
            </w: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r>
      <w:tr>
        <w:trPr>
          <w:trHeight w:val="210"/>
        </w:trPr>
        <w:tc>
          <w:tcPr>
            <w:tcW w:w="5800" w:type="dxa"/>
            <w:vAlign w:val="bottom"/>
            <w:shd w:val="clear" w:color="auto" w:fill="E5E5E5"/>
          </w:tcPr>
          <w:p>
            <w:pPr>
              <w:spacing w:after="0"/>
              <w:rPr>
                <w:sz w:val="18"/>
                <w:szCs w:val="18"/>
                <w:color w:val="auto"/>
              </w:rPr>
            </w:pPr>
          </w:p>
        </w:tc>
        <w:tc>
          <w:tcPr>
            <w:tcW w:w="35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4,713</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4,880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Cost Method:</w:t>
            </w:r>
          </w:p>
        </w:tc>
        <w:tc>
          <w:tcPr>
            <w:tcW w:w="3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8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AirTouch</w:t>
            </w:r>
          </w:p>
        </w:tc>
        <w:tc>
          <w:tcPr>
            <w:tcW w:w="35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1,530</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1,523</w:t>
            </w:r>
          </w:p>
        </w:tc>
      </w:tr>
      <w:tr>
        <w:trPr>
          <w:trHeight w:val="216"/>
        </w:trPr>
        <w:tc>
          <w:tcPr>
            <w:tcW w:w="58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492</w:t>
            </w: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10"/>
        </w:trPr>
        <w:tc>
          <w:tcPr>
            <w:tcW w:w="5800" w:type="dxa"/>
            <w:vAlign w:val="bottom"/>
            <w:shd w:val="clear" w:color="auto" w:fill="E5E5E5"/>
          </w:tcPr>
          <w:p>
            <w:pPr>
              <w:spacing w:after="0"/>
              <w:rPr>
                <w:sz w:val="18"/>
                <w:szCs w:val="18"/>
                <w:color w:val="auto"/>
              </w:rPr>
            </w:pPr>
          </w:p>
        </w:tc>
        <w:tc>
          <w:tcPr>
            <w:tcW w:w="35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Total investments</w:t>
            </w:r>
          </w:p>
        </w:tc>
        <w:tc>
          <w:tcPr>
            <w:tcW w:w="3560" w:type="dxa"/>
            <w:vAlign w:val="bottom"/>
          </w:tcPr>
          <w:p>
            <w:pPr>
              <w:spacing w:after="0"/>
              <w:rPr>
                <w:sz w:val="18"/>
                <w:szCs w:val="18"/>
                <w:color w:val="auto"/>
              </w:rPr>
            </w:pPr>
          </w:p>
        </w:tc>
        <w:tc>
          <w:tcPr>
            <w:tcW w:w="860" w:type="dxa"/>
            <w:vAlign w:val="bottom"/>
          </w:tcPr>
          <w:p>
            <w:pPr>
              <w:jc w:val="right"/>
              <w:ind w:right="274"/>
              <w:spacing w:after="0"/>
              <w:rPr>
                <w:sz w:val="20"/>
                <w:szCs w:val="20"/>
                <w:color w:val="auto"/>
              </w:rPr>
            </w:pPr>
            <w:r>
              <w:rPr>
                <w:rFonts w:ascii="Arial" w:cs="Arial" w:eastAsia="Arial" w:hAnsi="Arial"/>
                <w:sz w:val="18"/>
                <w:szCs w:val="18"/>
                <w:color w:val="auto"/>
                <w:w w:val="87"/>
              </w:rPr>
              <w:t>10,249</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9,908</w:t>
            </w:r>
          </w:p>
        </w:tc>
      </w:tr>
      <w:tr>
        <w:trPr>
          <w:trHeight w:val="216"/>
        </w:trPr>
        <w:tc>
          <w:tcPr>
            <w:tcW w:w="58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35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2,231</w:t>
            </w:r>
          </w:p>
        </w:tc>
        <w:tc>
          <w:tcPr>
            <w:tcW w:w="5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w:t>
            </w:r>
          </w:p>
        </w:tc>
      </w:tr>
      <w:tr>
        <w:trPr>
          <w:trHeight w:val="217"/>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investments</w:t>
            </w:r>
          </w:p>
        </w:tc>
        <w:tc>
          <w:tcPr>
            <w:tcW w:w="3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8,018</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9,854</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2012, we held as collateral $3.5 billion of fair value method equity securities related to our obligations under prepaid forward sale agreements. As of June 30, 2012, our prepaid forward sale obligations were recorded at $2.9 billion within other current and noncurrent liabilities in our condensed consolidated balance sheet and had an estimated fair value of approximately $3.0 billion. The estimated fair values are based on Level 2 inputs using pricing models whose inputs are derived primarily from or corroborated by observable market data through correlation or other means for substantially the full term of the financial instrument.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26, 2012, NBCUniversal exercised an option that required A&amp;E Television Networks LLC (“A&amp;E Television Networks”) to redeem a substantial portion of NBCUniversal’s equity interest in A&amp;E Television Networks. On July 9, 2012, NBCUniversal entered into a redemption agreement with A&amp;E Television Networks whereby A&amp;E Television Networks agreed to redeem NBCUniversal’s entire 15.8% equity interest for $3 billion. The redemption price will be paid solely in cash, although in certain limited circumstances, it would be paid in cash and in the form of a senior note issued by A&amp;E Television Networks. Under the terms of the redemption agreement, NBCUniversal is no longer required to provide a last dollar guarantee of indebtedness that A&amp;E Television Networks may incur to finance the purchase of NBCUniversal’s equity interest. As of June 30, 2012, we have classified NBCUniversal’s equity interest as a current investment in our condensed consolidated balance sheet. We expect the transaction to close during the second half of 2012, and we expect to recognize a pretax gain on the sale of NBCUniversal’s equity interest of approximately $1 billion when the transaction closes.</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13, 2012, NBCUniversal acquired the remaining 50% equity interest in MSNBC Interactive News, LLC and other related entities (“MSNBC.com”) that it did not already own. MSNBC.com is now a wholly owned consolidated subsidiary of NBCUniversal and its results of operations will be reported in our Cable Networks segment following the date of acquisition.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hold two series of preferred stock of AirTouch Communications, Inc. (“AirTouch”), a subsidiary of Vodafone, which are redeemable in April 2020. As of June 30, 2012, the estimated fair value of the AirTouch preferred stock and the associated liability related to redeemable preferred shares issued by one of our consolidated subsidiaries was approximately $1.9 billion. The estimated fair values are primarily based on Level 2 inputs using pricing models whose inputs are derived from or corroborated by observable market data through correlation or other means for substantially the full term of the financial instrument.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Investment Income (Loss), Net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0" w:type="dxa"/>
            <w:vAlign w:val="bottom"/>
            <w:gridSpan w:val="3"/>
          </w:tcPr>
          <w:p>
            <w:pPr>
              <w:jc w:val="right"/>
              <w:ind w:right="575"/>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1760" w:type="dxa"/>
            <w:vAlign w:val="bottom"/>
            <w:gridSpan w:val="3"/>
          </w:tcPr>
          <w:p>
            <w:pPr>
              <w:jc w:val="right"/>
              <w:ind w:right="395"/>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5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88"/>
              </w:rPr>
              <w:t>June 30</w:t>
            </w: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84"/>
              </w:rPr>
              <w:t>June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w w:val="89"/>
              </w:rPr>
              <w:t>2012</w:t>
            </w:r>
          </w:p>
        </w:tc>
        <w:tc>
          <w:tcPr>
            <w:tcW w:w="7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color w:val="auto"/>
                <w:w w:val="83"/>
              </w:rPr>
              <w:t>2011</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color w:val="auto"/>
                <w:w w:val="89"/>
              </w:rPr>
              <w:t>2012</w:t>
            </w:r>
          </w:p>
        </w:tc>
        <w:tc>
          <w:tcPr>
            <w:tcW w:w="6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10"/>
        </w:trPr>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20</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7</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27</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6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18"/>
                <w:szCs w:val="18"/>
                <w:color w:val="auto"/>
              </w:rPr>
            </w:pPr>
          </w:p>
        </w:tc>
        <w:tc>
          <w:tcPr>
            <w:tcW w:w="780" w:type="dxa"/>
            <w:vAlign w:val="bottom"/>
          </w:tcPr>
          <w:p>
            <w:pPr>
              <w:jc w:val="right"/>
              <w:ind w:right="215"/>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w w:val="98"/>
              </w:rPr>
              <w:t>Unrealized gains (losses) on securities underlying prepaid forward sale agreements</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226</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488</w:t>
            </w: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8"/>
        </w:trPr>
        <w:tc>
          <w:tcPr>
            <w:tcW w:w="6560" w:type="dxa"/>
            <w:vAlign w:val="bottom"/>
          </w:tcPr>
          <w:p>
            <w:pPr>
              <w:spacing w:after="0"/>
              <w:rPr>
                <w:sz w:val="20"/>
                <w:szCs w:val="20"/>
                <w:color w:val="auto"/>
              </w:rPr>
            </w:pPr>
            <w:r>
              <w:rPr>
                <w:rFonts w:ascii="Arial" w:cs="Arial" w:eastAsia="Arial" w:hAnsi="Arial"/>
                <w:sz w:val="18"/>
                <w:szCs w:val="18"/>
                <w:color w:val="auto"/>
                <w:w w:val="91"/>
              </w:rPr>
              <w:t>Mark to market adjustments on derivative component of prepaid forward sale agreements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60" w:type="dxa"/>
            <w:vAlign w:val="bottom"/>
          </w:tcPr>
          <w:p>
            <w:pPr>
              <w:ind w:left="220"/>
              <w:spacing w:after="0"/>
              <w:rPr>
                <w:sz w:val="20"/>
                <w:szCs w:val="20"/>
                <w:color w:val="auto"/>
              </w:rPr>
            </w:pPr>
            <w:r>
              <w:rPr>
                <w:rFonts w:ascii="Arial" w:cs="Arial" w:eastAsia="Arial" w:hAnsi="Arial"/>
                <w:sz w:val="18"/>
                <w:szCs w:val="18"/>
                <w:color w:val="auto"/>
              </w:rPr>
              <w:t>and indexed debt instruments</w:t>
            </w:r>
          </w:p>
        </w:tc>
        <w:tc>
          <w:tcPr>
            <w:tcW w:w="680" w:type="dxa"/>
            <w:vAlign w:val="bottom"/>
          </w:tcPr>
          <w:p>
            <w:pPr>
              <w:spacing w:after="0"/>
              <w:rPr>
                <w:sz w:val="19"/>
                <w:szCs w:val="19"/>
                <w:color w:val="auto"/>
              </w:rPr>
            </w:pPr>
          </w:p>
        </w:tc>
        <w:tc>
          <w:tcPr>
            <w:tcW w:w="520" w:type="dxa"/>
            <w:vAlign w:val="bottom"/>
          </w:tcPr>
          <w:p>
            <w:pPr>
              <w:jc w:val="right"/>
              <w:ind w:right="17"/>
              <w:spacing w:after="0"/>
              <w:rPr>
                <w:sz w:val="20"/>
                <w:szCs w:val="20"/>
                <w:color w:val="auto"/>
              </w:rPr>
            </w:pPr>
            <w:r>
              <w:rPr>
                <w:rFonts w:ascii="Arial" w:cs="Arial" w:eastAsia="Arial" w:hAnsi="Arial"/>
                <w:sz w:val="18"/>
                <w:szCs w:val="18"/>
                <w:color w:val="auto"/>
              </w:rPr>
              <w:t>20</w:t>
            </w:r>
          </w:p>
        </w:tc>
        <w:tc>
          <w:tcPr>
            <w:tcW w:w="700" w:type="dxa"/>
            <w:vAlign w:val="bottom"/>
          </w:tcPr>
          <w:p>
            <w:pPr>
              <w:spacing w:after="0"/>
              <w:rPr>
                <w:sz w:val="19"/>
                <w:szCs w:val="19"/>
                <w:color w:val="auto"/>
              </w:rPr>
            </w:pPr>
          </w:p>
        </w:tc>
        <w:tc>
          <w:tcPr>
            <w:tcW w:w="780" w:type="dxa"/>
            <w:vAlign w:val="bottom"/>
          </w:tcPr>
          <w:p>
            <w:pPr>
              <w:jc w:val="right"/>
              <w:ind w:right="215"/>
              <w:spacing w:after="0"/>
              <w:rPr>
                <w:sz w:val="20"/>
                <w:szCs w:val="20"/>
                <w:color w:val="auto"/>
              </w:rPr>
            </w:pPr>
            <w:r>
              <w:rPr>
                <w:rFonts w:ascii="Arial" w:cs="Arial" w:eastAsia="Arial" w:hAnsi="Arial"/>
                <w:sz w:val="18"/>
                <w:szCs w:val="18"/>
                <w:color w:val="auto"/>
              </w:rPr>
              <w:t>(186)</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(450)</w:t>
            </w:r>
          </w:p>
        </w:tc>
        <w:tc>
          <w:tcPr>
            <w:tcW w:w="6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8"/>
        </w:trPr>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28</w:t>
            </w: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26</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57</w:t>
            </w: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6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8</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b w:val="1"/>
                <w:bCs w:val="1"/>
                <w:color w:val="auto"/>
              </w:rPr>
              <w:t>61</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100</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Goodwill</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vMerge w:val="restart"/>
          </w:tcPr>
          <w:p>
            <w:pPr>
              <w:jc w:val="right"/>
              <w:ind w:right="336"/>
              <w:spacing w:after="0"/>
              <w:rPr>
                <w:sz w:val="20"/>
                <w:szCs w:val="20"/>
                <w:color w:val="auto"/>
              </w:rPr>
            </w:pPr>
            <w:r>
              <w:rPr>
                <w:rFonts w:ascii="Arial" w:cs="Arial" w:eastAsia="Arial" w:hAnsi="Arial"/>
                <w:sz w:val="14"/>
                <w:szCs w:val="14"/>
                <w:color w:val="auto"/>
              </w:rPr>
              <w:t>Cable</w:t>
            </w:r>
          </w:p>
        </w:tc>
        <w:tc>
          <w:tcPr>
            <w:tcW w:w="1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88"/>
              </w:rPr>
              <w:t>NBCUniversal</w:t>
            </w:r>
          </w:p>
        </w:tc>
        <w:tc>
          <w:tcPr>
            <w:tcW w:w="8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40" w:type="dxa"/>
            <w:vAlign w:val="bottom"/>
            <w:gridSpan w:val="2"/>
            <w:vMerge w:val="restart"/>
          </w:tcPr>
          <w:p>
            <w:pPr>
              <w:ind w:left="420"/>
              <w:spacing w:after="0"/>
              <w:rPr>
                <w:sz w:val="20"/>
                <w:szCs w:val="20"/>
                <w:color w:val="auto"/>
              </w:rPr>
            </w:pPr>
            <w:r>
              <w:rPr>
                <w:rFonts w:ascii="Arial" w:cs="Arial" w:eastAsia="Arial" w:hAnsi="Arial"/>
                <w:sz w:val="14"/>
                <w:szCs w:val="14"/>
                <w:color w:val="auto"/>
              </w:rPr>
              <w:t>Corporate and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300" w:type="dxa"/>
            <w:vAlign w:val="bottom"/>
          </w:tcPr>
          <w:p>
            <w:pPr>
              <w:jc w:val="right"/>
              <w:ind w:right="338"/>
              <w:spacing w:after="0" w:line="131" w:lineRule="exact"/>
              <w:rPr>
                <w:sz w:val="20"/>
                <w:szCs w:val="20"/>
                <w:color w:val="auto"/>
              </w:rPr>
            </w:pPr>
            <w:r>
              <w:rPr>
                <w:rFonts w:ascii="Arial" w:cs="Arial" w:eastAsia="Arial" w:hAnsi="Arial"/>
                <w:sz w:val="14"/>
                <w:szCs w:val="14"/>
                <w:color w:val="auto"/>
              </w:rPr>
              <w:t>Cable</w:t>
            </w:r>
          </w:p>
        </w:tc>
        <w:tc>
          <w:tcPr>
            <w:tcW w:w="1100" w:type="dxa"/>
            <w:vAlign w:val="bottom"/>
            <w:gridSpan w:val="2"/>
          </w:tcPr>
          <w:p>
            <w:pPr>
              <w:ind w:left="240"/>
              <w:spacing w:after="0" w:line="131" w:lineRule="exact"/>
              <w:rPr>
                <w:sz w:val="20"/>
                <w:szCs w:val="20"/>
                <w:color w:val="auto"/>
              </w:rPr>
            </w:pPr>
            <w:r>
              <w:rPr>
                <w:rFonts w:ascii="Arial" w:cs="Arial" w:eastAsia="Arial" w:hAnsi="Arial"/>
                <w:sz w:val="14"/>
                <w:szCs w:val="14"/>
                <w:color w:val="auto"/>
              </w:rPr>
              <w:t>Broadcast</w:t>
            </w:r>
          </w:p>
        </w:tc>
        <w:tc>
          <w:tcPr>
            <w:tcW w:w="420" w:type="dxa"/>
            <w:vAlign w:val="bottom"/>
          </w:tcPr>
          <w:p>
            <w:pPr>
              <w:spacing w:after="0"/>
              <w:rPr>
                <w:sz w:val="11"/>
                <w:szCs w:val="11"/>
                <w:color w:val="auto"/>
              </w:rPr>
            </w:pPr>
          </w:p>
        </w:tc>
        <w:tc>
          <w:tcPr>
            <w:tcW w:w="840" w:type="dxa"/>
            <w:vAlign w:val="bottom"/>
          </w:tcPr>
          <w:p>
            <w:pPr>
              <w:jc w:val="right"/>
              <w:ind w:right="376"/>
              <w:spacing w:after="0" w:line="131" w:lineRule="exact"/>
              <w:rPr>
                <w:sz w:val="20"/>
                <w:szCs w:val="20"/>
                <w:color w:val="auto"/>
              </w:rPr>
            </w:pPr>
            <w:r>
              <w:rPr>
                <w:rFonts w:ascii="Arial" w:cs="Arial" w:eastAsia="Arial" w:hAnsi="Arial"/>
                <w:sz w:val="14"/>
                <w:szCs w:val="14"/>
                <w:color w:val="auto"/>
                <w:w w:val="85"/>
              </w:rPr>
              <w:t>Filmed</w:t>
            </w:r>
          </w:p>
        </w:tc>
        <w:tc>
          <w:tcPr>
            <w:tcW w:w="860" w:type="dxa"/>
            <w:vAlign w:val="bottom"/>
          </w:tcPr>
          <w:p>
            <w:pPr>
              <w:jc w:val="right"/>
              <w:ind w:right="98"/>
              <w:spacing w:after="0" w:line="131" w:lineRule="exact"/>
              <w:rPr>
                <w:sz w:val="20"/>
                <w:szCs w:val="20"/>
                <w:color w:val="auto"/>
              </w:rPr>
            </w:pPr>
            <w:r>
              <w:rPr>
                <w:rFonts w:ascii="Arial" w:cs="Arial" w:eastAsia="Arial" w:hAnsi="Arial"/>
                <w:sz w:val="14"/>
                <w:szCs w:val="14"/>
                <w:color w:val="auto"/>
              </w:rPr>
              <w:t>Theme</w:t>
            </w:r>
          </w:p>
        </w:tc>
        <w:tc>
          <w:tcPr>
            <w:tcW w:w="144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760" w:type="dxa"/>
            <w:vAlign w:val="bottom"/>
            <w:tcBorders>
              <w:bottom w:val="single" w:sz="8" w:color="auto"/>
            </w:tcBorders>
            <w:gridSpan w:val="2"/>
          </w:tcPr>
          <w:p>
            <w:pPr>
              <w:ind w:left="720"/>
              <w:spacing w:after="0" w:line="159" w:lineRule="exact"/>
              <w:rPr>
                <w:sz w:val="20"/>
                <w:szCs w:val="20"/>
                <w:color w:val="auto"/>
              </w:rPr>
            </w:pPr>
            <w:r>
              <w:rPr>
                <w:rFonts w:ascii="Arial" w:cs="Arial" w:eastAsia="Arial" w:hAnsi="Arial"/>
                <w:sz w:val="14"/>
                <w:szCs w:val="14"/>
                <w:color w:val="auto"/>
                <w:w w:val="97"/>
              </w:rPr>
              <w:t>Communications</w:t>
            </w:r>
          </w:p>
        </w:tc>
        <w:tc>
          <w:tcPr>
            <w:tcW w:w="1300" w:type="dxa"/>
            <w:vAlign w:val="bottom"/>
            <w:tcBorders>
              <w:bottom w:val="single" w:sz="8" w:color="auto"/>
            </w:tcBorders>
          </w:tcPr>
          <w:p>
            <w:pPr>
              <w:jc w:val="right"/>
              <w:ind w:right="238"/>
              <w:spacing w:after="0" w:line="159" w:lineRule="exact"/>
              <w:rPr>
                <w:sz w:val="20"/>
                <w:szCs w:val="20"/>
                <w:color w:val="auto"/>
              </w:rPr>
            </w:pPr>
            <w:r>
              <w:rPr>
                <w:rFonts w:ascii="Arial" w:cs="Arial" w:eastAsia="Arial" w:hAnsi="Arial"/>
                <w:sz w:val="14"/>
                <w:szCs w:val="14"/>
                <w:color w:val="auto"/>
              </w:rPr>
              <w:t>Networks</w:t>
            </w:r>
          </w:p>
        </w:tc>
        <w:tc>
          <w:tcPr>
            <w:tcW w:w="110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Television</w:t>
            </w:r>
          </w:p>
        </w:tc>
        <w:tc>
          <w:tcPr>
            <w:tcW w:w="1260" w:type="dxa"/>
            <w:vAlign w:val="bottom"/>
            <w:tcBorders>
              <w:bottom w:val="single" w:sz="8" w:color="auto"/>
            </w:tcBorders>
            <w:gridSpan w:val="2"/>
          </w:tcPr>
          <w:p>
            <w:pPr>
              <w:ind w:left="220"/>
              <w:spacing w:after="0" w:line="159" w:lineRule="exact"/>
              <w:rPr>
                <w:sz w:val="20"/>
                <w:szCs w:val="20"/>
                <w:color w:val="auto"/>
              </w:rPr>
            </w:pPr>
            <w:r>
              <w:rPr>
                <w:rFonts w:ascii="Arial" w:cs="Arial" w:eastAsia="Arial" w:hAnsi="Arial"/>
                <w:sz w:val="14"/>
                <w:szCs w:val="14"/>
                <w:color w:val="auto"/>
              </w:rPr>
              <w:t>Entertainment</w:t>
            </w:r>
          </w:p>
        </w:tc>
        <w:tc>
          <w:tcPr>
            <w:tcW w:w="860" w:type="dxa"/>
            <w:vAlign w:val="bottom"/>
            <w:tcBorders>
              <w:bottom w:val="single" w:sz="8" w:color="auto"/>
            </w:tcBorders>
          </w:tcPr>
          <w:p>
            <w:pPr>
              <w:jc w:val="right"/>
              <w:ind w:right="138"/>
              <w:spacing w:after="0" w:line="159" w:lineRule="exact"/>
              <w:rPr>
                <w:sz w:val="20"/>
                <w:szCs w:val="20"/>
                <w:color w:val="auto"/>
              </w:rPr>
            </w:pPr>
            <w:r>
              <w:rPr>
                <w:rFonts w:ascii="Arial" w:cs="Arial" w:eastAsia="Arial" w:hAnsi="Arial"/>
                <w:sz w:val="14"/>
                <w:szCs w:val="14"/>
                <w:color w:val="auto"/>
              </w:rPr>
              <w:t>Parks</w:t>
            </w: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6"/>
              <w:spacing w:after="0" w:line="159" w:lineRule="exact"/>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74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2011</w:t>
            </w:r>
          </w:p>
        </w:tc>
        <w:tc>
          <w:tcPr>
            <w:tcW w:w="920" w:type="dxa"/>
            <w:vAlign w:val="bottom"/>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12,208</w:t>
            </w:r>
          </w:p>
        </w:tc>
        <w:tc>
          <w:tcPr>
            <w:tcW w:w="130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$12,744</w:t>
            </w:r>
          </w:p>
        </w:tc>
        <w:tc>
          <w:tcPr>
            <w:tcW w:w="4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772</w:t>
            </w:r>
          </w:p>
        </w:tc>
        <w:tc>
          <w:tcPr>
            <w:tcW w:w="4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1</w:t>
            </w:r>
          </w:p>
        </w:tc>
        <w:tc>
          <w:tcPr>
            <w:tcW w:w="86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$1,140</w:t>
            </w:r>
          </w:p>
        </w:tc>
        <w:tc>
          <w:tcPr>
            <w:tcW w:w="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9</w:t>
            </w:r>
          </w:p>
        </w:tc>
        <w:tc>
          <w:tcPr>
            <w:tcW w:w="9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$26,874</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Acquisitions</w:t>
            </w:r>
          </w:p>
        </w:tc>
        <w:tc>
          <w:tcPr>
            <w:tcW w:w="92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8"/>
              <w:spacing w:after="0"/>
              <w:rPr>
                <w:sz w:val="20"/>
                <w:szCs w:val="20"/>
                <w:color w:val="auto"/>
              </w:rPr>
            </w:pPr>
            <w:r>
              <w:rPr>
                <w:rFonts w:ascii="Arial" w:cs="Arial" w:eastAsia="Arial" w:hAnsi="Arial"/>
                <w:sz w:val="18"/>
                <w:szCs w:val="18"/>
                <w:color w:val="auto"/>
              </w:rPr>
              <w:t>219</w:t>
            </w:r>
          </w:p>
        </w:tc>
        <w:tc>
          <w:tcPr>
            <w:tcW w:w="420" w:type="dxa"/>
            <w:vAlign w:val="bottom"/>
          </w:tcPr>
          <w:p>
            <w:pPr>
              <w:spacing w:after="0"/>
              <w:rPr>
                <w:sz w:val="18"/>
                <w:szCs w:val="18"/>
                <w:color w:val="auto"/>
              </w:rPr>
            </w:pPr>
          </w:p>
        </w:tc>
        <w:tc>
          <w:tcPr>
            <w:tcW w:w="68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6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740" w:type="dxa"/>
            <w:vAlign w:val="bottom"/>
            <w:shd w:val="clear" w:color="auto" w:fill="E5E5E5"/>
          </w:tcPr>
          <w:p>
            <w:pPr>
              <w:spacing w:after="0"/>
              <w:rPr>
                <w:sz w:val="20"/>
                <w:szCs w:val="20"/>
                <w:color w:val="auto"/>
              </w:rPr>
            </w:pPr>
            <w:r>
              <w:rPr>
                <w:rFonts w:ascii="Arial" w:cs="Arial" w:eastAsia="Arial" w:hAnsi="Arial"/>
                <w:sz w:val="18"/>
                <w:szCs w:val="18"/>
                <w:color w:val="auto"/>
              </w:rPr>
              <w:t>Dispositions</w:t>
            </w:r>
          </w:p>
        </w:tc>
        <w:tc>
          <w:tcPr>
            <w:tcW w:w="92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130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Adjustments</w:t>
            </w: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7"/>
        </w:trPr>
        <w:tc>
          <w:tcPr>
            <w:tcW w:w="27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June 30, 2012</w:t>
            </w:r>
          </w:p>
        </w:tc>
        <w:tc>
          <w:tcPr>
            <w:tcW w:w="920" w:type="dxa"/>
            <w:vAlign w:val="bottom"/>
            <w:tcBorders>
              <w:bottom w:val="single" w:sz="8" w:color="auto"/>
            </w:tcBorders>
            <w:shd w:val="clear" w:color="auto" w:fill="E5E5E5"/>
          </w:tcPr>
          <w:p>
            <w:pPr>
              <w:ind w:left="7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12,207</w:t>
            </w:r>
          </w:p>
        </w:tc>
        <w:tc>
          <w:tcPr>
            <w:tcW w:w="1300" w:type="dxa"/>
            <w:vAlign w:val="bottom"/>
            <w:tcBorders>
              <w:bottom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b w:val="1"/>
                <w:bCs w:val="1"/>
                <w:color w:val="auto"/>
              </w:rPr>
              <w:t>$12,952</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b w:val="1"/>
                <w:bCs w:val="1"/>
                <w:color w:val="auto"/>
              </w:rPr>
              <w:t>762</w:t>
            </w:r>
          </w:p>
        </w:tc>
        <w:tc>
          <w:tcPr>
            <w:tcW w:w="4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b w:val="1"/>
                <w:bCs w:val="1"/>
                <w:color w:val="auto"/>
              </w:rPr>
              <w:t>1</w:t>
            </w:r>
          </w:p>
        </w:tc>
        <w:tc>
          <w:tcPr>
            <w:tcW w:w="860" w:type="dxa"/>
            <w:vAlign w:val="bottom"/>
            <w:tcBorders>
              <w:bottom w:val="single" w:sz="8" w:color="auto"/>
            </w:tcBorders>
            <w:shd w:val="clear" w:color="auto" w:fill="E5E5E5"/>
          </w:tcPr>
          <w:p>
            <w:pPr>
              <w:jc w:val="right"/>
              <w:ind w:right="38"/>
              <w:spacing w:after="0"/>
              <w:rPr>
                <w:sz w:val="20"/>
                <w:szCs w:val="20"/>
                <w:color w:val="auto"/>
              </w:rPr>
            </w:pPr>
            <w:r>
              <w:rPr>
                <w:rFonts w:ascii="Arial" w:cs="Arial" w:eastAsia="Arial" w:hAnsi="Arial"/>
                <w:sz w:val="18"/>
                <w:szCs w:val="18"/>
                <w:b w:val="1"/>
                <w:bCs w:val="1"/>
                <w:color w:val="auto"/>
              </w:rPr>
              <w:t>$1,079</w:t>
            </w:r>
          </w:p>
        </w:tc>
        <w:tc>
          <w:tcPr>
            <w:tcW w:w="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b w:val="1"/>
                <w:bCs w:val="1"/>
                <w:color w:val="auto"/>
              </w:rPr>
              <w:t>9</w:t>
            </w:r>
          </w:p>
        </w:tc>
        <w:tc>
          <w:tcPr>
            <w:tcW w:w="96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$27,010</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change in goodwill in our Cable Networks segment primarily relates to the acquisition in May 2012 of a controlling interest in a previously held equity method investment based in Brazil, which we now consolidate.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preliminary allocation of purchase price, including the change in goodwill, is not yet final and is subject to change. We will finalize the amounts recognized as we obtain the information necessary to complete the analysis, but no later than May 2013.</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2012, our debt had an estimated fair value of $43.2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Repayments and Redemptions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2012, we redeemed $563 million principal amount of the $1.1 billion aggregate principal amount outstanding of our 7% senior notes due 2055 and repaid at maturity $553 million principal amount of our 9.8% senior notes due 2012. In April 2012, we redeemed the remaining $563 million principal amount of our 7% senior notes due 2055.</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2012, we repaid $202 million principal amount of our 10.625% senior subordinated debentures due 2012 and redeemed $575 million principal amount of our 6.625% senior notes due 2056. The carrying amount of these senior subordinated debentures and senior notes was recorded in the current portion of long-term debt in our condensed consolidated balance sheet as of June 30, 2012.</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2012, we issued $1 billion aggregate principal amount of 3.125% senior notes due 2022 and $1.25 billion aggregate principal amount of 4.650% senior notes due 2042. A portion of the proceeds from this offering was used to fund the repayment of the 10.625% senior subordinated debentures and the redemption of the 6.625% senior notes in July 2012.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2012, net repayments of commercial paper by NBCUniversal were $550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2012, Comcast and Comcast Cable Communications, LLC entered into a new $6.25 billion revolving credit facility due June 2017 that may be used for general corporate purposes with a syndicate of banks. The new revolving credit facility replaces our prior $6.8 billion revolving credit facility, which was terminated in connection with the execution of the new revolving credit facility. The interest rate on the new facility consists of a base rate plus a borrowing margin that is determined based on Comcast’s credit rating. As of June 30, 2012, the borrowing margin for borrowings based on the London Interbank Offered Rate (“LIBOR”) was 1.125%. The terms of the new revolving credit facility’s financial covenants and guarantees are substantially the same as those under the prior revolving credit facility. As of June 30, 2012, amounts available under the new facility totaled $5.8 billion.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Derivative Financial Instruments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We use derivative financial instruments to manage our exposure to the risks associated with fluctuations in interest rates, foreign exchange rates and equity prices.</w:t>
      </w:r>
    </w:p>
    <w:p>
      <w:pPr>
        <w:spacing w:after="0" w:line="11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manage our exposure to fluctuations in interest rates by using derivative financial instruments such as interest rate exchange agreements (“swaps”), interest rate lock agreements (“rate locks”) and interest rate collars (“collars”). We sometimes enter into rate locks or collars to hedge the risk that the cash flows related to the interest payments on an anticipated issuance or assumption of fixed-rate debt may be adversely affected by interest rate fluctuations.</w:t>
      </w:r>
    </w:p>
    <w:p>
      <w:pPr>
        <w:spacing w:after="0" w:line="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manage our exposure to fluctuations in foreign exchange rates by using foreign exchange contracts such as forward contracts and currency options, as well as cross-currency swaps for our foreign currency denominated borrowings.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exposure to and benefits from price fluctuations in the common stock of some of our investments by using equity derivative financial instruments embedded in other contracts, such as prepaid forward sale agreements, whose values, in part, are derived from the market value of certain publicly traded common stock.</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counterparties’ credit ratings. As of June 30, 2012, neither we nor any of the counterparties were required to post collateral under the terms of the agreements.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 months ended June 30, 2012, there were no significant changes in the composition of any of our derivative financial instruments or their classification in our condensed consolidated balance sheet. In addition, the impact of our derivative financial instruments on our condensed consolidated financial statements was not material for the three and six months ended June 30, 2012 and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additional information on the fair value of our derivative financial instruments as of June 30, 2012 and December 31, 2011.</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 as of</w:t>
            </w: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80"/>
              <w:spacing w:after="0" w:line="131"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59"/>
        </w:trPr>
        <w:tc>
          <w:tcPr>
            <w:tcW w:w="67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592"/>
              <w:spacing w:after="0" w:line="159" w:lineRule="exact"/>
              <w:rPr>
                <w:sz w:val="20"/>
                <w:szCs w:val="20"/>
                <w:color w:val="auto"/>
              </w:rPr>
            </w:pPr>
            <w:r>
              <w:rPr>
                <w:rFonts w:ascii="Arial" w:cs="Arial" w:eastAsia="Arial" w:hAnsi="Arial"/>
                <w:sz w:val="14"/>
                <w:szCs w:val="14"/>
                <w:color w:val="auto"/>
              </w:rPr>
              <w:t>June 30, 2012</w:t>
            </w:r>
          </w:p>
        </w:tc>
        <w:tc>
          <w:tcPr>
            <w:tcW w:w="7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5"/>
              <w:spacing w:after="0" w:line="15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42"/>
        </w:trPr>
        <w:tc>
          <w:tcPr>
            <w:tcW w:w="6700" w:type="dxa"/>
            <w:vAlign w:val="bottom"/>
            <w:gridSpan w:val="2"/>
            <w:vMerge w:val="continue"/>
          </w:tcPr>
          <w:p>
            <w:pPr>
              <w:spacing w:after="0"/>
              <w:rPr>
                <w:sz w:val="12"/>
                <w:szCs w:val="12"/>
                <w:color w:val="auto"/>
              </w:rPr>
            </w:pPr>
          </w:p>
        </w:tc>
        <w:tc>
          <w:tcPr>
            <w:tcW w:w="1020" w:type="dxa"/>
            <w:vAlign w:val="bottom"/>
            <w:gridSpan w:val="2"/>
          </w:tcPr>
          <w:p>
            <w:pPr>
              <w:jc w:val="right"/>
              <w:ind w:right="152"/>
              <w:spacing w:after="0" w:line="142" w:lineRule="exact"/>
              <w:rPr>
                <w:sz w:val="20"/>
                <w:szCs w:val="20"/>
                <w:color w:val="auto"/>
              </w:rPr>
            </w:pPr>
            <w:r>
              <w:rPr>
                <w:rFonts w:ascii="Arial" w:cs="Arial" w:eastAsia="Arial" w:hAnsi="Arial"/>
                <w:sz w:val="14"/>
                <w:szCs w:val="14"/>
                <w:color w:val="auto"/>
              </w:rPr>
              <w:t>Level 1</w:t>
            </w:r>
          </w:p>
        </w:tc>
        <w:tc>
          <w:tcPr>
            <w:tcW w:w="880" w:type="dxa"/>
            <w:vAlign w:val="bottom"/>
            <w:gridSpan w:val="2"/>
          </w:tcPr>
          <w:p>
            <w:pPr>
              <w:jc w:val="right"/>
              <w:ind w:right="134"/>
              <w:spacing w:after="0" w:line="142" w:lineRule="exact"/>
              <w:rPr>
                <w:sz w:val="20"/>
                <w:szCs w:val="20"/>
                <w:color w:val="auto"/>
              </w:rPr>
            </w:pPr>
            <w:r>
              <w:rPr>
                <w:rFonts w:ascii="Arial" w:cs="Arial" w:eastAsia="Arial" w:hAnsi="Arial"/>
                <w:sz w:val="14"/>
                <w:szCs w:val="14"/>
                <w:color w:val="auto"/>
              </w:rPr>
              <w:t>Level 2</w:t>
            </w:r>
          </w:p>
        </w:tc>
        <w:tc>
          <w:tcPr>
            <w:tcW w:w="1080" w:type="dxa"/>
            <w:vAlign w:val="bottom"/>
            <w:gridSpan w:val="2"/>
          </w:tcPr>
          <w:p>
            <w:pPr>
              <w:jc w:val="right"/>
              <w:ind w:right="312"/>
              <w:spacing w:after="0" w:line="142" w:lineRule="exact"/>
              <w:rPr>
                <w:sz w:val="20"/>
                <w:szCs w:val="20"/>
                <w:color w:val="auto"/>
              </w:rPr>
            </w:pPr>
            <w:r>
              <w:rPr>
                <w:rFonts w:ascii="Arial" w:cs="Arial" w:eastAsia="Arial" w:hAnsi="Arial"/>
                <w:sz w:val="14"/>
                <w:szCs w:val="14"/>
                <w:color w:val="auto"/>
              </w:rPr>
              <w:t>Level 3</w:t>
            </w:r>
          </w:p>
        </w:tc>
        <w:tc>
          <w:tcPr>
            <w:tcW w:w="740" w:type="dxa"/>
            <w:vAlign w:val="bottom"/>
          </w:tcPr>
          <w:p>
            <w:pPr>
              <w:jc w:val="right"/>
              <w:ind w:right="214"/>
              <w:spacing w:after="0" w:line="142" w:lineRule="exact"/>
              <w:rPr>
                <w:sz w:val="20"/>
                <w:szCs w:val="20"/>
                <w:color w:val="auto"/>
              </w:rPr>
            </w:pPr>
            <w:r>
              <w:rPr>
                <w:rFonts w:ascii="Arial" w:cs="Arial" w:eastAsia="Arial" w:hAnsi="Arial"/>
                <w:sz w:val="14"/>
                <w:szCs w:val="14"/>
                <w:color w:val="auto"/>
              </w:rPr>
              <w:t>Total</w:t>
            </w:r>
          </w:p>
        </w:tc>
        <w:tc>
          <w:tcPr>
            <w:tcW w:w="340" w:type="dxa"/>
            <w:vAlign w:val="bottom"/>
          </w:tcPr>
          <w:p>
            <w:pPr>
              <w:spacing w:after="0"/>
              <w:rPr>
                <w:sz w:val="12"/>
                <w:szCs w:val="12"/>
                <w:color w:val="auto"/>
              </w:rPr>
            </w:pPr>
          </w:p>
        </w:tc>
        <w:tc>
          <w:tcPr>
            <w:tcW w:w="660" w:type="dxa"/>
            <w:vAlign w:val="bottom"/>
          </w:tcPr>
          <w:p>
            <w:pPr>
              <w:jc w:val="right"/>
              <w:ind w:right="215"/>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Trading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3,381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w w:val="98"/>
              </w:rPr>
              <w:t>$3,381</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5E5E5"/>
          </w:tcPr>
          <w:p>
            <w:pPr>
              <w:spacing w:after="0"/>
              <w:rPr>
                <w:sz w:val="20"/>
                <w:szCs w:val="20"/>
                <w:color w:val="auto"/>
              </w:rPr>
            </w:pPr>
            <w:r>
              <w:rPr>
                <w:rFonts w:ascii="Arial" w:cs="Arial" w:eastAsia="Arial" w:hAnsi="Arial"/>
                <w:sz w:val="18"/>
                <w:szCs w:val="18"/>
                <w:color w:val="auto"/>
              </w:rPr>
              <w:t>Interest rate swap agreements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235</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42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21</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14</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14</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warrants</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w:t>
            </w: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4"/>
              </w:rPr>
              <w:t>3,473</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267</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272"/>
              <w:spacing w:after="0"/>
              <w:rPr>
                <w:sz w:val="20"/>
                <w:szCs w:val="20"/>
                <w:color w:val="auto"/>
              </w:rPr>
            </w:pPr>
            <w:r>
              <w:rPr>
                <w:rFonts w:ascii="Arial" w:cs="Arial" w:eastAsia="Arial" w:hAnsi="Arial"/>
                <w:sz w:val="18"/>
                <w:szCs w:val="18"/>
                <w:color w:val="auto"/>
              </w:rPr>
              <w:t>23</w:t>
            </w: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8"/>
              </w:rPr>
              <w:t>$3,763</w:t>
            </w:r>
          </w:p>
        </w:tc>
        <w:tc>
          <w:tcPr>
            <w:tcW w:w="3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309"/>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E5E5E5"/>
          </w:tcPr>
          <w:p>
            <w:pPr>
              <w:spacing w:after="0"/>
              <w:rPr>
                <w:sz w:val="20"/>
                <w:szCs w:val="20"/>
                <w:color w:val="auto"/>
              </w:rPr>
            </w:pPr>
            <w:r>
              <w:rPr>
                <w:rFonts w:ascii="Arial" w:cs="Arial" w:eastAsia="Arial" w:hAnsi="Arial"/>
                <w:sz w:val="18"/>
                <w:szCs w:val="18"/>
                <w:color w:val="auto"/>
              </w:rPr>
              <w:t>Derivative component of prepaid forward sale</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agreements and indexed debt instruments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w w:val="84"/>
              </w:rPr>
              <w:t>1,683</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w w:val="98"/>
              </w:rPr>
              <w:t>$1,683</w:t>
            </w:r>
          </w:p>
        </w:tc>
        <w:tc>
          <w:tcPr>
            <w:tcW w:w="34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Contractual obligations</w:t>
            </w:r>
          </w:p>
        </w:tc>
        <w:tc>
          <w:tcPr>
            <w:tcW w:w="42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984</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984</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5E5E5"/>
          </w:tcPr>
          <w:p>
            <w:pPr>
              <w:spacing w:after="0"/>
              <w:rPr>
                <w:sz w:val="20"/>
                <w:szCs w:val="20"/>
                <w:color w:val="auto"/>
              </w:rPr>
            </w:pPr>
            <w:r>
              <w:rPr>
                <w:rFonts w:ascii="Arial" w:cs="Arial" w:eastAsia="Arial" w:hAnsi="Arial"/>
                <w:sz w:val="18"/>
                <w:szCs w:val="18"/>
                <w:color w:val="auto"/>
              </w:rPr>
              <w:t>Contingent consideration</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598</w:t>
            </w: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598</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Cross-currency swap agreements</w:t>
            </w:r>
          </w:p>
        </w:tc>
        <w:tc>
          <w:tcPr>
            <w:tcW w:w="42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84"/>
              </w:rPr>
              <w:t>1,781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84"/>
              </w:rPr>
              <w:t>1,582</w:t>
            </w: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8"/>
              </w:rPr>
              <w:t>$3,363</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fair values of the contractual obligations and contingent consideration in the table above are primarily based on certain expected future discounted cash flows, the determination of which involves the use of significant unobservable inputs. The most significant unobservable input we use is our estimate of the future revenue we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expect to generate from certain NBCUniversal entities that is related to our contractual obligations and future payments to GE that are related to contingent consideration. The discount rates used in the measurements of fair value were between 5.6% and 13.0% and are based on the underlying risk associated with our estimate of future revenue, as well as the terms of the respective contracts, and the uncertainty in the timing of our payments to GE. Fair value adjustments to these liabilities are recorded in other income (expense), net in our condensed consolidated statement of income.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Contractual Obligations and Contingent Consideration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4360" w:type="dxa"/>
            <w:vAlign w:val="bottom"/>
            <w:gridSpan w:val="2"/>
          </w:tcPr>
          <w:p>
            <w:pPr>
              <w:ind w:left="3280"/>
              <w:spacing w:after="0"/>
              <w:rPr>
                <w:sz w:val="20"/>
                <w:szCs w:val="20"/>
                <w:color w:val="auto"/>
              </w:rPr>
            </w:pPr>
            <w:r>
              <w:rPr>
                <w:rFonts w:ascii="Arial" w:cs="Arial" w:eastAsia="Arial" w:hAnsi="Arial"/>
                <w:sz w:val="14"/>
                <w:szCs w:val="14"/>
                <w:color w:val="auto"/>
              </w:rPr>
              <w:t>Contractual</w:t>
            </w:r>
          </w:p>
        </w:tc>
        <w:tc>
          <w:tcPr>
            <w:tcW w:w="1260" w:type="dxa"/>
            <w:vAlign w:val="bottom"/>
            <w:gridSpan w:val="2"/>
          </w:tcPr>
          <w:p>
            <w:pPr>
              <w:jc w:val="right"/>
              <w:ind w:right="112"/>
              <w:spacing w:after="0"/>
              <w:rPr>
                <w:sz w:val="20"/>
                <w:szCs w:val="20"/>
                <w:color w:val="auto"/>
              </w:rPr>
            </w:pPr>
            <w:r>
              <w:rPr>
                <w:rFonts w:ascii="Arial" w:cs="Arial" w:eastAsia="Arial" w:hAnsi="Arial"/>
                <w:sz w:val="14"/>
                <w:szCs w:val="14"/>
                <w:color w:val="auto"/>
              </w:rPr>
              <w:t>Contingent</w:t>
            </w:r>
          </w:p>
        </w:tc>
      </w:tr>
      <w:tr>
        <w:trPr>
          <w:trHeight w:val="159"/>
        </w:trPr>
        <w:tc>
          <w:tcPr>
            <w:tcW w:w="58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360" w:type="dxa"/>
            <w:vAlign w:val="bottom"/>
            <w:tcBorders>
              <w:bottom w:val="single" w:sz="8" w:color="auto"/>
            </w:tcBorders>
            <w:gridSpan w:val="2"/>
          </w:tcPr>
          <w:p>
            <w:pPr>
              <w:ind w:left="3280"/>
              <w:spacing w:after="0" w:line="159" w:lineRule="exact"/>
              <w:rPr>
                <w:sz w:val="20"/>
                <w:szCs w:val="20"/>
                <w:color w:val="auto"/>
              </w:rPr>
            </w:pPr>
            <w:r>
              <w:rPr>
                <w:rFonts w:ascii="Arial" w:cs="Arial" w:eastAsia="Arial" w:hAnsi="Arial"/>
                <w:sz w:val="14"/>
                <w:szCs w:val="14"/>
                <w:color w:val="auto"/>
              </w:rPr>
              <w:t>Obligations</w:t>
            </w:r>
          </w:p>
        </w:tc>
        <w:tc>
          <w:tcPr>
            <w:tcW w:w="126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w w:val="99"/>
              </w:rPr>
              <w:t>Consideration</w:t>
            </w:r>
          </w:p>
        </w:tc>
      </w:tr>
      <w:tr>
        <w:trPr>
          <w:trHeight w:val="210"/>
        </w:trPr>
        <w:tc>
          <w:tcPr>
            <w:tcW w:w="580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2011</w:t>
            </w:r>
          </w:p>
        </w:tc>
        <w:tc>
          <w:tcPr>
            <w:tcW w:w="3440" w:type="dxa"/>
            <w:vAlign w:val="bottom"/>
            <w:shd w:val="clear" w:color="auto" w:fill="E5E5E5"/>
          </w:tcPr>
          <w:p>
            <w:pPr>
              <w:ind w:left="3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72"/>
              <w:spacing w:after="0"/>
              <w:rPr>
                <w:sz w:val="20"/>
                <w:szCs w:val="20"/>
                <w:color w:val="auto"/>
              </w:rPr>
            </w:pPr>
            <w:r>
              <w:rPr>
                <w:rFonts w:ascii="Arial" w:cs="Arial" w:eastAsia="Arial" w:hAnsi="Arial"/>
                <w:sz w:val="18"/>
                <w:szCs w:val="18"/>
                <w:color w:val="auto"/>
                <w:w w:val="97"/>
              </w:rPr>
              <w:t>1,004</w:t>
            </w:r>
          </w:p>
        </w:tc>
        <w:tc>
          <w:tcPr>
            <w:tcW w:w="68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583</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Acquisition accounting adjustments</w:t>
            </w:r>
          </w:p>
        </w:tc>
        <w:tc>
          <w:tcPr>
            <w:tcW w:w="344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E5E5E5"/>
          </w:tcPr>
          <w:p>
            <w:pPr>
              <w:spacing w:after="0"/>
              <w:rPr>
                <w:sz w:val="20"/>
                <w:szCs w:val="20"/>
                <w:color w:val="auto"/>
              </w:rPr>
            </w:pPr>
            <w:r>
              <w:rPr>
                <w:rFonts w:ascii="Arial" w:cs="Arial" w:eastAsia="Arial" w:hAnsi="Arial"/>
                <w:sz w:val="18"/>
                <w:szCs w:val="18"/>
                <w:color w:val="auto"/>
              </w:rPr>
              <w:t>Fair value adjustments</w:t>
            </w:r>
          </w:p>
        </w:tc>
        <w:tc>
          <w:tcPr>
            <w:tcW w:w="34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72"/>
              <w:spacing w:after="0"/>
              <w:rPr>
                <w:sz w:val="20"/>
                <w:szCs w:val="20"/>
                <w:color w:val="auto"/>
              </w:rPr>
            </w:pPr>
            <w:r>
              <w:rPr>
                <w:rFonts w:ascii="Arial" w:cs="Arial" w:eastAsia="Arial" w:hAnsi="Arial"/>
                <w:sz w:val="18"/>
                <w:szCs w:val="18"/>
                <w:color w:val="auto"/>
              </w:rPr>
              <w:t>41</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41</w:t>
            </w:r>
          </w:p>
        </w:tc>
      </w:tr>
      <w:tr>
        <w:trPr>
          <w:trHeight w:val="216"/>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w:t>
            </w:r>
          </w:p>
        </w:tc>
        <w:tc>
          <w:tcPr>
            <w:tcW w:w="3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(41)</w:t>
            </w: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17"/>
        </w:trPr>
        <w:tc>
          <w:tcPr>
            <w:tcW w:w="58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June 30, 2012</w:t>
            </w:r>
          </w:p>
        </w:tc>
        <w:tc>
          <w:tcPr>
            <w:tcW w:w="3440" w:type="dxa"/>
            <w:vAlign w:val="bottom"/>
            <w:tcBorders>
              <w:bottom w:val="single" w:sz="8" w:color="auto"/>
            </w:tcBorders>
            <w:shd w:val="clear" w:color="auto" w:fill="E5E5E5"/>
          </w:tcPr>
          <w:p>
            <w:pPr>
              <w:ind w:left="32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72"/>
              <w:spacing w:after="0"/>
              <w:rPr>
                <w:sz w:val="20"/>
                <w:szCs w:val="20"/>
                <w:color w:val="auto"/>
              </w:rPr>
            </w:pPr>
            <w:r>
              <w:rPr>
                <w:rFonts w:ascii="Arial" w:cs="Arial" w:eastAsia="Arial" w:hAnsi="Arial"/>
                <w:sz w:val="18"/>
                <w:szCs w:val="18"/>
                <w:b w:val="1"/>
                <w:bCs w:val="1"/>
                <w:color w:val="auto"/>
              </w:rPr>
              <w:t>984</w:t>
            </w:r>
          </w:p>
        </w:tc>
        <w:tc>
          <w:tcPr>
            <w:tcW w:w="68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598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Noncontrolling Interests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of the subsidiaries that we consolidate are not wholly owned. Some of the agreements with the minority partners of these subsidiaries contain redemption features whereby interests held by the minority partners, including GE’s 49% interest in NBCUniversal, are redeemable either (i) at the option of the holder or</w:t>
      </w:r>
    </w:p>
    <w:p>
      <w:pPr>
        <w:jc w:val="both"/>
        <w:ind w:firstLine="8"/>
        <w:spacing w:after="0" w:line="302"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changes in equity resulting from net income attributable to Comcast Corporation and transfers to or from noncontrolling interests.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60" w:type="dxa"/>
            <w:vAlign w:val="bottom"/>
            <w:gridSpan w:val="2"/>
          </w:tcPr>
          <w:p>
            <w:pPr>
              <w:jc w:val="right"/>
              <w:ind w:right="219"/>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5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8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19"/>
              <w:spacing w:after="0" w:line="159" w:lineRule="exact"/>
              <w:rPr>
                <w:sz w:val="20"/>
                <w:szCs w:val="20"/>
                <w:color w:val="auto"/>
              </w:rPr>
            </w:pPr>
            <w:r>
              <w:rPr>
                <w:rFonts w:ascii="Arial" w:cs="Arial" w:eastAsia="Arial" w:hAnsi="Arial"/>
                <w:sz w:val="14"/>
                <w:szCs w:val="14"/>
                <w:color w:val="auto"/>
                <w:w w:val="80"/>
              </w:rPr>
              <w:t>June 30</w:t>
            </w:r>
          </w:p>
        </w:tc>
        <w:tc>
          <w:tcPr>
            <w:tcW w:w="0" w:type="dxa"/>
            <w:vAlign w:val="bottom"/>
          </w:tcPr>
          <w:p>
            <w:pPr>
              <w:spacing w:after="0"/>
              <w:rPr>
                <w:sz w:val="1"/>
                <w:szCs w:val="1"/>
                <w:color w:val="auto"/>
              </w:rPr>
            </w:pPr>
          </w:p>
        </w:tc>
      </w:tr>
      <w:tr>
        <w:trPr>
          <w:trHeight w:val="142"/>
        </w:trPr>
        <w:tc>
          <w:tcPr>
            <w:tcW w:w="956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2012</w:t>
            </w:r>
          </w:p>
        </w:tc>
        <w:tc>
          <w:tcPr>
            <w:tcW w:w="10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9560" w:type="dxa"/>
            <w:vAlign w:val="bottom"/>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$2,572</w:t>
            </w:r>
          </w:p>
        </w:tc>
        <w:tc>
          <w:tcPr>
            <w:tcW w:w="102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7"/>
              </w:rPr>
              <w:t>Increase in Comcast Corporation additional paid-in capital resulting from the issuance of noncontrolling equity interest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95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Increase in Comcast Corporation additional paid-in capital resulting from the purchase of noncontrolling interest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956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w w:val="93"/>
              </w:rPr>
              <w:t>Changes in equity resulting from net income attributable to Comcast Corporation and transfers from (to) noncontrolling</w:t>
            </w:r>
          </w:p>
        </w:tc>
        <w:tc>
          <w:tcPr>
            <w:tcW w:w="84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5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interests</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$2,574</w:t>
            </w:r>
          </w:p>
        </w:tc>
        <w:tc>
          <w:tcPr>
            <w:tcW w:w="102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b w:val="1"/>
                <w:bCs w:val="1"/>
                <w:color w:val="auto"/>
              </w:rPr>
              <w:t>$3,657</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Pension Plans and Postretirement Benefits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the components of net periodic benefit expense related to our active pension plans and postretirement benefit plans.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color w:val="auto"/>
                <w:w w:val="97"/>
              </w:rPr>
              <w:t>Three Months Ended June 30</w:t>
            </w: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2012</w:t>
            </w: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2011</w:t>
            </w:r>
          </w:p>
        </w:tc>
        <w:tc>
          <w:tcPr>
            <w:tcW w:w="760" w:type="dxa"/>
            <w:vAlign w:val="bottom"/>
            <w:tcBorders>
              <w:bottom w:val="single" w:sz="8" w:color="auto"/>
            </w:tcBorders>
          </w:tcPr>
          <w:p>
            <w:pPr>
              <w:spacing w:after="0"/>
              <w:rPr>
                <w:sz w:val="12"/>
                <w:szCs w:val="12"/>
                <w:color w:val="auto"/>
              </w:rPr>
            </w:pPr>
          </w:p>
        </w:tc>
      </w:tr>
      <w:tr>
        <w:trPr>
          <w:trHeight w:val="131"/>
        </w:trPr>
        <w:tc>
          <w:tcPr>
            <w:tcW w:w="36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gridSpan w:val="2"/>
          </w:tcPr>
          <w:p>
            <w:pPr>
              <w:ind w:left="660"/>
              <w:spacing w:after="0" w:line="131" w:lineRule="exact"/>
              <w:rPr>
                <w:sz w:val="20"/>
                <w:szCs w:val="20"/>
                <w:color w:val="auto"/>
              </w:rPr>
            </w:pPr>
            <w:r>
              <w:rPr>
                <w:rFonts w:ascii="Arial" w:cs="Arial" w:eastAsia="Arial" w:hAnsi="Arial"/>
                <w:sz w:val="14"/>
                <w:szCs w:val="14"/>
                <w:color w:val="auto"/>
              </w:rPr>
              <w:t>Pension</w:t>
            </w:r>
          </w:p>
        </w:tc>
        <w:tc>
          <w:tcPr>
            <w:tcW w:w="1700" w:type="dxa"/>
            <w:vAlign w:val="bottom"/>
            <w:gridSpan w:val="2"/>
          </w:tcPr>
          <w:p>
            <w:pPr>
              <w:ind w:left="540"/>
              <w:spacing w:after="0" w:line="131" w:lineRule="exact"/>
              <w:rPr>
                <w:sz w:val="20"/>
                <w:szCs w:val="20"/>
                <w:color w:val="auto"/>
              </w:rPr>
            </w:pPr>
            <w:r>
              <w:rPr>
                <w:rFonts w:ascii="Arial" w:cs="Arial" w:eastAsia="Arial" w:hAnsi="Arial"/>
                <w:sz w:val="14"/>
                <w:szCs w:val="14"/>
                <w:color w:val="auto"/>
              </w:rPr>
              <w:t>Postretirement</w:t>
            </w:r>
          </w:p>
        </w:tc>
        <w:tc>
          <w:tcPr>
            <w:tcW w:w="1020" w:type="dxa"/>
            <w:vAlign w:val="bottom"/>
            <w:gridSpan w:val="2"/>
          </w:tcPr>
          <w:p>
            <w:pPr>
              <w:ind w:left="380"/>
              <w:spacing w:after="0" w:line="131" w:lineRule="exact"/>
              <w:rPr>
                <w:sz w:val="20"/>
                <w:szCs w:val="20"/>
                <w:color w:val="auto"/>
              </w:rPr>
            </w:pPr>
            <w:r>
              <w:rPr>
                <w:rFonts w:ascii="Arial" w:cs="Arial" w:eastAsia="Arial" w:hAnsi="Arial"/>
                <w:sz w:val="14"/>
                <w:szCs w:val="14"/>
                <w:color w:val="auto"/>
              </w:rPr>
              <w:t>Pension</w:t>
            </w:r>
          </w:p>
        </w:tc>
        <w:tc>
          <w:tcPr>
            <w:tcW w:w="1440" w:type="dxa"/>
            <w:vAlign w:val="bottom"/>
            <w:gridSpan w:val="2"/>
          </w:tcPr>
          <w:p>
            <w:pPr>
              <w:ind w:left="560"/>
              <w:spacing w:after="0" w:line="131" w:lineRule="exact"/>
              <w:rPr>
                <w:sz w:val="20"/>
                <w:szCs w:val="20"/>
                <w:color w:val="auto"/>
              </w:rPr>
            </w:pPr>
            <w:r>
              <w:rPr>
                <w:rFonts w:ascii="Arial" w:cs="Arial" w:eastAsia="Arial" w:hAnsi="Arial"/>
                <w:sz w:val="14"/>
                <w:szCs w:val="14"/>
                <w:color w:val="auto"/>
                <w:w w:val="94"/>
              </w:rPr>
              <w:t>Postretirement</w:t>
            </w:r>
          </w:p>
        </w:tc>
      </w:tr>
      <w:tr>
        <w:trPr>
          <w:trHeight w:val="159"/>
        </w:trPr>
        <w:tc>
          <w:tcPr>
            <w:tcW w:w="36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22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660"/>
              <w:spacing w:after="0" w:line="159" w:lineRule="exact"/>
              <w:rPr>
                <w:sz w:val="20"/>
                <w:szCs w:val="20"/>
                <w:color w:val="auto"/>
              </w:rPr>
            </w:pPr>
            <w:r>
              <w:rPr>
                <w:rFonts w:ascii="Arial" w:cs="Arial" w:eastAsia="Arial" w:hAnsi="Arial"/>
                <w:sz w:val="14"/>
                <w:szCs w:val="14"/>
                <w:color w:val="auto"/>
              </w:rPr>
              <w:t>Benefits</w:t>
            </w:r>
          </w:p>
        </w:tc>
        <w:tc>
          <w:tcPr>
            <w:tcW w:w="6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9" w:lineRule="exact"/>
              <w:rPr>
                <w:sz w:val="20"/>
                <w:szCs w:val="20"/>
                <w:color w:val="auto"/>
              </w:rPr>
            </w:pPr>
            <w:r>
              <w:rPr>
                <w:rFonts w:ascii="Arial" w:cs="Arial" w:eastAsia="Arial" w:hAnsi="Arial"/>
                <w:sz w:val="14"/>
                <w:szCs w:val="14"/>
                <w:color w:val="auto"/>
                <w:w w:val="94"/>
              </w:rPr>
              <w:t>Benefits</w:t>
            </w:r>
          </w:p>
        </w:tc>
        <w:tc>
          <w:tcPr>
            <w:tcW w:w="102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w w:val="94"/>
              </w:rPr>
              <w:t>Benefits</w:t>
            </w:r>
          </w:p>
        </w:tc>
      </w:tr>
      <w:tr>
        <w:trPr>
          <w:trHeight w:val="210"/>
        </w:trPr>
        <w:tc>
          <w:tcPr>
            <w:tcW w:w="3640" w:type="dxa"/>
            <w:vAlign w:val="bottom"/>
            <w:shd w:val="clear" w:color="auto" w:fill="E5E5E5"/>
          </w:tcPr>
          <w:p>
            <w:pPr>
              <w:spacing w:after="0"/>
              <w:rPr>
                <w:sz w:val="20"/>
                <w:szCs w:val="20"/>
                <w:color w:val="auto"/>
              </w:rPr>
            </w:pPr>
            <w:r>
              <w:rPr>
                <w:rFonts w:ascii="Arial" w:cs="Arial" w:eastAsia="Arial" w:hAnsi="Arial"/>
                <w:sz w:val="18"/>
                <w:szCs w:val="18"/>
                <w:color w:val="auto"/>
              </w:rPr>
              <w:t>Service cost</w:t>
            </w:r>
          </w:p>
        </w:tc>
        <w:tc>
          <w:tcPr>
            <w:tcW w:w="3120" w:type="dxa"/>
            <w:vAlign w:val="bottom"/>
            <w:gridSpan w:val="2"/>
            <w:shd w:val="clear" w:color="auto" w:fill="E5E5E5"/>
          </w:tcPr>
          <w:p>
            <w:pPr>
              <w:ind w:left="294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31</w:t>
            </w:r>
          </w:p>
        </w:tc>
        <w:tc>
          <w:tcPr>
            <w:tcW w:w="66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299"/>
              <w:spacing w:after="0"/>
              <w:rPr>
                <w:sz w:val="20"/>
                <w:szCs w:val="20"/>
                <w:color w:val="auto"/>
              </w:rPr>
            </w:pPr>
            <w:r>
              <w:rPr>
                <w:rFonts w:ascii="Arial" w:cs="Arial" w:eastAsia="Arial" w:hAnsi="Arial"/>
                <w:sz w:val="18"/>
                <w:szCs w:val="18"/>
                <w:color w:val="auto"/>
              </w:rPr>
              <w:t>8</w:t>
            </w:r>
          </w:p>
        </w:tc>
        <w:tc>
          <w:tcPr>
            <w:tcW w:w="56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27</w:t>
            </w:r>
          </w:p>
        </w:tc>
        <w:tc>
          <w:tcPr>
            <w:tcW w:w="680" w:type="dxa"/>
            <w:vAlign w:val="bottom"/>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8</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Interest cost</w:t>
            </w: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1040" w:type="dxa"/>
            <w:vAlign w:val="bottom"/>
          </w:tcPr>
          <w:p>
            <w:pPr>
              <w:jc w:val="right"/>
              <w:ind w:right="299"/>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8</w:t>
            </w:r>
          </w:p>
        </w:tc>
      </w:tr>
      <w:tr>
        <w:trPr>
          <w:trHeight w:val="216"/>
        </w:trPr>
        <w:tc>
          <w:tcPr>
            <w:tcW w:w="3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2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66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29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w:t>
            </w:r>
          </w:p>
        </w:tc>
      </w:tr>
      <w:tr>
        <w:trPr>
          <w:trHeight w:val="217"/>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benefits expense</w:t>
            </w:r>
          </w:p>
        </w:tc>
        <w:tc>
          <w:tcPr>
            <w:tcW w:w="3120" w:type="dxa"/>
            <w:vAlign w:val="bottom"/>
            <w:tcBorders>
              <w:bottom w:val="single" w:sz="8" w:color="auto"/>
            </w:tcBorders>
            <w:gridSpan w:val="2"/>
          </w:tcPr>
          <w:p>
            <w:pPr>
              <w:ind w:left="294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35</w:t>
            </w:r>
          </w:p>
        </w:tc>
        <w:tc>
          <w:tcPr>
            <w:tcW w:w="6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b w:val="1"/>
                <w:bCs w:val="1"/>
                <w:color w:val="auto"/>
              </w:rPr>
              <w:t>16</w:t>
            </w: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30</w:t>
            </w:r>
          </w:p>
        </w:tc>
        <w:tc>
          <w:tcPr>
            <w:tcW w:w="6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w:t>
            </w:r>
          </w:p>
        </w:tc>
      </w:tr>
      <w:tr>
        <w:trPr>
          <w:trHeight w:val="363"/>
        </w:trPr>
        <w:tc>
          <w:tcPr>
            <w:tcW w:w="3640" w:type="dxa"/>
            <w:vAlign w:val="bottom"/>
          </w:tcPr>
          <w:p>
            <w:pPr>
              <w:spacing w:after="0"/>
              <w:rPr>
                <w:sz w:val="24"/>
                <w:szCs w:val="24"/>
                <w:color w:val="auto"/>
              </w:rPr>
            </w:pPr>
          </w:p>
        </w:tc>
        <w:tc>
          <w:tcPr>
            <w:tcW w:w="22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color w:val="auto"/>
              </w:rPr>
              <w:t>Six Months Ended June 30</w:t>
            </w:r>
          </w:p>
        </w:tc>
        <w:tc>
          <w:tcPr>
            <w:tcW w:w="6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2012</w:t>
            </w: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2011</w:t>
            </w:r>
          </w:p>
        </w:tc>
        <w:tc>
          <w:tcPr>
            <w:tcW w:w="780" w:type="dxa"/>
            <w:vAlign w:val="bottom"/>
            <w:tcBorders>
              <w:bottom w:val="single" w:sz="8" w:color="auto"/>
            </w:tcBorders>
          </w:tcPr>
          <w:p>
            <w:pPr>
              <w:spacing w:after="0"/>
              <w:rPr>
                <w:sz w:val="12"/>
                <w:szCs w:val="12"/>
                <w:color w:val="auto"/>
              </w:rPr>
            </w:pPr>
          </w:p>
        </w:tc>
      </w:tr>
      <w:tr>
        <w:trPr>
          <w:trHeight w:val="131"/>
        </w:trPr>
        <w:tc>
          <w:tcPr>
            <w:tcW w:w="5900" w:type="dxa"/>
            <w:vAlign w:val="bottom"/>
          </w:tcPr>
          <w:p>
            <w:pPr>
              <w:spacing w:after="0"/>
              <w:rPr>
                <w:sz w:val="11"/>
                <w:szCs w:val="11"/>
                <w:color w:val="auto"/>
              </w:rPr>
            </w:pPr>
          </w:p>
        </w:tc>
        <w:tc>
          <w:tcPr>
            <w:tcW w:w="1360" w:type="dxa"/>
            <w:vAlign w:val="bottom"/>
            <w:gridSpan w:val="2"/>
          </w:tcPr>
          <w:p>
            <w:pPr>
              <w:ind w:left="680"/>
              <w:spacing w:after="0" w:line="131" w:lineRule="exact"/>
              <w:rPr>
                <w:sz w:val="20"/>
                <w:szCs w:val="20"/>
                <w:color w:val="auto"/>
              </w:rPr>
            </w:pPr>
            <w:r>
              <w:rPr>
                <w:rFonts w:ascii="Arial" w:cs="Arial" w:eastAsia="Arial" w:hAnsi="Arial"/>
                <w:sz w:val="14"/>
                <w:szCs w:val="14"/>
                <w:color w:val="auto"/>
              </w:rPr>
              <w:t>Pension</w:t>
            </w:r>
          </w:p>
        </w:tc>
        <w:tc>
          <w:tcPr>
            <w:tcW w:w="1680" w:type="dxa"/>
            <w:vAlign w:val="bottom"/>
            <w:gridSpan w:val="2"/>
          </w:tcPr>
          <w:p>
            <w:pPr>
              <w:jc w:val="right"/>
              <w:ind w:right="298"/>
              <w:spacing w:after="0" w:line="131" w:lineRule="exact"/>
              <w:rPr>
                <w:sz w:val="20"/>
                <w:szCs w:val="20"/>
                <w:color w:val="auto"/>
              </w:rPr>
            </w:pPr>
            <w:r>
              <w:rPr>
                <w:rFonts w:ascii="Arial" w:cs="Arial" w:eastAsia="Arial" w:hAnsi="Arial"/>
                <w:sz w:val="14"/>
                <w:szCs w:val="14"/>
                <w:color w:val="auto"/>
              </w:rPr>
              <w:t>Postretirement</w:t>
            </w:r>
          </w:p>
        </w:tc>
        <w:tc>
          <w:tcPr>
            <w:tcW w:w="1040" w:type="dxa"/>
            <w:vAlign w:val="bottom"/>
            <w:gridSpan w:val="2"/>
          </w:tcPr>
          <w:p>
            <w:pPr>
              <w:ind w:left="380"/>
              <w:spacing w:after="0" w:line="131" w:lineRule="exact"/>
              <w:rPr>
                <w:sz w:val="20"/>
                <w:szCs w:val="20"/>
                <w:color w:val="auto"/>
              </w:rPr>
            </w:pPr>
            <w:r>
              <w:rPr>
                <w:rFonts w:ascii="Arial" w:cs="Arial" w:eastAsia="Arial" w:hAnsi="Arial"/>
                <w:sz w:val="14"/>
                <w:szCs w:val="14"/>
                <w:color w:val="auto"/>
              </w:rPr>
              <w:t>Pension</w:t>
            </w:r>
          </w:p>
        </w:tc>
        <w:tc>
          <w:tcPr>
            <w:tcW w:w="1440" w:type="dxa"/>
            <w:vAlign w:val="bottom"/>
            <w:gridSpan w:val="2"/>
          </w:tcPr>
          <w:p>
            <w:pPr>
              <w:ind w:left="540"/>
              <w:spacing w:after="0" w:line="131" w:lineRule="exact"/>
              <w:rPr>
                <w:sz w:val="20"/>
                <w:szCs w:val="20"/>
                <w:color w:val="auto"/>
              </w:rPr>
            </w:pPr>
            <w:r>
              <w:rPr>
                <w:rFonts w:ascii="Arial" w:cs="Arial" w:eastAsia="Arial" w:hAnsi="Arial"/>
                <w:sz w:val="14"/>
                <w:szCs w:val="14"/>
                <w:color w:val="auto"/>
                <w:w w:val="96"/>
              </w:rPr>
              <w:t>Postretirement</w:t>
            </w:r>
          </w:p>
        </w:tc>
      </w:tr>
      <w:tr>
        <w:trPr>
          <w:trHeight w:val="159"/>
        </w:trPr>
        <w:tc>
          <w:tcPr>
            <w:tcW w:w="59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360" w:type="dxa"/>
            <w:vAlign w:val="bottom"/>
            <w:tcBorders>
              <w:bottom w:val="single" w:sz="8" w:color="auto"/>
            </w:tcBorders>
            <w:gridSpan w:val="2"/>
          </w:tcPr>
          <w:p>
            <w:pPr>
              <w:ind w:left="660"/>
              <w:spacing w:after="0" w:line="159" w:lineRule="exact"/>
              <w:rPr>
                <w:sz w:val="20"/>
                <w:szCs w:val="20"/>
                <w:color w:val="auto"/>
              </w:rPr>
            </w:pPr>
            <w:r>
              <w:rPr>
                <w:rFonts w:ascii="Arial" w:cs="Arial" w:eastAsia="Arial" w:hAnsi="Arial"/>
                <w:sz w:val="14"/>
                <w:szCs w:val="14"/>
                <w:color w:val="auto"/>
              </w:rPr>
              <w:t>Benefits</w:t>
            </w: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8"/>
              <w:spacing w:after="0" w:line="159" w:lineRule="exact"/>
              <w:rPr>
                <w:sz w:val="20"/>
                <w:szCs w:val="20"/>
                <w:color w:val="auto"/>
              </w:rPr>
            </w:pPr>
            <w:r>
              <w:rPr>
                <w:rFonts w:ascii="Arial" w:cs="Arial" w:eastAsia="Arial" w:hAnsi="Arial"/>
                <w:sz w:val="14"/>
                <w:szCs w:val="14"/>
                <w:color w:val="auto"/>
                <w:w w:val="94"/>
              </w:rPr>
              <w:t>Benefits</w:t>
            </w:r>
          </w:p>
        </w:tc>
        <w:tc>
          <w:tcPr>
            <w:tcW w:w="104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rPr>
              <w:t>Benefits</w:t>
            </w:r>
          </w:p>
        </w:tc>
        <w:tc>
          <w:tcPr>
            <w:tcW w:w="6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6"/>
              <w:spacing w:after="0" w:line="159" w:lineRule="exact"/>
              <w:rPr>
                <w:sz w:val="20"/>
                <w:szCs w:val="20"/>
                <w:color w:val="auto"/>
              </w:rPr>
            </w:pPr>
            <w:r>
              <w:rPr>
                <w:rFonts w:ascii="Arial" w:cs="Arial" w:eastAsia="Arial" w:hAnsi="Arial"/>
                <w:sz w:val="14"/>
                <w:szCs w:val="14"/>
                <w:color w:val="auto"/>
                <w:w w:val="94"/>
              </w:rPr>
              <w:t>Benefits</w:t>
            </w:r>
          </w:p>
        </w:tc>
      </w:tr>
      <w:tr>
        <w:trPr>
          <w:trHeight w:val="210"/>
        </w:trPr>
        <w:tc>
          <w:tcPr>
            <w:tcW w:w="5900" w:type="dxa"/>
            <w:vAlign w:val="bottom"/>
            <w:shd w:val="clear" w:color="auto" w:fill="E5E5E5"/>
          </w:tcPr>
          <w:p>
            <w:pPr>
              <w:spacing w:after="0"/>
              <w:rPr>
                <w:sz w:val="20"/>
                <w:szCs w:val="20"/>
                <w:color w:val="auto"/>
              </w:rPr>
            </w:pPr>
            <w:r>
              <w:rPr>
                <w:rFonts w:ascii="Arial" w:cs="Arial" w:eastAsia="Arial" w:hAnsi="Arial"/>
                <w:sz w:val="18"/>
                <w:szCs w:val="18"/>
                <w:color w:val="auto"/>
              </w:rPr>
              <w:t>Service cost</w:t>
            </w:r>
          </w:p>
        </w:tc>
        <w:tc>
          <w:tcPr>
            <w:tcW w:w="84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63</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16</w:t>
            </w:r>
          </w:p>
        </w:tc>
        <w:tc>
          <w:tcPr>
            <w:tcW w:w="56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45</w:t>
            </w:r>
          </w:p>
        </w:tc>
        <w:tc>
          <w:tcPr>
            <w:tcW w:w="660" w:type="dxa"/>
            <w:vAlign w:val="bottom"/>
            <w:shd w:val="clear" w:color="auto" w:fill="E5E5E5"/>
          </w:tcPr>
          <w:p>
            <w:pPr>
              <w:ind w:left="5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15</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8"/>
                <w:szCs w:val="18"/>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8"/>
                <w:szCs w:val="18"/>
                <w:color w:val="auto"/>
              </w:rPr>
            </w:pPr>
          </w:p>
        </w:tc>
        <w:tc>
          <w:tcPr>
            <w:tcW w:w="1040" w:type="dxa"/>
            <w:vAlign w:val="bottom"/>
          </w:tcPr>
          <w:p>
            <w:pPr>
              <w:jc w:val="right"/>
              <w:ind w:right="278"/>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15</w:t>
            </w:r>
          </w:p>
        </w:tc>
      </w:tr>
      <w:tr>
        <w:trPr>
          <w:trHeight w:val="216"/>
        </w:trPr>
        <w:tc>
          <w:tcPr>
            <w:tcW w:w="5900" w:type="dxa"/>
            <w:vAlign w:val="bottom"/>
            <w:shd w:val="clear" w:color="auto" w:fill="E5E5E5"/>
          </w:tcPr>
          <w:p>
            <w:pPr>
              <w:spacing w:after="0"/>
              <w:rPr>
                <w:sz w:val="20"/>
                <w:szCs w:val="20"/>
                <w:color w:val="auto"/>
              </w:rPr>
            </w:pPr>
            <w:r>
              <w:rPr>
                <w:rFonts w:ascii="Arial" w:cs="Arial" w:eastAsia="Arial" w:hAnsi="Arial"/>
                <w:sz w:val="18"/>
                <w:szCs w:val="18"/>
                <w:color w:val="auto"/>
              </w:rPr>
              <w:t>Prior service cost</w:t>
            </w:r>
          </w:p>
        </w:tc>
        <w:tc>
          <w:tcPr>
            <w:tcW w:w="8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217"/>
        </w:trPr>
        <w:tc>
          <w:tcPr>
            <w:tcW w:w="5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benefits expense</w:t>
            </w:r>
          </w:p>
        </w:tc>
        <w:tc>
          <w:tcPr>
            <w:tcW w:w="840" w:type="dxa"/>
            <w:vAlign w:val="bottom"/>
            <w:tcBorders>
              <w:bottom w:val="single" w:sz="8" w:color="auto"/>
            </w:tcBorders>
            <w:shd w:val="clear" w:color="auto" w:fill="E5E5E5"/>
          </w:tcPr>
          <w:p>
            <w:pPr>
              <w:ind w:left="66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70</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E5E5E5"/>
          </w:tcPr>
          <w:p>
            <w:pPr>
              <w:jc w:val="right"/>
              <w:ind w:right="278"/>
              <w:spacing w:after="0"/>
              <w:rPr>
                <w:sz w:val="20"/>
                <w:szCs w:val="20"/>
                <w:color w:val="auto"/>
              </w:rPr>
            </w:pPr>
            <w:r>
              <w:rPr>
                <w:rFonts w:ascii="Arial" w:cs="Arial" w:eastAsia="Arial" w:hAnsi="Arial"/>
                <w:sz w:val="18"/>
                <w:szCs w:val="18"/>
                <w:b w:val="1"/>
                <w:bCs w:val="1"/>
                <w:color w:val="auto"/>
              </w:rPr>
              <w:t>31</w:t>
            </w:r>
          </w:p>
        </w:tc>
        <w:tc>
          <w:tcPr>
            <w:tcW w:w="5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51</w:t>
            </w:r>
          </w:p>
        </w:tc>
        <w:tc>
          <w:tcPr>
            <w:tcW w:w="66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17</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 April 2012, NBCUniversal provided initial funding to its qualified defined benefit plan of $76 million. The expected return on the plan assets is 5%.</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Share-Based Compensation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approach to long-term incentive compensation includes awarding stock options and restricted share units (“RSUs”) to certain employees and directors. We grant these awards under various plans. Additionally, through our employee stock purchase plans, employees are able to purchase shares of Comcast Class A common stock at a discount through payroll deductions.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2012, we granted 21.8 million stock options and 5.7 million RSUs related to our annual management grant program. The weighted-average fair values associated with these grants were $7.38 per stock option and $27.43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60" w:type="dxa"/>
            <w:vAlign w:val="bottom"/>
            <w:gridSpan w:val="3"/>
          </w:tcPr>
          <w:p>
            <w:pPr>
              <w:jc w:val="right"/>
              <w:ind w:right="556"/>
              <w:spacing w:after="0"/>
              <w:rPr>
                <w:sz w:val="20"/>
                <w:szCs w:val="20"/>
                <w:color w:val="auto"/>
              </w:rPr>
            </w:pPr>
            <w:r>
              <w:rPr>
                <w:rFonts w:ascii="Arial" w:cs="Arial" w:eastAsia="Arial" w:hAnsi="Arial"/>
                <w:sz w:val="14"/>
                <w:szCs w:val="14"/>
                <w:color w:val="auto"/>
                <w:w w:val="99"/>
              </w:rPr>
              <w:t>Three Months Ended</w:t>
            </w:r>
          </w:p>
        </w:tc>
        <w:tc>
          <w:tcPr>
            <w:tcW w:w="440" w:type="dxa"/>
            <w:vAlign w:val="bottom"/>
          </w:tcPr>
          <w:p>
            <w:pPr>
              <w:spacing w:after="0"/>
              <w:rPr>
                <w:sz w:val="14"/>
                <w:szCs w:val="14"/>
                <w:color w:val="auto"/>
              </w:rPr>
            </w:pPr>
          </w:p>
        </w:tc>
        <w:tc>
          <w:tcPr>
            <w:tcW w:w="1680" w:type="dxa"/>
            <w:vAlign w:val="bottom"/>
            <w:gridSpan w:val="3"/>
          </w:tcPr>
          <w:p>
            <w:pPr>
              <w:jc w:val="right"/>
              <w:ind w:right="336"/>
              <w:spacing w:after="0"/>
              <w:rPr>
                <w:sz w:val="20"/>
                <w:szCs w:val="20"/>
                <w:color w:val="auto"/>
              </w:rPr>
            </w:pPr>
            <w:r>
              <w:rPr>
                <w:rFonts w:ascii="Arial" w:cs="Arial" w:eastAsia="Arial" w:hAnsi="Arial"/>
                <w:sz w:val="14"/>
                <w:szCs w:val="14"/>
                <w:color w:val="auto"/>
              </w:rPr>
              <w:t>Six Months Ended</w:t>
            </w:r>
          </w:p>
        </w:tc>
      </w:tr>
      <w:tr>
        <w:trPr>
          <w:trHeight w:val="172"/>
        </w:trPr>
        <w:tc>
          <w:tcPr>
            <w:tcW w:w="66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w w:val="88"/>
              </w:rPr>
              <w:t>June 30</w:t>
            </w: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w w:val="92"/>
              </w:rPr>
              <w:t>June 30</w:t>
            </w:r>
          </w:p>
        </w:tc>
        <w:tc>
          <w:tcPr>
            <w:tcW w:w="480" w:type="dxa"/>
            <w:vAlign w:val="bottom"/>
            <w:tcBorders>
              <w:bottom w:val="single" w:sz="8" w:color="auto"/>
            </w:tcBorders>
          </w:tcPr>
          <w:p>
            <w:pPr>
              <w:spacing w:after="0"/>
              <w:rPr>
                <w:sz w:val="14"/>
                <w:szCs w:val="14"/>
                <w:color w:val="auto"/>
              </w:rPr>
            </w:pPr>
          </w:p>
        </w:tc>
      </w:tr>
      <w:tr>
        <w:trPr>
          <w:trHeight w:val="143"/>
        </w:trPr>
        <w:tc>
          <w:tcPr>
            <w:tcW w:w="66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9"/>
              <w:spacing w:after="0" w:line="143" w:lineRule="exact"/>
              <w:rPr>
                <w:sz w:val="20"/>
                <w:szCs w:val="20"/>
                <w:color w:val="auto"/>
              </w:rPr>
            </w:pPr>
            <w:r>
              <w:rPr>
                <w:rFonts w:ascii="Arial" w:cs="Arial" w:eastAsia="Arial" w:hAnsi="Arial"/>
                <w:sz w:val="14"/>
                <w:szCs w:val="14"/>
                <w:color w:val="auto"/>
                <w:w w:val="89"/>
              </w:rPr>
              <w:t>2012</w:t>
            </w:r>
          </w:p>
        </w:tc>
        <w:tc>
          <w:tcPr>
            <w:tcW w:w="7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96"/>
              <w:spacing w:after="0" w:line="143" w:lineRule="exact"/>
              <w:rPr>
                <w:sz w:val="20"/>
                <w:szCs w:val="20"/>
                <w:color w:val="auto"/>
              </w:rPr>
            </w:pPr>
            <w:r>
              <w:rPr>
                <w:rFonts w:ascii="Arial" w:cs="Arial" w:eastAsia="Arial" w:hAnsi="Arial"/>
                <w:sz w:val="14"/>
                <w:szCs w:val="14"/>
                <w:color w:val="auto"/>
                <w:w w:val="83"/>
              </w:rPr>
              <w:t>2011</w:t>
            </w:r>
          </w:p>
        </w:tc>
        <w:tc>
          <w:tcPr>
            <w:tcW w:w="4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9"/>
              <w:spacing w:after="0" w:line="143" w:lineRule="exact"/>
              <w:rPr>
                <w:sz w:val="20"/>
                <w:szCs w:val="20"/>
                <w:color w:val="auto"/>
              </w:rPr>
            </w:pPr>
            <w:r>
              <w:rPr>
                <w:rFonts w:ascii="Arial" w:cs="Arial" w:eastAsia="Arial" w:hAnsi="Arial"/>
                <w:sz w:val="14"/>
                <w:szCs w:val="14"/>
                <w:color w:val="auto"/>
                <w:w w:val="83"/>
              </w:rPr>
              <w:t>2012</w:t>
            </w:r>
          </w:p>
        </w:tc>
        <w:tc>
          <w:tcPr>
            <w:tcW w:w="7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6"/>
              <w:spacing w:after="0" w:line="143" w:lineRule="exact"/>
              <w:rPr>
                <w:sz w:val="20"/>
                <w:szCs w:val="20"/>
                <w:color w:val="auto"/>
              </w:rPr>
            </w:pPr>
            <w:r>
              <w:rPr>
                <w:rFonts w:ascii="Arial" w:cs="Arial" w:eastAsia="Arial" w:hAnsi="Arial"/>
                <w:sz w:val="14"/>
                <w:szCs w:val="14"/>
                <w:color w:val="auto"/>
                <w:w w:val="83"/>
              </w:rPr>
              <w:t>2011</w:t>
            </w:r>
          </w:p>
        </w:tc>
      </w:tr>
      <w:tr>
        <w:trPr>
          <w:trHeight w:val="210"/>
        </w:trPr>
        <w:tc>
          <w:tcPr>
            <w:tcW w:w="664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34</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Restricted share units</w:t>
            </w:r>
          </w:p>
        </w:tc>
        <w:tc>
          <w:tcPr>
            <w:tcW w:w="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6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7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7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7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r>
      <w:tr>
        <w:trPr>
          <w:trHeight w:val="217"/>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75</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2012, we had unrecognized pretax compensation expense related to nonvested stock options and nonvested RSUs of $385 million and $411 million, respectively.</w:t>
      </w:r>
    </w:p>
    <w:p>
      <w:pPr>
        <w:spacing w:after="0" w:line="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the three and six months ended June 30, 2012, the employee cost associated with participation in our employee stock purchase plans was satisfied with payroll deductions of $18 million and $36 million, respectively. For the three and six months ended June 30, 2011, the employee cost associated with participation in our employee stock purchase plans was satisfied with payroll deductions of $13 million and $28 million,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5640" w:type="dxa"/>
            <w:vAlign w:val="bottom"/>
          </w:tcPr>
          <w:p>
            <w:pPr>
              <w:jc w:val="right"/>
              <w:ind w:right="258"/>
              <w:spacing w:after="0"/>
              <w:rPr>
                <w:sz w:val="20"/>
                <w:szCs w:val="20"/>
                <w:color w:val="auto"/>
              </w:rPr>
            </w:pPr>
            <w:r>
              <w:rPr>
                <w:rFonts w:ascii="Arial" w:cs="Arial" w:eastAsia="Arial" w:hAnsi="Arial"/>
                <w:sz w:val="14"/>
                <w:szCs w:val="14"/>
                <w:color w:val="auto"/>
              </w:rPr>
              <w:t>June 30,</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w w:val="90"/>
              </w:rPr>
              <w:t>December 31,</w:t>
            </w:r>
          </w:p>
        </w:tc>
      </w:tr>
      <w:tr>
        <w:trPr>
          <w:trHeight w:val="173"/>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6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2011</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564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$4,846</w:t>
            </w:r>
          </w:p>
        </w:tc>
        <w:tc>
          <w:tcPr>
            <w:tcW w:w="46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4,978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5640" w:type="dxa"/>
            <w:vAlign w:val="bottom"/>
          </w:tcPr>
          <w:p>
            <w:pPr>
              <w:jc w:val="right"/>
              <w:ind w:right="238"/>
              <w:spacing w:after="0"/>
              <w:rPr>
                <w:sz w:val="20"/>
                <w:szCs w:val="20"/>
                <w:color w:val="auto"/>
              </w:rPr>
            </w:pPr>
            <w:r>
              <w:rPr>
                <w:rFonts w:ascii="Arial" w:cs="Arial" w:eastAsia="Arial" w:hAnsi="Arial"/>
                <w:sz w:val="18"/>
                <w:szCs w:val="18"/>
                <w:color w:val="auto"/>
              </w:rPr>
              <w:t>259</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16"/>
        </w:trPr>
        <w:tc>
          <w:tcPr>
            <w:tcW w:w="4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5640" w:type="dxa"/>
            <w:vAlign w:val="bottom"/>
            <w:tcBorders>
              <w:bottom w:val="single" w:sz="8" w:color="auto"/>
            </w:tcBorders>
            <w:shd w:val="clear" w:color="auto" w:fill="E5E5E5"/>
          </w:tcPr>
          <w:p>
            <w:pPr>
              <w:jc w:val="right"/>
              <w:ind w:right="238"/>
              <w:spacing w:after="0"/>
              <w:rPr>
                <w:sz w:val="20"/>
                <w:szCs w:val="20"/>
                <w:color w:val="auto"/>
              </w:rPr>
            </w:pPr>
            <w:r>
              <w:rPr>
                <w:rFonts w:ascii="Arial" w:cs="Arial" w:eastAsia="Arial" w:hAnsi="Arial"/>
                <w:sz w:val="18"/>
                <w:szCs w:val="18"/>
                <w:color w:val="auto"/>
              </w:rPr>
              <w:t>200</w:t>
            </w:r>
          </w:p>
        </w:tc>
        <w:tc>
          <w:tcPr>
            <w:tcW w:w="4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202</w:t>
            </w:r>
          </w:p>
        </w:tc>
      </w:tr>
      <w:tr>
        <w:trPr>
          <w:trHeight w:val="217"/>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564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b w:val="1"/>
                <w:bCs w:val="1"/>
                <w:color w:val="auto"/>
              </w:rPr>
              <w:t>$4,387</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4,351</w:t>
            </w:r>
          </w:p>
        </w:tc>
      </w:tr>
      <w:tr>
        <w:trPr>
          <w:trHeight w:val="363"/>
        </w:trPr>
        <w:tc>
          <w:tcPr>
            <w:tcW w:w="4660" w:type="dxa"/>
            <w:vAlign w:val="bottom"/>
          </w:tcPr>
          <w:p>
            <w:pPr>
              <w:spacing w:after="0"/>
              <w:rPr>
                <w:sz w:val="24"/>
                <w:szCs w:val="24"/>
                <w:color w:val="auto"/>
              </w:rPr>
            </w:pPr>
          </w:p>
        </w:tc>
        <w:tc>
          <w:tcPr>
            <w:tcW w:w="5640" w:type="dxa"/>
            <w:vAlign w:val="bottom"/>
          </w:tcPr>
          <w:p>
            <w:pPr>
              <w:jc w:val="right"/>
              <w:ind w:right="4398"/>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ind w:left="320"/>
              <w:spacing w:after="0"/>
              <w:rPr>
                <w:sz w:val="20"/>
                <w:szCs w:val="20"/>
                <w:color w:val="auto"/>
              </w:rPr>
            </w:pPr>
            <w:r>
              <w:rPr>
                <w:rFonts w:ascii="Arial" w:cs="Arial" w:eastAsia="Arial" w:hAnsi="Arial"/>
                <w:sz w:val="14"/>
                <w:szCs w:val="14"/>
                <w:color w:val="auto"/>
              </w:rPr>
              <w:t>June 30,</w:t>
            </w: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June 30,</w:t>
            </w:r>
          </w:p>
        </w:tc>
      </w:tr>
      <w:tr>
        <w:trPr>
          <w:trHeight w:val="173"/>
        </w:trPr>
        <w:tc>
          <w:tcPr>
            <w:tcW w:w="7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color w:val="auto"/>
                <w:w w:val="83"/>
              </w:rPr>
              <w:t>2012</w:t>
            </w: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3"/>
              </w:rPr>
              <w:t>2011</w:t>
            </w:r>
          </w:p>
        </w:tc>
      </w:tr>
      <w:tr>
        <w:trPr>
          <w:trHeight w:val="210"/>
        </w:trPr>
        <w:tc>
          <w:tcPr>
            <w:tcW w:w="7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34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5E5E5"/>
          </w:tcPr>
          <w:p>
            <w:pPr>
              <w:jc w:val="right"/>
              <w:ind w:right="358"/>
              <w:spacing w:after="0"/>
              <w:rPr>
                <w:sz w:val="20"/>
                <w:szCs w:val="20"/>
                <w:color w:val="auto"/>
              </w:rPr>
            </w:pPr>
            <w:r>
              <w:rPr>
                <w:rFonts w:ascii="Arial" w:cs="Arial" w:eastAsia="Arial" w:hAnsi="Arial"/>
                <w:sz w:val="18"/>
                <w:szCs w:val="18"/>
                <w:color w:val="auto"/>
              </w:rPr>
              <w:t>22</w:t>
            </w: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22</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Deferred gains (losses) on cash flow hedges</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298"/>
              <w:spacing w:after="0"/>
              <w:rPr>
                <w:sz w:val="20"/>
                <w:szCs w:val="20"/>
                <w:color w:val="auto"/>
              </w:rPr>
            </w:pPr>
            <w:r>
              <w:rPr>
                <w:rFonts w:ascii="Arial" w:cs="Arial" w:eastAsia="Arial" w:hAnsi="Arial"/>
                <w:sz w:val="18"/>
                <w:szCs w:val="18"/>
                <w:color w:val="auto"/>
                <w:w w:val="99"/>
              </w:rPr>
              <w:t>(125)</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(112)</w:t>
            </w:r>
          </w:p>
        </w:tc>
      </w:tr>
      <w:tr>
        <w:trPr>
          <w:trHeight w:val="216"/>
        </w:trPr>
        <w:tc>
          <w:tcPr>
            <w:tcW w:w="7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34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8"/>
              <w:spacing w:after="0"/>
              <w:rPr>
                <w:sz w:val="20"/>
                <w:szCs w:val="20"/>
                <w:color w:val="auto"/>
              </w:rPr>
            </w:pPr>
            <w:r>
              <w:rPr>
                <w:rFonts w:ascii="Arial" w:cs="Arial" w:eastAsia="Arial" w:hAnsi="Arial"/>
                <w:sz w:val="18"/>
                <w:szCs w:val="18"/>
                <w:color w:val="auto"/>
              </w:rPr>
              <w:t>(59)</w:t>
            </w: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Cumulative translation adjustments</w:t>
            </w: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w:t>
            </w:r>
          </w:p>
        </w:tc>
      </w:tr>
      <w:tr>
        <w:trPr>
          <w:trHeight w:val="217"/>
        </w:trPr>
        <w:tc>
          <w:tcPr>
            <w:tcW w:w="72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34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1220" w:type="dxa"/>
            <w:vAlign w:val="bottom"/>
            <w:tcBorders>
              <w:bottom w:val="single" w:sz="8" w:color="auto"/>
            </w:tcBorders>
            <w:gridSpan w:val="2"/>
            <w:shd w:val="clear" w:color="auto" w:fill="E5E5E5"/>
          </w:tcPr>
          <w:p>
            <w:pPr>
              <w:jc w:val="right"/>
              <w:ind w:right="298"/>
              <w:spacing w:after="0"/>
              <w:rPr>
                <w:sz w:val="20"/>
                <w:szCs w:val="20"/>
                <w:color w:val="auto"/>
              </w:rPr>
            </w:pPr>
            <w:r>
              <w:rPr>
                <w:rFonts w:ascii="Arial" w:cs="Arial" w:eastAsia="Arial" w:hAnsi="Arial"/>
                <w:sz w:val="18"/>
                <w:szCs w:val="18"/>
                <w:b w:val="1"/>
                <w:bCs w:val="1"/>
                <w:color w:val="auto"/>
              </w:rPr>
              <w:t>$ (170)</w:t>
            </w:r>
          </w:p>
        </w:tc>
        <w:tc>
          <w:tcPr>
            <w:tcW w:w="6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 (105)</w:t>
            </w:r>
          </w:p>
        </w:tc>
      </w:tr>
      <w:tr>
        <w:trPr>
          <w:trHeight w:val="403"/>
        </w:trPr>
        <w:tc>
          <w:tcPr>
            <w:tcW w:w="7240" w:type="dxa"/>
            <w:vAlign w:val="bottom"/>
            <w:gridSpan w:val="2"/>
          </w:tcPr>
          <w:p>
            <w:pPr>
              <w:jc w:val="center"/>
              <w:ind w:left="4114"/>
              <w:spacing w:after="0"/>
              <w:rPr>
                <w:sz w:val="20"/>
                <w:szCs w:val="20"/>
                <w:color w:val="auto"/>
              </w:rPr>
            </w:pPr>
            <w:r>
              <w:rPr>
                <w:rFonts w:ascii="Arial" w:cs="Arial" w:eastAsia="Arial" w:hAnsi="Arial"/>
                <w:sz w:val="18"/>
                <w:szCs w:val="18"/>
                <w:b w:val="1"/>
                <w:bCs w:val="1"/>
                <w:color w:val="auto"/>
                <w:w w:val="97"/>
              </w:rPr>
              <w:t>Operating Costs and Expenses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4"/>
        </w:trPr>
        <w:tc>
          <w:tcPr>
            <w:tcW w:w="6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4"/>
                <w:szCs w:val="14"/>
                <w:color w:val="auto"/>
                <w:w w:val="91"/>
              </w:rPr>
              <w:t>Three Months Ended</w:t>
            </w:r>
          </w:p>
        </w:tc>
        <w:tc>
          <w:tcPr>
            <w:tcW w:w="400" w:type="dxa"/>
            <w:vAlign w:val="bottom"/>
          </w:tcPr>
          <w:p>
            <w:pPr>
              <w:spacing w:after="0"/>
              <w:rPr>
                <w:sz w:val="16"/>
                <w:szCs w:val="16"/>
                <w:color w:val="auto"/>
              </w:rPr>
            </w:pPr>
          </w:p>
        </w:tc>
        <w:tc>
          <w:tcPr>
            <w:tcW w:w="1480" w:type="dxa"/>
            <w:vAlign w:val="bottom"/>
            <w:gridSpan w:val="3"/>
          </w:tcPr>
          <w:p>
            <w:pPr>
              <w:jc w:val="center"/>
              <w:ind w:right="95"/>
              <w:spacing w:after="0"/>
              <w:rPr>
                <w:sz w:val="20"/>
                <w:szCs w:val="20"/>
                <w:color w:val="auto"/>
              </w:rPr>
            </w:pPr>
            <w:r>
              <w:rPr>
                <w:rFonts w:ascii="Arial" w:cs="Arial" w:eastAsia="Arial" w:hAnsi="Arial"/>
                <w:sz w:val="14"/>
                <w:szCs w:val="14"/>
                <w:color w:val="auto"/>
                <w:w w:val="89"/>
              </w:rPr>
              <w:t>Six Months Ended</w:t>
            </w:r>
          </w:p>
        </w:tc>
      </w:tr>
      <w:tr>
        <w:trPr>
          <w:trHeight w:val="172"/>
        </w:trPr>
        <w:tc>
          <w:tcPr>
            <w:tcW w:w="6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left="218"/>
              <w:spacing w:after="0"/>
              <w:rPr>
                <w:sz w:val="20"/>
                <w:szCs w:val="20"/>
                <w:color w:val="auto"/>
              </w:rPr>
            </w:pPr>
            <w:r>
              <w:rPr>
                <w:rFonts w:ascii="Arial" w:cs="Arial" w:eastAsia="Arial" w:hAnsi="Arial"/>
                <w:sz w:val="14"/>
                <w:szCs w:val="14"/>
                <w:color w:val="auto"/>
                <w:w w:val="84"/>
              </w:rPr>
              <w:t>June 30</w:t>
            </w:r>
          </w:p>
        </w:tc>
        <w:tc>
          <w:tcPr>
            <w:tcW w:w="480" w:type="dxa"/>
            <w:vAlign w:val="bottom"/>
            <w:tcBorders>
              <w:bottom w:val="single" w:sz="8" w:color="auto"/>
            </w:tcBorders>
          </w:tcPr>
          <w:p>
            <w:pPr>
              <w:spacing w:after="0"/>
              <w:rPr>
                <w:sz w:val="14"/>
                <w:szCs w:val="14"/>
                <w:color w:val="auto"/>
              </w:rPr>
            </w:pPr>
          </w:p>
        </w:tc>
      </w:tr>
      <w:tr>
        <w:trPr>
          <w:trHeight w:val="143"/>
        </w:trPr>
        <w:tc>
          <w:tcPr>
            <w:tcW w:w="724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0"/>
              <w:spacing w:after="0" w:line="143" w:lineRule="exact"/>
              <w:rPr>
                <w:sz w:val="20"/>
                <w:szCs w:val="20"/>
                <w:color w:val="auto"/>
              </w:rPr>
            </w:pPr>
            <w:r>
              <w:rPr>
                <w:rFonts w:ascii="Arial" w:cs="Arial" w:eastAsia="Arial" w:hAnsi="Arial"/>
                <w:sz w:val="14"/>
                <w:szCs w:val="14"/>
                <w:color w:val="auto"/>
              </w:rPr>
              <w:t>2012</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40"/>
              <w:spacing w:after="0" w:line="143"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8"/>
              <w:spacing w:after="0" w:line="143" w:lineRule="exact"/>
              <w:rPr>
                <w:sz w:val="20"/>
                <w:szCs w:val="20"/>
                <w:color w:val="auto"/>
              </w:rPr>
            </w:pPr>
            <w:r>
              <w:rPr>
                <w:rFonts w:ascii="Arial" w:cs="Arial" w:eastAsia="Arial" w:hAnsi="Arial"/>
                <w:sz w:val="14"/>
                <w:szCs w:val="14"/>
                <w:color w:val="auto"/>
                <w:w w:val="89"/>
              </w:rPr>
              <w:t>2012</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5"/>
              <w:spacing w:after="0" w:line="143" w:lineRule="exact"/>
              <w:rPr>
                <w:sz w:val="20"/>
                <w:szCs w:val="20"/>
                <w:color w:val="auto"/>
              </w:rPr>
            </w:pPr>
            <w:r>
              <w:rPr>
                <w:rFonts w:ascii="Arial" w:cs="Arial" w:eastAsia="Arial" w:hAnsi="Arial"/>
                <w:sz w:val="14"/>
                <w:szCs w:val="14"/>
                <w:color w:val="auto"/>
                <w:w w:val="76"/>
              </w:rPr>
              <w:t>2011</w:t>
            </w:r>
          </w:p>
        </w:tc>
      </w:tr>
      <w:tr>
        <w:trPr>
          <w:trHeight w:val="210"/>
        </w:trPr>
        <w:tc>
          <w:tcPr>
            <w:tcW w:w="7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Programming and production</w:t>
            </w:r>
          </w:p>
        </w:tc>
        <w:tc>
          <w:tcPr>
            <w:tcW w:w="340" w:type="dxa"/>
            <w:vAlign w:val="bottom"/>
            <w:shd w:val="clear" w:color="auto" w:fill="E5E5E5"/>
          </w:tcPr>
          <w:p>
            <w:pPr>
              <w:spacing w:after="0"/>
              <w:rPr>
                <w:sz w:val="18"/>
                <w:szCs w:val="18"/>
                <w:color w:val="auto"/>
              </w:rPr>
            </w:pPr>
          </w:p>
        </w:tc>
        <w:tc>
          <w:tcPr>
            <w:tcW w:w="4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4,554</w:t>
            </w:r>
          </w:p>
        </w:tc>
        <w:tc>
          <w:tcPr>
            <w:tcW w:w="14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$4,323</w:t>
            </w:r>
          </w:p>
        </w:tc>
        <w:tc>
          <w:tcPr>
            <w:tcW w:w="400" w:type="dxa"/>
            <w:vAlign w:val="bottom"/>
            <w:shd w:val="clear" w:color="auto" w:fill="E5E5E5"/>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w w:val="97"/>
              </w:rPr>
              <w:t>9,290</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7,593</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Cable Communications technical labor</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568</w:t>
            </w:r>
          </w:p>
        </w:tc>
        <w:tc>
          <w:tcPr>
            <w:tcW w:w="400" w:type="dxa"/>
            <w:vAlign w:val="bottom"/>
          </w:tcPr>
          <w:p>
            <w:pPr>
              <w:spacing w:after="0"/>
              <w:rPr>
                <w:sz w:val="18"/>
                <w:szCs w:val="18"/>
                <w:color w:val="auto"/>
              </w:rPr>
            </w:pPr>
          </w:p>
        </w:tc>
        <w:tc>
          <w:tcPr>
            <w:tcW w:w="820" w:type="dxa"/>
            <w:vAlign w:val="bottom"/>
          </w:tcPr>
          <w:p>
            <w:pPr>
              <w:jc w:val="right"/>
              <w:ind w:right="278"/>
              <w:spacing w:after="0"/>
              <w:rPr>
                <w:sz w:val="20"/>
                <w:szCs w:val="20"/>
                <w:color w:val="auto"/>
              </w:rPr>
            </w:pPr>
            <w:r>
              <w:rPr>
                <w:rFonts w:ascii="Arial" w:cs="Arial" w:eastAsia="Arial" w:hAnsi="Arial"/>
                <w:sz w:val="18"/>
                <w:szCs w:val="18"/>
                <w:color w:val="auto"/>
                <w:w w:val="97"/>
              </w:rPr>
              <w:t>1,167</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1,161</w:t>
            </w:r>
          </w:p>
        </w:tc>
      </w:tr>
      <w:tr>
        <w:trPr>
          <w:trHeight w:val="216"/>
        </w:trPr>
        <w:tc>
          <w:tcPr>
            <w:tcW w:w="7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Cable Communications customer service</w:t>
            </w:r>
          </w:p>
        </w:tc>
        <w:tc>
          <w:tcPr>
            <w:tcW w:w="34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460</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975</w:t>
            </w: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929</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1,287</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1,105</w:t>
            </w:r>
          </w:p>
        </w:tc>
        <w:tc>
          <w:tcPr>
            <w:tcW w:w="400" w:type="dxa"/>
            <w:vAlign w:val="bottom"/>
          </w:tcPr>
          <w:p>
            <w:pPr>
              <w:spacing w:after="0"/>
              <w:rPr>
                <w:sz w:val="18"/>
                <w:szCs w:val="18"/>
                <w:color w:val="auto"/>
              </w:rPr>
            </w:pPr>
          </w:p>
        </w:tc>
        <w:tc>
          <w:tcPr>
            <w:tcW w:w="820" w:type="dxa"/>
            <w:vAlign w:val="bottom"/>
          </w:tcPr>
          <w:p>
            <w:pPr>
              <w:jc w:val="right"/>
              <w:ind w:right="278"/>
              <w:spacing w:after="0"/>
              <w:rPr>
                <w:sz w:val="20"/>
                <w:szCs w:val="20"/>
                <w:color w:val="auto"/>
              </w:rPr>
            </w:pPr>
            <w:r>
              <w:rPr>
                <w:rFonts w:ascii="Arial" w:cs="Arial" w:eastAsia="Arial" w:hAnsi="Arial"/>
                <w:sz w:val="18"/>
                <w:szCs w:val="18"/>
                <w:color w:val="auto"/>
                <w:w w:val="97"/>
              </w:rPr>
              <w:t>2,489</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2,075</w:t>
            </w:r>
          </w:p>
        </w:tc>
      </w:tr>
      <w:tr>
        <w:trPr>
          <w:trHeight w:val="216"/>
        </w:trPr>
        <w:tc>
          <w:tcPr>
            <w:tcW w:w="72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3,306</w:t>
            </w:r>
          </w:p>
        </w:tc>
        <w:tc>
          <w:tcPr>
            <w:tcW w:w="1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3,076</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78"/>
              <w:spacing w:after="0"/>
              <w:rPr>
                <w:sz w:val="20"/>
                <w:szCs w:val="20"/>
                <w:color w:val="auto"/>
              </w:rPr>
            </w:pPr>
            <w:r>
              <w:rPr>
                <w:rFonts w:ascii="Arial" w:cs="Arial" w:eastAsia="Arial" w:hAnsi="Arial"/>
                <w:sz w:val="18"/>
                <w:szCs w:val="18"/>
                <w:color w:val="auto"/>
                <w:w w:val="97"/>
              </w:rPr>
              <w:t>6,476</w:t>
            </w:r>
          </w:p>
        </w:tc>
        <w:tc>
          <w:tcPr>
            <w:tcW w:w="1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8"/>
              </w:rPr>
              <w:t>5,836</w:t>
            </w:r>
          </w:p>
        </w:tc>
      </w:tr>
      <w:tr>
        <w:trPr>
          <w:trHeight w:val="217"/>
        </w:trPr>
        <w:tc>
          <w:tcPr>
            <w:tcW w:w="7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costs and expenses (excluding depreciation and amortization)</w:t>
            </w: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10,207</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$9,532</w:t>
            </w:r>
          </w:p>
        </w:tc>
        <w:tc>
          <w:tcPr>
            <w:tcW w:w="1220" w:type="dxa"/>
            <w:vAlign w:val="bottom"/>
            <w:tcBorders>
              <w:bottom w:val="single" w:sz="8" w:color="auto"/>
            </w:tcBorders>
            <w:gridSpan w:val="2"/>
          </w:tcPr>
          <w:p>
            <w:pPr>
              <w:jc w:val="right"/>
              <w:ind w:right="278"/>
              <w:spacing w:after="0"/>
              <w:rPr>
                <w:sz w:val="20"/>
                <w:szCs w:val="20"/>
                <w:color w:val="auto"/>
              </w:rPr>
            </w:pPr>
            <w:r>
              <w:rPr>
                <w:rFonts w:ascii="Arial" w:cs="Arial" w:eastAsia="Arial" w:hAnsi="Arial"/>
                <w:sz w:val="18"/>
                <w:szCs w:val="18"/>
                <w:b w:val="1"/>
                <w:bCs w:val="1"/>
                <w:color w:val="auto"/>
              </w:rPr>
              <w:t>$20,397</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$17,594</w:t>
            </w:r>
          </w:p>
        </w:tc>
      </w:tr>
      <w:tr>
        <w:trPr>
          <w:trHeight w:val="403"/>
        </w:trPr>
        <w:tc>
          <w:tcPr>
            <w:tcW w:w="7580" w:type="dxa"/>
            <w:vAlign w:val="bottom"/>
            <w:gridSpan w:val="3"/>
          </w:tcPr>
          <w:p>
            <w:pPr>
              <w:jc w:val="center"/>
              <w:ind w:left="3774"/>
              <w:spacing w:after="0"/>
              <w:rPr>
                <w:sz w:val="20"/>
                <w:szCs w:val="20"/>
                <w:color w:val="auto"/>
              </w:rPr>
            </w:pPr>
            <w:r>
              <w:rPr>
                <w:rFonts w:ascii="Arial" w:cs="Arial" w:eastAsia="Arial" w:hAnsi="Arial"/>
                <w:sz w:val="18"/>
                <w:szCs w:val="18"/>
                <w:b w:val="1"/>
                <w:bCs w:val="1"/>
                <w:color w:val="auto"/>
                <w:w w:val="97"/>
              </w:rPr>
              <w:t>Net Cash Provided by Operating Activities</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4"/>
        </w:trPr>
        <w:tc>
          <w:tcPr>
            <w:tcW w:w="6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gridSpan w:val="3"/>
          </w:tcPr>
          <w:p>
            <w:pPr>
              <w:jc w:val="right"/>
              <w:ind w:right="335"/>
              <w:spacing w:after="0"/>
              <w:rPr>
                <w:sz w:val="20"/>
                <w:szCs w:val="20"/>
                <w:color w:val="auto"/>
              </w:rPr>
            </w:pPr>
            <w:r>
              <w:rPr>
                <w:rFonts w:ascii="Arial" w:cs="Arial" w:eastAsia="Arial" w:hAnsi="Arial"/>
                <w:sz w:val="14"/>
                <w:szCs w:val="14"/>
                <w:color w:val="auto"/>
                <w:w w:val="91"/>
              </w:rPr>
              <w:t>Six Months Ended</w:t>
            </w:r>
          </w:p>
        </w:tc>
      </w:tr>
      <w:tr>
        <w:trPr>
          <w:trHeight w:val="172"/>
        </w:trPr>
        <w:tc>
          <w:tcPr>
            <w:tcW w:w="6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43"/>
        </w:trPr>
        <w:tc>
          <w:tcPr>
            <w:tcW w:w="7240" w:type="dxa"/>
            <w:vAlign w:val="bottom"/>
            <w:tcBorders>
              <w:bottom w:val="single" w:sz="8" w:color="auto"/>
            </w:tcBorders>
            <w:gridSpan w:val="2"/>
          </w:tcPr>
          <w:p>
            <w:pPr>
              <w:spacing w:after="0" w:line="143" w:lineRule="exact"/>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260"/>
              <w:spacing w:after="0" w:line="143" w:lineRule="exact"/>
              <w:rPr>
                <w:sz w:val="20"/>
                <w:szCs w:val="20"/>
                <w:color w:val="auto"/>
              </w:rPr>
            </w:pPr>
            <w:r>
              <w:rPr>
                <w:rFonts w:ascii="Arial" w:cs="Arial" w:eastAsia="Arial" w:hAnsi="Arial"/>
                <w:sz w:val="14"/>
                <w:szCs w:val="14"/>
                <w:color w:val="auto"/>
              </w:rPr>
              <w:t>2012</w:t>
            </w:r>
          </w:p>
        </w:tc>
        <w:tc>
          <w:tcPr>
            <w:tcW w:w="660" w:type="dxa"/>
            <w:vAlign w:val="bottom"/>
            <w:tcBorders>
              <w:bottom w:val="single" w:sz="8" w:color="auto"/>
            </w:tcBorders>
            <w:gridSpan w:val="2"/>
          </w:tcPr>
          <w:p>
            <w:pPr>
              <w:jc w:val="right"/>
              <w:ind w:right="175"/>
              <w:spacing w:after="0" w:line="143" w:lineRule="exact"/>
              <w:rPr>
                <w:sz w:val="20"/>
                <w:szCs w:val="20"/>
                <w:color w:val="auto"/>
              </w:rPr>
            </w:pPr>
            <w:r>
              <w:rPr>
                <w:rFonts w:ascii="Arial" w:cs="Arial" w:eastAsia="Arial" w:hAnsi="Arial"/>
                <w:sz w:val="14"/>
                <w:szCs w:val="14"/>
                <w:color w:val="auto"/>
              </w:rPr>
              <w:t>2011</w:t>
            </w:r>
          </w:p>
        </w:tc>
      </w:tr>
      <w:tr>
        <w:trPr>
          <w:trHeight w:val="210"/>
        </w:trPr>
        <w:tc>
          <w:tcPr>
            <w:tcW w:w="7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20" w:type="dxa"/>
            <w:vAlign w:val="bottom"/>
            <w:gridSpan w:val="2"/>
            <w:shd w:val="clear" w:color="auto" w:fill="E5E5E5"/>
          </w:tcPr>
          <w:p>
            <w:pPr>
              <w:jc w:val="right"/>
              <w:ind w:right="458"/>
              <w:spacing w:after="0"/>
              <w:rPr>
                <w:sz w:val="20"/>
                <w:szCs w:val="20"/>
                <w:color w:val="auto"/>
              </w:rPr>
            </w:pPr>
            <w:r>
              <w:rPr>
                <w:rFonts w:ascii="Arial" w:cs="Arial" w:eastAsia="Arial" w:hAnsi="Arial"/>
                <w:sz w:val="18"/>
                <w:szCs w:val="18"/>
                <w:color w:val="auto"/>
              </w:rPr>
              <w:t>$ 3,080</w:t>
            </w:r>
          </w:p>
        </w:tc>
        <w:tc>
          <w:tcPr>
            <w:tcW w:w="660" w:type="dxa"/>
            <w:vAlign w:val="bottom"/>
            <w:gridSpan w:val="2"/>
            <w:shd w:val="clear" w:color="auto" w:fill="E5E5E5"/>
          </w:tcPr>
          <w:p>
            <w:pPr>
              <w:jc w:val="right"/>
              <w:ind w:right="15"/>
              <w:spacing w:after="0"/>
              <w:rPr>
                <w:sz w:val="20"/>
                <w:szCs w:val="20"/>
                <w:color w:val="auto"/>
              </w:rPr>
            </w:pPr>
            <w:r>
              <w:rPr>
                <w:rFonts w:ascii="Arial" w:cs="Arial" w:eastAsia="Arial" w:hAnsi="Arial"/>
                <w:sz w:val="18"/>
                <w:szCs w:val="18"/>
                <w:color w:val="auto"/>
                <w:w w:val="89"/>
              </w:rPr>
              <w:t>$ 2,406</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7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20" w:type="dxa"/>
            <w:vAlign w:val="bottom"/>
            <w:gridSpan w:val="2"/>
            <w:shd w:val="clear" w:color="auto" w:fill="E5E5E5"/>
          </w:tcPr>
          <w:p>
            <w:pPr>
              <w:jc w:val="right"/>
              <w:ind w:right="458"/>
              <w:spacing w:after="0"/>
              <w:rPr>
                <w:sz w:val="20"/>
                <w:szCs w:val="20"/>
                <w:color w:val="auto"/>
              </w:rPr>
            </w:pPr>
            <w:r>
              <w:rPr>
                <w:rFonts w:ascii="Arial" w:cs="Arial" w:eastAsia="Arial" w:hAnsi="Arial"/>
                <w:sz w:val="18"/>
                <w:szCs w:val="18"/>
                <w:color w:val="auto"/>
              </w:rPr>
              <w:t>3,855</w:t>
            </w:r>
          </w:p>
        </w:tc>
        <w:tc>
          <w:tcPr>
            <w:tcW w:w="660" w:type="dxa"/>
            <w:vAlign w:val="bottom"/>
            <w:gridSpan w:val="2"/>
            <w:shd w:val="clear" w:color="auto" w:fill="E5E5E5"/>
          </w:tcPr>
          <w:p>
            <w:pPr>
              <w:jc w:val="right"/>
              <w:ind w:right="15"/>
              <w:spacing w:after="0"/>
              <w:rPr>
                <w:sz w:val="20"/>
                <w:szCs w:val="20"/>
                <w:color w:val="auto"/>
              </w:rPr>
            </w:pPr>
            <w:r>
              <w:rPr>
                <w:rFonts w:ascii="Arial" w:cs="Arial" w:eastAsia="Arial" w:hAnsi="Arial"/>
                <w:sz w:val="18"/>
                <w:szCs w:val="18"/>
                <w:color w:val="auto"/>
              </w:rPr>
              <w:t>3,705</w:t>
            </w:r>
          </w:p>
        </w:tc>
      </w:tr>
      <w:tr>
        <w:trPr>
          <w:trHeight w:val="216"/>
        </w:trPr>
        <w:tc>
          <w:tcPr>
            <w:tcW w:w="7240" w:type="dxa"/>
            <w:vAlign w:val="bottom"/>
            <w:gridSpan w:val="2"/>
          </w:tcPr>
          <w:p>
            <w:pPr>
              <w:ind w:left="440"/>
              <w:spacing w:after="0"/>
              <w:rPr>
                <w:sz w:val="20"/>
                <w:szCs w:val="20"/>
                <w:color w:val="auto"/>
              </w:rPr>
            </w:pPr>
            <w:r>
              <w:rPr>
                <w:rFonts w:ascii="Arial" w:cs="Arial" w:eastAsia="Arial" w:hAnsi="Arial"/>
                <w:sz w:val="18"/>
                <w:szCs w:val="18"/>
                <w:color w:val="auto"/>
              </w:rPr>
              <w:t>Amortization of film and television costs</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58"/>
              <w:spacing w:after="0"/>
              <w:rPr>
                <w:sz w:val="20"/>
                <w:szCs w:val="20"/>
                <w:color w:val="auto"/>
              </w:rPr>
            </w:pPr>
            <w:r>
              <w:rPr>
                <w:rFonts w:ascii="Arial" w:cs="Arial" w:eastAsia="Arial" w:hAnsi="Arial"/>
                <w:sz w:val="18"/>
                <w:szCs w:val="18"/>
                <w:color w:val="auto"/>
              </w:rPr>
              <w:t>4,156</w:t>
            </w:r>
          </w:p>
        </w:tc>
        <w:tc>
          <w:tcPr>
            <w:tcW w:w="660" w:type="dxa"/>
            <w:vAlign w:val="bottom"/>
            <w:gridSpan w:val="2"/>
          </w:tcPr>
          <w:p>
            <w:pPr>
              <w:jc w:val="right"/>
              <w:ind w:right="15"/>
              <w:spacing w:after="0"/>
              <w:rPr>
                <w:sz w:val="20"/>
                <w:szCs w:val="20"/>
                <w:color w:val="auto"/>
              </w:rPr>
            </w:pPr>
            <w:r>
              <w:rPr>
                <w:rFonts w:ascii="Arial" w:cs="Arial" w:eastAsia="Arial" w:hAnsi="Arial"/>
                <w:sz w:val="18"/>
                <w:szCs w:val="18"/>
                <w:color w:val="auto"/>
              </w:rPr>
              <w:t>2,889</w:t>
            </w:r>
          </w:p>
        </w:tc>
      </w:tr>
      <w:tr>
        <w:trPr>
          <w:trHeight w:val="216"/>
        </w:trPr>
        <w:tc>
          <w:tcPr>
            <w:tcW w:w="7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458"/>
              <w:spacing w:after="0"/>
              <w:rPr>
                <w:sz w:val="20"/>
                <w:szCs w:val="20"/>
                <w:color w:val="auto"/>
              </w:rPr>
            </w:pPr>
            <w:r>
              <w:rPr>
                <w:rFonts w:ascii="Arial" w:cs="Arial" w:eastAsia="Arial" w:hAnsi="Arial"/>
                <w:sz w:val="18"/>
                <w:szCs w:val="18"/>
                <w:color w:val="auto"/>
                <w:w w:val="86"/>
              </w:rPr>
              <w:t>189</w:t>
            </w: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174</w:t>
            </w:r>
          </w:p>
        </w:tc>
      </w:tr>
      <w:tr>
        <w:trPr>
          <w:trHeight w:val="216"/>
        </w:trPr>
        <w:tc>
          <w:tcPr>
            <w:tcW w:w="7240" w:type="dxa"/>
            <w:vAlign w:val="bottom"/>
            <w:gridSpan w:val="2"/>
          </w:tcPr>
          <w:p>
            <w:pPr>
              <w:ind w:left="440"/>
              <w:spacing w:after="0"/>
              <w:rPr>
                <w:sz w:val="20"/>
                <w:szCs w:val="20"/>
                <w:color w:val="auto"/>
              </w:rPr>
            </w:pPr>
            <w:r>
              <w:rPr>
                <w:rFonts w:ascii="Arial" w:cs="Arial" w:eastAsia="Arial" w:hAnsi="Arial"/>
                <w:sz w:val="18"/>
                <w:szCs w:val="18"/>
                <w:color w:val="auto"/>
              </w:rPr>
              <w:t>Noncash interest expense (income), net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458"/>
              <w:spacing w:after="0"/>
              <w:rPr>
                <w:sz w:val="20"/>
                <w:szCs w:val="20"/>
                <w:color w:val="auto"/>
              </w:rPr>
            </w:pPr>
            <w:r>
              <w:rPr>
                <w:rFonts w:ascii="Arial" w:cs="Arial" w:eastAsia="Arial" w:hAnsi="Arial"/>
                <w:sz w:val="18"/>
                <w:szCs w:val="18"/>
                <w:color w:val="auto"/>
                <w:w w:val="86"/>
              </w:rPr>
              <w:t>105</w:t>
            </w:r>
          </w:p>
        </w:tc>
        <w:tc>
          <w:tcPr>
            <w:tcW w:w="180" w:type="dxa"/>
            <w:vAlign w:val="bottom"/>
          </w:tcPr>
          <w:p>
            <w:pPr>
              <w:spacing w:after="0"/>
              <w:rPr>
                <w:sz w:val="18"/>
                <w:szCs w:val="18"/>
                <w:color w:val="auto"/>
              </w:rPr>
            </w:pP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78</w:t>
            </w:r>
          </w:p>
        </w:tc>
      </w:tr>
      <w:tr>
        <w:trPr>
          <w:trHeight w:val="216"/>
        </w:trPr>
        <w:tc>
          <w:tcPr>
            <w:tcW w:w="7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34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w w:val="99"/>
              </w:rPr>
              <w:t>(32)</w:t>
            </w: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gridSpan w:val="2"/>
          </w:tcPr>
          <w:p>
            <w:pPr>
              <w:ind w:left="440"/>
              <w:spacing w:after="0"/>
              <w:rPr>
                <w:sz w:val="20"/>
                <w:szCs w:val="20"/>
                <w:color w:val="auto"/>
              </w:rPr>
            </w:pPr>
            <w:r>
              <w:rPr>
                <w:rFonts w:ascii="Arial" w:cs="Arial" w:eastAsia="Arial" w:hAnsi="Arial"/>
                <w:sz w:val="18"/>
                <w:szCs w:val="18"/>
                <w:color w:val="auto"/>
              </w:rPr>
              <w:t>Cash received from investees</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458"/>
              <w:spacing w:after="0"/>
              <w:rPr>
                <w:sz w:val="20"/>
                <w:szCs w:val="20"/>
                <w:color w:val="auto"/>
              </w:rPr>
            </w:pPr>
            <w:r>
              <w:rPr>
                <w:rFonts w:ascii="Arial" w:cs="Arial" w:eastAsia="Arial" w:hAnsi="Arial"/>
                <w:sz w:val="18"/>
                <w:szCs w:val="18"/>
                <w:color w:val="auto"/>
                <w:w w:val="86"/>
              </w:rPr>
              <w:t>142</w:t>
            </w:r>
          </w:p>
        </w:tc>
        <w:tc>
          <w:tcPr>
            <w:tcW w:w="180" w:type="dxa"/>
            <w:vAlign w:val="bottom"/>
          </w:tcPr>
          <w:p>
            <w:pPr>
              <w:spacing w:after="0"/>
              <w:rPr>
                <w:sz w:val="18"/>
                <w:szCs w:val="18"/>
                <w:color w:val="auto"/>
              </w:rPr>
            </w:pP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170</w:t>
            </w:r>
          </w:p>
        </w:tc>
      </w:tr>
      <w:tr>
        <w:trPr>
          <w:trHeight w:val="216"/>
        </w:trPr>
        <w:tc>
          <w:tcPr>
            <w:tcW w:w="7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34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w w:val="99"/>
              </w:rPr>
              <w:t>(27)</w:t>
            </w: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(107)</w:t>
            </w:r>
          </w:p>
        </w:tc>
      </w:tr>
      <w:tr>
        <w:trPr>
          <w:trHeight w:val="216"/>
        </w:trPr>
        <w:tc>
          <w:tcPr>
            <w:tcW w:w="7240" w:type="dxa"/>
            <w:vAlign w:val="bottom"/>
            <w:gridSpan w:val="2"/>
          </w:tcPr>
          <w:p>
            <w:pPr>
              <w:ind w:left="4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458"/>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693</w:t>
            </w:r>
          </w:p>
        </w:tc>
      </w:tr>
      <w:tr>
        <w:trPr>
          <w:trHeight w:val="216"/>
        </w:trPr>
        <w:tc>
          <w:tcPr>
            <w:tcW w:w="7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4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r>
      <w:tr>
        <w:trPr>
          <w:trHeight w:val="216"/>
        </w:trPr>
        <w:tc>
          <w:tcPr>
            <w:tcW w:w="7240" w:type="dxa"/>
            <w:vAlign w:val="bottom"/>
            <w:gridSpan w:val="2"/>
          </w:tcPr>
          <w:p>
            <w:pPr>
              <w:ind w:left="440"/>
              <w:spacing w:after="0"/>
              <w:rPr>
                <w:sz w:val="20"/>
                <w:szCs w:val="20"/>
                <w:color w:val="auto"/>
              </w:rPr>
            </w:pPr>
            <w:r>
              <w:rPr>
                <w:rFonts w:ascii="Arial" w:cs="Arial" w:eastAsia="Arial" w:hAnsi="Arial"/>
                <w:sz w:val="18"/>
                <w:szCs w:val="18"/>
                <w:color w:val="auto"/>
              </w:rPr>
              <w:t>Change in receivables, net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98"/>
              <w:spacing w:after="0"/>
              <w:rPr>
                <w:sz w:val="20"/>
                <w:szCs w:val="20"/>
                <w:color w:val="auto"/>
              </w:rPr>
            </w:pPr>
            <w:r>
              <w:rPr>
                <w:rFonts w:ascii="Arial" w:cs="Arial" w:eastAsia="Arial" w:hAnsi="Arial"/>
                <w:sz w:val="18"/>
                <w:szCs w:val="18"/>
                <w:color w:val="auto"/>
                <w:w w:val="99"/>
              </w:rPr>
              <w:t>(30)</w:t>
            </w:r>
          </w:p>
        </w:tc>
        <w:tc>
          <w:tcPr>
            <w:tcW w:w="180" w:type="dxa"/>
            <w:vAlign w:val="bottom"/>
          </w:tcPr>
          <w:p>
            <w:pPr>
              <w:spacing w:after="0"/>
              <w:rPr>
                <w:sz w:val="18"/>
                <w:szCs w:val="18"/>
                <w:color w:val="auto"/>
              </w:rPr>
            </w:pP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277</w:t>
            </w:r>
          </w:p>
        </w:tc>
      </w:tr>
      <w:tr>
        <w:trPr>
          <w:trHeight w:val="216"/>
        </w:trPr>
        <w:tc>
          <w:tcPr>
            <w:tcW w:w="7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film and television costs</w:t>
            </w:r>
          </w:p>
        </w:tc>
        <w:tc>
          <w:tcPr>
            <w:tcW w:w="34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20" w:type="dxa"/>
            <w:vAlign w:val="bottom"/>
            <w:gridSpan w:val="2"/>
            <w:shd w:val="clear" w:color="auto" w:fill="E5E5E5"/>
          </w:tcPr>
          <w:p>
            <w:pPr>
              <w:jc w:val="right"/>
              <w:ind w:right="398"/>
              <w:spacing w:after="0"/>
              <w:rPr>
                <w:sz w:val="20"/>
                <w:szCs w:val="20"/>
                <w:color w:val="auto"/>
              </w:rPr>
            </w:pPr>
            <w:r>
              <w:rPr>
                <w:rFonts w:ascii="Arial" w:cs="Arial" w:eastAsia="Arial" w:hAnsi="Arial"/>
                <w:sz w:val="18"/>
                <w:szCs w:val="18"/>
                <w:color w:val="auto"/>
              </w:rPr>
              <w:t>(4,176)</w:t>
            </w: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(3,268)</w:t>
            </w:r>
          </w:p>
        </w:tc>
      </w:tr>
      <w:tr>
        <w:trPr>
          <w:trHeight w:val="216"/>
        </w:trPr>
        <w:tc>
          <w:tcPr>
            <w:tcW w:w="7240" w:type="dxa"/>
            <w:vAlign w:val="bottom"/>
            <w:gridSpan w:val="2"/>
          </w:tcPr>
          <w:p>
            <w:pPr>
              <w:ind w:left="4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98"/>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(154)</w:t>
            </w:r>
          </w:p>
        </w:tc>
      </w:tr>
      <w:tr>
        <w:trPr>
          <w:trHeight w:val="216"/>
        </w:trPr>
        <w:tc>
          <w:tcPr>
            <w:tcW w:w="724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34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458"/>
              <w:spacing w:after="0"/>
              <w:rPr>
                <w:sz w:val="20"/>
                <w:szCs w:val="20"/>
                <w:color w:val="auto"/>
              </w:rPr>
            </w:pPr>
            <w:r>
              <w:rPr>
                <w:rFonts w:ascii="Arial" w:cs="Arial" w:eastAsia="Arial" w:hAnsi="Arial"/>
                <w:sz w:val="18"/>
                <w:szCs w:val="18"/>
                <w:color w:val="auto"/>
                <w:w w:val="86"/>
              </w:rPr>
              <w:t>516</w:t>
            </w:r>
          </w:p>
        </w:tc>
        <w:tc>
          <w:tcPr>
            <w:tcW w:w="1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93</w:t>
            </w:r>
          </w:p>
        </w:tc>
      </w:tr>
      <w:tr>
        <w:trPr>
          <w:trHeight w:val="217"/>
        </w:trPr>
        <w:tc>
          <w:tcPr>
            <w:tcW w:w="7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458"/>
              <w:spacing w:after="0"/>
              <w:rPr>
                <w:sz w:val="20"/>
                <w:szCs w:val="20"/>
                <w:color w:val="auto"/>
              </w:rPr>
            </w:pPr>
            <w:r>
              <w:rPr>
                <w:rFonts w:ascii="Arial" w:cs="Arial" w:eastAsia="Arial" w:hAnsi="Arial"/>
                <w:sz w:val="18"/>
                <w:szCs w:val="18"/>
                <w:b w:val="1"/>
                <w:bCs w:val="1"/>
                <w:color w:val="auto"/>
              </w:rPr>
              <w:t>$ 7,815</w:t>
            </w:r>
          </w:p>
        </w:tc>
        <w:tc>
          <w:tcPr>
            <w:tcW w:w="66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w w:val="89"/>
              </w:rPr>
              <w:t>$ 6,956</w:t>
            </w:r>
          </w:p>
        </w:tc>
      </w:tr>
      <w:tr>
        <w:trPr>
          <w:trHeight w:val="403"/>
        </w:trPr>
        <w:tc>
          <w:tcPr>
            <w:tcW w:w="8040" w:type="dxa"/>
            <w:vAlign w:val="bottom"/>
            <w:gridSpan w:val="5"/>
          </w:tcPr>
          <w:p>
            <w:pPr>
              <w:jc w:val="center"/>
              <w:ind w:left="3294"/>
              <w:spacing w:after="0"/>
              <w:rPr>
                <w:sz w:val="20"/>
                <w:szCs w:val="20"/>
                <w:color w:val="auto"/>
              </w:rPr>
            </w:pPr>
            <w:r>
              <w:rPr>
                <w:rFonts w:ascii="Arial" w:cs="Arial" w:eastAsia="Arial" w:hAnsi="Arial"/>
                <w:sz w:val="18"/>
                <w:szCs w:val="18"/>
                <w:b w:val="1"/>
                <w:bCs w:val="1"/>
                <w:color w:val="auto"/>
                <w:w w:val="96"/>
              </w:rPr>
              <w:t>Cash Payments for Interest and Income Taxes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4"/>
        </w:trPr>
        <w:tc>
          <w:tcPr>
            <w:tcW w:w="6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gridSpan w:val="5"/>
          </w:tcPr>
          <w:p>
            <w:pPr>
              <w:ind w:left="100"/>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6"/>
                <w:szCs w:val="16"/>
                <w:color w:val="auto"/>
              </w:rPr>
            </w:pPr>
          </w:p>
        </w:tc>
        <w:tc>
          <w:tcPr>
            <w:tcW w:w="1480" w:type="dxa"/>
            <w:vAlign w:val="bottom"/>
            <w:gridSpan w:val="3"/>
          </w:tcPr>
          <w:p>
            <w:pPr>
              <w:jc w:val="right"/>
              <w:ind w:right="295"/>
              <w:spacing w:after="0"/>
              <w:rPr>
                <w:sz w:val="20"/>
                <w:szCs w:val="20"/>
                <w:color w:val="auto"/>
              </w:rPr>
            </w:pPr>
            <w:r>
              <w:rPr>
                <w:rFonts w:ascii="Arial" w:cs="Arial" w:eastAsia="Arial" w:hAnsi="Arial"/>
                <w:sz w:val="14"/>
                <w:szCs w:val="14"/>
                <w:color w:val="auto"/>
                <w:w w:val="95"/>
              </w:rPr>
              <w:t>Six Months Ended</w:t>
            </w:r>
          </w:p>
        </w:tc>
      </w:tr>
      <w:tr>
        <w:trPr>
          <w:trHeight w:val="173"/>
        </w:trPr>
        <w:tc>
          <w:tcPr>
            <w:tcW w:w="6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June 30</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r>
      <w:tr>
        <w:trPr>
          <w:trHeight w:val="142"/>
        </w:trPr>
        <w:tc>
          <w:tcPr>
            <w:tcW w:w="69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12"/>
              <w:spacing w:after="0" w:line="143" w:lineRule="exact"/>
              <w:rPr>
                <w:sz w:val="20"/>
                <w:szCs w:val="20"/>
                <w:color w:val="auto"/>
              </w:rPr>
            </w:pPr>
            <w:r>
              <w:rPr>
                <w:rFonts w:ascii="Arial" w:cs="Arial" w:eastAsia="Arial" w:hAnsi="Arial"/>
                <w:sz w:val="14"/>
                <w:szCs w:val="14"/>
                <w:color w:val="auto"/>
                <w:w w:val="83"/>
              </w:rPr>
              <w:t>2012</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6"/>
              <w:spacing w:after="0" w:line="143" w:lineRule="exact"/>
              <w:rPr>
                <w:sz w:val="20"/>
                <w:szCs w:val="20"/>
                <w:color w:val="auto"/>
              </w:rPr>
            </w:pPr>
            <w:r>
              <w:rPr>
                <w:rFonts w:ascii="Arial" w:cs="Arial" w:eastAsia="Arial" w:hAnsi="Arial"/>
                <w:sz w:val="14"/>
                <w:szCs w:val="14"/>
                <w:color w:val="auto"/>
                <w:w w:val="83"/>
              </w:rPr>
              <w:t>2011</w:t>
            </w: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300"/>
              <w:spacing w:after="0" w:line="143" w:lineRule="exact"/>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5"/>
              <w:spacing w:after="0" w:line="143" w:lineRule="exact"/>
              <w:rPr>
                <w:sz w:val="20"/>
                <w:szCs w:val="20"/>
                <w:color w:val="auto"/>
              </w:rPr>
            </w:pPr>
            <w:r>
              <w:rPr>
                <w:rFonts w:ascii="Arial" w:cs="Arial" w:eastAsia="Arial" w:hAnsi="Arial"/>
                <w:sz w:val="14"/>
                <w:szCs w:val="14"/>
                <w:color w:val="auto"/>
                <w:w w:val="83"/>
              </w:rPr>
              <w:t>2011</w:t>
            </w:r>
          </w:p>
        </w:tc>
      </w:tr>
      <w:tr>
        <w:trPr>
          <w:trHeight w:val="210"/>
        </w:trPr>
        <w:tc>
          <w:tcPr>
            <w:tcW w:w="7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5E5E5"/>
          </w:tcPr>
          <w:p>
            <w:pPr>
              <w:ind w:left="160"/>
              <w:spacing w:after="0"/>
              <w:rPr>
                <w:sz w:val="20"/>
                <w:szCs w:val="20"/>
                <w:color w:val="auto"/>
              </w:rPr>
            </w:pPr>
            <w:r>
              <w:rPr>
                <w:rFonts w:ascii="Arial" w:cs="Arial" w:eastAsia="Arial" w:hAnsi="Arial"/>
                <w:sz w:val="18"/>
                <w:szCs w:val="18"/>
                <w:color w:val="auto"/>
                <w:w w:val="93"/>
              </w:rPr>
              <w:t>544</w:t>
            </w:r>
          </w:p>
        </w:tc>
        <w:tc>
          <w:tcPr>
            <w:tcW w:w="520" w:type="dxa"/>
            <w:vAlign w:val="bottom"/>
            <w:shd w:val="clear" w:color="auto" w:fill="E5E5E5"/>
          </w:tcPr>
          <w:p>
            <w:pPr>
              <w:spacing w:after="0"/>
              <w:rPr>
                <w:sz w:val="18"/>
                <w:szCs w:val="18"/>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540</w:t>
            </w:r>
          </w:p>
        </w:tc>
        <w:tc>
          <w:tcPr>
            <w:tcW w:w="300" w:type="dxa"/>
            <w:vAlign w:val="bottom"/>
            <w:shd w:val="clear" w:color="auto" w:fill="E5E5E5"/>
          </w:tcPr>
          <w:p>
            <w:pPr>
              <w:spacing w:after="0"/>
              <w:rPr>
                <w:sz w:val="18"/>
                <w:szCs w:val="18"/>
                <w:color w:val="auto"/>
              </w:rPr>
            </w:pPr>
          </w:p>
        </w:tc>
        <w:tc>
          <w:tcPr>
            <w:tcW w:w="1220" w:type="dxa"/>
            <w:vAlign w:val="bottom"/>
            <w:gridSpan w:val="2"/>
            <w:shd w:val="clear" w:color="auto" w:fill="E5E5E5"/>
          </w:tcPr>
          <w:p>
            <w:pPr>
              <w:jc w:val="right"/>
              <w:ind w:right="438"/>
              <w:spacing w:after="0"/>
              <w:rPr>
                <w:sz w:val="20"/>
                <w:szCs w:val="20"/>
                <w:color w:val="auto"/>
              </w:rPr>
            </w:pPr>
            <w:r>
              <w:rPr>
                <w:rFonts w:ascii="Arial" w:cs="Arial" w:eastAsia="Arial" w:hAnsi="Arial"/>
                <w:sz w:val="18"/>
                <w:szCs w:val="18"/>
                <w:color w:val="auto"/>
              </w:rPr>
              <w:t>$ 1,158</w:t>
            </w: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w w:val="96"/>
              </w:rPr>
              <w:t>$ 1,197</w:t>
            </w:r>
          </w:p>
        </w:tc>
      </w:tr>
      <w:tr>
        <w:trPr>
          <w:trHeight w:val="216"/>
        </w:trPr>
        <w:tc>
          <w:tcPr>
            <w:tcW w:w="7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3"/>
              </w:rPr>
              <w:t>904</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496</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438"/>
              <w:spacing w:after="0"/>
              <w:rPr>
                <w:sz w:val="20"/>
                <w:szCs w:val="20"/>
                <w:color w:val="auto"/>
              </w:rPr>
            </w:pPr>
            <w:r>
              <w:rPr>
                <w:rFonts w:ascii="Arial" w:cs="Arial" w:eastAsia="Arial" w:hAnsi="Arial"/>
                <w:sz w:val="18"/>
                <w:szCs w:val="18"/>
                <w:color w:val="auto"/>
              </w:rPr>
              <w:t>$ 1,022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2012, we:</w:t>
      </w:r>
    </w:p>
    <w:p>
      <w:pPr>
        <w:spacing w:after="0" w:line="77" w:lineRule="exact"/>
        <w:rPr>
          <w:sz w:val="20"/>
          <w:szCs w:val="20"/>
          <w:color w:val="auto"/>
        </w:rPr>
      </w:pPr>
    </w:p>
    <w:p>
      <w:pPr>
        <w:ind w:left="1020" w:right="1240" w:hanging="215"/>
        <w:spacing w:after="0" w:line="26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acquired $550 million of property and equipment and intangible assets that were accrued but unpaid, which is a noncash investing activity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right="1260" w:hanging="215"/>
        <w:spacing w:after="0" w:line="26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recorded a liability of $435 million for a quarterly cash dividend of $0.1625 per common share paid in July 2012, which is a noncash financing activity</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NBCUniversal entered into a capital lease transaction that resulted in an increase in property and equipment and debt of $85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Actual and Pro Forma Information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unaudited pro forma information has been presented as if both the NBCUniversal transaction and the Universal Orlando transaction occurred on January 1, 2010. This information is based on historical results of operations, adjusted for the allocation of purchase price and other acquisition accounting adjustments, and is not necessarily indicative of what our results would have been had we operated the businesses since January 1, 2010. No pro forma adjustments have been made for our incremental transaction-related expenses.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3"/>
          </w:tcPr>
          <w:p>
            <w:pPr>
              <w:jc w:val="center"/>
              <w:ind w:right="196"/>
              <w:spacing w:after="0"/>
              <w:rPr>
                <w:sz w:val="20"/>
                <w:szCs w:val="20"/>
                <w:color w:val="auto"/>
              </w:rPr>
            </w:pPr>
            <w:r>
              <w:rPr>
                <w:rFonts w:ascii="Arial" w:cs="Arial" w:eastAsia="Arial" w:hAnsi="Arial"/>
                <w:sz w:val="14"/>
                <w:szCs w:val="14"/>
                <w:color w:val="auto"/>
                <w:w w:val="87"/>
              </w:rPr>
              <w:t>Three Months Ended</w:t>
            </w:r>
          </w:p>
        </w:tc>
        <w:tc>
          <w:tcPr>
            <w:tcW w:w="280" w:type="dxa"/>
            <w:vAlign w:val="bottom"/>
          </w:tcPr>
          <w:p>
            <w:pPr>
              <w:spacing w:after="0"/>
              <w:rPr>
                <w:sz w:val="14"/>
                <w:szCs w:val="14"/>
                <w:color w:val="auto"/>
              </w:rPr>
            </w:pPr>
          </w:p>
        </w:tc>
        <w:tc>
          <w:tcPr>
            <w:tcW w:w="1520" w:type="dxa"/>
            <w:vAlign w:val="bottom"/>
            <w:gridSpan w:val="3"/>
          </w:tcPr>
          <w:p>
            <w:pPr>
              <w:jc w:val="center"/>
              <w:ind w:right="56"/>
              <w:spacing w:after="0"/>
              <w:rPr>
                <w:sz w:val="20"/>
                <w:szCs w:val="20"/>
                <w:color w:val="auto"/>
              </w:rPr>
            </w:pPr>
            <w:r>
              <w:rPr>
                <w:rFonts w:ascii="Arial" w:cs="Arial" w:eastAsia="Arial" w:hAnsi="Arial"/>
                <w:sz w:val="14"/>
                <w:szCs w:val="14"/>
                <w:color w:val="auto"/>
                <w:w w:val="89"/>
              </w:rPr>
              <w:t>Six Months Ended</w:t>
            </w:r>
          </w:p>
        </w:tc>
        <w:tc>
          <w:tcPr>
            <w:tcW w:w="0" w:type="dxa"/>
            <w:vAlign w:val="bottom"/>
          </w:tcPr>
          <w:p>
            <w:pPr>
              <w:spacing w:after="0"/>
              <w:rPr>
                <w:sz w:val="1"/>
                <w:szCs w:val="1"/>
                <w:color w:val="auto"/>
              </w:rPr>
            </w:pPr>
          </w:p>
        </w:tc>
      </w:tr>
      <w:tr>
        <w:trPr>
          <w:trHeight w:val="159"/>
        </w:trPr>
        <w:tc>
          <w:tcPr>
            <w:tcW w:w="75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left="321"/>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left="321"/>
              <w:spacing w:after="0" w:line="159" w:lineRule="exact"/>
              <w:rPr>
                <w:sz w:val="20"/>
                <w:szCs w:val="20"/>
                <w:color w:val="auto"/>
              </w:rPr>
            </w:pPr>
            <w:r>
              <w:rPr>
                <w:rFonts w:ascii="Arial" w:cs="Arial" w:eastAsia="Arial" w:hAnsi="Arial"/>
                <w:sz w:val="14"/>
                <w:szCs w:val="14"/>
                <w:color w:val="auto"/>
                <w:w w:val="84"/>
              </w:rPr>
              <w:t>June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40" w:type="dxa"/>
            <w:vAlign w:val="bottom"/>
            <w:vMerge w:val="restart"/>
          </w:tcPr>
          <w:p>
            <w:pPr>
              <w:spacing w:after="0"/>
              <w:rPr>
                <w:sz w:val="20"/>
                <w:szCs w:val="20"/>
                <w:color w:val="auto"/>
              </w:rPr>
            </w:pPr>
            <w:r>
              <w:rPr>
                <w:rFonts w:ascii="Arial" w:cs="Arial" w:eastAsia="Arial" w:hAnsi="Arial"/>
                <w:sz w:val="14"/>
                <w:szCs w:val="14"/>
                <w:color w:val="auto"/>
              </w:rPr>
              <w:t>(in millions except per share amounts)</w:t>
            </w:r>
          </w:p>
        </w:tc>
        <w:tc>
          <w:tcPr>
            <w:tcW w:w="4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1"/>
              <w:spacing w:after="0" w:line="142" w:lineRule="exact"/>
              <w:rPr>
                <w:sz w:val="20"/>
                <w:szCs w:val="20"/>
                <w:color w:val="auto"/>
              </w:rPr>
            </w:pPr>
            <w:r>
              <w:rPr>
                <w:rFonts w:ascii="Arial" w:cs="Arial" w:eastAsia="Arial" w:hAnsi="Arial"/>
                <w:sz w:val="14"/>
                <w:szCs w:val="14"/>
                <w:color w:val="auto"/>
                <w:w w:val="92"/>
              </w:rPr>
              <w:t>Actual</w:t>
            </w:r>
          </w:p>
        </w:tc>
        <w:tc>
          <w:tcPr>
            <w:tcW w:w="98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color w:val="auto"/>
              </w:rPr>
              <w:t>Pro Forma</w:t>
            </w: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1"/>
              <w:spacing w:after="0" w:line="142" w:lineRule="exact"/>
              <w:rPr>
                <w:sz w:val="20"/>
                <w:szCs w:val="20"/>
                <w:color w:val="auto"/>
              </w:rPr>
            </w:pPr>
            <w:r>
              <w:rPr>
                <w:rFonts w:ascii="Arial" w:cs="Arial" w:eastAsia="Arial" w:hAnsi="Arial"/>
                <w:sz w:val="14"/>
                <w:szCs w:val="14"/>
                <w:color w:val="auto"/>
                <w:w w:val="92"/>
              </w:rPr>
              <w:t>Actual</w:t>
            </w:r>
          </w:p>
        </w:tc>
        <w:tc>
          <w:tcPr>
            <w:tcW w:w="84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color w:val="auto"/>
                <w:w w:val="93"/>
              </w:rPr>
              <w:t>Pro Forma</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w w:val="96"/>
              </w:rPr>
              <w:t>2011</w:t>
            </w: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96"/>
              </w:rPr>
              <w:t>2011</w:t>
            </w:r>
          </w:p>
        </w:tc>
        <w:tc>
          <w:tcPr>
            <w:tcW w:w="0" w:type="dxa"/>
            <w:vAlign w:val="bottom"/>
          </w:tcPr>
          <w:p>
            <w:pPr>
              <w:spacing w:after="0"/>
              <w:rPr>
                <w:sz w:val="1"/>
                <w:szCs w:val="1"/>
                <w:color w:val="auto"/>
              </w:rPr>
            </w:pPr>
          </w:p>
        </w:tc>
      </w:tr>
      <w:tr>
        <w:trPr>
          <w:trHeight w:val="210"/>
        </w:trPr>
        <w:tc>
          <w:tcPr>
            <w:tcW w:w="754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21"/>
              <w:spacing w:after="0"/>
              <w:rPr>
                <w:sz w:val="20"/>
                <w:szCs w:val="20"/>
                <w:color w:val="auto"/>
              </w:rPr>
            </w:pPr>
            <w:r>
              <w:rPr>
                <w:rFonts w:ascii="Arial" w:cs="Arial" w:eastAsia="Arial" w:hAnsi="Arial"/>
                <w:sz w:val="18"/>
                <w:szCs w:val="18"/>
                <w:color w:val="auto"/>
                <w:w w:val="83"/>
              </w:rPr>
              <w:t>15,211</w:t>
            </w:r>
          </w:p>
        </w:tc>
        <w:tc>
          <w:tcPr>
            <w:tcW w:w="300" w:type="dxa"/>
            <w:vAlign w:val="bottom"/>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w w:val="83"/>
              </w:rPr>
              <w:t>14,700</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01"/>
              <w:spacing w:after="0"/>
              <w:rPr>
                <w:sz w:val="20"/>
                <w:szCs w:val="20"/>
                <w:color w:val="auto"/>
              </w:rPr>
            </w:pPr>
            <w:r>
              <w:rPr>
                <w:rFonts w:ascii="Arial" w:cs="Arial" w:eastAsia="Arial" w:hAnsi="Arial"/>
                <w:sz w:val="18"/>
                <w:szCs w:val="18"/>
                <w:color w:val="auto"/>
                <w:w w:val="87"/>
              </w:rPr>
              <w:t>30,089</w:t>
            </w:r>
          </w:p>
        </w:tc>
        <w:tc>
          <w:tcPr>
            <w:tcW w:w="300" w:type="dxa"/>
            <w:vAlign w:val="bottom"/>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3"/>
              </w:rPr>
              <w:t>28,280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1"/>
              <w:spacing w:after="0"/>
              <w:rPr>
                <w:sz w:val="20"/>
                <w:szCs w:val="20"/>
                <w:color w:val="auto"/>
              </w:rPr>
            </w:pPr>
            <w:r>
              <w:rPr>
                <w:rFonts w:ascii="Arial" w:cs="Arial" w:eastAsia="Arial" w:hAnsi="Arial"/>
                <w:sz w:val="18"/>
                <w:szCs w:val="18"/>
                <w:color w:val="auto"/>
              </w:rPr>
              <w:t>1,633</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1,418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1"/>
              <w:spacing w:after="0"/>
              <w:rPr>
                <w:sz w:val="20"/>
                <w:szCs w:val="20"/>
                <w:color w:val="auto"/>
              </w:rPr>
            </w:pPr>
            <w:r>
              <w:rPr>
                <w:rFonts w:ascii="Arial" w:cs="Arial" w:eastAsia="Arial" w:hAnsi="Arial"/>
                <w:sz w:val="18"/>
                <w:szCs w:val="18"/>
                <w:color w:val="auto"/>
              </w:rPr>
              <w:t>3,080</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16"/>
        </w:trPr>
        <w:tc>
          <w:tcPr>
            <w:tcW w:w="7540" w:type="dxa"/>
            <w:vAlign w:val="bottom"/>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21"/>
              <w:spacing w:after="0"/>
              <w:rPr>
                <w:sz w:val="20"/>
                <w:szCs w:val="20"/>
                <w:color w:val="auto"/>
              </w:rPr>
            </w:pPr>
            <w:r>
              <w:rPr>
                <w:rFonts w:ascii="Arial" w:cs="Arial" w:eastAsia="Arial" w:hAnsi="Arial"/>
                <w:sz w:val="18"/>
                <w:szCs w:val="18"/>
                <w:color w:val="auto"/>
              </w:rPr>
              <w:t>1,348</w:t>
            </w:r>
          </w:p>
        </w:tc>
        <w:tc>
          <w:tcPr>
            <w:tcW w:w="300" w:type="dxa"/>
            <w:vAlign w:val="bottom"/>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1,038</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01"/>
              <w:spacing w:after="0"/>
              <w:rPr>
                <w:sz w:val="20"/>
                <w:szCs w:val="20"/>
                <w:color w:val="auto"/>
              </w:rPr>
            </w:pPr>
            <w:r>
              <w:rPr>
                <w:rFonts w:ascii="Arial" w:cs="Arial" w:eastAsia="Arial" w:hAnsi="Arial"/>
                <w:sz w:val="18"/>
                <w:szCs w:val="18"/>
                <w:color w:val="auto"/>
              </w:rPr>
              <w:t>2,572</w:t>
            </w:r>
          </w:p>
        </w:tc>
        <w:tc>
          <w:tcPr>
            <w:tcW w:w="300" w:type="dxa"/>
            <w:vAlign w:val="bottom"/>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Basic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1"/>
              <w:spacing w:after="0"/>
              <w:rPr>
                <w:sz w:val="20"/>
                <w:szCs w:val="20"/>
                <w:color w:val="auto"/>
              </w:rPr>
            </w:pPr>
            <w:r>
              <w:rPr>
                <w:rFonts w:ascii="Arial" w:cs="Arial" w:eastAsia="Arial" w:hAnsi="Arial"/>
                <w:sz w:val="18"/>
                <w:szCs w:val="18"/>
                <w:color w:val="auto"/>
              </w:rPr>
              <w:t>0.50</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0.38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1"/>
              <w:spacing w:after="0"/>
              <w:rPr>
                <w:sz w:val="20"/>
                <w:szCs w:val="20"/>
                <w:color w:val="auto"/>
              </w:rPr>
            </w:pPr>
            <w:r>
              <w:rPr>
                <w:rFonts w:ascii="Arial" w:cs="Arial" w:eastAsia="Arial" w:hAnsi="Arial"/>
                <w:sz w:val="18"/>
                <w:szCs w:val="18"/>
                <w:color w:val="auto"/>
              </w:rPr>
              <w:t>0.95</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Diluted earnings per common share attributable to Comcast Corporation shareholders</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21"/>
              <w:spacing w:after="0"/>
              <w:rPr>
                <w:sz w:val="20"/>
                <w:szCs w:val="20"/>
                <w:color w:val="auto"/>
              </w:rPr>
            </w:pPr>
            <w:r>
              <w:rPr>
                <w:rFonts w:ascii="Arial" w:cs="Arial" w:eastAsia="Arial" w:hAnsi="Arial"/>
                <w:sz w:val="18"/>
                <w:szCs w:val="18"/>
                <w:color w:val="auto"/>
              </w:rPr>
              <w:t>0.50</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0.37</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01"/>
              <w:spacing w:after="0"/>
              <w:rPr>
                <w:sz w:val="20"/>
                <w:szCs w:val="20"/>
                <w:color w:val="auto"/>
              </w:rPr>
            </w:pPr>
            <w:r>
              <w:rPr>
                <w:rFonts w:ascii="Arial" w:cs="Arial" w:eastAsia="Arial" w:hAnsi="Arial"/>
                <w:sz w:val="18"/>
                <w:szCs w:val="18"/>
                <w:color w:val="auto"/>
              </w:rPr>
              <w:t>0.94</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Receivables Monetization</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NBCUniversal monetizes certain of its accounts receivable under programs with a syndicate of banks. 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recorded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June 30, 2012.</w:t>
      </w:r>
    </w:p>
    <w:p>
      <w:pPr>
        <w:spacing w:after="0" w:line="2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NBCUniversal is responsible for servicing the receivables and remitting collections to the purchasers under the monetization programs. NBCUniversal performs this service for a fee that is equal to the prevailing market rate for such services. As a result, no servicing asset or liability has been recorded in our condensed consolidated balance sheet as of June 30, 2012. The servicing fees are a component of net (loss) gain on sale, which is presented in the table below.</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on Income from Receivables Monetization and Cash Flows on Transfers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w w:val="90"/>
              </w:rPr>
              <w:t>Three Months Ended</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3"/>
          </w:tcPr>
          <w:p>
            <w:pPr>
              <w:jc w:val="right"/>
              <w:ind w:right="217"/>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59"/>
        </w:trPr>
        <w:tc>
          <w:tcPr>
            <w:tcW w:w="75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
              <w:spacing w:after="0" w:line="159" w:lineRule="exact"/>
              <w:rPr>
                <w:sz w:val="20"/>
                <w:szCs w:val="20"/>
                <w:color w:val="auto"/>
              </w:rPr>
            </w:pPr>
            <w:r>
              <w:rPr>
                <w:rFonts w:ascii="Arial" w:cs="Arial" w:eastAsia="Arial" w:hAnsi="Arial"/>
                <w:sz w:val="14"/>
                <w:szCs w:val="14"/>
                <w:color w:val="auto"/>
              </w:rPr>
              <w:t>June 30</w:t>
            </w: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80"/>
              </w:rPr>
              <w:t>June 30</w:t>
            </w: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2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42"/>
              <w:spacing w:after="0" w:line="142" w:lineRule="exact"/>
              <w:rPr>
                <w:sz w:val="20"/>
                <w:szCs w:val="20"/>
                <w:color w:val="auto"/>
              </w:rPr>
            </w:pPr>
            <w:r>
              <w:rPr>
                <w:rFonts w:ascii="Arial" w:cs="Arial" w:eastAsia="Arial" w:hAnsi="Arial"/>
                <w:sz w:val="14"/>
                <w:szCs w:val="14"/>
                <w:color w:val="auto"/>
                <w:w w:val="89"/>
              </w:rPr>
              <w:t>2012</w:t>
            </w:r>
          </w:p>
        </w:tc>
        <w:tc>
          <w:tcPr>
            <w:tcW w:w="740" w:type="dxa"/>
            <w:vAlign w:val="bottom"/>
            <w:tcBorders>
              <w:bottom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color w:val="auto"/>
              </w:rPr>
              <w:t>2011</w:t>
            </w:r>
          </w:p>
        </w:tc>
        <w:tc>
          <w:tcPr>
            <w:tcW w:w="720" w:type="dxa"/>
            <w:vAlign w:val="bottom"/>
            <w:tcBorders>
              <w:bottom w:val="single" w:sz="8" w:color="auto"/>
            </w:tcBorders>
            <w:gridSpan w:val="2"/>
          </w:tcPr>
          <w:p>
            <w:pPr>
              <w:jc w:val="right"/>
              <w:ind w:right="57"/>
              <w:spacing w:after="0" w:line="142" w:lineRule="exact"/>
              <w:rPr>
                <w:sz w:val="20"/>
                <w:szCs w:val="20"/>
                <w:color w:val="auto"/>
              </w:rPr>
            </w:pPr>
            <w:r>
              <w:rPr>
                <w:rFonts w:ascii="Arial" w:cs="Arial" w:eastAsia="Arial" w:hAnsi="Arial"/>
                <w:sz w:val="14"/>
                <w:szCs w:val="14"/>
                <w:color w:val="auto"/>
              </w:rPr>
              <w:t>2012</w:t>
            </w: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w w:val="76"/>
              </w:rPr>
              <w:t>2011</w:t>
            </w:r>
          </w:p>
        </w:tc>
        <w:tc>
          <w:tcPr>
            <w:tcW w:w="0" w:type="dxa"/>
            <w:vAlign w:val="bottom"/>
          </w:tcPr>
          <w:p>
            <w:pPr>
              <w:spacing w:after="0"/>
              <w:rPr>
                <w:sz w:val="1"/>
                <w:szCs w:val="1"/>
                <w:color w:val="auto"/>
              </w:rPr>
            </w:pPr>
          </w:p>
        </w:tc>
      </w:tr>
      <w:tr>
        <w:trPr>
          <w:trHeight w:val="210"/>
        </w:trPr>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42"/>
              <w:spacing w:after="0"/>
              <w:rPr>
                <w:sz w:val="20"/>
                <w:szCs w:val="20"/>
                <w:color w:val="auto"/>
              </w:rPr>
            </w:pPr>
            <w:r>
              <w:rPr>
                <w:rFonts w:ascii="Arial" w:cs="Arial" w:eastAsia="Arial" w:hAnsi="Arial"/>
                <w:sz w:val="18"/>
                <w:szCs w:val="18"/>
                <w:color w:val="auto"/>
              </w:rPr>
              <w:t>(3)</w:t>
            </w:r>
          </w:p>
        </w:tc>
        <w:tc>
          <w:tcPr>
            <w:tcW w:w="2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(loss) gain on sale</w:t>
            </w:r>
            <w:r>
              <w:rPr>
                <w:rFonts w:ascii="Arial" w:cs="Arial" w:eastAsia="Arial" w:hAnsi="Arial"/>
                <w:sz w:val="11"/>
                <w:szCs w:val="11"/>
                <w:color w:val="auto"/>
              </w:rPr>
              <w:t>(a)</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02"/>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w w:val="99"/>
              </w:rPr>
              <w:t>(9)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proceeds (payments) on transfers</w:t>
            </w:r>
            <w:r>
              <w:rPr>
                <w:rFonts w:ascii="Arial" w:cs="Arial" w:eastAsia="Arial" w:hAnsi="Arial"/>
                <w:sz w:val="11"/>
                <w:szCs w:val="11"/>
                <w:color w:val="auto"/>
              </w:rPr>
              <w:t>(b)</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342"/>
              <w:spacing w:after="0"/>
              <w:rPr>
                <w:sz w:val="20"/>
                <w:szCs w:val="20"/>
                <w:color w:val="auto"/>
              </w:rPr>
            </w:pPr>
            <w:r>
              <w:rPr>
                <w:rFonts w:ascii="Arial" w:cs="Arial" w:eastAsia="Arial" w:hAnsi="Arial"/>
                <w:sz w:val="18"/>
                <w:szCs w:val="18"/>
                <w:color w:val="auto"/>
              </w:rPr>
              <w:t>(133)</w:t>
            </w:r>
          </w:p>
        </w:tc>
        <w:tc>
          <w:tcPr>
            <w:tcW w:w="2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w w:val="79"/>
              </w:rPr>
              <w:t>50</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0"/>
              </w:rPr>
              <w:t>(223)</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5"/>
              </w:rPr>
              <w:t>(374)</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(loss) gain on sale is included in other income (expense), net in our condensed consolidated statement of income.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cash proceeds (payments) on transfers are included within net cash provided by operating activities in our condensed consolidated statement of cash flows.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Monetized and Deferred Consideration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4560" w:type="dxa"/>
            <w:vAlign w:val="bottom"/>
            <w:gridSpan w:val="2"/>
          </w:tcPr>
          <w:p>
            <w:pPr>
              <w:ind w:left="3760"/>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360"/>
              <w:spacing w:after="0"/>
              <w:rPr>
                <w:sz w:val="20"/>
                <w:szCs w:val="20"/>
                <w:color w:val="auto"/>
              </w:rPr>
            </w:pPr>
            <w:r>
              <w:rPr>
                <w:rFonts w:ascii="Arial" w:cs="Arial" w:eastAsia="Arial" w:hAnsi="Arial"/>
                <w:sz w:val="14"/>
                <w:szCs w:val="14"/>
                <w:color w:val="auto"/>
                <w:w w:val="90"/>
              </w:rPr>
              <w:t>December 31,</w:t>
            </w:r>
          </w:p>
        </w:tc>
      </w:tr>
      <w:tr>
        <w:trPr>
          <w:trHeight w:val="159"/>
        </w:trPr>
        <w:tc>
          <w:tcPr>
            <w:tcW w:w="56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8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9"/>
              <w:spacing w:after="0" w:line="159" w:lineRule="exact"/>
              <w:rPr>
                <w:sz w:val="20"/>
                <w:szCs w:val="20"/>
                <w:color w:val="auto"/>
              </w:rPr>
            </w:pPr>
            <w:r>
              <w:rPr>
                <w:rFonts w:ascii="Arial" w:cs="Arial" w:eastAsia="Arial" w:hAnsi="Arial"/>
                <w:sz w:val="14"/>
                <w:szCs w:val="14"/>
                <w:color w:val="auto"/>
                <w:w w:val="83"/>
              </w:rPr>
              <w:t>2012</w:t>
            </w:r>
          </w:p>
        </w:tc>
        <w:tc>
          <w:tcPr>
            <w:tcW w:w="5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9"/>
              <w:spacing w:after="0" w:line="159" w:lineRule="exact"/>
              <w:rPr>
                <w:sz w:val="20"/>
                <w:szCs w:val="20"/>
                <w:color w:val="auto"/>
              </w:rPr>
            </w:pPr>
            <w:r>
              <w:rPr>
                <w:rFonts w:ascii="Arial" w:cs="Arial" w:eastAsia="Arial" w:hAnsi="Arial"/>
                <w:sz w:val="14"/>
                <w:szCs w:val="14"/>
                <w:color w:val="auto"/>
              </w:rPr>
              <w:t>2011</w:t>
            </w:r>
          </w:p>
        </w:tc>
      </w:tr>
      <w:tr>
        <w:trPr>
          <w:trHeight w:val="210"/>
        </w:trPr>
        <w:tc>
          <w:tcPr>
            <w:tcW w:w="5680" w:type="dxa"/>
            <w:vAlign w:val="bottom"/>
            <w:shd w:val="clear" w:color="auto" w:fill="E5E5E5"/>
          </w:tcPr>
          <w:p>
            <w:pPr>
              <w:spacing w:after="0"/>
              <w:rPr>
                <w:sz w:val="20"/>
                <w:szCs w:val="20"/>
                <w:color w:val="auto"/>
              </w:rPr>
            </w:pPr>
            <w:r>
              <w:rPr>
                <w:rFonts w:ascii="Arial" w:cs="Arial" w:eastAsia="Arial" w:hAnsi="Arial"/>
                <w:sz w:val="18"/>
                <w:szCs w:val="18"/>
                <w:color w:val="auto"/>
              </w:rPr>
              <w:t>Monetized receivables sold</w:t>
            </w:r>
          </w:p>
        </w:tc>
        <w:tc>
          <w:tcPr>
            <w:tcW w:w="3840" w:type="dxa"/>
            <w:vAlign w:val="bottom"/>
            <w:shd w:val="clear" w:color="auto" w:fill="E5E5E5"/>
          </w:tcPr>
          <w:p>
            <w:pPr>
              <w:ind w:left="37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5E5E5"/>
          </w:tcPr>
          <w:p>
            <w:pPr>
              <w:jc w:val="right"/>
              <w:ind w:right="259"/>
              <w:spacing w:after="0"/>
              <w:rPr>
                <w:sz w:val="20"/>
                <w:szCs w:val="20"/>
                <w:color w:val="auto"/>
              </w:rPr>
            </w:pPr>
            <w:r>
              <w:rPr>
                <w:rFonts w:ascii="Arial" w:cs="Arial" w:eastAsia="Arial" w:hAnsi="Arial"/>
                <w:sz w:val="18"/>
                <w:szCs w:val="18"/>
                <w:color w:val="auto"/>
              </w:rPr>
              <w:t>808</w:t>
            </w:r>
          </w:p>
        </w:tc>
        <w:tc>
          <w:tcPr>
            <w:tcW w:w="52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961</w:t>
            </w:r>
          </w:p>
        </w:tc>
      </w:tr>
      <w:tr>
        <w:trPr>
          <w:trHeight w:val="216"/>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w:t>
            </w:r>
          </w:p>
        </w:tc>
        <w:tc>
          <w:tcPr>
            <w:tcW w:w="3840" w:type="dxa"/>
            <w:vAlign w:val="bottom"/>
            <w:tcBorders>
              <w:bottom w:val="single" w:sz="8" w:color="auto"/>
            </w:tcBorders>
          </w:tcPr>
          <w:p>
            <w:pPr>
              <w:ind w:left="376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color w:val="auto"/>
              </w:rPr>
              <w:t>265</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amounts presented above, we had $712 million and $781 million payable to our monetization programs as of June 30, 2012 and December 31, 2011, respectively. These amounts represent cash receipts that have not yet been remitted to the monetization programs as of the balance sheet date and are recorded to accounts payable and accrued expenses related to trade creditors.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Classes of Chicago Cluster and Philadelphia Cluster customers were certified in October 2007 and January 2010, respectively. We appealed the class certification in the Philadelphia Cluster case to the Third Circuit Court of Appeals, which affirmed the class certification in August 2011 and denied our petition for a rehearing en banc in September 2011. In March 2010, we moved for summary judgment dismissing all of the plaintiffs’ claims in the Philadelphia Cluster. In April 2012, the District Court issued a decision dismissing some of the plaintiffs’ claims, but allowing two claims to proceed to trial. The plaintiffs’ claims concerning the other two clusters are stayed pending determination of the Philadelphia Cluster claims. In June 2012, the U.S. Supreme Court granted our petition to review the Third Circuit Court of Appeals’ ruling, and has scheduled oral argument for November 2012. In July 2012, the trial court vacated the September 2012 trial date for the Philadelphia Cluster case.</w:t>
      </w:r>
    </w:p>
    <w:p>
      <w:pPr>
        <w:spacing w:after="0" w:line="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also are among the defendants in a purported class action filed in the United States District Court for the Central District of California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customers on an “unbundled” basis in violation of federal antitrust laws. The plaintiffs seek treble damages and injunctive relief requiring each distributor defendant to resell certain channels to its customers on an “unbundled” basis. In October 2009, the Central District of California issued an order dismissing the plaintiffs’ complaint with prejudice. In March 2012, a panel of the Ninth Circuit Court of Appeals affirmed the District Court’s order. In April 2012, the plaintiffs filed a petition for a rehearing, which the Ninth Circuit denied in May 2012.</w:t>
      </w:r>
    </w:p>
    <w:p>
      <w:pPr>
        <w:spacing w:after="0" w:line="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omitted their unjust enrichment claim, as well as their state law claims on behalf of the Alabama, Illinois and Pennsylvania subclasses. In June 2011, the plaintiffs filed another amended complaint alleging only violations of Section 1 of the Sherman Antitrust Act, antitrust law in Washington and unfair/deceptive trade practices acts in California and Washington. The plaintiffs seek relief on behalf of a nationwide class of our premium cable customers and on behalf of subclasses consisting of premium cable customers from California and Washington. In July 2011, we moved to compel arbitration of certain claims and to stay the remaining claims pending arbitration.</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West Virginia Attorney General also filed a complaint in West Virginia state court in July 2009 alleging that we improperly “tie” the rental of set-top boxes to the provision of digital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March 2010, the Eastern District of Pennsylvania denied the Attorney General’s motion to remand the case back to West Virginia state court. In June 2010, the Attorney General moved to sever and remand the portion of the claims seeking civil penalties and injunctive relief back to West Virginia state court. We filed a brief in opposition to the motion in July 2010.</w:t>
      </w:r>
    </w:p>
    <w:p>
      <w:pPr>
        <w:spacing w:after="0" w:line="5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believe the claims in each of the pending actions described above in this item are without merit and intend to defend the actions vigorously. We cannot predict the outcome of any of the actions described above, including a range of possible loss, or how the final resolution of any such actions would impact our results of operations or cash flows for any one period or our consolidated financial position. In addition, as any action nears a trial, there is an increased possibility that the action may be settled by the parties.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1" w:lineRule="exact"/>
        <w:rPr>
          <w:sz w:val="20"/>
          <w:szCs w:val="20"/>
          <w:color w:val="auto"/>
        </w:rPr>
      </w:pPr>
    </w:p>
    <w:p>
      <w:pPr>
        <w:ind w:left="1020" w:right="1240" w:hanging="215"/>
        <w:spacing w:after="0" w:line="27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Provides video, high-speed Internet and voice services (“cable services”) to residential and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in 39 states and the District of Columbia.</w:t>
      </w:r>
    </w:p>
    <w:p>
      <w:pPr>
        <w:spacing w:after="0" w:line="25" w:lineRule="exact"/>
        <w:rPr>
          <w:rFonts w:ascii="Arial" w:cs="Arial" w:eastAsia="Arial" w:hAnsi="Arial"/>
          <w:sz w:val="18"/>
          <w:szCs w:val="18"/>
          <w:color w:val="auto"/>
        </w:rPr>
      </w:pPr>
    </w:p>
    <w:p>
      <w:pPr>
        <w:ind w:left="1020" w:right="1240" w:hanging="215"/>
        <w:spacing w:after="0" w:line="325"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Cable Networks</w:t>
      </w:r>
      <w:r>
        <w:rPr>
          <w:rFonts w:ascii="Arial" w:cs="Arial" w:eastAsia="Arial" w:hAnsi="Arial"/>
          <w:sz w:val="16"/>
          <w:szCs w:val="16"/>
          <w:color w:val="auto"/>
        </w:rPr>
        <w:t>: Consists primarily of our national cable television networks, our regional sports and news networks, our</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cable networks, our cable television production studio, and our related digital media properties.</w:t>
      </w:r>
    </w:p>
    <w:p>
      <w:pPr>
        <w:spacing w:after="0" w:line="1" w:lineRule="exact"/>
        <w:rPr>
          <w:rFonts w:ascii="Arial" w:cs="Arial" w:eastAsia="Arial" w:hAnsi="Arial"/>
          <w:sz w:val="16"/>
          <w:szCs w:val="16"/>
          <w:color w:val="auto"/>
        </w:rPr>
      </w:pPr>
    </w:p>
    <w:p>
      <w:pPr>
        <w:ind w:left="1020" w:right="1240" w:hanging="215"/>
        <w:spacing w:after="0" w:line="325"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Broadcast Television</w:t>
      </w:r>
      <w:r>
        <w:rPr>
          <w:rFonts w:ascii="Arial" w:cs="Arial" w:eastAsia="Arial" w:hAnsi="Arial"/>
          <w:sz w:val="16"/>
          <w:szCs w:val="16"/>
          <w:color w:val="auto"/>
        </w:rPr>
        <w:t>: Consists primarily of the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our broadcast television production operations, and our related digital media properties.</w:t>
      </w:r>
    </w:p>
    <w:p>
      <w:pPr>
        <w:spacing w:after="0" w:line="1" w:lineRule="exact"/>
        <w:rPr>
          <w:rFonts w:ascii="Arial" w:cs="Arial" w:eastAsia="Arial" w:hAnsi="Arial"/>
          <w:sz w:val="16"/>
          <w:szCs w:val="16"/>
          <w:color w:val="auto"/>
        </w:rPr>
      </w:pPr>
    </w:p>
    <w:p>
      <w:pPr>
        <w:ind w:left="1020" w:right="1240" w:hanging="215"/>
        <w:spacing w:after="0" w:line="27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of the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and stage plays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color w:val="auto"/>
                <w:w w:val="87"/>
              </w:rPr>
              <w:t>Three Months Ended June 30, 2012</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2"/>
          </w:tcPr>
          <w:p>
            <w:pPr>
              <w:ind w:left="360"/>
              <w:spacing w:after="0" w:line="131" w:lineRule="exact"/>
              <w:rPr>
                <w:sz w:val="20"/>
                <w:szCs w:val="20"/>
                <w:color w:val="auto"/>
              </w:rPr>
            </w:pPr>
            <w:r>
              <w:rPr>
                <w:rFonts w:ascii="Arial" w:cs="Arial" w:eastAsia="Arial" w:hAnsi="Arial"/>
                <w:sz w:val="14"/>
                <w:szCs w:val="14"/>
                <w:color w:val="auto"/>
                <w:w w:val="93"/>
              </w:rPr>
              <w:t>Operating Income (Loss)</w:t>
            </w:r>
          </w:p>
        </w:tc>
        <w:tc>
          <w:tcPr>
            <w:tcW w:w="7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40" w:type="dxa"/>
            <w:vAlign w:val="bottom"/>
            <w:gridSpan w:val="2"/>
            <w:vMerge w:val="restart"/>
          </w:tcPr>
          <w:p>
            <w:pPr>
              <w:ind w:left="66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(f)</w:t>
            </w:r>
          </w:p>
        </w:tc>
        <w:tc>
          <w:tcPr>
            <w:tcW w:w="1820" w:type="dxa"/>
            <w:vAlign w:val="bottom"/>
            <w:gridSpan w:val="2"/>
          </w:tcPr>
          <w:p>
            <w:pPr>
              <w:ind w:left="380"/>
              <w:spacing w:after="0" w:line="133" w:lineRule="exact"/>
              <w:rPr>
                <w:sz w:val="20"/>
                <w:szCs w:val="20"/>
                <w:color w:val="auto"/>
              </w:rPr>
            </w:pPr>
            <w:r>
              <w:rPr>
                <w:rFonts w:ascii="Arial" w:cs="Arial" w:eastAsia="Arial" w:hAnsi="Arial"/>
                <w:sz w:val="14"/>
                <w:szCs w:val="14"/>
                <w:color w:val="auto"/>
                <w:w w:val="94"/>
              </w:rPr>
              <w:t>Before Depreciation and</w:t>
            </w:r>
          </w:p>
        </w:tc>
        <w:tc>
          <w:tcPr>
            <w:tcW w:w="2180" w:type="dxa"/>
            <w:vAlign w:val="bottom"/>
            <w:gridSpan w:val="2"/>
          </w:tcPr>
          <w:p>
            <w:pPr>
              <w:ind w:left="680"/>
              <w:spacing w:after="0" w:line="133" w:lineRule="exact"/>
              <w:rPr>
                <w:sz w:val="20"/>
                <w:szCs w:val="20"/>
                <w:color w:val="auto"/>
              </w:rPr>
            </w:pPr>
            <w:r>
              <w:rPr>
                <w:rFonts w:ascii="Arial" w:cs="Arial" w:eastAsia="Arial" w:hAnsi="Arial"/>
                <w:sz w:val="14"/>
                <w:szCs w:val="14"/>
                <w:color w:val="auto"/>
              </w:rPr>
              <w:t>Depreciation and</w:t>
            </w:r>
          </w:p>
        </w:tc>
        <w:tc>
          <w:tcPr>
            <w:tcW w:w="1600" w:type="dxa"/>
            <w:vAlign w:val="bottom"/>
            <w:gridSpan w:val="2"/>
          </w:tcPr>
          <w:p>
            <w:pPr>
              <w:ind w:left="20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Pr>
          <w:p>
            <w:pPr>
              <w:jc w:val="center"/>
              <w:ind w:right="194"/>
              <w:spacing w:after="0" w:line="176" w:lineRule="exact"/>
              <w:rPr>
                <w:sz w:val="20"/>
                <w:szCs w:val="20"/>
                <w:color w:val="auto"/>
              </w:rPr>
            </w:pPr>
            <w:r>
              <w:rPr>
                <w:rFonts w:ascii="Arial" w:cs="Arial" w:eastAsia="Arial" w:hAnsi="Arial"/>
                <w:sz w:val="13"/>
                <w:szCs w:val="13"/>
                <w:color w:val="auto"/>
                <w:w w:val="94"/>
              </w:rPr>
              <w:t>Amortization</w:t>
            </w:r>
            <w:r>
              <w:rPr>
                <w:rFonts w:ascii="Arial" w:cs="Arial" w:eastAsia="Arial" w:hAnsi="Arial"/>
                <w:sz w:val="20"/>
                <w:szCs w:val="20"/>
                <w:color w:val="auto"/>
                <w:w w:val="94"/>
                <w:vertAlign w:val="superscript"/>
              </w:rPr>
              <w:t>(g)</w:t>
            </w:r>
          </w:p>
        </w:tc>
        <w:tc>
          <w:tcPr>
            <w:tcW w:w="760" w:type="dxa"/>
            <w:vAlign w:val="bottom"/>
          </w:tcPr>
          <w:p>
            <w:pPr>
              <w:spacing w:after="0"/>
              <w:rPr>
                <w:sz w:val="15"/>
                <w:szCs w:val="15"/>
                <w:color w:val="auto"/>
              </w:rPr>
            </w:pPr>
          </w:p>
        </w:tc>
        <w:tc>
          <w:tcPr>
            <w:tcW w:w="1420" w:type="dxa"/>
            <w:vAlign w:val="bottom"/>
          </w:tcPr>
          <w:p>
            <w:pPr>
              <w:jc w:val="right"/>
              <w:ind w:right="594"/>
              <w:spacing w:after="0"/>
              <w:rPr>
                <w:sz w:val="20"/>
                <w:szCs w:val="20"/>
                <w:color w:val="auto"/>
              </w:rPr>
            </w:pPr>
            <w:r>
              <w:rPr>
                <w:rFonts w:ascii="Arial" w:cs="Arial" w:eastAsia="Arial" w:hAnsi="Arial"/>
                <w:sz w:val="14"/>
                <w:szCs w:val="14"/>
                <w:color w:val="auto"/>
                <w:w w:val="92"/>
              </w:rPr>
              <w:t>Amortization</w:t>
            </w:r>
          </w:p>
        </w:tc>
        <w:tc>
          <w:tcPr>
            <w:tcW w:w="400" w:type="dxa"/>
            <w:vAlign w:val="bottom"/>
          </w:tcPr>
          <w:p>
            <w:pPr>
              <w:spacing w:after="0"/>
              <w:rPr>
                <w:sz w:val="15"/>
                <w:szCs w:val="15"/>
                <w:color w:val="auto"/>
              </w:rPr>
            </w:pPr>
          </w:p>
        </w:tc>
        <w:tc>
          <w:tcPr>
            <w:tcW w:w="1200" w:type="dxa"/>
            <w:vAlign w:val="bottom"/>
          </w:tcPr>
          <w:p>
            <w:pPr>
              <w:jc w:val="right"/>
              <w:ind w:right="654"/>
              <w:spacing w:after="0"/>
              <w:rPr>
                <w:sz w:val="20"/>
                <w:szCs w:val="20"/>
                <w:color w:val="auto"/>
              </w:rPr>
            </w:pPr>
            <w:r>
              <w:rPr>
                <w:rFonts w:ascii="Arial" w:cs="Arial" w:eastAsia="Arial" w:hAnsi="Arial"/>
                <w:sz w:val="14"/>
                <w:szCs w:val="14"/>
                <w:color w:val="auto"/>
              </w:rPr>
              <w:t>(Loss)</w:t>
            </w: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800" w:type="dxa"/>
            <w:vAlign w:val="bottom"/>
            <w:tcBorders>
              <w:top w:val="single" w:sz="8" w:color="auto"/>
            </w:tcBorders>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color w:val="auto"/>
                <w:w w:val="93"/>
              </w:rPr>
              <w:t>9,897</w:t>
            </w:r>
          </w:p>
        </w:tc>
        <w:tc>
          <w:tcPr>
            <w:tcW w:w="54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4,101</w:t>
            </w:r>
          </w:p>
        </w:tc>
        <w:tc>
          <w:tcPr>
            <w:tcW w:w="760" w:type="dxa"/>
            <w:vAlign w:val="bottom"/>
            <w:tcBorders>
              <w:top w:val="single" w:sz="8" w:color="auto"/>
            </w:tcBorders>
            <w:shd w:val="clear" w:color="auto" w:fill="E5E5E5"/>
          </w:tcPr>
          <w:p>
            <w:pPr>
              <w:ind w:left="680"/>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5E5E5"/>
          </w:tcPr>
          <w:p>
            <w:pPr>
              <w:jc w:val="right"/>
              <w:ind w:right="494"/>
              <w:spacing w:after="0"/>
              <w:rPr>
                <w:sz w:val="20"/>
                <w:szCs w:val="20"/>
                <w:color w:val="auto"/>
              </w:rPr>
            </w:pPr>
            <w:r>
              <w:rPr>
                <w:rFonts w:ascii="Arial" w:cs="Arial" w:eastAsia="Arial" w:hAnsi="Arial"/>
                <w:sz w:val="18"/>
                <w:szCs w:val="18"/>
                <w:color w:val="auto"/>
              </w:rPr>
              <w:t>1,593</w:t>
            </w:r>
          </w:p>
        </w:tc>
        <w:tc>
          <w:tcPr>
            <w:tcW w:w="40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2,508</w:t>
            </w:r>
          </w:p>
        </w:tc>
        <w:tc>
          <w:tcPr>
            <w:tcW w:w="48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NBCUniversal</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p>
        </w:tc>
        <w:tc>
          <w:tcPr>
            <w:tcW w:w="8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93"/>
              </w:rPr>
              <w:t>2,252</w:t>
            </w:r>
          </w:p>
        </w:tc>
        <w:tc>
          <w:tcPr>
            <w:tcW w:w="54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788</w:t>
            </w:r>
          </w:p>
        </w:tc>
        <w:tc>
          <w:tcPr>
            <w:tcW w:w="76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183</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605</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800" w:type="dxa"/>
            <w:vAlign w:val="bottom"/>
          </w:tcPr>
          <w:p>
            <w:pPr>
              <w:spacing w:after="0"/>
              <w:rPr>
                <w:sz w:val="18"/>
                <w:szCs w:val="18"/>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color w:val="auto"/>
                <w:w w:val="93"/>
              </w:rPr>
              <w:t>1,540</w:t>
            </w:r>
          </w:p>
        </w:tc>
        <w:tc>
          <w:tcPr>
            <w:tcW w:w="540" w:type="dxa"/>
            <w:vAlign w:val="bottom"/>
          </w:tcPr>
          <w:p>
            <w:pPr>
              <w:spacing w:after="0"/>
              <w:rPr>
                <w:sz w:val="18"/>
                <w:szCs w:val="18"/>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196</w:t>
            </w:r>
          </w:p>
        </w:tc>
        <w:tc>
          <w:tcPr>
            <w:tcW w:w="760" w:type="dxa"/>
            <w:vAlign w:val="bottom"/>
          </w:tcPr>
          <w:p>
            <w:pPr>
              <w:spacing w:after="0"/>
              <w:rPr>
                <w:sz w:val="18"/>
                <w:szCs w:val="18"/>
                <w:color w:val="auto"/>
              </w:rPr>
            </w:pP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175</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p>
        </w:tc>
        <w:tc>
          <w:tcPr>
            <w:tcW w:w="8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93"/>
              </w:rPr>
              <w:t>1,231</w:t>
            </w:r>
          </w:p>
        </w:tc>
        <w:tc>
          <w:tcPr>
            <w:tcW w:w="540" w:type="dxa"/>
            <w:vAlign w:val="bottom"/>
            <w:shd w:val="clear" w:color="auto" w:fill="E5E5E5"/>
          </w:tcPr>
          <w:p>
            <w:pPr>
              <w:spacing w:after="0"/>
              <w:rPr>
                <w:sz w:val="18"/>
                <w:szCs w:val="18"/>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(83)</w:t>
            </w:r>
          </w:p>
        </w:tc>
        <w:tc>
          <w:tcPr>
            <w:tcW w:w="76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4</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(87)</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800" w:type="dxa"/>
            <w:vAlign w:val="bottom"/>
          </w:tcPr>
          <w:p>
            <w:pPr>
              <w:spacing w:after="0"/>
              <w:rPr>
                <w:sz w:val="18"/>
                <w:szCs w:val="18"/>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color w:val="auto"/>
              </w:rPr>
              <w:t>539</w:t>
            </w:r>
          </w:p>
        </w:tc>
        <w:tc>
          <w:tcPr>
            <w:tcW w:w="540" w:type="dxa"/>
            <w:vAlign w:val="bottom"/>
          </w:tcPr>
          <w:p>
            <w:pPr>
              <w:spacing w:after="0"/>
              <w:rPr>
                <w:sz w:val="18"/>
                <w:szCs w:val="18"/>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235</w:t>
            </w:r>
          </w:p>
        </w:tc>
        <w:tc>
          <w:tcPr>
            <w:tcW w:w="760" w:type="dxa"/>
            <w:vAlign w:val="bottom"/>
          </w:tcPr>
          <w:p>
            <w:pPr>
              <w:spacing w:after="0"/>
              <w:rPr>
                <w:sz w:val="18"/>
                <w:szCs w:val="18"/>
                <w:color w:val="auto"/>
              </w:rPr>
            </w:pP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8"/>
                <w:szCs w:val="18"/>
                <w:color w:val="auto"/>
              </w:rPr>
            </w:pP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172</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(d)</w:t>
            </w:r>
          </w:p>
        </w:tc>
        <w:tc>
          <w:tcPr>
            <w:tcW w:w="8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11</w:t>
            </w:r>
          </w:p>
        </w:tc>
        <w:tc>
          <w:tcPr>
            <w:tcW w:w="540" w:type="dxa"/>
            <w:vAlign w:val="bottom"/>
            <w:shd w:val="clear" w:color="auto" w:fill="E5E5E5"/>
          </w:tcPr>
          <w:p>
            <w:pPr>
              <w:spacing w:after="0"/>
              <w:rPr>
                <w:sz w:val="18"/>
                <w:szCs w:val="18"/>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(155)</w:t>
            </w:r>
          </w:p>
        </w:tc>
        <w:tc>
          <w:tcPr>
            <w:tcW w:w="76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48</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(203)</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(69)</w:t>
            </w:r>
          </w:p>
        </w:tc>
        <w:tc>
          <w:tcPr>
            <w:tcW w:w="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8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93"/>
              </w:rPr>
              <w:t>5,504</w:t>
            </w:r>
          </w:p>
        </w:tc>
        <w:tc>
          <w:tcPr>
            <w:tcW w:w="54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982</w:t>
            </w:r>
          </w:p>
        </w:tc>
        <w:tc>
          <w:tcPr>
            <w:tcW w:w="76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320</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662</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Corporate and Other</w:t>
            </w:r>
          </w:p>
        </w:tc>
        <w:tc>
          <w:tcPr>
            <w:tcW w:w="800" w:type="dxa"/>
            <w:vAlign w:val="bottom"/>
          </w:tcPr>
          <w:p>
            <w:pPr>
              <w:spacing w:after="0"/>
              <w:rPr>
                <w:sz w:val="18"/>
                <w:szCs w:val="18"/>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color w:val="auto"/>
              </w:rPr>
              <w:t>130</w:t>
            </w: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w:t>
            </w:r>
          </w:p>
        </w:tc>
        <w:tc>
          <w:tcPr>
            <w:tcW w:w="760" w:type="dxa"/>
            <w:vAlign w:val="bottom"/>
          </w:tcPr>
          <w:p>
            <w:pPr>
              <w:spacing w:after="0"/>
              <w:rPr>
                <w:sz w:val="18"/>
                <w:szCs w:val="18"/>
                <w:color w:val="auto"/>
              </w:rPr>
            </w:pP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(106)</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8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(320)</w:t>
            </w:r>
          </w:p>
        </w:tc>
        <w:tc>
          <w:tcPr>
            <w:tcW w:w="540" w:type="dxa"/>
            <w:vAlign w:val="bottom"/>
            <w:tcBorders>
              <w:bottom w:val="single" w:sz="8" w:color="auto"/>
            </w:tcBorders>
            <w:shd w:val="clear" w:color="auto" w:fill="E5E5E5"/>
          </w:tcPr>
          <w:p>
            <w:pPr>
              <w:spacing w:after="0"/>
              <w:rPr>
                <w:sz w:val="18"/>
                <w:szCs w:val="18"/>
                <w:color w:val="auto"/>
              </w:rPr>
            </w:pPr>
          </w:p>
        </w:tc>
        <w:tc>
          <w:tcPr>
            <w:tcW w:w="12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11</w:t>
            </w:r>
          </w:p>
        </w:tc>
        <w:tc>
          <w:tcPr>
            <w:tcW w:w="760" w:type="dxa"/>
            <w:vAlign w:val="bottom"/>
            <w:tcBorders>
              <w:bottom w:val="single" w:sz="8" w:color="auto"/>
            </w:tcBorders>
            <w:shd w:val="clear" w:color="auto" w:fill="E5E5E5"/>
          </w:tcPr>
          <w:p>
            <w:pPr>
              <w:spacing w:after="0"/>
              <w:rPr>
                <w:sz w:val="18"/>
                <w:szCs w:val="18"/>
                <w:color w:val="auto"/>
              </w:rPr>
            </w:pPr>
          </w:p>
        </w:tc>
        <w:tc>
          <w:tcPr>
            <w:tcW w:w="1420" w:type="dxa"/>
            <w:vAlign w:val="bottom"/>
            <w:tcBorders>
              <w:bottom w:val="single" w:sz="8" w:color="auto"/>
            </w:tcBorders>
            <w:shd w:val="clear" w:color="auto" w:fill="E5E5E5"/>
          </w:tcPr>
          <w:p>
            <w:pPr>
              <w:jc w:val="right"/>
              <w:ind w:right="434"/>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shd w:val="clear" w:color="auto" w:fill="E5E5E5"/>
          </w:tcPr>
          <w:p>
            <w:pPr>
              <w:spacing w:after="0"/>
              <w:rPr>
                <w:sz w:val="18"/>
                <w:szCs w:val="18"/>
                <w:color w:val="auto"/>
              </w:rPr>
            </w:pPr>
          </w:p>
        </w:tc>
        <w:tc>
          <w:tcPr>
            <w:tcW w:w="1200" w:type="dxa"/>
            <w:vAlign w:val="bottom"/>
            <w:tcBorders>
              <w:bottom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15</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6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color w:val="auto"/>
              </w:rPr>
              <w:t>$ 15,211</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5,004</w:t>
            </w:r>
          </w:p>
        </w:tc>
        <w:tc>
          <w:tcPr>
            <w:tcW w:w="760" w:type="dxa"/>
            <w:vAlign w:val="bottom"/>
            <w:tcBorders>
              <w:bottom w:val="single" w:sz="8" w:color="auto"/>
            </w:tcBorders>
          </w:tcPr>
          <w:p>
            <w:pPr>
              <w:ind w:left="680"/>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1,925</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3,079</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color w:val="auto"/>
                <w:w w:val="87"/>
              </w:rPr>
              <w:t>Three Months Ended June 30, 2011</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2"/>
          </w:tcPr>
          <w:p>
            <w:pPr>
              <w:ind w:left="360"/>
              <w:spacing w:after="0" w:line="131" w:lineRule="exact"/>
              <w:rPr>
                <w:sz w:val="20"/>
                <w:szCs w:val="20"/>
                <w:color w:val="auto"/>
              </w:rPr>
            </w:pPr>
            <w:r>
              <w:rPr>
                <w:rFonts w:ascii="Arial" w:cs="Arial" w:eastAsia="Arial" w:hAnsi="Arial"/>
                <w:sz w:val="14"/>
                <w:szCs w:val="14"/>
                <w:color w:val="auto"/>
                <w:w w:val="93"/>
              </w:rPr>
              <w:t>Operating Income (Loss)</w:t>
            </w:r>
          </w:p>
        </w:tc>
        <w:tc>
          <w:tcPr>
            <w:tcW w:w="7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40" w:type="dxa"/>
            <w:vAlign w:val="bottom"/>
            <w:gridSpan w:val="2"/>
            <w:vMerge w:val="restart"/>
          </w:tcPr>
          <w:p>
            <w:pPr>
              <w:ind w:left="66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(f)</w:t>
            </w:r>
          </w:p>
        </w:tc>
        <w:tc>
          <w:tcPr>
            <w:tcW w:w="1820" w:type="dxa"/>
            <w:vAlign w:val="bottom"/>
            <w:gridSpan w:val="2"/>
          </w:tcPr>
          <w:p>
            <w:pPr>
              <w:ind w:left="380"/>
              <w:spacing w:after="0" w:line="133" w:lineRule="exact"/>
              <w:rPr>
                <w:sz w:val="20"/>
                <w:szCs w:val="20"/>
                <w:color w:val="auto"/>
              </w:rPr>
            </w:pPr>
            <w:r>
              <w:rPr>
                <w:rFonts w:ascii="Arial" w:cs="Arial" w:eastAsia="Arial" w:hAnsi="Arial"/>
                <w:sz w:val="14"/>
                <w:szCs w:val="14"/>
                <w:color w:val="auto"/>
                <w:w w:val="94"/>
              </w:rPr>
              <w:t>Before Depreciation and</w:t>
            </w:r>
          </w:p>
        </w:tc>
        <w:tc>
          <w:tcPr>
            <w:tcW w:w="2180" w:type="dxa"/>
            <w:vAlign w:val="bottom"/>
            <w:gridSpan w:val="2"/>
          </w:tcPr>
          <w:p>
            <w:pPr>
              <w:ind w:left="680"/>
              <w:spacing w:after="0" w:line="133" w:lineRule="exact"/>
              <w:rPr>
                <w:sz w:val="20"/>
                <w:szCs w:val="20"/>
                <w:color w:val="auto"/>
              </w:rPr>
            </w:pPr>
            <w:r>
              <w:rPr>
                <w:rFonts w:ascii="Arial" w:cs="Arial" w:eastAsia="Arial" w:hAnsi="Arial"/>
                <w:sz w:val="14"/>
                <w:szCs w:val="14"/>
                <w:color w:val="auto"/>
              </w:rPr>
              <w:t>Depreciation and</w:t>
            </w:r>
          </w:p>
        </w:tc>
        <w:tc>
          <w:tcPr>
            <w:tcW w:w="1600" w:type="dxa"/>
            <w:vAlign w:val="bottom"/>
            <w:gridSpan w:val="2"/>
          </w:tcPr>
          <w:p>
            <w:pPr>
              <w:ind w:left="20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Pr>
          <w:p>
            <w:pPr>
              <w:jc w:val="center"/>
              <w:ind w:right="194"/>
              <w:spacing w:after="0" w:line="176" w:lineRule="exact"/>
              <w:rPr>
                <w:sz w:val="20"/>
                <w:szCs w:val="20"/>
                <w:color w:val="auto"/>
              </w:rPr>
            </w:pPr>
            <w:r>
              <w:rPr>
                <w:rFonts w:ascii="Arial" w:cs="Arial" w:eastAsia="Arial" w:hAnsi="Arial"/>
                <w:sz w:val="13"/>
                <w:szCs w:val="13"/>
                <w:color w:val="auto"/>
                <w:w w:val="94"/>
              </w:rPr>
              <w:t>Amortization</w:t>
            </w:r>
            <w:r>
              <w:rPr>
                <w:rFonts w:ascii="Arial" w:cs="Arial" w:eastAsia="Arial" w:hAnsi="Arial"/>
                <w:sz w:val="20"/>
                <w:szCs w:val="20"/>
                <w:color w:val="auto"/>
                <w:w w:val="94"/>
                <w:vertAlign w:val="superscript"/>
              </w:rPr>
              <w:t>(g)</w:t>
            </w:r>
          </w:p>
        </w:tc>
        <w:tc>
          <w:tcPr>
            <w:tcW w:w="760" w:type="dxa"/>
            <w:vAlign w:val="bottom"/>
          </w:tcPr>
          <w:p>
            <w:pPr>
              <w:spacing w:after="0"/>
              <w:rPr>
                <w:sz w:val="15"/>
                <w:szCs w:val="15"/>
                <w:color w:val="auto"/>
              </w:rPr>
            </w:pPr>
          </w:p>
        </w:tc>
        <w:tc>
          <w:tcPr>
            <w:tcW w:w="1420" w:type="dxa"/>
            <w:vAlign w:val="bottom"/>
          </w:tcPr>
          <w:p>
            <w:pPr>
              <w:jc w:val="right"/>
              <w:ind w:right="594"/>
              <w:spacing w:after="0"/>
              <w:rPr>
                <w:sz w:val="20"/>
                <w:szCs w:val="20"/>
                <w:color w:val="auto"/>
              </w:rPr>
            </w:pPr>
            <w:r>
              <w:rPr>
                <w:rFonts w:ascii="Arial" w:cs="Arial" w:eastAsia="Arial" w:hAnsi="Arial"/>
                <w:sz w:val="14"/>
                <w:szCs w:val="14"/>
                <w:color w:val="auto"/>
                <w:w w:val="92"/>
              </w:rPr>
              <w:t>Amortization</w:t>
            </w:r>
          </w:p>
        </w:tc>
        <w:tc>
          <w:tcPr>
            <w:tcW w:w="400" w:type="dxa"/>
            <w:vAlign w:val="bottom"/>
          </w:tcPr>
          <w:p>
            <w:pPr>
              <w:spacing w:after="0"/>
              <w:rPr>
                <w:sz w:val="15"/>
                <w:szCs w:val="15"/>
                <w:color w:val="auto"/>
              </w:rPr>
            </w:pPr>
          </w:p>
        </w:tc>
        <w:tc>
          <w:tcPr>
            <w:tcW w:w="1200" w:type="dxa"/>
            <w:vAlign w:val="bottom"/>
          </w:tcPr>
          <w:p>
            <w:pPr>
              <w:jc w:val="right"/>
              <w:ind w:right="654"/>
              <w:spacing w:after="0"/>
              <w:rPr>
                <w:sz w:val="20"/>
                <w:szCs w:val="20"/>
                <w:color w:val="auto"/>
              </w:rPr>
            </w:pPr>
            <w:r>
              <w:rPr>
                <w:rFonts w:ascii="Arial" w:cs="Arial" w:eastAsia="Arial" w:hAnsi="Arial"/>
                <w:sz w:val="14"/>
                <w:szCs w:val="14"/>
                <w:color w:val="auto"/>
              </w:rPr>
              <w:t>(Loss)</w:t>
            </w: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800" w:type="dxa"/>
            <w:vAlign w:val="bottom"/>
            <w:tcBorders>
              <w:top w:val="single" w:sz="8" w:color="auto"/>
            </w:tcBorders>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color w:val="auto"/>
                <w:w w:val="93"/>
              </w:rPr>
              <w:t>9,341</w:t>
            </w:r>
          </w:p>
        </w:tc>
        <w:tc>
          <w:tcPr>
            <w:tcW w:w="54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3,886</w:t>
            </w:r>
          </w:p>
        </w:tc>
        <w:tc>
          <w:tcPr>
            <w:tcW w:w="760" w:type="dxa"/>
            <w:vAlign w:val="bottom"/>
            <w:tcBorders>
              <w:top w:val="single" w:sz="8" w:color="auto"/>
            </w:tcBorders>
            <w:shd w:val="clear" w:color="auto" w:fill="E5E5E5"/>
          </w:tcPr>
          <w:p>
            <w:pPr>
              <w:ind w:left="680"/>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5E5E5"/>
          </w:tcPr>
          <w:p>
            <w:pPr>
              <w:jc w:val="right"/>
              <w:ind w:right="494"/>
              <w:spacing w:after="0"/>
              <w:rPr>
                <w:sz w:val="20"/>
                <w:szCs w:val="20"/>
                <w:color w:val="auto"/>
              </w:rPr>
            </w:pPr>
            <w:r>
              <w:rPr>
                <w:rFonts w:ascii="Arial" w:cs="Arial" w:eastAsia="Arial" w:hAnsi="Arial"/>
                <w:sz w:val="18"/>
                <w:szCs w:val="18"/>
                <w:color w:val="auto"/>
              </w:rPr>
              <w:t>1,591</w:t>
            </w:r>
          </w:p>
        </w:tc>
        <w:tc>
          <w:tcPr>
            <w:tcW w:w="40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2,295</w:t>
            </w:r>
          </w:p>
        </w:tc>
        <w:tc>
          <w:tcPr>
            <w:tcW w:w="48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NBCUniversal</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p>
        </w:tc>
        <w:tc>
          <w:tcPr>
            <w:tcW w:w="8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93"/>
              </w:rPr>
              <w:t>2,173</w:t>
            </w:r>
          </w:p>
        </w:tc>
        <w:tc>
          <w:tcPr>
            <w:tcW w:w="54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846</w:t>
            </w:r>
          </w:p>
        </w:tc>
        <w:tc>
          <w:tcPr>
            <w:tcW w:w="76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187</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659</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800" w:type="dxa"/>
            <w:vAlign w:val="bottom"/>
          </w:tcPr>
          <w:p>
            <w:pPr>
              <w:spacing w:after="0"/>
              <w:rPr>
                <w:sz w:val="18"/>
                <w:szCs w:val="18"/>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color w:val="auto"/>
                <w:w w:val="93"/>
              </w:rPr>
              <w:t>1,695</w:t>
            </w:r>
          </w:p>
        </w:tc>
        <w:tc>
          <w:tcPr>
            <w:tcW w:w="540" w:type="dxa"/>
            <w:vAlign w:val="bottom"/>
          </w:tcPr>
          <w:p>
            <w:pPr>
              <w:spacing w:after="0"/>
              <w:rPr>
                <w:sz w:val="18"/>
                <w:szCs w:val="18"/>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190</w:t>
            </w:r>
          </w:p>
        </w:tc>
        <w:tc>
          <w:tcPr>
            <w:tcW w:w="760" w:type="dxa"/>
            <w:vAlign w:val="bottom"/>
          </w:tcPr>
          <w:p>
            <w:pPr>
              <w:spacing w:after="0"/>
              <w:rPr>
                <w:sz w:val="18"/>
                <w:szCs w:val="18"/>
                <w:color w:val="auto"/>
              </w:rPr>
            </w:pP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181</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p>
        </w:tc>
        <w:tc>
          <w:tcPr>
            <w:tcW w:w="8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93"/>
              </w:rPr>
              <w:t>1,254</w:t>
            </w:r>
          </w:p>
        </w:tc>
        <w:tc>
          <w:tcPr>
            <w:tcW w:w="54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27</w:t>
            </w:r>
          </w:p>
        </w:tc>
        <w:tc>
          <w:tcPr>
            <w:tcW w:w="76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5</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22</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(c)</w:t>
            </w:r>
          </w:p>
        </w:tc>
        <w:tc>
          <w:tcPr>
            <w:tcW w:w="800" w:type="dxa"/>
            <w:vAlign w:val="bottom"/>
          </w:tcPr>
          <w:p>
            <w:pPr>
              <w:spacing w:after="0"/>
              <w:rPr>
                <w:sz w:val="18"/>
                <w:szCs w:val="18"/>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color w:val="auto"/>
              </w:rPr>
              <w:t>521</w:t>
            </w:r>
          </w:p>
        </w:tc>
        <w:tc>
          <w:tcPr>
            <w:tcW w:w="540" w:type="dxa"/>
            <w:vAlign w:val="bottom"/>
          </w:tcPr>
          <w:p>
            <w:pPr>
              <w:spacing w:after="0"/>
              <w:rPr>
                <w:sz w:val="18"/>
                <w:szCs w:val="18"/>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760" w:type="dxa"/>
            <w:vAlign w:val="bottom"/>
          </w:tcPr>
          <w:p>
            <w:pPr>
              <w:spacing w:after="0"/>
              <w:rPr>
                <w:sz w:val="18"/>
                <w:szCs w:val="18"/>
                <w:color w:val="auto"/>
              </w:rPr>
            </w:pP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18"/>
                <w:szCs w:val="18"/>
                <w:color w:val="auto"/>
              </w:rPr>
            </w:pP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168</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(d)</w:t>
            </w:r>
          </w:p>
        </w:tc>
        <w:tc>
          <w:tcPr>
            <w:tcW w:w="8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14</w:t>
            </w:r>
          </w:p>
        </w:tc>
        <w:tc>
          <w:tcPr>
            <w:tcW w:w="540" w:type="dxa"/>
            <w:vAlign w:val="bottom"/>
            <w:shd w:val="clear" w:color="auto" w:fill="E5E5E5"/>
          </w:tcPr>
          <w:p>
            <w:pPr>
              <w:spacing w:after="0"/>
              <w:rPr>
                <w:sz w:val="18"/>
                <w:szCs w:val="18"/>
                <w:color w:val="auto"/>
              </w:rPr>
            </w:pPr>
          </w:p>
        </w:tc>
        <w:tc>
          <w:tcPr>
            <w:tcW w:w="1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(129)</w:t>
            </w:r>
          </w:p>
        </w:tc>
        <w:tc>
          <w:tcPr>
            <w:tcW w:w="76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44</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(173)</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(478)</w:t>
            </w:r>
          </w:p>
        </w:tc>
        <w:tc>
          <w:tcPr>
            <w:tcW w:w="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rPr>
              <w:t>(48)</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(110)</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8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93"/>
              </w:rPr>
              <w:t>5,179</w:t>
            </w:r>
          </w:p>
        </w:tc>
        <w:tc>
          <w:tcPr>
            <w:tcW w:w="54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1,001</w:t>
            </w:r>
          </w:p>
        </w:tc>
        <w:tc>
          <w:tcPr>
            <w:tcW w:w="76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254</w:t>
            </w:r>
          </w:p>
        </w:tc>
        <w:tc>
          <w:tcPr>
            <w:tcW w:w="40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747</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Corporate and Other</w:t>
            </w:r>
          </w:p>
        </w:tc>
        <w:tc>
          <w:tcPr>
            <w:tcW w:w="800" w:type="dxa"/>
            <w:vAlign w:val="bottom"/>
          </w:tcPr>
          <w:p>
            <w:pPr>
              <w:spacing w:after="0"/>
              <w:rPr>
                <w:sz w:val="18"/>
                <w:szCs w:val="18"/>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color w:val="auto"/>
              </w:rPr>
              <w:t>128</w:t>
            </w: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760" w:type="dxa"/>
            <w:vAlign w:val="bottom"/>
          </w:tcPr>
          <w:p>
            <w:pPr>
              <w:spacing w:after="0"/>
              <w:rPr>
                <w:sz w:val="18"/>
                <w:szCs w:val="18"/>
                <w:color w:val="auto"/>
              </w:rPr>
            </w:pP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8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(315)</w:t>
            </w:r>
          </w:p>
        </w:tc>
        <w:tc>
          <w:tcPr>
            <w:tcW w:w="540" w:type="dxa"/>
            <w:vAlign w:val="bottom"/>
            <w:tcBorders>
              <w:bottom w:val="single" w:sz="8" w:color="auto"/>
            </w:tcBorders>
            <w:shd w:val="clear" w:color="auto" w:fill="E5E5E5"/>
          </w:tcPr>
          <w:p>
            <w:pPr>
              <w:spacing w:after="0"/>
              <w:rPr>
                <w:sz w:val="18"/>
                <w:szCs w:val="18"/>
                <w:color w:val="auto"/>
              </w:rPr>
            </w:pPr>
          </w:p>
        </w:tc>
        <w:tc>
          <w:tcPr>
            <w:tcW w:w="12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760" w:type="dxa"/>
            <w:vAlign w:val="bottom"/>
            <w:tcBorders>
              <w:bottom w:val="single" w:sz="8" w:color="auto"/>
            </w:tcBorders>
            <w:shd w:val="clear" w:color="auto" w:fill="E5E5E5"/>
          </w:tcPr>
          <w:p>
            <w:pPr>
              <w:spacing w:after="0"/>
              <w:rPr>
                <w:sz w:val="18"/>
                <w:szCs w:val="18"/>
                <w:color w:val="auto"/>
              </w:rPr>
            </w:pPr>
          </w:p>
        </w:tc>
        <w:tc>
          <w:tcPr>
            <w:tcW w:w="1420" w:type="dxa"/>
            <w:vAlign w:val="bottom"/>
            <w:tcBorders>
              <w:bottom w:val="single" w:sz="8" w:color="auto"/>
            </w:tcBorders>
            <w:shd w:val="clear" w:color="auto" w:fill="E5E5E5"/>
          </w:tcPr>
          <w:p>
            <w:pPr>
              <w:jc w:val="right"/>
              <w:ind w:right="494"/>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shd w:val="clear" w:color="auto" w:fill="E5E5E5"/>
          </w:tcPr>
          <w:p>
            <w:pPr>
              <w:spacing w:after="0"/>
              <w:rPr>
                <w:sz w:val="18"/>
                <w:szCs w:val="18"/>
                <w:color w:val="auto"/>
              </w:rPr>
            </w:pPr>
          </w:p>
        </w:tc>
        <w:tc>
          <w:tcPr>
            <w:tcW w:w="120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6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color w:val="auto"/>
              </w:rPr>
              <w:t>$ 14,333</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4,801</w:t>
            </w:r>
          </w:p>
        </w:tc>
        <w:tc>
          <w:tcPr>
            <w:tcW w:w="760" w:type="dxa"/>
            <w:vAlign w:val="bottom"/>
            <w:tcBorders>
              <w:bottom w:val="single" w:sz="8" w:color="auto"/>
            </w:tcBorders>
          </w:tcPr>
          <w:p>
            <w:pPr>
              <w:ind w:left="680"/>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1,863</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2,938</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jc w:val="center"/>
              <w:ind w:right="154"/>
              <w:spacing w:after="0"/>
              <w:rPr>
                <w:sz w:val="20"/>
                <w:szCs w:val="20"/>
                <w:color w:val="auto"/>
              </w:rPr>
            </w:pPr>
            <w:r>
              <w:rPr>
                <w:rFonts w:ascii="Arial" w:cs="Arial" w:eastAsia="Arial" w:hAnsi="Arial"/>
                <w:sz w:val="18"/>
                <w:szCs w:val="18"/>
                <w:color w:val="auto"/>
                <w:w w:val="99"/>
              </w:rPr>
              <w:t>17</w:t>
            </w: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4"/>
                <w:szCs w:val="14"/>
                <w:color w:val="auto"/>
                <w:w w:val="90"/>
              </w:rPr>
              <w:t>Six Months Ended June 30, 2012</w:t>
            </w: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2"/>
          </w:tcPr>
          <w:p>
            <w:pPr>
              <w:ind w:left="360"/>
              <w:spacing w:after="0" w:line="131" w:lineRule="exact"/>
              <w:rPr>
                <w:sz w:val="20"/>
                <w:szCs w:val="20"/>
                <w:color w:val="auto"/>
              </w:rPr>
            </w:pPr>
            <w:r>
              <w:rPr>
                <w:rFonts w:ascii="Arial" w:cs="Arial" w:eastAsia="Arial" w:hAnsi="Arial"/>
                <w:sz w:val="14"/>
                <w:szCs w:val="14"/>
                <w:color w:val="auto"/>
                <w:w w:val="96"/>
              </w:rPr>
              <w:t>Operating Income (Loss)</w:t>
            </w:r>
          </w:p>
        </w:tc>
        <w:tc>
          <w:tcPr>
            <w:tcW w:w="7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vMerge w:val="restart"/>
          </w:tcPr>
          <w:p>
            <w:pPr>
              <w:jc w:val="right"/>
              <w:ind w:right="332"/>
              <w:spacing w:after="0"/>
              <w:rPr>
                <w:sz w:val="20"/>
                <w:szCs w:val="20"/>
                <w:color w:val="auto"/>
              </w:rPr>
            </w:pPr>
            <w:r>
              <w:rPr>
                <w:rFonts w:ascii="Arial" w:cs="Arial" w:eastAsia="Arial" w:hAnsi="Arial"/>
                <w:sz w:val="14"/>
                <w:szCs w:val="14"/>
                <w:color w:val="auto"/>
                <w:w w:val="82"/>
              </w:rPr>
              <w:t>Revenue</w:t>
            </w:r>
            <w:r>
              <w:rPr>
                <w:rFonts w:ascii="Arial" w:cs="Arial" w:eastAsia="Arial" w:hAnsi="Arial"/>
                <w:sz w:val="22"/>
                <w:szCs w:val="22"/>
                <w:color w:val="auto"/>
                <w:w w:val="82"/>
                <w:vertAlign w:val="superscript"/>
              </w:rPr>
              <w:t>(f)</w:t>
            </w:r>
          </w:p>
        </w:tc>
        <w:tc>
          <w:tcPr>
            <w:tcW w:w="1860" w:type="dxa"/>
            <w:vAlign w:val="bottom"/>
            <w:gridSpan w:val="2"/>
          </w:tcPr>
          <w:p>
            <w:pPr>
              <w:ind w:left="380"/>
              <w:spacing w:after="0" w:line="133" w:lineRule="exact"/>
              <w:rPr>
                <w:sz w:val="20"/>
                <w:szCs w:val="20"/>
                <w:color w:val="auto"/>
              </w:rPr>
            </w:pPr>
            <w:r>
              <w:rPr>
                <w:rFonts w:ascii="Arial" w:cs="Arial" w:eastAsia="Arial" w:hAnsi="Arial"/>
                <w:sz w:val="14"/>
                <w:szCs w:val="14"/>
                <w:color w:val="auto"/>
                <w:w w:val="96"/>
              </w:rPr>
              <w:t>Before Depreciation and</w:t>
            </w:r>
          </w:p>
        </w:tc>
        <w:tc>
          <w:tcPr>
            <w:tcW w:w="2100" w:type="dxa"/>
            <w:vAlign w:val="bottom"/>
            <w:gridSpan w:val="2"/>
          </w:tcPr>
          <w:p>
            <w:pPr>
              <w:ind w:left="640"/>
              <w:spacing w:after="0" w:line="133" w:lineRule="exact"/>
              <w:rPr>
                <w:sz w:val="20"/>
                <w:szCs w:val="20"/>
                <w:color w:val="auto"/>
              </w:rPr>
            </w:pPr>
            <w:r>
              <w:rPr>
                <w:rFonts w:ascii="Arial" w:cs="Arial" w:eastAsia="Arial" w:hAnsi="Arial"/>
                <w:sz w:val="14"/>
                <w:szCs w:val="14"/>
                <w:color w:val="auto"/>
              </w:rPr>
              <w:t>Depreciation and</w:t>
            </w:r>
          </w:p>
        </w:tc>
        <w:tc>
          <w:tcPr>
            <w:tcW w:w="1640" w:type="dxa"/>
            <w:vAlign w:val="bottom"/>
            <w:gridSpan w:val="2"/>
          </w:tcPr>
          <w:p>
            <w:pPr>
              <w:ind w:left="24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gridSpan w:val="2"/>
          </w:tcPr>
          <w:p>
            <w:pPr>
              <w:jc w:val="right"/>
              <w:ind w:right="260"/>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ind w:right="314"/>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(g)</w:t>
            </w:r>
          </w:p>
        </w:tc>
        <w:tc>
          <w:tcPr>
            <w:tcW w:w="720" w:type="dxa"/>
            <w:vAlign w:val="bottom"/>
          </w:tcPr>
          <w:p>
            <w:pPr>
              <w:spacing w:after="0"/>
              <w:rPr>
                <w:sz w:val="15"/>
                <w:szCs w:val="15"/>
                <w:color w:val="auto"/>
              </w:rPr>
            </w:pPr>
          </w:p>
        </w:tc>
        <w:tc>
          <w:tcPr>
            <w:tcW w:w="1380" w:type="dxa"/>
            <w:vAlign w:val="bottom"/>
          </w:tcPr>
          <w:p>
            <w:pPr>
              <w:jc w:val="right"/>
              <w:ind w:right="554"/>
              <w:spacing w:after="0"/>
              <w:rPr>
                <w:sz w:val="20"/>
                <w:szCs w:val="20"/>
                <w:color w:val="auto"/>
              </w:rPr>
            </w:pPr>
            <w:r>
              <w:rPr>
                <w:rFonts w:ascii="Arial" w:cs="Arial" w:eastAsia="Arial" w:hAnsi="Arial"/>
                <w:sz w:val="14"/>
                <w:szCs w:val="14"/>
                <w:color w:val="auto"/>
                <w:w w:val="92"/>
              </w:rPr>
              <w:t>Amortization</w:t>
            </w:r>
          </w:p>
        </w:tc>
        <w:tc>
          <w:tcPr>
            <w:tcW w:w="440" w:type="dxa"/>
            <w:vAlign w:val="bottom"/>
          </w:tcPr>
          <w:p>
            <w:pPr>
              <w:spacing w:after="0"/>
              <w:rPr>
                <w:sz w:val="15"/>
                <w:szCs w:val="15"/>
                <w:color w:val="auto"/>
              </w:rPr>
            </w:pPr>
          </w:p>
        </w:tc>
        <w:tc>
          <w:tcPr>
            <w:tcW w:w="1200" w:type="dxa"/>
            <w:vAlign w:val="bottom"/>
          </w:tcPr>
          <w:p>
            <w:pPr>
              <w:jc w:val="right"/>
              <w:ind w:right="654"/>
              <w:spacing w:after="0"/>
              <w:rPr>
                <w:sz w:val="20"/>
                <w:szCs w:val="20"/>
                <w:color w:val="auto"/>
              </w:rPr>
            </w:pPr>
            <w:r>
              <w:rPr>
                <w:rFonts w:ascii="Arial" w:cs="Arial" w:eastAsia="Arial" w:hAnsi="Arial"/>
                <w:sz w:val="14"/>
                <w:szCs w:val="14"/>
                <w:color w:val="auto"/>
              </w:rPr>
              <w:t>(Loss)</w:t>
            </w:r>
          </w:p>
        </w:tc>
        <w:tc>
          <w:tcPr>
            <w:tcW w:w="1160" w:type="dxa"/>
            <w:vAlign w:val="bottom"/>
            <w:gridSpan w:val="3"/>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640" w:type="dxa"/>
            <w:vAlign w:val="bottom"/>
            <w:tcBorders>
              <w:top w:val="single" w:sz="8" w:color="auto"/>
            </w:tcBorders>
            <w:gridSpan w:val="2"/>
            <w:shd w:val="clear" w:color="auto" w:fill="E5E5E5"/>
          </w:tcPr>
          <w:p>
            <w:pPr>
              <w:jc w:val="right"/>
              <w:ind w:right="332"/>
              <w:spacing w:after="0"/>
              <w:rPr>
                <w:sz w:val="20"/>
                <w:szCs w:val="20"/>
                <w:color w:val="auto"/>
              </w:rPr>
            </w:pPr>
            <w:r>
              <w:rPr>
                <w:rFonts w:ascii="Arial" w:cs="Arial" w:eastAsia="Arial" w:hAnsi="Arial"/>
                <w:sz w:val="18"/>
                <w:szCs w:val="18"/>
                <w:color w:val="auto"/>
              </w:rPr>
              <w:t>$ 19,496</w:t>
            </w:r>
          </w:p>
        </w:tc>
        <w:tc>
          <w:tcPr>
            <w:tcW w:w="54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8,056</w:t>
            </w:r>
          </w:p>
        </w:tc>
        <w:tc>
          <w:tcPr>
            <w:tcW w:w="720" w:type="dxa"/>
            <w:vAlign w:val="bottom"/>
            <w:tcBorders>
              <w:top w:val="single" w:sz="8" w:color="auto"/>
            </w:tcBorders>
            <w:shd w:val="clear" w:color="auto" w:fill="E5E5E5"/>
          </w:tcPr>
          <w:p>
            <w:pPr>
              <w:ind w:left="640"/>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3,195</w:t>
            </w:r>
          </w:p>
        </w:tc>
        <w:tc>
          <w:tcPr>
            <w:tcW w:w="44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4,861</w:t>
            </w:r>
          </w:p>
        </w:tc>
        <w:tc>
          <w:tcPr>
            <w:tcW w:w="48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NBCUniversal</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p>
        </w:tc>
        <w:tc>
          <w:tcPr>
            <w:tcW w:w="1640" w:type="dxa"/>
            <w:vAlign w:val="bottom"/>
            <w:gridSpan w:val="2"/>
            <w:shd w:val="clear" w:color="auto" w:fill="E5E5E5"/>
          </w:tcPr>
          <w:p>
            <w:pPr>
              <w:jc w:val="right"/>
              <w:ind w:right="332"/>
              <w:spacing w:after="0"/>
              <w:rPr>
                <w:sz w:val="20"/>
                <w:szCs w:val="20"/>
                <w:color w:val="auto"/>
              </w:rPr>
            </w:pPr>
            <w:r>
              <w:rPr>
                <w:rFonts w:ascii="Arial" w:cs="Arial" w:eastAsia="Arial" w:hAnsi="Arial"/>
                <w:sz w:val="18"/>
                <w:szCs w:val="18"/>
                <w:color w:val="auto"/>
              </w:rPr>
              <w:t>4,390</w:t>
            </w:r>
          </w:p>
        </w:tc>
        <w:tc>
          <w:tcPr>
            <w:tcW w:w="54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1,593</w:t>
            </w:r>
          </w:p>
        </w:tc>
        <w:tc>
          <w:tcPr>
            <w:tcW w:w="72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361</w:t>
            </w:r>
          </w:p>
        </w:tc>
        <w:tc>
          <w:tcPr>
            <w:tcW w:w="4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1,232</w:t>
            </w: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1640" w:type="dxa"/>
            <w:vAlign w:val="bottom"/>
            <w:gridSpan w:val="2"/>
          </w:tcPr>
          <w:p>
            <w:pPr>
              <w:jc w:val="right"/>
              <w:ind w:right="332"/>
              <w:spacing w:after="0"/>
              <w:rPr>
                <w:sz w:val="20"/>
                <w:szCs w:val="20"/>
                <w:color w:val="auto"/>
              </w:rPr>
            </w:pPr>
            <w:r>
              <w:rPr>
                <w:rFonts w:ascii="Arial" w:cs="Arial" w:eastAsia="Arial" w:hAnsi="Arial"/>
                <w:sz w:val="18"/>
                <w:szCs w:val="18"/>
                <w:color w:val="auto"/>
              </w:rPr>
              <w:t>3,391</w:t>
            </w:r>
          </w:p>
        </w:tc>
        <w:tc>
          <w:tcPr>
            <w:tcW w:w="54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186</w:t>
            </w:r>
          </w:p>
        </w:tc>
        <w:tc>
          <w:tcPr>
            <w:tcW w:w="72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144</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p>
        </w:tc>
        <w:tc>
          <w:tcPr>
            <w:tcW w:w="1640" w:type="dxa"/>
            <w:vAlign w:val="bottom"/>
            <w:gridSpan w:val="2"/>
            <w:shd w:val="clear" w:color="auto" w:fill="E5E5E5"/>
          </w:tcPr>
          <w:p>
            <w:pPr>
              <w:jc w:val="right"/>
              <w:ind w:right="332"/>
              <w:spacing w:after="0"/>
              <w:rPr>
                <w:sz w:val="20"/>
                <w:szCs w:val="20"/>
                <w:color w:val="auto"/>
              </w:rPr>
            </w:pPr>
            <w:r>
              <w:rPr>
                <w:rFonts w:ascii="Arial" w:cs="Arial" w:eastAsia="Arial" w:hAnsi="Arial"/>
                <w:sz w:val="18"/>
                <w:szCs w:val="18"/>
                <w:color w:val="auto"/>
              </w:rPr>
              <w:t>2,423</w:t>
            </w:r>
          </w:p>
        </w:tc>
        <w:tc>
          <w:tcPr>
            <w:tcW w:w="54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(77)</w:t>
            </w:r>
          </w:p>
        </w:tc>
        <w:tc>
          <w:tcPr>
            <w:tcW w:w="72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8</w:t>
            </w:r>
          </w:p>
        </w:tc>
        <w:tc>
          <w:tcPr>
            <w:tcW w:w="4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(85)</w:t>
            </w: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1640" w:type="dxa"/>
            <w:vAlign w:val="bottom"/>
            <w:gridSpan w:val="2"/>
          </w:tcPr>
          <w:p>
            <w:pPr>
              <w:jc w:val="right"/>
              <w:ind w:right="332"/>
              <w:spacing w:after="0"/>
              <w:rPr>
                <w:sz w:val="20"/>
                <w:szCs w:val="20"/>
                <w:color w:val="auto"/>
              </w:rPr>
            </w:pPr>
            <w:r>
              <w:rPr>
                <w:rFonts w:ascii="Arial" w:cs="Arial" w:eastAsia="Arial" w:hAnsi="Arial"/>
                <w:sz w:val="18"/>
                <w:szCs w:val="18"/>
                <w:color w:val="auto"/>
              </w:rPr>
              <w:t>951</w:t>
            </w:r>
          </w:p>
        </w:tc>
        <w:tc>
          <w:tcPr>
            <w:tcW w:w="54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392</w:t>
            </w:r>
          </w:p>
        </w:tc>
        <w:tc>
          <w:tcPr>
            <w:tcW w:w="72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8"/>
                <w:szCs w:val="18"/>
                <w:color w:val="auto"/>
              </w:rPr>
              <w:t>125</w:t>
            </w:r>
          </w:p>
        </w:tc>
        <w:tc>
          <w:tcPr>
            <w:tcW w:w="440" w:type="dxa"/>
            <w:vAlign w:val="bottom"/>
          </w:tcPr>
          <w:p>
            <w:pPr>
              <w:spacing w:after="0"/>
              <w:rPr>
                <w:sz w:val="18"/>
                <w:szCs w:val="18"/>
                <w:color w:val="auto"/>
              </w:rPr>
            </w:pP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267</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(d)</w:t>
            </w:r>
          </w:p>
        </w:tc>
        <w:tc>
          <w:tcPr>
            <w:tcW w:w="1640" w:type="dxa"/>
            <w:vAlign w:val="bottom"/>
            <w:gridSpan w:val="2"/>
            <w:shd w:val="clear" w:color="auto" w:fill="E5E5E5"/>
          </w:tcPr>
          <w:p>
            <w:pPr>
              <w:jc w:val="right"/>
              <w:ind w:right="332"/>
              <w:spacing w:after="0"/>
              <w:rPr>
                <w:sz w:val="20"/>
                <w:szCs w:val="20"/>
                <w:color w:val="auto"/>
              </w:rPr>
            </w:pPr>
            <w:r>
              <w:rPr>
                <w:rFonts w:ascii="Arial" w:cs="Arial" w:eastAsia="Arial" w:hAnsi="Arial"/>
                <w:sz w:val="18"/>
                <w:szCs w:val="18"/>
                <w:color w:val="auto"/>
              </w:rPr>
              <w:t>23</w:t>
            </w:r>
          </w:p>
        </w:tc>
        <w:tc>
          <w:tcPr>
            <w:tcW w:w="54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(301)</w:t>
            </w:r>
          </w:p>
        </w:tc>
        <w:tc>
          <w:tcPr>
            <w:tcW w:w="72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96</w:t>
            </w:r>
          </w:p>
        </w:tc>
        <w:tc>
          <w:tcPr>
            <w:tcW w:w="4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(397)</w:t>
            </w: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164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(202)</w:t>
            </w:r>
          </w:p>
        </w:tc>
        <w:tc>
          <w:tcPr>
            <w:tcW w:w="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w:t>
            </w: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640" w:type="dxa"/>
            <w:vAlign w:val="bottom"/>
            <w:gridSpan w:val="2"/>
            <w:shd w:val="clear" w:color="auto" w:fill="E5E5E5"/>
          </w:tcPr>
          <w:p>
            <w:pPr>
              <w:jc w:val="right"/>
              <w:ind w:right="332"/>
              <w:spacing w:after="0"/>
              <w:rPr>
                <w:sz w:val="20"/>
                <w:szCs w:val="20"/>
                <w:color w:val="auto"/>
              </w:rPr>
            </w:pPr>
            <w:r>
              <w:rPr>
                <w:rFonts w:ascii="Arial" w:cs="Arial" w:eastAsia="Arial" w:hAnsi="Arial"/>
                <w:sz w:val="18"/>
                <w:szCs w:val="18"/>
                <w:color w:val="auto"/>
              </w:rPr>
              <w:t>10,976</w:t>
            </w:r>
          </w:p>
        </w:tc>
        <w:tc>
          <w:tcPr>
            <w:tcW w:w="54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1,795</w:t>
            </w:r>
          </w:p>
        </w:tc>
        <w:tc>
          <w:tcPr>
            <w:tcW w:w="72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632</w:t>
            </w:r>
          </w:p>
        </w:tc>
        <w:tc>
          <w:tcPr>
            <w:tcW w:w="4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1,163</w:t>
            </w: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Corporate and Other</w:t>
            </w:r>
          </w:p>
        </w:tc>
        <w:tc>
          <w:tcPr>
            <w:tcW w:w="1640" w:type="dxa"/>
            <w:vAlign w:val="bottom"/>
            <w:gridSpan w:val="2"/>
          </w:tcPr>
          <w:p>
            <w:pPr>
              <w:jc w:val="right"/>
              <w:ind w:right="332"/>
              <w:spacing w:after="0"/>
              <w:rPr>
                <w:sz w:val="20"/>
                <w:szCs w:val="20"/>
                <w:color w:val="auto"/>
              </w:rPr>
            </w:pPr>
            <w:r>
              <w:rPr>
                <w:rFonts w:ascii="Arial" w:cs="Arial" w:eastAsia="Arial" w:hAnsi="Arial"/>
                <w:sz w:val="18"/>
                <w:szCs w:val="18"/>
                <w:color w:val="auto"/>
              </w:rPr>
              <w:t>304</w:t>
            </w:r>
          </w:p>
        </w:tc>
        <w:tc>
          <w:tcPr>
            <w:tcW w:w="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w:t>
            </w:r>
          </w:p>
        </w:tc>
        <w:tc>
          <w:tcPr>
            <w:tcW w:w="72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(184)</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1640" w:type="dxa"/>
            <w:vAlign w:val="bottom"/>
            <w:tcBorders>
              <w:bottom w:val="single" w:sz="8" w:color="auto"/>
            </w:tcBorders>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(687)</w:t>
            </w:r>
          </w:p>
        </w:tc>
        <w:tc>
          <w:tcPr>
            <w:tcW w:w="54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720" w:type="dxa"/>
            <w:vAlign w:val="bottom"/>
            <w:tcBorders>
              <w:bottom w:val="single" w:sz="8" w:color="auto"/>
            </w:tcBorders>
            <w:shd w:val="clear" w:color="auto" w:fill="E5E5E5"/>
          </w:tcPr>
          <w:p>
            <w:pPr>
              <w:spacing w:after="0"/>
              <w:rPr>
                <w:sz w:val="18"/>
                <w:szCs w:val="18"/>
                <w:color w:val="auto"/>
              </w:rPr>
            </w:pPr>
          </w:p>
        </w:tc>
        <w:tc>
          <w:tcPr>
            <w:tcW w:w="1380" w:type="dxa"/>
            <w:vAlign w:val="bottom"/>
            <w:tcBorders>
              <w:bottom w:val="single" w:sz="8" w:color="auto"/>
            </w:tcBorders>
            <w:shd w:val="clear" w:color="auto" w:fill="E5E5E5"/>
          </w:tcPr>
          <w:p>
            <w:pPr>
              <w:jc w:val="right"/>
              <w:ind w:right="394"/>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shd w:val="clear" w:color="auto" w:fill="E5E5E5"/>
          </w:tcPr>
          <w:p>
            <w:pPr>
              <w:spacing w:after="0"/>
              <w:rPr>
                <w:sz w:val="18"/>
                <w:szCs w:val="18"/>
                <w:color w:val="auto"/>
              </w:rPr>
            </w:pPr>
          </w:p>
        </w:tc>
        <w:tc>
          <w:tcPr>
            <w:tcW w:w="120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64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color w:val="auto"/>
              </w:rPr>
              <w:t>$ 30,089</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9,692</w:t>
            </w:r>
          </w:p>
        </w:tc>
        <w:tc>
          <w:tcPr>
            <w:tcW w:w="72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3,855</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5,837</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4"/>
                <w:szCs w:val="14"/>
                <w:color w:val="auto"/>
                <w:w w:val="90"/>
              </w:rPr>
              <w:t>Six Months Ended June 30, 2011</w:t>
            </w: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2"/>
          </w:tcPr>
          <w:p>
            <w:pPr>
              <w:ind w:left="360"/>
              <w:spacing w:after="0" w:line="131" w:lineRule="exact"/>
              <w:rPr>
                <w:sz w:val="20"/>
                <w:szCs w:val="20"/>
                <w:color w:val="auto"/>
              </w:rPr>
            </w:pPr>
            <w:r>
              <w:rPr>
                <w:rFonts w:ascii="Arial" w:cs="Arial" w:eastAsia="Arial" w:hAnsi="Arial"/>
                <w:sz w:val="14"/>
                <w:szCs w:val="14"/>
                <w:color w:val="auto"/>
                <w:w w:val="96"/>
              </w:rPr>
              <w:t>Operating Income (Loss)</w:t>
            </w:r>
          </w:p>
        </w:tc>
        <w:tc>
          <w:tcPr>
            <w:tcW w:w="7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vMerge w:val="restart"/>
          </w:tcPr>
          <w:p>
            <w:pPr>
              <w:jc w:val="right"/>
              <w:ind w:right="332"/>
              <w:spacing w:after="0"/>
              <w:rPr>
                <w:sz w:val="20"/>
                <w:szCs w:val="20"/>
                <w:color w:val="auto"/>
              </w:rPr>
            </w:pPr>
            <w:r>
              <w:rPr>
                <w:rFonts w:ascii="Arial" w:cs="Arial" w:eastAsia="Arial" w:hAnsi="Arial"/>
                <w:sz w:val="14"/>
                <w:szCs w:val="14"/>
                <w:color w:val="auto"/>
                <w:w w:val="82"/>
              </w:rPr>
              <w:t>Revenue</w:t>
            </w:r>
            <w:r>
              <w:rPr>
                <w:rFonts w:ascii="Arial" w:cs="Arial" w:eastAsia="Arial" w:hAnsi="Arial"/>
                <w:sz w:val="22"/>
                <w:szCs w:val="22"/>
                <w:color w:val="auto"/>
                <w:w w:val="82"/>
                <w:vertAlign w:val="superscript"/>
              </w:rPr>
              <w:t>(f)</w:t>
            </w:r>
          </w:p>
        </w:tc>
        <w:tc>
          <w:tcPr>
            <w:tcW w:w="1860" w:type="dxa"/>
            <w:vAlign w:val="bottom"/>
            <w:gridSpan w:val="2"/>
          </w:tcPr>
          <w:p>
            <w:pPr>
              <w:ind w:left="380"/>
              <w:spacing w:after="0" w:line="133" w:lineRule="exact"/>
              <w:rPr>
                <w:sz w:val="20"/>
                <w:szCs w:val="20"/>
                <w:color w:val="auto"/>
              </w:rPr>
            </w:pPr>
            <w:r>
              <w:rPr>
                <w:rFonts w:ascii="Arial" w:cs="Arial" w:eastAsia="Arial" w:hAnsi="Arial"/>
                <w:sz w:val="14"/>
                <w:szCs w:val="14"/>
                <w:color w:val="auto"/>
                <w:w w:val="96"/>
              </w:rPr>
              <w:t>Before Depreciation and</w:t>
            </w:r>
          </w:p>
        </w:tc>
        <w:tc>
          <w:tcPr>
            <w:tcW w:w="2100" w:type="dxa"/>
            <w:vAlign w:val="bottom"/>
            <w:gridSpan w:val="2"/>
          </w:tcPr>
          <w:p>
            <w:pPr>
              <w:ind w:left="640"/>
              <w:spacing w:after="0" w:line="133" w:lineRule="exact"/>
              <w:rPr>
                <w:sz w:val="20"/>
                <w:szCs w:val="20"/>
                <w:color w:val="auto"/>
              </w:rPr>
            </w:pPr>
            <w:r>
              <w:rPr>
                <w:rFonts w:ascii="Arial" w:cs="Arial" w:eastAsia="Arial" w:hAnsi="Arial"/>
                <w:sz w:val="14"/>
                <w:szCs w:val="14"/>
                <w:color w:val="auto"/>
              </w:rPr>
              <w:t>Depreciation and</w:t>
            </w:r>
          </w:p>
        </w:tc>
        <w:tc>
          <w:tcPr>
            <w:tcW w:w="1640" w:type="dxa"/>
            <w:vAlign w:val="bottom"/>
            <w:gridSpan w:val="2"/>
          </w:tcPr>
          <w:p>
            <w:pPr>
              <w:ind w:left="24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gridSpan w:val="2"/>
          </w:tcPr>
          <w:p>
            <w:pPr>
              <w:jc w:val="right"/>
              <w:ind w:right="260"/>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ind w:right="314"/>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(g)</w:t>
            </w:r>
          </w:p>
        </w:tc>
        <w:tc>
          <w:tcPr>
            <w:tcW w:w="720" w:type="dxa"/>
            <w:vAlign w:val="bottom"/>
          </w:tcPr>
          <w:p>
            <w:pPr>
              <w:spacing w:after="0"/>
              <w:rPr>
                <w:sz w:val="15"/>
                <w:szCs w:val="15"/>
                <w:color w:val="auto"/>
              </w:rPr>
            </w:pPr>
          </w:p>
        </w:tc>
        <w:tc>
          <w:tcPr>
            <w:tcW w:w="1380" w:type="dxa"/>
            <w:vAlign w:val="bottom"/>
          </w:tcPr>
          <w:p>
            <w:pPr>
              <w:jc w:val="right"/>
              <w:ind w:right="554"/>
              <w:spacing w:after="0"/>
              <w:rPr>
                <w:sz w:val="20"/>
                <w:szCs w:val="20"/>
                <w:color w:val="auto"/>
              </w:rPr>
            </w:pPr>
            <w:r>
              <w:rPr>
                <w:rFonts w:ascii="Arial" w:cs="Arial" w:eastAsia="Arial" w:hAnsi="Arial"/>
                <w:sz w:val="14"/>
                <w:szCs w:val="14"/>
                <w:color w:val="auto"/>
                <w:w w:val="92"/>
              </w:rPr>
              <w:t>Amortization</w:t>
            </w:r>
          </w:p>
        </w:tc>
        <w:tc>
          <w:tcPr>
            <w:tcW w:w="440" w:type="dxa"/>
            <w:vAlign w:val="bottom"/>
          </w:tcPr>
          <w:p>
            <w:pPr>
              <w:spacing w:after="0"/>
              <w:rPr>
                <w:sz w:val="15"/>
                <w:szCs w:val="15"/>
                <w:color w:val="auto"/>
              </w:rPr>
            </w:pPr>
          </w:p>
        </w:tc>
        <w:tc>
          <w:tcPr>
            <w:tcW w:w="1200" w:type="dxa"/>
            <w:vAlign w:val="bottom"/>
          </w:tcPr>
          <w:p>
            <w:pPr>
              <w:jc w:val="right"/>
              <w:ind w:right="654"/>
              <w:spacing w:after="0"/>
              <w:rPr>
                <w:sz w:val="20"/>
                <w:szCs w:val="20"/>
                <w:color w:val="auto"/>
              </w:rPr>
            </w:pPr>
            <w:r>
              <w:rPr>
                <w:rFonts w:ascii="Arial" w:cs="Arial" w:eastAsia="Arial" w:hAnsi="Arial"/>
                <w:sz w:val="14"/>
                <w:szCs w:val="14"/>
                <w:color w:val="auto"/>
              </w:rPr>
              <w:t>(Loss)</w:t>
            </w:r>
          </w:p>
        </w:tc>
        <w:tc>
          <w:tcPr>
            <w:tcW w:w="1160" w:type="dxa"/>
            <w:vAlign w:val="bottom"/>
            <w:gridSpan w:val="3"/>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640" w:type="dxa"/>
            <w:vAlign w:val="bottom"/>
            <w:tcBorders>
              <w:top w:val="single" w:sz="8" w:color="auto"/>
            </w:tcBorders>
            <w:gridSpan w:val="2"/>
            <w:shd w:val="clear" w:color="auto" w:fill="E5E5E5"/>
          </w:tcPr>
          <w:p>
            <w:pPr>
              <w:jc w:val="right"/>
              <w:ind w:right="332"/>
              <w:spacing w:after="0"/>
              <w:rPr>
                <w:sz w:val="20"/>
                <w:szCs w:val="20"/>
                <w:color w:val="auto"/>
              </w:rPr>
            </w:pPr>
            <w:r>
              <w:rPr>
                <w:rFonts w:ascii="Arial" w:cs="Arial" w:eastAsia="Arial" w:hAnsi="Arial"/>
                <w:sz w:val="18"/>
                <w:szCs w:val="18"/>
                <w:color w:val="auto"/>
              </w:rPr>
              <w:t>$ 18,425</w:t>
            </w:r>
          </w:p>
        </w:tc>
        <w:tc>
          <w:tcPr>
            <w:tcW w:w="54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7,635</w:t>
            </w:r>
          </w:p>
        </w:tc>
        <w:tc>
          <w:tcPr>
            <w:tcW w:w="720" w:type="dxa"/>
            <w:vAlign w:val="bottom"/>
            <w:tcBorders>
              <w:top w:val="single" w:sz="8" w:color="auto"/>
            </w:tcBorders>
            <w:shd w:val="clear" w:color="auto" w:fill="E5E5E5"/>
          </w:tcPr>
          <w:p>
            <w:pPr>
              <w:ind w:left="640"/>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3,212</w:t>
            </w:r>
          </w:p>
        </w:tc>
        <w:tc>
          <w:tcPr>
            <w:tcW w:w="44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4,423</w:t>
            </w:r>
          </w:p>
        </w:tc>
        <w:tc>
          <w:tcPr>
            <w:tcW w:w="48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NBCUniversal</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640" w:type="dxa"/>
            <w:vAlign w:val="bottom"/>
            <w:gridSpan w:val="2"/>
            <w:shd w:val="clear" w:color="auto" w:fill="E5E5E5"/>
          </w:tcPr>
          <w:p>
            <w:pPr>
              <w:jc w:val="right"/>
              <w:ind w:right="332"/>
              <w:spacing w:after="0"/>
              <w:rPr>
                <w:sz w:val="20"/>
                <w:szCs w:val="20"/>
                <w:color w:val="auto"/>
              </w:rPr>
            </w:pPr>
            <w:r>
              <w:rPr>
                <w:rFonts w:ascii="Arial" w:cs="Arial" w:eastAsia="Arial" w:hAnsi="Arial"/>
                <w:sz w:val="18"/>
                <w:szCs w:val="18"/>
                <w:color w:val="auto"/>
              </w:rPr>
              <w:t>3,805</w:t>
            </w:r>
          </w:p>
        </w:tc>
        <w:tc>
          <w:tcPr>
            <w:tcW w:w="54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1,511</w:t>
            </w:r>
          </w:p>
        </w:tc>
        <w:tc>
          <w:tcPr>
            <w:tcW w:w="72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340</w:t>
            </w:r>
          </w:p>
        </w:tc>
        <w:tc>
          <w:tcPr>
            <w:tcW w:w="4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1,171</w:t>
            </w: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1640" w:type="dxa"/>
            <w:vAlign w:val="bottom"/>
            <w:gridSpan w:val="2"/>
          </w:tcPr>
          <w:p>
            <w:pPr>
              <w:jc w:val="right"/>
              <w:ind w:right="332"/>
              <w:spacing w:after="0"/>
              <w:rPr>
                <w:sz w:val="20"/>
                <w:szCs w:val="20"/>
                <w:color w:val="auto"/>
              </w:rPr>
            </w:pPr>
            <w:r>
              <w:rPr>
                <w:rFonts w:ascii="Arial" w:cs="Arial" w:eastAsia="Arial" w:hAnsi="Arial"/>
                <w:sz w:val="18"/>
                <w:szCs w:val="18"/>
                <w:color w:val="auto"/>
              </w:rPr>
              <w:t>2,583</w:t>
            </w:r>
          </w:p>
        </w:tc>
        <w:tc>
          <w:tcPr>
            <w:tcW w:w="54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225</w:t>
            </w:r>
          </w:p>
        </w:tc>
        <w:tc>
          <w:tcPr>
            <w:tcW w:w="72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p>
        </w:tc>
        <w:tc>
          <w:tcPr>
            <w:tcW w:w="1640" w:type="dxa"/>
            <w:vAlign w:val="bottom"/>
            <w:gridSpan w:val="2"/>
            <w:shd w:val="clear" w:color="auto" w:fill="E5E5E5"/>
          </w:tcPr>
          <w:p>
            <w:pPr>
              <w:jc w:val="right"/>
              <w:ind w:right="332"/>
              <w:spacing w:after="0"/>
              <w:rPr>
                <w:sz w:val="20"/>
                <w:szCs w:val="20"/>
                <w:color w:val="auto"/>
              </w:rPr>
            </w:pPr>
            <w:r>
              <w:rPr>
                <w:rFonts w:ascii="Arial" w:cs="Arial" w:eastAsia="Arial" w:hAnsi="Arial"/>
                <w:sz w:val="18"/>
                <w:szCs w:val="18"/>
                <w:color w:val="auto"/>
              </w:rPr>
              <w:t>1,876</w:t>
            </w:r>
          </w:p>
        </w:tc>
        <w:tc>
          <w:tcPr>
            <w:tcW w:w="54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(116)</w:t>
            </w:r>
          </w:p>
        </w:tc>
        <w:tc>
          <w:tcPr>
            <w:tcW w:w="72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9</w:t>
            </w:r>
          </w:p>
        </w:tc>
        <w:tc>
          <w:tcPr>
            <w:tcW w:w="4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(125)</w:t>
            </w: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(c)</w:t>
            </w:r>
          </w:p>
        </w:tc>
        <w:tc>
          <w:tcPr>
            <w:tcW w:w="1640" w:type="dxa"/>
            <w:vAlign w:val="bottom"/>
            <w:gridSpan w:val="2"/>
          </w:tcPr>
          <w:p>
            <w:pPr>
              <w:jc w:val="right"/>
              <w:ind w:right="332"/>
              <w:spacing w:after="0"/>
              <w:rPr>
                <w:sz w:val="20"/>
                <w:szCs w:val="20"/>
                <w:color w:val="auto"/>
              </w:rPr>
            </w:pPr>
            <w:r>
              <w:rPr>
                <w:rFonts w:ascii="Arial" w:cs="Arial" w:eastAsia="Arial" w:hAnsi="Arial"/>
                <w:sz w:val="18"/>
                <w:szCs w:val="18"/>
                <w:color w:val="auto"/>
              </w:rPr>
              <w:t>796</w:t>
            </w:r>
          </w:p>
        </w:tc>
        <w:tc>
          <w:tcPr>
            <w:tcW w:w="54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8"/>
                <w:szCs w:val="18"/>
                <w:color w:val="auto"/>
              </w:rPr>
            </w:pP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207</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(d)</w:t>
            </w:r>
          </w:p>
        </w:tc>
        <w:tc>
          <w:tcPr>
            <w:tcW w:w="1640" w:type="dxa"/>
            <w:vAlign w:val="bottom"/>
            <w:gridSpan w:val="2"/>
            <w:shd w:val="clear" w:color="auto" w:fill="E5E5E5"/>
          </w:tcPr>
          <w:p>
            <w:pPr>
              <w:jc w:val="right"/>
              <w:ind w:right="332"/>
              <w:spacing w:after="0"/>
              <w:rPr>
                <w:sz w:val="20"/>
                <w:szCs w:val="20"/>
                <w:color w:val="auto"/>
              </w:rPr>
            </w:pPr>
            <w:r>
              <w:rPr>
                <w:rFonts w:ascii="Arial" w:cs="Arial" w:eastAsia="Arial" w:hAnsi="Arial"/>
                <w:sz w:val="18"/>
                <w:szCs w:val="18"/>
                <w:color w:val="auto"/>
              </w:rPr>
              <w:t>25</w:t>
            </w:r>
          </w:p>
        </w:tc>
        <w:tc>
          <w:tcPr>
            <w:tcW w:w="540" w:type="dxa"/>
            <w:vAlign w:val="bottom"/>
            <w:shd w:val="clear" w:color="auto" w:fill="E5E5E5"/>
          </w:tcPr>
          <w:p>
            <w:pPr>
              <w:spacing w:after="0"/>
              <w:rPr>
                <w:sz w:val="18"/>
                <w:szCs w:val="18"/>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(249)</w:t>
            </w:r>
          </w:p>
        </w:tc>
        <w:tc>
          <w:tcPr>
            <w:tcW w:w="72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66</w:t>
            </w:r>
          </w:p>
        </w:tc>
        <w:tc>
          <w:tcPr>
            <w:tcW w:w="4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(315)</w:t>
            </w: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164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(763)</w:t>
            </w:r>
          </w:p>
        </w:tc>
        <w:tc>
          <w:tcPr>
            <w:tcW w:w="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(100)</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(134)</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640" w:type="dxa"/>
            <w:vAlign w:val="bottom"/>
            <w:gridSpan w:val="2"/>
            <w:shd w:val="clear" w:color="auto" w:fill="E5E5E5"/>
          </w:tcPr>
          <w:p>
            <w:pPr>
              <w:jc w:val="right"/>
              <w:ind w:right="332"/>
              <w:spacing w:after="0"/>
              <w:rPr>
                <w:sz w:val="20"/>
                <w:szCs w:val="20"/>
                <w:color w:val="auto"/>
              </w:rPr>
            </w:pPr>
            <w:r>
              <w:rPr>
                <w:rFonts w:ascii="Arial" w:cs="Arial" w:eastAsia="Arial" w:hAnsi="Arial"/>
                <w:sz w:val="18"/>
                <w:szCs w:val="18"/>
                <w:color w:val="auto"/>
              </w:rPr>
              <w:t>8,322</w:t>
            </w:r>
          </w:p>
        </w:tc>
        <w:tc>
          <w:tcPr>
            <w:tcW w:w="54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1,459</w:t>
            </w:r>
          </w:p>
        </w:tc>
        <w:tc>
          <w:tcPr>
            <w:tcW w:w="720" w:type="dxa"/>
            <w:vAlign w:val="bottom"/>
            <w:shd w:val="clear" w:color="auto" w:fill="E5E5E5"/>
          </w:tcPr>
          <w:p>
            <w:pPr>
              <w:spacing w:after="0"/>
              <w:rPr>
                <w:sz w:val="18"/>
                <w:szCs w:val="18"/>
                <w:color w:val="auto"/>
              </w:rPr>
            </w:pPr>
          </w:p>
        </w:tc>
        <w:tc>
          <w:tcPr>
            <w:tcW w:w="1380" w:type="dxa"/>
            <w:vAlign w:val="bottom"/>
            <w:shd w:val="clear" w:color="auto" w:fill="E5E5E5"/>
          </w:tcPr>
          <w:p>
            <w:pPr>
              <w:jc w:val="right"/>
              <w:ind w:right="454"/>
              <w:spacing w:after="0"/>
              <w:rPr>
                <w:sz w:val="20"/>
                <w:szCs w:val="20"/>
                <w:color w:val="auto"/>
              </w:rPr>
            </w:pPr>
            <w:r>
              <w:rPr>
                <w:rFonts w:ascii="Arial" w:cs="Arial" w:eastAsia="Arial" w:hAnsi="Arial"/>
                <w:sz w:val="18"/>
                <w:szCs w:val="18"/>
                <w:color w:val="auto"/>
              </w:rPr>
              <w:t>460</w:t>
            </w:r>
          </w:p>
        </w:tc>
        <w:tc>
          <w:tcPr>
            <w:tcW w:w="4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999</w:t>
            </w: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Corporate and Other</w:t>
            </w:r>
          </w:p>
        </w:tc>
        <w:tc>
          <w:tcPr>
            <w:tcW w:w="1640" w:type="dxa"/>
            <w:vAlign w:val="bottom"/>
            <w:gridSpan w:val="2"/>
          </w:tcPr>
          <w:p>
            <w:pPr>
              <w:jc w:val="right"/>
              <w:ind w:right="332"/>
              <w:spacing w:after="0"/>
              <w:rPr>
                <w:sz w:val="20"/>
                <w:szCs w:val="20"/>
                <w:color w:val="auto"/>
              </w:rPr>
            </w:pPr>
            <w:r>
              <w:rPr>
                <w:rFonts w:ascii="Arial" w:cs="Arial" w:eastAsia="Arial" w:hAnsi="Arial"/>
                <w:sz w:val="18"/>
                <w:szCs w:val="18"/>
                <w:color w:val="auto"/>
              </w:rPr>
              <w:t>316</w:t>
            </w:r>
          </w:p>
        </w:tc>
        <w:tc>
          <w:tcPr>
            <w:tcW w:w="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w:t>
            </w:r>
          </w:p>
        </w:tc>
        <w:tc>
          <w:tcPr>
            <w:tcW w:w="72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(260)</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1640" w:type="dxa"/>
            <w:vAlign w:val="bottom"/>
            <w:tcBorders>
              <w:bottom w:val="single" w:sz="8" w:color="auto"/>
            </w:tcBorders>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(602)</w:t>
            </w:r>
          </w:p>
        </w:tc>
        <w:tc>
          <w:tcPr>
            <w:tcW w:w="54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1</w:t>
            </w:r>
          </w:p>
        </w:tc>
        <w:tc>
          <w:tcPr>
            <w:tcW w:w="720" w:type="dxa"/>
            <w:vAlign w:val="bottom"/>
            <w:tcBorders>
              <w:bottom w:val="single" w:sz="8" w:color="auto"/>
            </w:tcBorders>
            <w:shd w:val="clear" w:color="auto" w:fill="E5E5E5"/>
          </w:tcPr>
          <w:p>
            <w:pPr>
              <w:spacing w:after="0"/>
              <w:rPr>
                <w:sz w:val="18"/>
                <w:szCs w:val="18"/>
                <w:color w:val="auto"/>
              </w:rPr>
            </w:pPr>
          </w:p>
        </w:tc>
        <w:tc>
          <w:tcPr>
            <w:tcW w:w="1380" w:type="dxa"/>
            <w:vAlign w:val="bottom"/>
            <w:tcBorders>
              <w:bottom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shd w:val="clear" w:color="auto" w:fill="E5E5E5"/>
          </w:tcPr>
          <w:p>
            <w:pPr>
              <w:spacing w:after="0"/>
              <w:rPr>
                <w:sz w:val="18"/>
                <w:szCs w:val="18"/>
                <w:color w:val="auto"/>
              </w:rPr>
            </w:pPr>
          </w:p>
        </w:tc>
        <w:tc>
          <w:tcPr>
            <w:tcW w:w="1200" w:type="dxa"/>
            <w:vAlign w:val="bottom"/>
            <w:tcBorders>
              <w:bottom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64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color w:val="auto"/>
              </w:rPr>
              <w:t>$ 26,461</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8,867</w:t>
            </w:r>
          </w:p>
        </w:tc>
        <w:tc>
          <w:tcPr>
            <w:tcW w:w="72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3,705</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5,162</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and six months ended June 30, 2012 and 2011, Cable Communications segment revenue was derived from the following sources: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080" w:type="dxa"/>
            <w:vAlign w:val="bottom"/>
            <w:gridSpan w:val="2"/>
          </w:tcPr>
          <w:p>
            <w:pPr>
              <w:jc w:val="right"/>
              <w:ind w:right="832"/>
              <w:spacing w:after="0"/>
              <w:rPr>
                <w:sz w:val="20"/>
                <w:szCs w:val="20"/>
                <w:color w:val="auto"/>
              </w:rPr>
            </w:pPr>
            <w:r>
              <w:rPr>
                <w:rFonts w:ascii="Arial" w:cs="Arial" w:eastAsia="Arial" w:hAnsi="Arial"/>
                <w:sz w:val="14"/>
                <w:szCs w:val="14"/>
                <w:color w:val="auto"/>
              </w:rPr>
              <w:t>Three Months Ended</w:t>
            </w:r>
          </w:p>
        </w:tc>
        <w:tc>
          <w:tcPr>
            <w:tcW w:w="1740" w:type="dxa"/>
            <w:vAlign w:val="bottom"/>
          </w:tcPr>
          <w:p>
            <w:pPr>
              <w:jc w:val="right"/>
              <w:spacing w:after="0"/>
              <w:rPr>
                <w:sz w:val="20"/>
                <w:szCs w:val="20"/>
                <w:color w:val="auto"/>
              </w:rPr>
            </w:pPr>
            <w:r>
              <w:rPr>
                <w:rFonts w:ascii="Arial" w:cs="Arial" w:eastAsia="Arial" w:hAnsi="Arial"/>
                <w:sz w:val="14"/>
                <w:szCs w:val="14"/>
                <w:color w:val="auto"/>
              </w:rPr>
              <w:t>Six Months Ended</w:t>
            </w:r>
          </w:p>
        </w:tc>
        <w:tc>
          <w:tcPr>
            <w:tcW w:w="58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1192"/>
              <w:spacing w:after="0" w:line="159" w:lineRule="exact"/>
              <w:rPr>
                <w:sz w:val="20"/>
                <w:szCs w:val="20"/>
                <w:color w:val="auto"/>
              </w:rPr>
            </w:pPr>
            <w:r>
              <w:rPr>
                <w:rFonts w:ascii="Arial" w:cs="Arial" w:eastAsia="Arial" w:hAnsi="Arial"/>
                <w:sz w:val="14"/>
                <w:szCs w:val="14"/>
                <w:color w:val="auto"/>
                <w:w w:val="88"/>
              </w:rPr>
              <w:t>June 30</w:t>
            </w:r>
          </w:p>
        </w:tc>
        <w:tc>
          <w:tcPr>
            <w:tcW w:w="1740" w:type="dxa"/>
            <w:vAlign w:val="bottom"/>
            <w:tcBorders>
              <w:bottom w:val="single" w:sz="8" w:color="auto"/>
            </w:tcBorders>
          </w:tcPr>
          <w:p>
            <w:pPr>
              <w:jc w:val="right"/>
              <w:ind w:right="232"/>
              <w:spacing w:after="0" w:line="159" w:lineRule="exact"/>
              <w:rPr>
                <w:sz w:val="20"/>
                <w:szCs w:val="20"/>
                <w:color w:val="auto"/>
              </w:rPr>
            </w:pPr>
            <w:r>
              <w:rPr>
                <w:rFonts w:ascii="Arial" w:cs="Arial" w:eastAsia="Arial" w:hAnsi="Arial"/>
                <w:sz w:val="14"/>
                <w:szCs w:val="14"/>
                <w:color w:val="auto"/>
              </w:rPr>
              <w:t>June 30</w:t>
            </w:r>
          </w:p>
        </w:tc>
        <w:tc>
          <w:tcPr>
            <w:tcW w:w="580" w:type="dxa"/>
            <w:vAlign w:val="bottom"/>
            <w:tcBorders>
              <w:bottom w:val="single" w:sz="8" w:color="auto"/>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2012</w:t>
            </w:r>
          </w:p>
        </w:tc>
        <w:tc>
          <w:tcPr>
            <w:tcW w:w="17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2011</w:t>
            </w:r>
          </w:p>
        </w:tc>
        <w:tc>
          <w:tcPr>
            <w:tcW w:w="1740" w:type="dxa"/>
            <w:vAlign w:val="bottom"/>
            <w:tcBorders>
              <w:bottom w:val="single" w:sz="8" w:color="auto"/>
            </w:tcBorders>
          </w:tcPr>
          <w:p>
            <w:pPr>
              <w:jc w:val="right"/>
              <w:ind w:right="992"/>
              <w:spacing w:after="0"/>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89"/>
              </w:rPr>
              <w:t>2011</w:t>
            </w:r>
          </w:p>
        </w:tc>
      </w:tr>
      <w:tr>
        <w:trPr>
          <w:trHeight w:val="142"/>
        </w:trPr>
        <w:tc>
          <w:tcPr>
            <w:tcW w:w="20" w:type="dxa"/>
            <w:vAlign w:val="bottom"/>
          </w:tcPr>
          <w:p>
            <w:pPr>
              <w:spacing w:after="0"/>
              <w:rPr>
                <w:sz w:val="12"/>
                <w:szCs w:val="12"/>
                <w:color w:val="auto"/>
              </w:rPr>
            </w:pPr>
          </w:p>
        </w:tc>
        <w:tc>
          <w:tcPr>
            <w:tcW w:w="600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Residential:</w:t>
            </w:r>
          </w:p>
        </w:tc>
        <w:tc>
          <w:tcPr>
            <w:tcW w:w="1360" w:type="dxa"/>
            <w:vAlign w:val="bottom"/>
            <w:shd w:val="clear" w:color="auto" w:fill="E5E5E5"/>
          </w:tcPr>
          <w:p>
            <w:pPr>
              <w:spacing w:after="0"/>
              <w:rPr>
                <w:sz w:val="12"/>
                <w:szCs w:val="12"/>
                <w:color w:val="auto"/>
              </w:rPr>
            </w:pPr>
          </w:p>
        </w:tc>
        <w:tc>
          <w:tcPr>
            <w:tcW w:w="1720" w:type="dxa"/>
            <w:vAlign w:val="bottom"/>
            <w:shd w:val="clear" w:color="auto" w:fill="E5E5E5"/>
          </w:tcPr>
          <w:p>
            <w:pPr>
              <w:spacing w:after="0"/>
              <w:rPr>
                <w:sz w:val="12"/>
                <w:szCs w:val="12"/>
                <w:color w:val="auto"/>
              </w:rPr>
            </w:pPr>
          </w:p>
        </w:tc>
        <w:tc>
          <w:tcPr>
            <w:tcW w:w="17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Video</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51.3%</w:t>
            </w:r>
          </w:p>
        </w:tc>
        <w:tc>
          <w:tcPr>
            <w:tcW w:w="17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52.9%</w:t>
            </w:r>
          </w:p>
        </w:tc>
        <w:tc>
          <w:tcPr>
            <w:tcW w:w="1740" w:type="dxa"/>
            <w:vAlign w:val="bottom"/>
          </w:tcPr>
          <w:p>
            <w:pPr>
              <w:jc w:val="right"/>
              <w:ind w:right="732"/>
              <w:spacing w:after="0" w:line="149" w:lineRule="exact"/>
              <w:rPr>
                <w:sz w:val="20"/>
                <w:szCs w:val="20"/>
                <w:color w:val="auto"/>
              </w:rPr>
            </w:pPr>
            <w:r>
              <w:rPr>
                <w:rFonts w:ascii="Arial" w:cs="Arial" w:eastAsia="Arial" w:hAnsi="Arial"/>
                <w:sz w:val="14"/>
                <w:szCs w:val="14"/>
                <w:color w:val="auto"/>
              </w:rPr>
              <w:t>51.5 %</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53.4%</w:t>
            </w:r>
          </w:p>
        </w:tc>
      </w:tr>
      <w:tr>
        <w:trPr>
          <w:trHeight w:val="149"/>
        </w:trPr>
        <w:tc>
          <w:tcPr>
            <w:tcW w:w="20" w:type="dxa"/>
            <w:vAlign w:val="bottom"/>
          </w:tcPr>
          <w:p>
            <w:pPr>
              <w:spacing w:after="0"/>
              <w:rPr>
                <w:sz w:val="12"/>
                <w:szCs w:val="12"/>
                <w:color w:val="auto"/>
              </w:rPr>
            </w:pPr>
          </w:p>
        </w:tc>
        <w:tc>
          <w:tcPr>
            <w:tcW w:w="60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High-speed Internet</w:t>
            </w:r>
          </w:p>
        </w:tc>
        <w:tc>
          <w:tcPr>
            <w:tcW w:w="13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24.0%</w:t>
            </w:r>
          </w:p>
        </w:tc>
        <w:tc>
          <w:tcPr>
            <w:tcW w:w="1720" w:type="dxa"/>
            <w:vAlign w:val="bottom"/>
            <w:shd w:val="clear" w:color="auto" w:fill="E5E5E5"/>
          </w:tcPr>
          <w:p>
            <w:pPr>
              <w:jc w:val="right"/>
              <w:ind w:right="352"/>
              <w:spacing w:after="0" w:line="149" w:lineRule="exact"/>
              <w:rPr>
                <w:sz w:val="20"/>
                <w:szCs w:val="20"/>
                <w:color w:val="auto"/>
              </w:rPr>
            </w:pPr>
            <w:r>
              <w:rPr>
                <w:rFonts w:ascii="Arial" w:cs="Arial" w:eastAsia="Arial" w:hAnsi="Arial"/>
                <w:sz w:val="14"/>
                <w:szCs w:val="14"/>
                <w:color w:val="auto"/>
              </w:rPr>
              <w:t>23.4%</w:t>
            </w:r>
          </w:p>
        </w:tc>
        <w:tc>
          <w:tcPr>
            <w:tcW w:w="1740" w:type="dxa"/>
            <w:vAlign w:val="bottom"/>
            <w:shd w:val="clear" w:color="auto" w:fill="E5E5E5"/>
          </w:tcPr>
          <w:p>
            <w:pPr>
              <w:jc w:val="right"/>
              <w:ind w:right="732"/>
              <w:spacing w:after="0" w:line="149" w:lineRule="exact"/>
              <w:rPr>
                <w:sz w:val="20"/>
                <w:szCs w:val="20"/>
                <w:color w:val="auto"/>
              </w:rPr>
            </w:pPr>
            <w:r>
              <w:rPr>
                <w:rFonts w:ascii="Arial" w:cs="Arial" w:eastAsia="Arial" w:hAnsi="Arial"/>
                <w:sz w:val="14"/>
                <w:szCs w:val="14"/>
                <w:color w:val="auto"/>
              </w:rPr>
              <w:t>24.1 %</w:t>
            </w:r>
          </w:p>
        </w:tc>
        <w:tc>
          <w:tcPr>
            <w:tcW w:w="5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23.3%</w:t>
            </w: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Voice</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17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9.4%</w:t>
            </w:r>
          </w:p>
        </w:tc>
        <w:tc>
          <w:tcPr>
            <w:tcW w:w="1740" w:type="dxa"/>
            <w:vAlign w:val="bottom"/>
          </w:tcPr>
          <w:p>
            <w:pPr>
              <w:jc w:val="right"/>
              <w:ind w:right="732"/>
              <w:spacing w:after="0" w:line="149" w:lineRule="exact"/>
              <w:rPr>
                <w:sz w:val="20"/>
                <w:szCs w:val="20"/>
                <w:color w:val="auto"/>
              </w:rPr>
            </w:pPr>
            <w:r>
              <w:rPr>
                <w:rFonts w:ascii="Arial" w:cs="Arial" w:eastAsia="Arial" w:hAnsi="Arial"/>
                <w:sz w:val="14"/>
                <w:szCs w:val="14"/>
                <w:color w:val="auto"/>
              </w:rPr>
              <w:t>9.1 %</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r>
      <w:tr>
        <w:trPr>
          <w:trHeight w:val="149"/>
        </w:trPr>
        <w:tc>
          <w:tcPr>
            <w:tcW w:w="20" w:type="dxa"/>
            <w:vAlign w:val="bottom"/>
          </w:tcPr>
          <w:p>
            <w:pPr>
              <w:spacing w:after="0"/>
              <w:rPr>
                <w:sz w:val="12"/>
                <w:szCs w:val="12"/>
                <w:color w:val="auto"/>
              </w:rPr>
            </w:pPr>
          </w:p>
        </w:tc>
        <w:tc>
          <w:tcPr>
            <w:tcW w:w="60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13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5.9%</w:t>
            </w:r>
          </w:p>
        </w:tc>
        <w:tc>
          <w:tcPr>
            <w:tcW w:w="1720" w:type="dxa"/>
            <w:vAlign w:val="bottom"/>
            <w:shd w:val="clear" w:color="auto" w:fill="E5E5E5"/>
          </w:tcPr>
          <w:p>
            <w:pPr>
              <w:jc w:val="right"/>
              <w:ind w:right="352"/>
              <w:spacing w:after="0" w:line="149" w:lineRule="exact"/>
              <w:rPr>
                <w:sz w:val="20"/>
                <w:szCs w:val="20"/>
                <w:color w:val="auto"/>
              </w:rPr>
            </w:pPr>
            <w:r>
              <w:rPr>
                <w:rFonts w:ascii="Arial" w:cs="Arial" w:eastAsia="Arial" w:hAnsi="Arial"/>
                <w:sz w:val="14"/>
                <w:szCs w:val="14"/>
                <w:color w:val="auto"/>
              </w:rPr>
              <w:t>4.6%</w:t>
            </w:r>
          </w:p>
        </w:tc>
        <w:tc>
          <w:tcPr>
            <w:tcW w:w="1740" w:type="dxa"/>
            <w:vAlign w:val="bottom"/>
            <w:shd w:val="clear" w:color="auto" w:fill="E5E5E5"/>
          </w:tcPr>
          <w:p>
            <w:pPr>
              <w:jc w:val="right"/>
              <w:ind w:right="732"/>
              <w:spacing w:after="0" w:line="149" w:lineRule="exact"/>
              <w:rPr>
                <w:sz w:val="20"/>
                <w:szCs w:val="20"/>
                <w:color w:val="auto"/>
              </w:rPr>
            </w:pPr>
            <w:r>
              <w:rPr>
                <w:rFonts w:ascii="Arial" w:cs="Arial" w:eastAsia="Arial" w:hAnsi="Arial"/>
                <w:sz w:val="14"/>
                <w:szCs w:val="14"/>
                <w:color w:val="auto"/>
              </w:rPr>
              <w:t>5.8%</w:t>
            </w:r>
          </w:p>
        </w:tc>
        <w:tc>
          <w:tcPr>
            <w:tcW w:w="5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4.5%</w:t>
            </w: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17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5.5%</w:t>
            </w:r>
          </w:p>
        </w:tc>
        <w:tc>
          <w:tcPr>
            <w:tcW w:w="1740" w:type="dxa"/>
            <w:vAlign w:val="bottom"/>
          </w:tcPr>
          <w:p>
            <w:pPr>
              <w:jc w:val="right"/>
              <w:ind w:right="732"/>
              <w:spacing w:after="0" w:line="149" w:lineRule="exact"/>
              <w:rPr>
                <w:sz w:val="20"/>
                <w:szCs w:val="20"/>
                <w:color w:val="auto"/>
              </w:rPr>
            </w:pPr>
            <w:r>
              <w:rPr>
                <w:rFonts w:ascii="Arial" w:cs="Arial" w:eastAsia="Arial" w:hAnsi="Arial"/>
                <w:sz w:val="14"/>
                <w:szCs w:val="14"/>
                <w:color w:val="auto"/>
              </w:rPr>
              <w:t>5.3%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r>
      <w:tr>
        <w:trPr>
          <w:trHeight w:val="149"/>
        </w:trPr>
        <w:tc>
          <w:tcPr>
            <w:tcW w:w="20" w:type="dxa"/>
            <w:vAlign w:val="bottom"/>
          </w:tcPr>
          <w:p>
            <w:pPr>
              <w:spacing w:after="0"/>
              <w:rPr>
                <w:sz w:val="12"/>
                <w:szCs w:val="12"/>
                <w:color w:val="auto"/>
              </w:rPr>
            </w:pPr>
          </w:p>
        </w:tc>
        <w:tc>
          <w:tcPr>
            <w:tcW w:w="600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136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4.2%</w:t>
            </w:r>
          </w:p>
        </w:tc>
        <w:tc>
          <w:tcPr>
            <w:tcW w:w="1720" w:type="dxa"/>
            <w:vAlign w:val="bottom"/>
            <w:tcBorders>
              <w:bottom w:val="single" w:sz="8" w:color="auto"/>
            </w:tcBorders>
            <w:shd w:val="clear" w:color="auto" w:fill="E5E5E5"/>
          </w:tcPr>
          <w:p>
            <w:pPr>
              <w:jc w:val="right"/>
              <w:ind w:right="352"/>
              <w:spacing w:after="0" w:line="149" w:lineRule="exact"/>
              <w:rPr>
                <w:sz w:val="20"/>
                <w:szCs w:val="20"/>
                <w:color w:val="auto"/>
              </w:rPr>
            </w:pPr>
            <w:r>
              <w:rPr>
                <w:rFonts w:ascii="Arial" w:cs="Arial" w:eastAsia="Arial" w:hAnsi="Arial"/>
                <w:sz w:val="14"/>
                <w:szCs w:val="14"/>
                <w:color w:val="auto"/>
              </w:rPr>
              <w:t>4.2%</w:t>
            </w:r>
          </w:p>
        </w:tc>
        <w:tc>
          <w:tcPr>
            <w:tcW w:w="1740" w:type="dxa"/>
            <w:vAlign w:val="bottom"/>
            <w:tcBorders>
              <w:bottom w:val="single" w:sz="8" w:color="auto"/>
            </w:tcBorders>
            <w:shd w:val="clear" w:color="auto" w:fill="E5E5E5"/>
          </w:tcPr>
          <w:p>
            <w:pPr>
              <w:jc w:val="right"/>
              <w:ind w:right="732"/>
              <w:spacing w:after="0" w:line="149" w:lineRule="exact"/>
              <w:rPr>
                <w:sz w:val="20"/>
                <w:szCs w:val="20"/>
                <w:color w:val="auto"/>
              </w:rPr>
            </w:pPr>
            <w:r>
              <w:rPr>
                <w:rFonts w:ascii="Arial" w:cs="Arial" w:eastAsia="Arial" w:hAnsi="Arial"/>
                <w:sz w:val="14"/>
                <w:szCs w:val="14"/>
                <w:color w:val="auto"/>
              </w:rPr>
              <w:t>4.2%</w:t>
            </w:r>
          </w:p>
        </w:tc>
        <w:tc>
          <w:tcPr>
            <w:tcW w:w="58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49"/>
        </w:trPr>
        <w:tc>
          <w:tcPr>
            <w:tcW w:w="20" w:type="dxa"/>
            <w:vAlign w:val="bottom"/>
            <w:tcBorders>
              <w:bottom w:val="single" w:sz="8" w:color="auto"/>
            </w:tcBorders>
          </w:tcPr>
          <w:p>
            <w:pPr>
              <w:spacing w:after="0"/>
              <w:rPr>
                <w:sz w:val="12"/>
                <w:szCs w:val="12"/>
                <w:color w:val="auto"/>
              </w:rPr>
            </w:pPr>
          </w:p>
        </w:tc>
        <w:tc>
          <w:tcPr>
            <w:tcW w:w="60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17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color w:val="auto"/>
              </w:rPr>
              <w:t>100%</w:t>
            </w:r>
          </w:p>
        </w:tc>
        <w:tc>
          <w:tcPr>
            <w:tcW w:w="1740" w:type="dxa"/>
            <w:vAlign w:val="bottom"/>
            <w:tcBorders>
              <w:bottom w:val="single" w:sz="8" w:color="auto"/>
            </w:tcBorders>
          </w:tcPr>
          <w:p>
            <w:pPr>
              <w:jc w:val="right"/>
              <w:ind w:right="732"/>
              <w:spacing w:after="0" w:line="142" w:lineRule="exact"/>
              <w:rPr>
                <w:sz w:val="20"/>
                <w:szCs w:val="20"/>
                <w:color w:val="auto"/>
              </w:rPr>
            </w:pPr>
            <w:r>
              <w:rPr>
                <w:rFonts w:ascii="Arial" w:cs="Arial" w:eastAsia="Arial" w:hAnsi="Arial"/>
                <w:sz w:val="14"/>
                <w:szCs w:val="14"/>
                <w:color w:val="auto"/>
              </w:rPr>
              <w:t>100%</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both the three and six months ended June 30, 2012 and 2011, 2.8% of Cable Communications revenue was derived from franchise and other regulatory fees.</w:t>
      </w:r>
    </w:p>
    <w:p>
      <w:pPr>
        <w:spacing w:after="0" w:line="44" w:lineRule="exact"/>
        <w:rPr>
          <w:sz w:val="20"/>
          <w:szCs w:val="20"/>
          <w:color w:val="auto"/>
        </w:rPr>
      </w:pPr>
    </w:p>
    <w:p>
      <w:pPr>
        <w:ind w:left="340" w:right="2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six months ended June 30, 2011, our Cable Networks segment included the results of operations of the businesses we contributed to NBCUniversal, as well as the results of operations of the NBCUniversal contributed cable networks for the period January 29, 2011 through June 30, 2011.</w:t>
      </w:r>
    </w:p>
    <w:p>
      <w:pPr>
        <w:spacing w:after="0" w:line="43"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three and six months ended June 30, 2011, our Theme Parks segment included the results of operations for Universal Orlando for the period January 29, 2011 through June 30, 2011 to reflect our measure of operating performance for our Theme Parks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includes costs and expenses associated with overhead, employee benefits and headquarter initiatives.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hanging="332"/>
        <w:spacing w:after="0" w:line="23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NBCUniversal eliminations for the three and six months ended June 30, 2011 included the elimination of the results of operations for Universal Orlando for the period January 29, 2011 through June 30, 2011. These results were not included in NBCUniversal’s total and our consolidated results of operations for the period January 29, 2011 through June 30, 2011 because we recorded Universal Orlando as an equity method investment during this period.</w:t>
      </w:r>
    </w:p>
    <w:p>
      <w:pPr>
        <w:spacing w:after="0" w:line="44"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Also included in Eliminations are transactions that our segments enter into with one another. The most common types of transactions are the following:</w:t>
      </w:r>
    </w:p>
    <w:p>
      <w:pPr>
        <w:spacing w:after="0" w:line="68"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57"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which are recorded as a reduction to programming expenses</w:t>
      </w:r>
    </w:p>
    <w:p>
      <w:pPr>
        <w:spacing w:after="0" w:line="57" w:lineRule="exact"/>
        <w:rPr>
          <w:rFonts w:ascii="Arial" w:cs="Arial" w:eastAsia="Arial" w:hAnsi="Arial"/>
          <w:sz w:val="14"/>
          <w:szCs w:val="14"/>
          <w:color w:val="auto"/>
        </w:rPr>
      </w:pPr>
    </w:p>
    <w:p>
      <w:pPr>
        <w:ind w:left="1020" w:hanging="215"/>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68" w:lineRule="exact"/>
        <w:rPr>
          <w:rFonts w:ascii="Arial" w:cs="Arial" w:eastAsia="Arial" w:hAnsi="Arial"/>
          <w:sz w:val="14"/>
          <w:szCs w:val="14"/>
          <w:color w:val="auto"/>
        </w:rPr>
      </w:pPr>
    </w:p>
    <w:p>
      <w:pPr>
        <w:ind w:left="1020" w:hanging="215"/>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four of our 100% owned cable holding company subsidiaries, Comcast Cable Communications, LLC (“CCCL Parent”),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provides an unconditional subordinated guarantee of the $185 million principal amount currently outstanding of Comcast Holdings’ ZONES due October 2029 and the $202 million principal amount outstanding as of June 30, 2012 of Comcast Holdings’ 10.625% senior subordinated debentures due July 2012. The 10.625% senior subordinated debentures were repaid in July 2012. Comcast Corporation does not guarantee the $62 million principal amount currently outstanding of Comcast Holdings’ ZONES due November 2029.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92"/>
              <w:spacing w:after="0"/>
              <w:rPr>
                <w:sz w:val="20"/>
                <w:szCs w:val="20"/>
                <w:color w:val="auto"/>
              </w:rPr>
            </w:pPr>
            <w:r>
              <w:rPr>
                <w:rFonts w:ascii="Arial" w:cs="Arial" w:eastAsia="Arial" w:hAnsi="Arial"/>
                <w:sz w:val="14"/>
                <w:szCs w:val="14"/>
                <w:color w:val="auto"/>
                <w:w w:val="93"/>
              </w:rPr>
              <w:t>Elimination</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Combined</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5"/>
              </w:rPr>
              <w:t>Non-</w:t>
            </w:r>
          </w:p>
        </w:tc>
        <w:tc>
          <w:tcPr>
            <w:tcW w:w="200" w:type="dxa"/>
            <w:vAlign w:val="bottom"/>
          </w:tcPr>
          <w:p>
            <w:pPr>
              <w:spacing w:after="0"/>
              <w:rPr>
                <w:sz w:val="12"/>
                <w:szCs w:val="12"/>
                <w:color w:val="auto"/>
              </w:rPr>
            </w:pPr>
          </w:p>
        </w:tc>
        <w:tc>
          <w:tcPr>
            <w:tcW w:w="102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86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83"/>
              </w:rPr>
              <w:t>CCCL</w:t>
            </w:r>
          </w:p>
        </w:tc>
        <w:tc>
          <w:tcPr>
            <w:tcW w:w="200" w:type="dxa"/>
            <w:vAlign w:val="bottom"/>
          </w:tcPr>
          <w:p>
            <w:pPr>
              <w:spacing w:after="0"/>
              <w:rPr>
                <w:sz w:val="12"/>
                <w:szCs w:val="12"/>
                <w:color w:val="auto"/>
              </w:rPr>
            </w:pPr>
          </w:p>
        </w:tc>
        <w:tc>
          <w:tcPr>
            <w:tcW w:w="720" w:type="dxa"/>
            <w:vAlign w:val="bottom"/>
          </w:tcPr>
          <w:p>
            <w:pPr>
              <w:jc w:val="center"/>
              <w:ind w:right="152"/>
              <w:spacing w:after="0" w:line="149" w:lineRule="exact"/>
              <w:rPr>
                <w:sz w:val="20"/>
                <w:szCs w:val="20"/>
                <w:color w:val="auto"/>
              </w:rPr>
            </w:pPr>
            <w:r>
              <w:rPr>
                <w:rFonts w:ascii="Arial" w:cs="Arial" w:eastAsia="Arial" w:hAnsi="Arial"/>
                <w:sz w:val="14"/>
                <w:szCs w:val="14"/>
                <w:color w:val="auto"/>
                <w:w w:val="94"/>
              </w:rPr>
              <w:t>CCHMO</w:t>
            </w:r>
          </w:p>
        </w:tc>
        <w:tc>
          <w:tcPr>
            <w:tcW w:w="8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82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5"/>
              </w:rPr>
              <w:t>Guarantor</w:t>
            </w:r>
          </w:p>
        </w:tc>
        <w:tc>
          <w:tcPr>
            <w:tcW w:w="200" w:type="dxa"/>
            <w:vAlign w:val="bottom"/>
          </w:tcPr>
          <w:p>
            <w:pPr>
              <w:spacing w:after="0"/>
              <w:rPr>
                <w:sz w:val="12"/>
                <w:szCs w:val="12"/>
                <w:color w:val="auto"/>
              </w:rPr>
            </w:pPr>
          </w:p>
        </w:tc>
        <w:tc>
          <w:tcPr>
            <w:tcW w:w="102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89"/>
              </w:rPr>
              <w:t>Consolidation</w:t>
            </w:r>
          </w:p>
        </w:tc>
        <w:tc>
          <w:tcPr>
            <w:tcW w:w="200" w:type="dxa"/>
            <w:vAlign w:val="bottom"/>
          </w:tcPr>
          <w:p>
            <w:pPr>
              <w:spacing w:after="0"/>
              <w:rPr>
                <w:sz w:val="12"/>
                <w:szCs w:val="12"/>
                <w:color w:val="auto"/>
              </w:rPr>
            </w:pPr>
          </w:p>
        </w:tc>
        <w:tc>
          <w:tcPr>
            <w:tcW w:w="8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73"/>
        </w:trPr>
        <w:tc>
          <w:tcPr>
            <w:tcW w:w="46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5"/>
                <w:szCs w:val="15"/>
                <w:color w:val="auto"/>
              </w:rPr>
            </w:pPr>
          </w:p>
        </w:tc>
        <w:tc>
          <w:tcPr>
            <w:tcW w:w="580" w:type="dxa"/>
            <w:vAlign w:val="bottom"/>
          </w:tcPr>
          <w:p>
            <w:pPr>
              <w:jc w:val="right"/>
              <w:ind w:right="152"/>
              <w:spacing w:after="0"/>
              <w:rPr>
                <w:sz w:val="20"/>
                <w:szCs w:val="20"/>
                <w:color w:val="auto"/>
              </w:rPr>
            </w:pPr>
            <w:r>
              <w:rPr>
                <w:rFonts w:ascii="Arial" w:cs="Arial" w:eastAsia="Arial" w:hAnsi="Arial"/>
                <w:sz w:val="14"/>
                <w:szCs w:val="14"/>
                <w:color w:val="auto"/>
                <w:w w:val="82"/>
              </w:rPr>
              <w:t>Parent</w:t>
            </w:r>
          </w:p>
        </w:tc>
        <w:tc>
          <w:tcPr>
            <w:tcW w:w="220" w:type="dxa"/>
            <w:vAlign w:val="bottom"/>
          </w:tcPr>
          <w:p>
            <w:pPr>
              <w:spacing w:after="0"/>
              <w:rPr>
                <w:sz w:val="15"/>
                <w:szCs w:val="15"/>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color w:val="auto"/>
                <w:w w:val="77"/>
              </w:rPr>
              <w:t>Parent</w:t>
            </w:r>
          </w:p>
        </w:tc>
        <w:tc>
          <w:tcPr>
            <w:tcW w:w="200" w:type="dxa"/>
            <w:vAlign w:val="bottom"/>
          </w:tcPr>
          <w:p>
            <w:pPr>
              <w:spacing w:after="0"/>
              <w:rPr>
                <w:sz w:val="15"/>
                <w:szCs w:val="15"/>
                <w:color w:val="auto"/>
              </w:rPr>
            </w:pPr>
          </w:p>
        </w:tc>
        <w:tc>
          <w:tcPr>
            <w:tcW w:w="720" w:type="dxa"/>
            <w:vAlign w:val="bottom"/>
          </w:tcPr>
          <w:p>
            <w:pPr>
              <w:jc w:val="center"/>
              <w:ind w:right="132"/>
              <w:spacing w:after="0"/>
              <w:rPr>
                <w:sz w:val="20"/>
                <w:szCs w:val="20"/>
                <w:color w:val="auto"/>
              </w:rPr>
            </w:pPr>
            <w:r>
              <w:rPr>
                <w:rFonts w:ascii="Arial" w:cs="Arial" w:eastAsia="Arial" w:hAnsi="Arial"/>
                <w:sz w:val="14"/>
                <w:szCs w:val="14"/>
                <w:color w:val="auto"/>
                <w:w w:val="82"/>
              </w:rPr>
              <w:t>Parents</w:t>
            </w:r>
          </w:p>
        </w:tc>
        <w:tc>
          <w:tcPr>
            <w:tcW w:w="840" w:type="dxa"/>
            <w:vAlign w:val="bottom"/>
            <w:gridSpan w:val="2"/>
          </w:tcPr>
          <w:p>
            <w:pPr>
              <w:jc w:val="right"/>
              <w:ind w:right="112"/>
              <w:spacing w:after="0"/>
              <w:rPr>
                <w:sz w:val="20"/>
                <w:szCs w:val="20"/>
                <w:color w:val="auto"/>
              </w:rPr>
            </w:pPr>
            <w:r>
              <w:rPr>
                <w:rFonts w:ascii="Arial" w:cs="Arial" w:eastAsia="Arial" w:hAnsi="Arial"/>
                <w:sz w:val="14"/>
                <w:szCs w:val="14"/>
                <w:color w:val="auto"/>
              </w:rPr>
              <w:t>Holdings</w:t>
            </w: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86"/>
              </w:rPr>
              <w:t>Subsidiaries</w:t>
            </w:r>
          </w:p>
        </w:tc>
        <w:tc>
          <w:tcPr>
            <w:tcW w:w="200" w:type="dxa"/>
            <w:vAlign w:val="bottom"/>
          </w:tcPr>
          <w:p>
            <w:pPr>
              <w:spacing w:after="0"/>
              <w:rPr>
                <w:sz w:val="15"/>
                <w:szCs w:val="15"/>
                <w:color w:val="auto"/>
              </w:rPr>
            </w:pPr>
          </w:p>
        </w:tc>
        <w:tc>
          <w:tcPr>
            <w:tcW w:w="1020" w:type="dxa"/>
            <w:vAlign w:val="bottom"/>
          </w:tcPr>
          <w:p>
            <w:pPr>
              <w:jc w:val="center"/>
              <w:ind w:right="192"/>
              <w:spacing w:after="0"/>
              <w:rPr>
                <w:sz w:val="20"/>
                <w:szCs w:val="20"/>
                <w:color w:val="auto"/>
              </w:rPr>
            </w:pPr>
            <w:r>
              <w:rPr>
                <w:rFonts w:ascii="Arial" w:cs="Arial" w:eastAsia="Arial" w:hAnsi="Arial"/>
                <w:sz w:val="14"/>
                <w:szCs w:val="14"/>
                <w:color w:val="auto"/>
                <w:w w:val="88"/>
              </w:rPr>
              <w:t>Adjustments</w:t>
            </w:r>
          </w:p>
        </w:tc>
        <w:tc>
          <w:tcPr>
            <w:tcW w:w="200" w:type="dxa"/>
            <w:vAlign w:val="bottom"/>
          </w:tcPr>
          <w:p>
            <w:pPr>
              <w:spacing w:after="0"/>
              <w:rPr>
                <w:sz w:val="15"/>
                <w:szCs w:val="15"/>
                <w:color w:val="auto"/>
              </w:rPr>
            </w:pPr>
          </w:p>
        </w:tc>
        <w:tc>
          <w:tcPr>
            <w:tcW w:w="860" w:type="dxa"/>
            <w:vAlign w:val="bottom"/>
          </w:tcPr>
          <w:p>
            <w:pPr>
              <w:jc w:val="center"/>
              <w:ind w:right="92"/>
              <w:spacing w:after="0"/>
              <w:rPr>
                <w:sz w:val="20"/>
                <w:szCs w:val="20"/>
                <w:color w:val="auto"/>
              </w:rPr>
            </w:pPr>
            <w:r>
              <w:rPr>
                <w:rFonts w:ascii="Arial" w:cs="Arial" w:eastAsia="Arial" w:hAnsi="Arial"/>
                <w:sz w:val="14"/>
                <w:szCs w:val="14"/>
                <w:color w:val="auto"/>
                <w:w w:val="90"/>
              </w:rPr>
              <w:t>Corporation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Assets</w:t>
            </w:r>
          </w:p>
        </w:tc>
        <w:tc>
          <w:tcPr>
            <w:tcW w:w="34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spacing w:after="0"/>
              <w:rPr>
                <w:sz w:val="12"/>
                <w:szCs w:val="12"/>
                <w:color w:val="auto"/>
              </w:rPr>
            </w:pPr>
          </w:p>
        </w:tc>
        <w:tc>
          <w:tcPr>
            <w:tcW w:w="72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82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spacing w:after="0"/>
              <w:rPr>
                <w:sz w:val="12"/>
                <w:szCs w:val="12"/>
                <w:color w:val="auto"/>
              </w:rPr>
            </w:pPr>
          </w:p>
        </w:tc>
        <w:tc>
          <w:tcPr>
            <w:tcW w:w="102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spacing w:after="0"/>
              <w:rPr>
                <w:sz w:val="12"/>
                <w:szCs w:val="12"/>
                <w:color w:val="auto"/>
              </w:rPr>
            </w:pPr>
          </w:p>
        </w:tc>
        <w:tc>
          <w:tcPr>
            <w:tcW w:w="860" w:type="dxa"/>
            <w:vAlign w:val="bottom"/>
            <w:tcBorders>
              <w:top w:val="single" w:sz="8" w:color="auto"/>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2,101</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2,231</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Receivables, net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4,387</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Programming rights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1,114</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282</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25</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1,212</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1,521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Total current assets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282</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25</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2</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11,045</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11,354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Film and television costs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5,120</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Investments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8,018</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8,018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w w:val="91"/>
              </w:rPr>
              <w:t>Investments in and amounts due from subsidiaries eliminated upon consolidation</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7"/>
              </w:rPr>
              <w:t>70,576</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3"/>
              </w:rPr>
              <w:t>93,134</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47,455</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3"/>
              </w:rPr>
              <w:t>84,072</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43,272</w:t>
            </w:r>
          </w:p>
        </w:tc>
        <w:tc>
          <w:tcPr>
            <w:tcW w:w="200" w:type="dxa"/>
            <w:vAlign w:val="bottom"/>
          </w:tcPr>
          <w:p>
            <w:pPr>
              <w:spacing w:after="0"/>
              <w:rPr>
                <w:sz w:val="12"/>
                <w:szCs w:val="12"/>
                <w:color w:val="auto"/>
              </w:rPr>
            </w:pP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(338,509)</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253</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26,638</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26,891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Franchise rights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59,364</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Goodwill</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27,010</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27,010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17,775</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 noncurrent assets, net</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1,113</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147</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1,771</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(892)</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72,235</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3"/>
              </w:rPr>
              <w:t>93,161</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47,461</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84,219</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200,013</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(339,401)</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157,688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5,715</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5,730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Accrued participations and residuals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1,300</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1,283</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189</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285</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3,947</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601</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2,117</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202</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34</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2,954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line="142" w:lineRule="exact"/>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2"/>
                <w:szCs w:val="12"/>
                <w:color w:val="auto"/>
              </w:rPr>
            </w:pPr>
          </w:p>
        </w:tc>
        <w:tc>
          <w:tcPr>
            <w:tcW w:w="580" w:type="dxa"/>
            <w:vAlign w:val="bottom"/>
          </w:tcPr>
          <w:p>
            <w:pPr>
              <w:jc w:val="right"/>
              <w:ind w:right="72"/>
              <w:spacing w:after="0" w:line="142" w:lineRule="exact"/>
              <w:rPr>
                <w:sz w:val="20"/>
                <w:szCs w:val="20"/>
                <w:color w:val="auto"/>
              </w:rPr>
            </w:pPr>
            <w:r>
              <w:rPr>
                <w:rFonts w:ascii="Arial" w:cs="Arial" w:eastAsia="Arial" w:hAnsi="Arial"/>
                <w:sz w:val="14"/>
                <w:szCs w:val="14"/>
                <w:color w:val="auto"/>
              </w:rPr>
              <w:t>1,899</w:t>
            </w:r>
          </w:p>
        </w:tc>
        <w:tc>
          <w:tcPr>
            <w:tcW w:w="22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Arial" w:cs="Arial" w:eastAsia="Arial" w:hAnsi="Arial"/>
                <w:sz w:val="14"/>
                <w:szCs w:val="14"/>
                <w:color w:val="auto"/>
              </w:rPr>
              <w:t>2,306</w:t>
            </w:r>
          </w:p>
        </w:tc>
        <w:tc>
          <w:tcPr>
            <w:tcW w:w="200" w:type="dxa"/>
            <w:vAlign w:val="bottom"/>
          </w:tcPr>
          <w:p>
            <w:pPr>
              <w:spacing w:after="0"/>
              <w:rPr>
                <w:sz w:val="12"/>
                <w:szCs w:val="12"/>
                <w:color w:val="auto"/>
              </w:rPr>
            </w:pPr>
          </w:p>
        </w:tc>
        <w:tc>
          <w:tcPr>
            <w:tcW w:w="720" w:type="dxa"/>
            <w:vAlign w:val="bottom"/>
          </w:tcPr>
          <w:p>
            <w:pPr>
              <w:jc w:val="right"/>
              <w:ind w:right="72"/>
              <w:spacing w:after="0" w:line="142" w:lineRule="exact"/>
              <w:rPr>
                <w:sz w:val="20"/>
                <w:szCs w:val="20"/>
                <w:color w:val="auto"/>
              </w:rPr>
            </w:pPr>
            <w:r>
              <w:rPr>
                <w:rFonts w:ascii="Arial" w:cs="Arial" w:eastAsia="Arial" w:hAnsi="Arial"/>
                <w:sz w:val="14"/>
                <w:szCs w:val="14"/>
                <w:color w:val="auto"/>
              </w:rPr>
              <w:t>54</w:t>
            </w:r>
          </w:p>
        </w:tc>
        <w:tc>
          <w:tcPr>
            <w:tcW w:w="26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color w:val="auto"/>
              </w:rPr>
              <w:t>487</w:t>
            </w:r>
          </w:p>
        </w:tc>
        <w:tc>
          <w:tcPr>
            <w:tcW w:w="220" w:type="dxa"/>
            <w:vAlign w:val="bottom"/>
          </w:tcPr>
          <w:p>
            <w:pPr>
              <w:spacing w:after="0"/>
              <w:rPr>
                <w:sz w:val="12"/>
                <w:szCs w:val="12"/>
                <w:color w:val="auto"/>
              </w:rPr>
            </w:pPr>
          </w:p>
        </w:tc>
        <w:tc>
          <w:tcPr>
            <w:tcW w:w="8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10,996</w:t>
            </w:r>
          </w:p>
        </w:tc>
        <w:tc>
          <w:tcPr>
            <w:tcW w:w="200" w:type="dxa"/>
            <w:vAlign w:val="bottom"/>
          </w:tcPr>
          <w:p>
            <w:pPr>
              <w:spacing w:after="0"/>
              <w:rPr>
                <w:sz w:val="12"/>
                <w:szCs w:val="12"/>
                <w:color w:val="auto"/>
              </w:rPr>
            </w:pPr>
          </w:p>
        </w:tc>
        <w:tc>
          <w:tcPr>
            <w:tcW w:w="102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2" w:lineRule="exact"/>
              <w:rPr>
                <w:sz w:val="20"/>
                <w:szCs w:val="20"/>
                <w:color w:val="auto"/>
              </w:rPr>
            </w:pPr>
            <w:r>
              <w:rPr>
                <w:rFonts w:ascii="Arial" w:cs="Arial" w:eastAsia="Arial" w:hAnsi="Arial"/>
                <w:sz w:val="14"/>
                <w:szCs w:val="14"/>
                <w:color w:val="auto"/>
              </w:rPr>
              <w:t>15,742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7"/>
              </w:rPr>
              <w:t>20,752</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1,826</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1,759</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113</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9,725</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34,175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740</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29,890</w:t>
            </w:r>
          </w:p>
        </w:tc>
        <w:tc>
          <w:tcPr>
            <w:tcW w:w="200" w:type="dxa"/>
            <w:vAlign w:val="bottom"/>
          </w:tcPr>
          <w:p>
            <w:pPr>
              <w:spacing w:after="0"/>
              <w:rPr>
                <w:sz w:val="12"/>
                <w:szCs w:val="12"/>
                <w:color w:val="auto"/>
              </w:rPr>
            </w:pP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(749)</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1,853</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11,722</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(143)</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13,432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Redeemable noncontrolling interests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16,279</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Equity:</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shareholders’ equity</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7"/>
              </w:rPr>
              <w:t>47,700</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3"/>
              </w:rPr>
              <w:t>89,029</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45,648</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w w:val="93"/>
              </w:rPr>
              <w:t>82,879</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120,953</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(338,509)</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47,700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line="142" w:lineRule="exact"/>
              <w:rPr>
                <w:sz w:val="20"/>
                <w:szCs w:val="20"/>
                <w:color w:val="auto"/>
              </w:rPr>
            </w:pPr>
            <w:r>
              <w:rPr>
                <w:rFonts w:ascii="Arial" w:cs="Arial" w:eastAsia="Arial" w:hAnsi="Arial"/>
                <w:sz w:val="14"/>
                <w:szCs w:val="14"/>
                <w:color w:val="auto"/>
              </w:rPr>
              <w:t>Total Comcast Corporation shareholders’ equity</w:t>
            </w:r>
          </w:p>
        </w:tc>
        <w:tc>
          <w:tcPr>
            <w:tcW w:w="340" w:type="dxa"/>
            <w:vAlign w:val="bottom"/>
          </w:tcPr>
          <w:p>
            <w:pPr>
              <w:spacing w:after="0"/>
              <w:rPr>
                <w:sz w:val="12"/>
                <w:szCs w:val="12"/>
                <w:color w:val="auto"/>
              </w:rPr>
            </w:pPr>
          </w:p>
        </w:tc>
        <w:tc>
          <w:tcPr>
            <w:tcW w:w="580" w:type="dxa"/>
            <w:vAlign w:val="bottom"/>
          </w:tcPr>
          <w:p>
            <w:pPr>
              <w:jc w:val="right"/>
              <w:ind w:right="72"/>
              <w:spacing w:after="0" w:line="142" w:lineRule="exact"/>
              <w:rPr>
                <w:sz w:val="20"/>
                <w:szCs w:val="20"/>
                <w:color w:val="auto"/>
              </w:rPr>
            </w:pPr>
            <w:r>
              <w:rPr>
                <w:rFonts w:ascii="Arial" w:cs="Arial" w:eastAsia="Arial" w:hAnsi="Arial"/>
                <w:sz w:val="14"/>
                <w:szCs w:val="14"/>
                <w:color w:val="auto"/>
                <w:w w:val="97"/>
              </w:rPr>
              <w:t>47,731</w:t>
            </w:r>
          </w:p>
        </w:tc>
        <w:tc>
          <w:tcPr>
            <w:tcW w:w="22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Arial" w:cs="Arial" w:eastAsia="Arial" w:hAnsi="Arial"/>
                <w:sz w:val="14"/>
                <w:szCs w:val="14"/>
                <w:color w:val="auto"/>
                <w:w w:val="93"/>
              </w:rPr>
              <w:t>89,029</w:t>
            </w:r>
          </w:p>
        </w:tc>
        <w:tc>
          <w:tcPr>
            <w:tcW w:w="200" w:type="dxa"/>
            <w:vAlign w:val="bottom"/>
          </w:tcPr>
          <w:p>
            <w:pPr>
              <w:spacing w:after="0"/>
              <w:rPr>
                <w:sz w:val="12"/>
                <w:szCs w:val="12"/>
                <w:color w:val="auto"/>
              </w:rPr>
            </w:pPr>
          </w:p>
        </w:tc>
        <w:tc>
          <w:tcPr>
            <w:tcW w:w="720" w:type="dxa"/>
            <w:vAlign w:val="bottom"/>
          </w:tcPr>
          <w:p>
            <w:pPr>
              <w:jc w:val="right"/>
              <w:ind w:right="72"/>
              <w:spacing w:after="0" w:line="142" w:lineRule="exact"/>
              <w:rPr>
                <w:sz w:val="20"/>
                <w:szCs w:val="20"/>
                <w:color w:val="auto"/>
              </w:rPr>
            </w:pPr>
            <w:r>
              <w:rPr>
                <w:rFonts w:ascii="Arial" w:cs="Arial" w:eastAsia="Arial" w:hAnsi="Arial"/>
                <w:sz w:val="14"/>
                <w:szCs w:val="14"/>
                <w:color w:val="auto"/>
              </w:rPr>
              <w:t>45,648</w:t>
            </w:r>
          </w:p>
        </w:tc>
        <w:tc>
          <w:tcPr>
            <w:tcW w:w="26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color w:val="auto"/>
                <w:w w:val="93"/>
              </w:rPr>
              <w:t>82,879</w:t>
            </w:r>
          </w:p>
        </w:tc>
        <w:tc>
          <w:tcPr>
            <w:tcW w:w="220" w:type="dxa"/>
            <w:vAlign w:val="bottom"/>
          </w:tcPr>
          <w:p>
            <w:pPr>
              <w:spacing w:after="0"/>
              <w:rPr>
                <w:sz w:val="12"/>
                <w:szCs w:val="12"/>
                <w:color w:val="auto"/>
              </w:rPr>
            </w:pPr>
          </w:p>
        </w:tc>
        <w:tc>
          <w:tcPr>
            <w:tcW w:w="8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120,953</w:t>
            </w:r>
          </w:p>
        </w:tc>
        <w:tc>
          <w:tcPr>
            <w:tcW w:w="200" w:type="dxa"/>
            <w:vAlign w:val="bottom"/>
          </w:tcPr>
          <w:p>
            <w:pPr>
              <w:spacing w:after="0"/>
              <w:rPr>
                <w:sz w:val="12"/>
                <w:szCs w:val="12"/>
                <w:color w:val="auto"/>
              </w:rPr>
            </w:pPr>
          </w:p>
        </w:tc>
        <w:tc>
          <w:tcPr>
            <w:tcW w:w="1020" w:type="dxa"/>
            <w:vAlign w:val="bottom"/>
          </w:tcPr>
          <w:p>
            <w:pPr>
              <w:jc w:val="right"/>
              <w:ind w:right="72"/>
              <w:spacing w:after="0" w:line="142" w:lineRule="exact"/>
              <w:rPr>
                <w:sz w:val="20"/>
                <w:szCs w:val="20"/>
                <w:color w:val="auto"/>
              </w:rPr>
            </w:pPr>
            <w:r>
              <w:rPr>
                <w:rFonts w:ascii="Arial" w:cs="Arial" w:eastAsia="Arial" w:hAnsi="Arial"/>
                <w:sz w:val="14"/>
                <w:szCs w:val="14"/>
                <w:color w:val="auto"/>
              </w:rPr>
              <w:t>(338,509)</w:t>
            </w:r>
          </w:p>
        </w:tc>
        <w:tc>
          <w:tcPr>
            <w:tcW w:w="200" w:type="dxa"/>
            <w:vAlign w:val="bottom"/>
          </w:tcPr>
          <w:p>
            <w:pPr>
              <w:spacing w:after="0"/>
              <w:rPr>
                <w:sz w:val="12"/>
                <w:szCs w:val="12"/>
                <w:color w:val="auto"/>
              </w:rPr>
            </w:pPr>
          </w:p>
        </w:tc>
        <w:tc>
          <w:tcPr>
            <w:tcW w:w="860" w:type="dxa"/>
            <w:vAlign w:val="bottom"/>
          </w:tcPr>
          <w:p>
            <w:pPr>
              <w:jc w:val="right"/>
              <w:ind w:right="12"/>
              <w:spacing w:after="0" w:line="142" w:lineRule="exact"/>
              <w:rPr>
                <w:sz w:val="20"/>
                <w:szCs w:val="20"/>
                <w:color w:val="auto"/>
              </w:rPr>
            </w:pPr>
            <w:r>
              <w:rPr>
                <w:rFonts w:ascii="Arial" w:cs="Arial" w:eastAsia="Arial" w:hAnsi="Arial"/>
                <w:sz w:val="14"/>
                <w:szCs w:val="14"/>
                <w:color w:val="auto"/>
              </w:rPr>
              <w:t>47,731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Noncontrolling interests</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448</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equity</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7"/>
              </w:rPr>
              <w:t>47,731</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3"/>
              </w:rPr>
              <w:t>89,029</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45,648</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3"/>
              </w:rPr>
              <w:t>82,879</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121,401</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(338,509)</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48,179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34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72,235</w:t>
            </w:r>
          </w:p>
        </w:tc>
        <w:tc>
          <w:tcPr>
            <w:tcW w:w="2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w w:val="93"/>
              </w:rPr>
              <w:t>93,161</w:t>
            </w:r>
          </w:p>
        </w:tc>
        <w:tc>
          <w:tcPr>
            <w:tcW w:w="2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47,461</w:t>
            </w:r>
          </w:p>
        </w:tc>
        <w:tc>
          <w:tcPr>
            <w:tcW w:w="26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84,219</w:t>
            </w:r>
          </w:p>
        </w:tc>
        <w:tc>
          <w:tcPr>
            <w:tcW w:w="2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rPr>
              <w:t>200,013</w:t>
            </w:r>
          </w:p>
        </w:tc>
        <w:tc>
          <w:tcPr>
            <w:tcW w:w="2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(339,401)</w:t>
            </w:r>
          </w:p>
        </w:tc>
        <w:tc>
          <w:tcPr>
            <w:tcW w:w="2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157,688</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92"/>
              <w:spacing w:after="0"/>
              <w:rPr>
                <w:sz w:val="20"/>
                <w:szCs w:val="20"/>
                <w:color w:val="auto"/>
              </w:rPr>
            </w:pPr>
            <w:r>
              <w:rPr>
                <w:rFonts w:ascii="Arial" w:cs="Arial" w:eastAsia="Arial" w:hAnsi="Arial"/>
                <w:sz w:val="14"/>
                <w:szCs w:val="14"/>
                <w:color w:val="auto"/>
                <w:w w:val="93"/>
              </w:rPr>
              <w:t>Elimination</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Combined</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5"/>
              </w:rPr>
              <w:t>Non-</w:t>
            </w:r>
          </w:p>
        </w:tc>
        <w:tc>
          <w:tcPr>
            <w:tcW w:w="200" w:type="dxa"/>
            <w:vAlign w:val="bottom"/>
          </w:tcPr>
          <w:p>
            <w:pPr>
              <w:spacing w:after="0"/>
              <w:rPr>
                <w:sz w:val="12"/>
                <w:szCs w:val="12"/>
                <w:color w:val="auto"/>
              </w:rPr>
            </w:pPr>
          </w:p>
        </w:tc>
        <w:tc>
          <w:tcPr>
            <w:tcW w:w="102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86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83"/>
              </w:rPr>
              <w:t>CCCL</w:t>
            </w:r>
          </w:p>
        </w:tc>
        <w:tc>
          <w:tcPr>
            <w:tcW w:w="200" w:type="dxa"/>
            <w:vAlign w:val="bottom"/>
          </w:tcPr>
          <w:p>
            <w:pPr>
              <w:spacing w:after="0"/>
              <w:rPr>
                <w:sz w:val="12"/>
                <w:szCs w:val="12"/>
                <w:color w:val="auto"/>
              </w:rPr>
            </w:pPr>
          </w:p>
        </w:tc>
        <w:tc>
          <w:tcPr>
            <w:tcW w:w="720" w:type="dxa"/>
            <w:vAlign w:val="bottom"/>
          </w:tcPr>
          <w:p>
            <w:pPr>
              <w:jc w:val="center"/>
              <w:ind w:right="152"/>
              <w:spacing w:after="0" w:line="149" w:lineRule="exact"/>
              <w:rPr>
                <w:sz w:val="20"/>
                <w:szCs w:val="20"/>
                <w:color w:val="auto"/>
              </w:rPr>
            </w:pPr>
            <w:r>
              <w:rPr>
                <w:rFonts w:ascii="Arial" w:cs="Arial" w:eastAsia="Arial" w:hAnsi="Arial"/>
                <w:sz w:val="14"/>
                <w:szCs w:val="14"/>
                <w:color w:val="auto"/>
                <w:w w:val="94"/>
              </w:rPr>
              <w:t>CCHMO</w:t>
            </w:r>
          </w:p>
        </w:tc>
        <w:tc>
          <w:tcPr>
            <w:tcW w:w="8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82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85"/>
              </w:rPr>
              <w:t>Guarantor</w:t>
            </w:r>
          </w:p>
        </w:tc>
        <w:tc>
          <w:tcPr>
            <w:tcW w:w="200" w:type="dxa"/>
            <w:vAlign w:val="bottom"/>
          </w:tcPr>
          <w:p>
            <w:pPr>
              <w:spacing w:after="0"/>
              <w:rPr>
                <w:sz w:val="12"/>
                <w:szCs w:val="12"/>
                <w:color w:val="auto"/>
              </w:rPr>
            </w:pPr>
          </w:p>
        </w:tc>
        <w:tc>
          <w:tcPr>
            <w:tcW w:w="102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89"/>
              </w:rPr>
              <w:t>Consolidation</w:t>
            </w:r>
          </w:p>
        </w:tc>
        <w:tc>
          <w:tcPr>
            <w:tcW w:w="200" w:type="dxa"/>
            <w:vAlign w:val="bottom"/>
          </w:tcPr>
          <w:p>
            <w:pPr>
              <w:spacing w:after="0"/>
              <w:rPr>
                <w:sz w:val="12"/>
                <w:szCs w:val="12"/>
                <w:color w:val="auto"/>
              </w:rPr>
            </w:pPr>
          </w:p>
        </w:tc>
        <w:tc>
          <w:tcPr>
            <w:tcW w:w="8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73"/>
        </w:trPr>
        <w:tc>
          <w:tcPr>
            <w:tcW w:w="46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5"/>
                <w:szCs w:val="15"/>
                <w:color w:val="auto"/>
              </w:rPr>
            </w:pPr>
          </w:p>
        </w:tc>
        <w:tc>
          <w:tcPr>
            <w:tcW w:w="580" w:type="dxa"/>
            <w:vAlign w:val="bottom"/>
          </w:tcPr>
          <w:p>
            <w:pPr>
              <w:jc w:val="right"/>
              <w:ind w:right="152"/>
              <w:spacing w:after="0"/>
              <w:rPr>
                <w:sz w:val="20"/>
                <w:szCs w:val="20"/>
                <w:color w:val="auto"/>
              </w:rPr>
            </w:pPr>
            <w:r>
              <w:rPr>
                <w:rFonts w:ascii="Arial" w:cs="Arial" w:eastAsia="Arial" w:hAnsi="Arial"/>
                <w:sz w:val="14"/>
                <w:szCs w:val="14"/>
                <w:color w:val="auto"/>
                <w:w w:val="82"/>
              </w:rPr>
              <w:t>Parent</w:t>
            </w:r>
          </w:p>
        </w:tc>
        <w:tc>
          <w:tcPr>
            <w:tcW w:w="220" w:type="dxa"/>
            <w:vAlign w:val="bottom"/>
          </w:tcPr>
          <w:p>
            <w:pPr>
              <w:spacing w:after="0"/>
              <w:rPr>
                <w:sz w:val="15"/>
                <w:szCs w:val="15"/>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color w:val="auto"/>
                <w:w w:val="77"/>
              </w:rPr>
              <w:t>Parent</w:t>
            </w:r>
          </w:p>
        </w:tc>
        <w:tc>
          <w:tcPr>
            <w:tcW w:w="200" w:type="dxa"/>
            <w:vAlign w:val="bottom"/>
          </w:tcPr>
          <w:p>
            <w:pPr>
              <w:spacing w:after="0"/>
              <w:rPr>
                <w:sz w:val="15"/>
                <w:szCs w:val="15"/>
                <w:color w:val="auto"/>
              </w:rPr>
            </w:pPr>
          </w:p>
        </w:tc>
        <w:tc>
          <w:tcPr>
            <w:tcW w:w="720" w:type="dxa"/>
            <w:vAlign w:val="bottom"/>
          </w:tcPr>
          <w:p>
            <w:pPr>
              <w:jc w:val="center"/>
              <w:ind w:right="132"/>
              <w:spacing w:after="0"/>
              <w:rPr>
                <w:sz w:val="20"/>
                <w:szCs w:val="20"/>
                <w:color w:val="auto"/>
              </w:rPr>
            </w:pPr>
            <w:r>
              <w:rPr>
                <w:rFonts w:ascii="Arial" w:cs="Arial" w:eastAsia="Arial" w:hAnsi="Arial"/>
                <w:sz w:val="14"/>
                <w:szCs w:val="14"/>
                <w:color w:val="auto"/>
                <w:w w:val="82"/>
              </w:rPr>
              <w:t>Parents</w:t>
            </w:r>
          </w:p>
        </w:tc>
        <w:tc>
          <w:tcPr>
            <w:tcW w:w="840" w:type="dxa"/>
            <w:vAlign w:val="bottom"/>
            <w:gridSpan w:val="2"/>
          </w:tcPr>
          <w:p>
            <w:pPr>
              <w:jc w:val="right"/>
              <w:ind w:right="112"/>
              <w:spacing w:after="0"/>
              <w:rPr>
                <w:sz w:val="20"/>
                <w:szCs w:val="20"/>
                <w:color w:val="auto"/>
              </w:rPr>
            </w:pPr>
            <w:r>
              <w:rPr>
                <w:rFonts w:ascii="Arial" w:cs="Arial" w:eastAsia="Arial" w:hAnsi="Arial"/>
                <w:sz w:val="14"/>
                <w:szCs w:val="14"/>
                <w:color w:val="auto"/>
              </w:rPr>
              <w:t>Holdings</w:t>
            </w: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86"/>
              </w:rPr>
              <w:t>Subsidiaries</w:t>
            </w:r>
          </w:p>
        </w:tc>
        <w:tc>
          <w:tcPr>
            <w:tcW w:w="200" w:type="dxa"/>
            <w:vAlign w:val="bottom"/>
          </w:tcPr>
          <w:p>
            <w:pPr>
              <w:spacing w:after="0"/>
              <w:rPr>
                <w:sz w:val="15"/>
                <w:szCs w:val="15"/>
                <w:color w:val="auto"/>
              </w:rPr>
            </w:pPr>
          </w:p>
        </w:tc>
        <w:tc>
          <w:tcPr>
            <w:tcW w:w="1020" w:type="dxa"/>
            <w:vAlign w:val="bottom"/>
          </w:tcPr>
          <w:p>
            <w:pPr>
              <w:jc w:val="center"/>
              <w:ind w:right="192"/>
              <w:spacing w:after="0"/>
              <w:rPr>
                <w:sz w:val="20"/>
                <w:szCs w:val="20"/>
                <w:color w:val="auto"/>
              </w:rPr>
            </w:pPr>
            <w:r>
              <w:rPr>
                <w:rFonts w:ascii="Arial" w:cs="Arial" w:eastAsia="Arial" w:hAnsi="Arial"/>
                <w:sz w:val="14"/>
                <w:szCs w:val="14"/>
                <w:color w:val="auto"/>
                <w:w w:val="88"/>
              </w:rPr>
              <w:t>Adjustments</w:t>
            </w:r>
          </w:p>
        </w:tc>
        <w:tc>
          <w:tcPr>
            <w:tcW w:w="200" w:type="dxa"/>
            <w:vAlign w:val="bottom"/>
          </w:tcPr>
          <w:p>
            <w:pPr>
              <w:spacing w:after="0"/>
              <w:rPr>
                <w:sz w:val="15"/>
                <w:szCs w:val="15"/>
                <w:color w:val="auto"/>
              </w:rPr>
            </w:pPr>
          </w:p>
        </w:tc>
        <w:tc>
          <w:tcPr>
            <w:tcW w:w="860" w:type="dxa"/>
            <w:vAlign w:val="bottom"/>
          </w:tcPr>
          <w:p>
            <w:pPr>
              <w:jc w:val="center"/>
              <w:ind w:right="92"/>
              <w:spacing w:after="0"/>
              <w:rPr>
                <w:sz w:val="20"/>
                <w:szCs w:val="20"/>
                <w:color w:val="auto"/>
              </w:rPr>
            </w:pPr>
            <w:r>
              <w:rPr>
                <w:rFonts w:ascii="Arial" w:cs="Arial" w:eastAsia="Arial" w:hAnsi="Arial"/>
                <w:sz w:val="14"/>
                <w:szCs w:val="14"/>
                <w:color w:val="auto"/>
                <w:w w:val="90"/>
              </w:rPr>
              <w:t>Corporation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Assets</w:t>
            </w:r>
          </w:p>
        </w:tc>
        <w:tc>
          <w:tcPr>
            <w:tcW w:w="34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spacing w:after="0"/>
              <w:rPr>
                <w:sz w:val="12"/>
                <w:szCs w:val="12"/>
                <w:color w:val="auto"/>
              </w:rPr>
            </w:pPr>
          </w:p>
        </w:tc>
        <w:tc>
          <w:tcPr>
            <w:tcW w:w="72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20" w:type="dxa"/>
            <w:vAlign w:val="bottom"/>
            <w:tcBorders>
              <w:top w:val="single" w:sz="8" w:color="auto"/>
            </w:tcBorders>
            <w:shd w:val="clear" w:color="auto" w:fill="E5E5E5"/>
          </w:tcPr>
          <w:p>
            <w:pPr>
              <w:spacing w:after="0"/>
              <w:rPr>
                <w:sz w:val="12"/>
                <w:szCs w:val="12"/>
                <w:color w:val="auto"/>
              </w:rPr>
            </w:pPr>
          </w:p>
        </w:tc>
        <w:tc>
          <w:tcPr>
            <w:tcW w:w="82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spacing w:after="0"/>
              <w:rPr>
                <w:sz w:val="12"/>
                <w:szCs w:val="12"/>
                <w:color w:val="auto"/>
              </w:rPr>
            </w:pPr>
          </w:p>
        </w:tc>
        <w:tc>
          <w:tcPr>
            <w:tcW w:w="1020" w:type="dxa"/>
            <w:vAlign w:val="bottom"/>
            <w:tcBorders>
              <w:top w:val="single" w:sz="8" w:color="auto"/>
            </w:tcBorders>
            <w:shd w:val="clear" w:color="auto" w:fill="E5E5E5"/>
          </w:tcPr>
          <w:p>
            <w:pPr>
              <w:spacing w:after="0"/>
              <w:rPr>
                <w:sz w:val="12"/>
                <w:szCs w:val="12"/>
                <w:color w:val="auto"/>
              </w:rPr>
            </w:pPr>
          </w:p>
        </w:tc>
        <w:tc>
          <w:tcPr>
            <w:tcW w:w="200" w:type="dxa"/>
            <w:vAlign w:val="bottom"/>
            <w:tcBorders>
              <w:top w:val="single" w:sz="8" w:color="auto"/>
            </w:tcBorders>
            <w:shd w:val="clear" w:color="auto" w:fill="E5E5E5"/>
          </w:tcPr>
          <w:p>
            <w:pPr>
              <w:spacing w:after="0"/>
              <w:rPr>
                <w:sz w:val="12"/>
                <w:szCs w:val="12"/>
                <w:color w:val="auto"/>
              </w:rPr>
            </w:pPr>
          </w:p>
        </w:tc>
        <w:tc>
          <w:tcPr>
            <w:tcW w:w="860" w:type="dxa"/>
            <w:vAlign w:val="bottom"/>
            <w:tcBorders>
              <w:top w:val="single" w:sz="8" w:color="auto"/>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1,620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54</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Receivables, net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4,351</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4,351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Programming rights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987</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235</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1,315</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1,561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Total current assets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235</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8</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3</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8,327</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8,573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Film and television costs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5,227</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Investments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9,854</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9,854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w w:val="91"/>
              </w:rPr>
              <w:t>Investments in and amounts due from subsidiaries eliminated upon consolidation</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7"/>
              </w:rPr>
              <w:t>71,222</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3"/>
              </w:rPr>
              <w:t>89,568</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45,725</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3"/>
              </w:rPr>
              <w:t>88,336</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36,949</w:t>
            </w:r>
          </w:p>
        </w:tc>
        <w:tc>
          <w:tcPr>
            <w:tcW w:w="200" w:type="dxa"/>
            <w:vAlign w:val="bottom"/>
          </w:tcPr>
          <w:p>
            <w:pPr>
              <w:spacing w:after="0"/>
              <w:rPr>
                <w:sz w:val="12"/>
                <w:szCs w:val="12"/>
                <w:color w:val="auto"/>
              </w:rPr>
            </w:pP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(331,800)</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262</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27,297</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27,559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Franchise rights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59,376</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Goodwill</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26,874</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26,874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18,156</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 noncurrent assets, net</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912</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30</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148</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1,761</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(666)</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72,640</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3"/>
              </w:rPr>
              <w:t>89,606</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45,733</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88,484</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193,821</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(332,466)</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157,818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5,695</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5,705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Accrued participations and residuals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1,255</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1,030</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189</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77</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272</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3,346</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26</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554</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202</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585</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line="142" w:lineRule="exact"/>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2"/>
                <w:szCs w:val="12"/>
                <w:color w:val="auto"/>
              </w:rPr>
            </w:pPr>
          </w:p>
        </w:tc>
        <w:tc>
          <w:tcPr>
            <w:tcW w:w="580" w:type="dxa"/>
            <w:vAlign w:val="bottom"/>
          </w:tcPr>
          <w:p>
            <w:pPr>
              <w:jc w:val="right"/>
              <w:ind w:right="72"/>
              <w:spacing w:after="0" w:line="142" w:lineRule="exact"/>
              <w:rPr>
                <w:sz w:val="20"/>
                <w:szCs w:val="20"/>
                <w:color w:val="auto"/>
              </w:rPr>
            </w:pPr>
            <w:r>
              <w:rPr>
                <w:rFonts w:ascii="Arial" w:cs="Arial" w:eastAsia="Arial" w:hAnsi="Arial"/>
                <w:sz w:val="14"/>
                <w:szCs w:val="14"/>
                <w:color w:val="auto"/>
              </w:rPr>
              <w:t>1,066</w:t>
            </w:r>
          </w:p>
        </w:tc>
        <w:tc>
          <w:tcPr>
            <w:tcW w:w="22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Arial" w:cs="Arial" w:eastAsia="Arial" w:hAnsi="Arial"/>
                <w:sz w:val="14"/>
                <w:szCs w:val="14"/>
                <w:color w:val="auto"/>
              </w:rPr>
              <w:t>189</w:t>
            </w:r>
          </w:p>
        </w:tc>
        <w:tc>
          <w:tcPr>
            <w:tcW w:w="200" w:type="dxa"/>
            <w:vAlign w:val="bottom"/>
          </w:tcPr>
          <w:p>
            <w:pPr>
              <w:spacing w:after="0"/>
              <w:rPr>
                <w:sz w:val="12"/>
                <w:szCs w:val="12"/>
                <w:color w:val="auto"/>
              </w:rPr>
            </w:pPr>
          </w:p>
        </w:tc>
        <w:tc>
          <w:tcPr>
            <w:tcW w:w="720" w:type="dxa"/>
            <w:vAlign w:val="bottom"/>
          </w:tcPr>
          <w:p>
            <w:pPr>
              <w:jc w:val="right"/>
              <w:ind w:right="72"/>
              <w:spacing w:after="0" w:line="142" w:lineRule="exact"/>
              <w:rPr>
                <w:sz w:val="20"/>
                <w:szCs w:val="20"/>
                <w:color w:val="auto"/>
              </w:rPr>
            </w:pPr>
            <w:r>
              <w:rPr>
                <w:rFonts w:ascii="Arial" w:cs="Arial" w:eastAsia="Arial" w:hAnsi="Arial"/>
                <w:sz w:val="14"/>
                <w:szCs w:val="14"/>
                <w:color w:val="auto"/>
              </w:rPr>
              <w:t>631</w:t>
            </w:r>
          </w:p>
        </w:tc>
        <w:tc>
          <w:tcPr>
            <w:tcW w:w="26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color w:val="auto"/>
              </w:rPr>
              <w:t>474</w:t>
            </w:r>
          </w:p>
        </w:tc>
        <w:tc>
          <w:tcPr>
            <w:tcW w:w="220" w:type="dxa"/>
            <w:vAlign w:val="bottom"/>
          </w:tcPr>
          <w:p>
            <w:pPr>
              <w:spacing w:after="0"/>
              <w:rPr>
                <w:sz w:val="12"/>
                <w:szCs w:val="12"/>
                <w:color w:val="auto"/>
              </w:rPr>
            </w:pPr>
          </w:p>
        </w:tc>
        <w:tc>
          <w:tcPr>
            <w:tcW w:w="8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10,881</w:t>
            </w:r>
          </w:p>
        </w:tc>
        <w:tc>
          <w:tcPr>
            <w:tcW w:w="200" w:type="dxa"/>
            <w:vAlign w:val="bottom"/>
          </w:tcPr>
          <w:p>
            <w:pPr>
              <w:spacing w:after="0"/>
              <w:rPr>
                <w:sz w:val="12"/>
                <w:szCs w:val="12"/>
                <w:color w:val="auto"/>
              </w:rPr>
            </w:pPr>
          </w:p>
        </w:tc>
        <w:tc>
          <w:tcPr>
            <w:tcW w:w="102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2" w:lineRule="exact"/>
              <w:rPr>
                <w:sz w:val="20"/>
                <w:szCs w:val="20"/>
                <w:color w:val="auto"/>
              </w:rPr>
            </w:pPr>
            <w:r>
              <w:rPr>
                <w:rFonts w:ascii="Arial" w:cs="Arial" w:eastAsia="Arial" w:hAnsi="Arial"/>
                <w:sz w:val="14"/>
                <w:szCs w:val="14"/>
                <w:color w:val="auto"/>
              </w:rPr>
              <w:t>13,241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7"/>
              </w:rPr>
              <w:t>22,451</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3,953</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1,764</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111</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9,663</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37,942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727</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29,728</w:t>
            </w:r>
          </w:p>
        </w:tc>
        <w:tc>
          <w:tcPr>
            <w:tcW w:w="200" w:type="dxa"/>
            <w:vAlign w:val="bottom"/>
          </w:tcPr>
          <w:p>
            <w:pPr>
              <w:spacing w:after="0"/>
              <w:rPr>
                <w:sz w:val="12"/>
                <w:szCs w:val="12"/>
                <w:color w:val="auto"/>
              </w:rPr>
            </w:pPr>
          </w:p>
        </w:tc>
        <w:tc>
          <w:tcPr>
            <w:tcW w:w="10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(523)</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29,932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1,849</w:t>
            </w: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11,328</w:t>
            </w: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(143)</w:t>
            </w: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13,034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Redeemable noncontrolling interests</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16,014</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Equity:</w:t>
            </w:r>
          </w:p>
        </w:tc>
        <w:tc>
          <w:tcPr>
            <w:tcW w:w="3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20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3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shareholders’ equity</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7"/>
              </w:rPr>
              <w:t>47,242</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w w:val="93"/>
              </w:rPr>
              <w:t>85,464</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43,338</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w w:val="93"/>
              </w:rPr>
              <w:t>87,172</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115,826</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(331,800)</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47,242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line="142" w:lineRule="exact"/>
              <w:rPr>
                <w:sz w:val="20"/>
                <w:szCs w:val="20"/>
                <w:color w:val="auto"/>
              </w:rPr>
            </w:pPr>
            <w:r>
              <w:rPr>
                <w:rFonts w:ascii="Arial" w:cs="Arial" w:eastAsia="Arial" w:hAnsi="Arial"/>
                <w:sz w:val="14"/>
                <w:szCs w:val="14"/>
                <w:color w:val="auto"/>
              </w:rPr>
              <w:t>Total Comcast Corporation shareholders’ equity</w:t>
            </w:r>
          </w:p>
        </w:tc>
        <w:tc>
          <w:tcPr>
            <w:tcW w:w="340" w:type="dxa"/>
            <w:vAlign w:val="bottom"/>
          </w:tcPr>
          <w:p>
            <w:pPr>
              <w:spacing w:after="0"/>
              <w:rPr>
                <w:sz w:val="12"/>
                <w:szCs w:val="12"/>
                <w:color w:val="auto"/>
              </w:rPr>
            </w:pPr>
          </w:p>
        </w:tc>
        <w:tc>
          <w:tcPr>
            <w:tcW w:w="580" w:type="dxa"/>
            <w:vAlign w:val="bottom"/>
          </w:tcPr>
          <w:p>
            <w:pPr>
              <w:jc w:val="right"/>
              <w:ind w:right="72"/>
              <w:spacing w:after="0" w:line="142" w:lineRule="exact"/>
              <w:rPr>
                <w:sz w:val="20"/>
                <w:szCs w:val="20"/>
                <w:color w:val="auto"/>
              </w:rPr>
            </w:pPr>
            <w:r>
              <w:rPr>
                <w:rFonts w:ascii="Arial" w:cs="Arial" w:eastAsia="Arial" w:hAnsi="Arial"/>
                <w:sz w:val="14"/>
                <w:szCs w:val="14"/>
                <w:color w:val="auto"/>
                <w:w w:val="97"/>
              </w:rPr>
              <w:t>47,274</w:t>
            </w:r>
          </w:p>
        </w:tc>
        <w:tc>
          <w:tcPr>
            <w:tcW w:w="22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Arial" w:cs="Arial" w:eastAsia="Arial" w:hAnsi="Arial"/>
                <w:sz w:val="14"/>
                <w:szCs w:val="14"/>
                <w:color w:val="auto"/>
                <w:w w:val="93"/>
              </w:rPr>
              <w:t>85,464</w:t>
            </w:r>
          </w:p>
        </w:tc>
        <w:tc>
          <w:tcPr>
            <w:tcW w:w="200" w:type="dxa"/>
            <w:vAlign w:val="bottom"/>
          </w:tcPr>
          <w:p>
            <w:pPr>
              <w:spacing w:after="0"/>
              <w:rPr>
                <w:sz w:val="12"/>
                <w:szCs w:val="12"/>
                <w:color w:val="auto"/>
              </w:rPr>
            </w:pPr>
          </w:p>
        </w:tc>
        <w:tc>
          <w:tcPr>
            <w:tcW w:w="720" w:type="dxa"/>
            <w:vAlign w:val="bottom"/>
          </w:tcPr>
          <w:p>
            <w:pPr>
              <w:jc w:val="right"/>
              <w:ind w:right="72"/>
              <w:spacing w:after="0" w:line="142" w:lineRule="exact"/>
              <w:rPr>
                <w:sz w:val="20"/>
                <w:szCs w:val="20"/>
                <w:color w:val="auto"/>
              </w:rPr>
            </w:pPr>
            <w:r>
              <w:rPr>
                <w:rFonts w:ascii="Arial" w:cs="Arial" w:eastAsia="Arial" w:hAnsi="Arial"/>
                <w:sz w:val="14"/>
                <w:szCs w:val="14"/>
                <w:color w:val="auto"/>
              </w:rPr>
              <w:t>43,338</w:t>
            </w:r>
          </w:p>
        </w:tc>
        <w:tc>
          <w:tcPr>
            <w:tcW w:w="26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color w:val="auto"/>
                <w:w w:val="93"/>
              </w:rPr>
              <w:t>87,172</w:t>
            </w:r>
          </w:p>
        </w:tc>
        <w:tc>
          <w:tcPr>
            <w:tcW w:w="220" w:type="dxa"/>
            <w:vAlign w:val="bottom"/>
          </w:tcPr>
          <w:p>
            <w:pPr>
              <w:spacing w:after="0"/>
              <w:rPr>
                <w:sz w:val="12"/>
                <w:szCs w:val="12"/>
                <w:color w:val="auto"/>
              </w:rPr>
            </w:pPr>
          </w:p>
        </w:tc>
        <w:tc>
          <w:tcPr>
            <w:tcW w:w="8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115,826</w:t>
            </w:r>
          </w:p>
        </w:tc>
        <w:tc>
          <w:tcPr>
            <w:tcW w:w="200" w:type="dxa"/>
            <w:vAlign w:val="bottom"/>
          </w:tcPr>
          <w:p>
            <w:pPr>
              <w:spacing w:after="0"/>
              <w:rPr>
                <w:sz w:val="12"/>
                <w:szCs w:val="12"/>
                <w:color w:val="auto"/>
              </w:rPr>
            </w:pPr>
          </w:p>
        </w:tc>
        <w:tc>
          <w:tcPr>
            <w:tcW w:w="1020" w:type="dxa"/>
            <w:vAlign w:val="bottom"/>
          </w:tcPr>
          <w:p>
            <w:pPr>
              <w:jc w:val="right"/>
              <w:ind w:right="72"/>
              <w:spacing w:after="0" w:line="142" w:lineRule="exact"/>
              <w:rPr>
                <w:sz w:val="20"/>
                <w:szCs w:val="20"/>
                <w:color w:val="auto"/>
              </w:rPr>
            </w:pPr>
            <w:r>
              <w:rPr>
                <w:rFonts w:ascii="Arial" w:cs="Arial" w:eastAsia="Arial" w:hAnsi="Arial"/>
                <w:sz w:val="14"/>
                <w:szCs w:val="14"/>
                <w:color w:val="auto"/>
              </w:rPr>
              <w:t>(331,800)</w:t>
            </w:r>
          </w:p>
        </w:tc>
        <w:tc>
          <w:tcPr>
            <w:tcW w:w="200" w:type="dxa"/>
            <w:vAlign w:val="bottom"/>
          </w:tcPr>
          <w:p>
            <w:pPr>
              <w:spacing w:after="0"/>
              <w:rPr>
                <w:sz w:val="12"/>
                <w:szCs w:val="12"/>
                <w:color w:val="auto"/>
              </w:rPr>
            </w:pPr>
          </w:p>
        </w:tc>
        <w:tc>
          <w:tcPr>
            <w:tcW w:w="860" w:type="dxa"/>
            <w:vAlign w:val="bottom"/>
          </w:tcPr>
          <w:p>
            <w:pPr>
              <w:jc w:val="right"/>
              <w:ind w:right="12"/>
              <w:spacing w:after="0" w:line="142" w:lineRule="exact"/>
              <w:rPr>
                <w:sz w:val="20"/>
                <w:szCs w:val="20"/>
                <w:color w:val="auto"/>
              </w:rPr>
            </w:pPr>
            <w:r>
              <w:rPr>
                <w:rFonts w:ascii="Arial" w:cs="Arial" w:eastAsia="Arial" w:hAnsi="Arial"/>
                <w:sz w:val="14"/>
                <w:szCs w:val="14"/>
                <w:color w:val="auto"/>
              </w:rPr>
              <w:t>47,274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Noncontrolling interests</w:t>
            </w:r>
          </w:p>
        </w:tc>
        <w:tc>
          <w:tcPr>
            <w:tcW w:w="3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381</w:t>
            </w:r>
          </w:p>
        </w:tc>
        <w:tc>
          <w:tcPr>
            <w:tcW w:w="20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86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equity</w:t>
            </w: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7"/>
              </w:rPr>
              <w:t>47,274</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3"/>
              </w:rPr>
              <w:t>85,464</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43,338</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3"/>
              </w:rPr>
              <w:t>87,172</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116,207</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(331,800)</w:t>
            </w: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47,655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34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72,640</w:t>
            </w:r>
          </w:p>
        </w:tc>
        <w:tc>
          <w:tcPr>
            <w:tcW w:w="2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w w:val="93"/>
              </w:rPr>
              <w:t>89,606</w:t>
            </w:r>
          </w:p>
        </w:tc>
        <w:tc>
          <w:tcPr>
            <w:tcW w:w="2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45,733</w:t>
            </w:r>
          </w:p>
        </w:tc>
        <w:tc>
          <w:tcPr>
            <w:tcW w:w="26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88,484</w:t>
            </w:r>
          </w:p>
        </w:tc>
        <w:tc>
          <w:tcPr>
            <w:tcW w:w="2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rPr>
              <w:t>193,821</w:t>
            </w:r>
          </w:p>
        </w:tc>
        <w:tc>
          <w:tcPr>
            <w:tcW w:w="2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b w:val="1"/>
                <w:bCs w:val="1"/>
                <w:color w:val="auto"/>
              </w:rPr>
              <w:t>(332,466)</w:t>
            </w:r>
          </w:p>
        </w:tc>
        <w:tc>
          <w:tcPr>
            <w:tcW w:w="2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157,818</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right="212"/>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920" w:type="dxa"/>
            <w:vAlign w:val="bottom"/>
          </w:tcPr>
          <w:p>
            <w:pPr>
              <w:jc w:val="center"/>
              <w:ind w:right="212"/>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Comcast</w:t>
            </w:r>
          </w:p>
        </w:tc>
        <w:tc>
          <w:tcPr>
            <w:tcW w:w="7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0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4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76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26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w w:val="78"/>
              </w:rPr>
              <w:t>Parents</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104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2"/>
              <w:spacing w:after="0"/>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436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Revenue:</w:t>
            </w:r>
          </w:p>
        </w:tc>
        <w:tc>
          <w:tcPr>
            <w:tcW w:w="66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52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74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92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6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15,211</w:t>
            </w:r>
          </w:p>
        </w:tc>
        <w:tc>
          <w:tcPr>
            <w:tcW w:w="240" w:type="dxa"/>
            <w:vAlign w:val="bottom"/>
          </w:tcPr>
          <w:p>
            <w:pPr>
              <w:ind w:left="18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15,211</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6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210</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205</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127</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(542)</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210</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205</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127</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15,211</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(542)</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15,211</w:t>
            </w:r>
          </w:p>
        </w:tc>
      </w:tr>
      <w:tr>
        <w:trPr>
          <w:trHeight w:val="142"/>
        </w:trPr>
        <w:tc>
          <w:tcPr>
            <w:tcW w:w="20" w:type="dxa"/>
            <w:vAlign w:val="bottom"/>
          </w:tcPr>
          <w:p>
            <w:pPr>
              <w:spacing w:after="0"/>
              <w:rPr>
                <w:sz w:val="12"/>
                <w:szCs w:val="12"/>
                <w:color w:val="auto"/>
              </w:rPr>
            </w:pPr>
          </w:p>
        </w:tc>
        <w:tc>
          <w:tcPr>
            <w:tcW w:w="436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Costs and Expenses:</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Operating costs and expenses</w:t>
            </w:r>
          </w:p>
        </w:tc>
        <w:tc>
          <w:tcPr>
            <w:tcW w:w="66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99</w:t>
            </w:r>
          </w:p>
        </w:tc>
        <w:tc>
          <w:tcPr>
            <w:tcW w:w="24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205</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127</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10,318</w:t>
            </w:r>
          </w:p>
        </w:tc>
        <w:tc>
          <w:tcPr>
            <w:tcW w:w="24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(542)</w:t>
            </w:r>
          </w:p>
        </w:tc>
        <w:tc>
          <w:tcPr>
            <w:tcW w:w="2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10,207</w:t>
            </w:r>
          </w:p>
        </w:tc>
      </w:tr>
      <w:tr>
        <w:trPr>
          <w:trHeight w:val="149"/>
        </w:trPr>
        <w:tc>
          <w:tcPr>
            <w:tcW w:w="20" w:type="dxa"/>
            <w:vAlign w:val="bottom"/>
          </w:tcPr>
          <w:p>
            <w:pPr>
              <w:spacing w:after="0"/>
              <w:rPr>
                <w:sz w:val="12"/>
                <w:szCs w:val="12"/>
                <w:color w:val="auto"/>
              </w:rPr>
            </w:pPr>
          </w:p>
        </w:tc>
        <w:tc>
          <w:tcPr>
            <w:tcW w:w="436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Depreciation</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8</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1,508</w:t>
            </w: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1,516</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408</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409</w:t>
            </w:r>
          </w:p>
        </w:tc>
      </w:tr>
      <w:tr>
        <w:trPr>
          <w:trHeight w:val="142"/>
        </w:trPr>
        <w:tc>
          <w:tcPr>
            <w:tcW w:w="20" w:type="dxa"/>
            <w:vAlign w:val="bottom"/>
          </w:tcPr>
          <w:p>
            <w:pPr>
              <w:spacing w:after="0"/>
              <w:rPr>
                <w:sz w:val="12"/>
                <w:szCs w:val="12"/>
                <w:color w:val="auto"/>
              </w:rPr>
            </w:pPr>
          </w:p>
        </w:tc>
        <w:tc>
          <w:tcPr>
            <w:tcW w:w="436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108</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205</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127</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12,234</w:t>
            </w:r>
          </w:p>
        </w:tc>
        <w:tc>
          <w:tcPr>
            <w:tcW w:w="24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(542)</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12,132</w:t>
            </w:r>
          </w:p>
        </w:tc>
      </w:tr>
      <w:tr>
        <w:trPr>
          <w:trHeight w:val="142"/>
        </w:trPr>
        <w:tc>
          <w:tcPr>
            <w:tcW w:w="20" w:type="dxa"/>
            <w:vAlign w:val="bottom"/>
          </w:tcPr>
          <w:p>
            <w:pPr>
              <w:spacing w:after="0"/>
              <w:rPr>
                <w:sz w:val="12"/>
                <w:szCs w:val="12"/>
                <w:color w:val="auto"/>
              </w:rPr>
            </w:pPr>
          </w:p>
        </w:tc>
        <w:tc>
          <w:tcPr>
            <w:tcW w:w="4360" w:type="dxa"/>
            <w:vAlign w:val="bottom"/>
          </w:tcPr>
          <w:p>
            <w:pPr>
              <w:spacing w:after="0" w:line="142" w:lineRule="exact"/>
              <w:rPr>
                <w:sz w:val="20"/>
                <w:szCs w:val="20"/>
                <w:color w:val="auto"/>
              </w:rPr>
            </w:pPr>
            <w:r>
              <w:rPr>
                <w:rFonts w:ascii="Arial" w:cs="Arial" w:eastAsia="Arial" w:hAnsi="Arial"/>
                <w:sz w:val="14"/>
                <w:szCs w:val="14"/>
                <w:color w:val="auto"/>
              </w:rPr>
              <w:t>Operating income (loss)</w:t>
            </w:r>
          </w:p>
        </w:tc>
        <w:tc>
          <w:tcPr>
            <w:tcW w:w="66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102</w:t>
            </w:r>
          </w:p>
        </w:tc>
        <w:tc>
          <w:tcPr>
            <w:tcW w:w="240" w:type="dxa"/>
            <w:vAlign w:val="bottom"/>
          </w:tcPr>
          <w:p>
            <w:pPr>
              <w:spacing w:after="0"/>
              <w:rPr>
                <w:sz w:val="12"/>
                <w:szCs w:val="12"/>
                <w:color w:val="auto"/>
              </w:rPr>
            </w:pPr>
          </w:p>
        </w:tc>
        <w:tc>
          <w:tcPr>
            <w:tcW w:w="52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2,977</w:t>
            </w:r>
          </w:p>
        </w:tc>
        <w:tc>
          <w:tcPr>
            <w:tcW w:w="240" w:type="dxa"/>
            <w:vAlign w:val="bottom"/>
          </w:tcPr>
          <w:p>
            <w:pPr>
              <w:spacing w:after="0"/>
              <w:rPr>
                <w:sz w:val="12"/>
                <w:szCs w:val="12"/>
                <w:color w:val="auto"/>
              </w:rPr>
            </w:pPr>
          </w:p>
        </w:tc>
        <w:tc>
          <w:tcPr>
            <w:tcW w:w="92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3,079</w:t>
            </w:r>
          </w:p>
        </w:tc>
      </w:tr>
      <w:tr>
        <w:trPr>
          <w:trHeight w:val="149"/>
        </w:trPr>
        <w:tc>
          <w:tcPr>
            <w:tcW w:w="20" w:type="dxa"/>
            <w:vAlign w:val="bottom"/>
          </w:tcPr>
          <w:p>
            <w:pPr>
              <w:spacing w:after="0"/>
              <w:rPr>
                <w:sz w:val="12"/>
                <w:szCs w:val="12"/>
                <w:color w:val="auto"/>
              </w:rPr>
            </w:pPr>
          </w:p>
        </w:tc>
        <w:tc>
          <w:tcPr>
            <w:tcW w:w="436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Other Income (Expense):</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66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(354)</w:t>
            </w:r>
          </w:p>
        </w:tc>
        <w:tc>
          <w:tcPr>
            <w:tcW w:w="24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(83)</w:t>
            </w:r>
          </w:p>
        </w:tc>
        <w:tc>
          <w:tcPr>
            <w:tcW w:w="26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(33)</w:t>
            </w:r>
          </w:p>
        </w:tc>
        <w:tc>
          <w:tcPr>
            <w:tcW w:w="3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w:t>
            </w:r>
          </w:p>
        </w:tc>
        <w:tc>
          <w:tcPr>
            <w:tcW w:w="30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(147)</w:t>
            </w:r>
          </w:p>
        </w:tc>
        <w:tc>
          <w:tcPr>
            <w:tcW w:w="24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r>
      <w:tr>
        <w:trPr>
          <w:trHeight w:val="149"/>
        </w:trPr>
        <w:tc>
          <w:tcPr>
            <w:tcW w:w="20" w:type="dxa"/>
            <w:vAlign w:val="bottom"/>
          </w:tcPr>
          <w:p>
            <w:pPr>
              <w:spacing w:after="0"/>
              <w:rPr>
                <w:sz w:val="12"/>
                <w:szCs w:val="12"/>
                <w:color w:val="auto"/>
              </w:rPr>
            </w:pPr>
          </w:p>
        </w:tc>
        <w:tc>
          <w:tcPr>
            <w:tcW w:w="436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5</w:t>
            </w: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8</w:t>
            </w: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66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1,511</w:t>
            </w:r>
          </w:p>
        </w:tc>
        <w:tc>
          <w:tcPr>
            <w:tcW w:w="24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9"/>
              </w:rPr>
              <w:t>1,679</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1,326</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1,620</w:t>
            </w:r>
          </w:p>
        </w:tc>
        <w:tc>
          <w:tcPr>
            <w:tcW w:w="30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(6,136)</w:t>
            </w:r>
          </w:p>
        </w:tc>
        <w:tc>
          <w:tcPr>
            <w:tcW w:w="2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income (expense), net</w:t>
            </w:r>
          </w:p>
        </w:tc>
        <w:tc>
          <w:tcPr>
            <w:tcW w:w="6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(47)</w:t>
            </w:r>
          </w:p>
        </w:tc>
        <w:tc>
          <w:tcPr>
            <w:tcW w:w="24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(47)</w:t>
            </w:r>
          </w:p>
        </w:tc>
      </w:tr>
      <w:tr>
        <w:trPr>
          <w:trHeight w:val="142"/>
        </w:trPr>
        <w:tc>
          <w:tcPr>
            <w:tcW w:w="20" w:type="dxa"/>
            <w:vAlign w:val="bottom"/>
          </w:tcPr>
          <w:p>
            <w:pPr>
              <w:spacing w:after="0"/>
              <w:rPr>
                <w:sz w:val="12"/>
                <w:szCs w:val="12"/>
                <w:color w:val="auto"/>
              </w:rPr>
            </w:pPr>
          </w:p>
        </w:tc>
        <w:tc>
          <w:tcPr>
            <w:tcW w:w="4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96"/>
              </w:rPr>
              <w:t>1,159</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79"/>
              </w:rPr>
              <w:t>1,596</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1,293</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1,613</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(160)</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(6,136)</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(635)</w:t>
            </w:r>
          </w:p>
        </w:tc>
      </w:tr>
      <w:tr>
        <w:trPr>
          <w:trHeight w:val="142"/>
        </w:trPr>
        <w:tc>
          <w:tcPr>
            <w:tcW w:w="20" w:type="dxa"/>
            <w:vAlign w:val="bottom"/>
          </w:tcPr>
          <w:p>
            <w:pPr>
              <w:spacing w:after="0"/>
              <w:rPr>
                <w:sz w:val="12"/>
                <w:szCs w:val="12"/>
                <w:color w:val="auto"/>
              </w:rPr>
            </w:pPr>
          </w:p>
        </w:tc>
        <w:tc>
          <w:tcPr>
            <w:tcW w:w="436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96"/>
              </w:rPr>
              <w:t>1,261</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79"/>
              </w:rPr>
              <w:t>1,596</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1,293</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1,613</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2,817</w:t>
            </w: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(6,136)</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2,444</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87</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29</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11</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(940)</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(811)</w:t>
            </w:r>
          </w:p>
        </w:tc>
      </w:tr>
      <w:tr>
        <w:trPr>
          <w:trHeight w:val="142"/>
        </w:trPr>
        <w:tc>
          <w:tcPr>
            <w:tcW w:w="20" w:type="dxa"/>
            <w:vAlign w:val="bottom"/>
          </w:tcPr>
          <w:p>
            <w:pPr>
              <w:spacing w:after="0"/>
              <w:rPr>
                <w:sz w:val="12"/>
                <w:szCs w:val="12"/>
                <w:color w:val="auto"/>
              </w:rPr>
            </w:pPr>
          </w:p>
        </w:tc>
        <w:tc>
          <w:tcPr>
            <w:tcW w:w="436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Net income (loss)</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96"/>
              </w:rPr>
              <w:t>1,348</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79"/>
              </w:rPr>
              <w:t>1,625</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1,304</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1,615</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1,877</w:t>
            </w: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(6,136)</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1,633</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(285)</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(285)</w:t>
            </w:r>
          </w:p>
        </w:tc>
      </w:tr>
      <w:tr>
        <w:trPr>
          <w:trHeight w:val="142"/>
        </w:trPr>
        <w:tc>
          <w:tcPr>
            <w:tcW w:w="20" w:type="dxa"/>
            <w:vAlign w:val="bottom"/>
          </w:tcPr>
          <w:p>
            <w:pPr>
              <w:spacing w:after="0"/>
              <w:rPr>
                <w:sz w:val="12"/>
                <w:szCs w:val="12"/>
                <w:color w:val="auto"/>
              </w:rPr>
            </w:pPr>
          </w:p>
        </w:tc>
        <w:tc>
          <w:tcPr>
            <w:tcW w:w="436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660" w:type="dxa"/>
            <w:vAlign w:val="bottom"/>
            <w:tcBorders>
              <w:bottom w:val="single" w:sz="8" w:color="auto"/>
            </w:tcBorders>
            <w:shd w:val="clear" w:color="auto" w:fill="E5E5E5"/>
          </w:tcPr>
          <w:p>
            <w:pPr>
              <w:ind w:left="5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1,348</w:t>
            </w:r>
          </w:p>
        </w:tc>
        <w:tc>
          <w:tcPr>
            <w:tcW w:w="24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w w:val="79"/>
              </w:rPr>
              <w:t>1,625</w:t>
            </w:r>
          </w:p>
        </w:tc>
        <w:tc>
          <w:tcPr>
            <w:tcW w:w="26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1,304</w:t>
            </w:r>
          </w:p>
        </w:tc>
        <w:tc>
          <w:tcPr>
            <w:tcW w:w="30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1,615</w:t>
            </w:r>
          </w:p>
        </w:tc>
        <w:tc>
          <w:tcPr>
            <w:tcW w:w="30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1,592</w:t>
            </w:r>
          </w:p>
        </w:tc>
        <w:tc>
          <w:tcPr>
            <w:tcW w:w="2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rPr>
              <w:t>(6,136)</w:t>
            </w:r>
          </w:p>
        </w:tc>
        <w:tc>
          <w:tcPr>
            <w:tcW w:w="28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1,348</w:t>
            </w:r>
          </w:p>
        </w:tc>
      </w:tr>
      <w:tr>
        <w:trPr>
          <w:trHeight w:val="149"/>
        </w:trPr>
        <w:tc>
          <w:tcPr>
            <w:tcW w:w="20" w:type="dxa"/>
            <w:vAlign w:val="bottom"/>
            <w:tcBorders>
              <w:bottom w:val="single" w:sz="8" w:color="auto"/>
            </w:tcBorders>
          </w:tcPr>
          <w:p>
            <w:pPr>
              <w:spacing w:after="0"/>
              <w:rPr>
                <w:sz w:val="12"/>
                <w:szCs w:val="12"/>
                <w:color w:val="auto"/>
              </w:rPr>
            </w:pPr>
          </w:p>
        </w:tc>
        <w:tc>
          <w:tcPr>
            <w:tcW w:w="43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7"/>
              </w:rPr>
              <w:t>Comprehensive income (loss) attributable to Comcast Corporation</w:t>
            </w:r>
          </w:p>
        </w:tc>
        <w:tc>
          <w:tcPr>
            <w:tcW w:w="66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1,326</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79"/>
              </w:rPr>
              <w:t>1,627</w:t>
            </w:r>
          </w:p>
        </w:tc>
        <w:tc>
          <w:tcPr>
            <w:tcW w:w="2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1,304</w:t>
            </w:r>
          </w:p>
        </w:tc>
        <w:tc>
          <w:tcPr>
            <w:tcW w:w="3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1,615</w:t>
            </w:r>
          </w:p>
        </w:tc>
        <w:tc>
          <w:tcPr>
            <w:tcW w:w="3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1,588</w:t>
            </w:r>
          </w:p>
        </w:tc>
        <w:tc>
          <w:tcPr>
            <w:tcW w:w="2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(6,134)</w:t>
            </w:r>
          </w:p>
        </w:tc>
        <w:tc>
          <w:tcPr>
            <w:tcW w:w="2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1,326</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center"/>
              <w:ind w:right="252"/>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Non-</w:t>
            </w:r>
          </w:p>
        </w:tc>
        <w:tc>
          <w:tcPr>
            <w:tcW w:w="300" w:type="dxa"/>
            <w:vAlign w:val="bottom"/>
          </w:tcPr>
          <w:p>
            <w:pPr>
              <w:spacing w:after="0"/>
              <w:rPr>
                <w:sz w:val="12"/>
                <w:szCs w:val="12"/>
                <w:color w:val="auto"/>
              </w:rPr>
            </w:pPr>
          </w:p>
        </w:tc>
        <w:tc>
          <w:tcPr>
            <w:tcW w:w="960" w:type="dxa"/>
            <w:vAlign w:val="bottom"/>
          </w:tcPr>
          <w:p>
            <w:pPr>
              <w:jc w:val="center"/>
              <w:ind w:right="272"/>
              <w:spacing w:after="0" w:line="149" w:lineRule="exact"/>
              <w:rPr>
                <w:sz w:val="20"/>
                <w:szCs w:val="20"/>
                <w:color w:val="auto"/>
              </w:rPr>
            </w:pPr>
            <w:r>
              <w:rPr>
                <w:rFonts w:ascii="Arial" w:cs="Arial" w:eastAsia="Arial" w:hAnsi="Arial"/>
                <w:sz w:val="14"/>
                <w:szCs w:val="14"/>
                <w:color w:val="auto"/>
                <w:w w:val="76"/>
              </w:rPr>
              <w:t>and</w:t>
            </w: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Comcast</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CCCL</w:t>
            </w:r>
          </w:p>
        </w:tc>
        <w:tc>
          <w:tcPr>
            <w:tcW w:w="10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CCHMO</w:t>
            </w: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114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Consolidation</w:t>
            </w:r>
          </w:p>
        </w:tc>
        <w:tc>
          <w:tcPr>
            <w:tcW w:w="32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1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0" w:type="dxa"/>
            <w:vAlign w:val="bottom"/>
            <w:gridSpan w:val="2"/>
          </w:tcPr>
          <w:p>
            <w:pPr>
              <w:jc w:val="right"/>
              <w:ind w:right="252"/>
              <w:spacing w:after="0"/>
              <w:rPr>
                <w:sz w:val="20"/>
                <w:szCs w:val="20"/>
                <w:color w:val="auto"/>
              </w:rPr>
            </w:pPr>
            <w:r>
              <w:rPr>
                <w:rFonts w:ascii="Arial" w:cs="Arial" w:eastAsia="Arial" w:hAnsi="Arial"/>
                <w:sz w:val="14"/>
                <w:szCs w:val="14"/>
                <w:color w:val="auto"/>
              </w:rPr>
              <w:t>Parent</w:t>
            </w:r>
          </w:p>
        </w:tc>
        <w:tc>
          <w:tcPr>
            <w:tcW w:w="860" w:type="dxa"/>
            <w:vAlign w:val="bottom"/>
            <w:gridSpan w:val="2"/>
          </w:tcPr>
          <w:p>
            <w:pPr>
              <w:ind w:left="240"/>
              <w:spacing w:after="0"/>
              <w:rPr>
                <w:sz w:val="20"/>
                <w:szCs w:val="20"/>
                <w:color w:val="auto"/>
              </w:rPr>
            </w:pPr>
            <w:r>
              <w:rPr>
                <w:rFonts w:ascii="Arial" w:cs="Arial" w:eastAsia="Arial" w:hAnsi="Arial"/>
                <w:sz w:val="14"/>
                <w:szCs w:val="14"/>
                <w:color w:val="auto"/>
              </w:rPr>
              <w:t>Parent</w:t>
            </w:r>
          </w:p>
        </w:tc>
        <w:tc>
          <w:tcPr>
            <w:tcW w:w="280" w:type="dxa"/>
            <w:vAlign w:val="bottom"/>
          </w:tcPr>
          <w:p>
            <w:pPr>
              <w:spacing w:after="0"/>
              <w:rPr>
                <w:sz w:val="15"/>
                <w:szCs w:val="15"/>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color w:val="auto"/>
                <w:w w:val="82"/>
              </w:rPr>
              <w:t>Parents</w:t>
            </w: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Holdings</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2"/>
              <w:spacing w:after="0"/>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410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Revenue:</w:t>
            </w:r>
          </w:p>
        </w:tc>
        <w:tc>
          <w:tcPr>
            <w:tcW w:w="40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56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760" w:type="dxa"/>
            <w:vAlign w:val="bottom"/>
            <w:tcBorders>
              <w:top w:val="single" w:sz="8" w:color="auto"/>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spacing w:after="0"/>
              <w:rPr>
                <w:sz w:val="12"/>
                <w:szCs w:val="12"/>
                <w:color w:val="auto"/>
              </w:rPr>
            </w:pPr>
          </w:p>
        </w:tc>
        <w:tc>
          <w:tcPr>
            <w:tcW w:w="640" w:type="dxa"/>
            <w:vAlign w:val="bottom"/>
            <w:tcBorders>
              <w:top w:val="single" w:sz="8" w:color="auto"/>
            </w:tcBorders>
            <w:shd w:val="clear" w:color="auto" w:fill="E5E5E5"/>
          </w:tcPr>
          <w:p>
            <w:pPr>
              <w:spacing w:after="0"/>
              <w:rPr>
                <w:sz w:val="12"/>
                <w:szCs w:val="12"/>
                <w:color w:val="auto"/>
              </w:rPr>
            </w:pPr>
          </w:p>
        </w:tc>
        <w:tc>
          <w:tcPr>
            <w:tcW w:w="340" w:type="dxa"/>
            <w:vAlign w:val="bottom"/>
            <w:tcBorders>
              <w:top w:val="single" w:sz="8" w:color="auto"/>
            </w:tcBorders>
            <w:shd w:val="clear" w:color="auto" w:fill="E5E5E5"/>
          </w:tcPr>
          <w:p>
            <w:pPr>
              <w:spacing w:after="0"/>
              <w:rPr>
                <w:sz w:val="12"/>
                <w:szCs w:val="12"/>
                <w:color w:val="auto"/>
              </w:rPr>
            </w:pPr>
          </w:p>
        </w:tc>
        <w:tc>
          <w:tcPr>
            <w:tcW w:w="80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960" w:type="dxa"/>
            <w:vAlign w:val="bottom"/>
            <w:tcBorders>
              <w:top w:val="single" w:sz="8" w:color="auto"/>
            </w:tcBorders>
            <w:shd w:val="clear" w:color="auto" w:fill="E5E5E5"/>
          </w:tcPr>
          <w:p>
            <w:pPr>
              <w:spacing w:after="0"/>
              <w:rPr>
                <w:sz w:val="12"/>
                <w:szCs w:val="12"/>
                <w:color w:val="auto"/>
              </w:rPr>
            </w:pPr>
          </w:p>
        </w:tc>
        <w:tc>
          <w:tcPr>
            <w:tcW w:w="32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4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22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14,333</w:t>
            </w:r>
          </w:p>
        </w:tc>
        <w:tc>
          <w:tcPr>
            <w:tcW w:w="300" w:type="dxa"/>
            <w:vAlign w:val="bottom"/>
          </w:tcPr>
          <w:p>
            <w:pPr>
              <w:ind w:left="22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14,333</w:t>
            </w:r>
          </w:p>
        </w:tc>
      </w:tr>
      <w:tr>
        <w:trPr>
          <w:trHeight w:val="149"/>
        </w:trPr>
        <w:tc>
          <w:tcPr>
            <w:tcW w:w="20" w:type="dxa"/>
            <w:vAlign w:val="bottom"/>
          </w:tcPr>
          <w:p>
            <w:pPr>
              <w:spacing w:after="0"/>
              <w:rPr>
                <w:sz w:val="12"/>
                <w:szCs w:val="12"/>
                <w:color w:val="auto"/>
              </w:rPr>
            </w:pPr>
          </w:p>
        </w:tc>
        <w:tc>
          <w:tcPr>
            <w:tcW w:w="410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4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200</w:t>
            </w:r>
          </w:p>
        </w:tc>
        <w:tc>
          <w:tcPr>
            <w:tcW w:w="30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195</w:t>
            </w:r>
          </w:p>
        </w:tc>
        <w:tc>
          <w:tcPr>
            <w:tcW w:w="280" w:type="dxa"/>
            <w:vAlign w:val="bottom"/>
            <w:tcBorders>
              <w:bottom w:val="single" w:sz="8" w:color="auto"/>
            </w:tcBorders>
            <w:shd w:val="clear" w:color="auto" w:fill="E5E5E5"/>
          </w:tcPr>
          <w:p>
            <w:pPr>
              <w:spacing w:after="0"/>
              <w:rPr>
                <w:sz w:val="12"/>
                <w:szCs w:val="12"/>
                <w:color w:val="auto"/>
              </w:rPr>
            </w:pPr>
          </w:p>
        </w:tc>
        <w:tc>
          <w:tcPr>
            <w:tcW w:w="7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119</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80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(514)</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200</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195</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119</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14,333</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(514)</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14,333</w:t>
            </w:r>
          </w:p>
        </w:tc>
      </w:tr>
      <w:tr>
        <w:trPr>
          <w:trHeight w:val="142"/>
        </w:trPr>
        <w:tc>
          <w:tcPr>
            <w:tcW w:w="20" w:type="dxa"/>
            <w:vAlign w:val="bottom"/>
          </w:tcPr>
          <w:p>
            <w:pPr>
              <w:spacing w:after="0"/>
              <w:rPr>
                <w:sz w:val="12"/>
                <w:szCs w:val="12"/>
                <w:color w:val="auto"/>
              </w:rPr>
            </w:pPr>
          </w:p>
        </w:tc>
        <w:tc>
          <w:tcPr>
            <w:tcW w:w="410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Costs and Expenses:</w:t>
            </w:r>
          </w:p>
        </w:tc>
        <w:tc>
          <w:tcPr>
            <w:tcW w:w="4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00"/>
              <w:spacing w:after="0" w:line="149" w:lineRule="exact"/>
              <w:rPr>
                <w:sz w:val="20"/>
                <w:szCs w:val="20"/>
                <w:color w:val="auto"/>
              </w:rPr>
            </w:pPr>
            <w:r>
              <w:rPr>
                <w:rFonts w:ascii="Arial" w:cs="Arial" w:eastAsia="Arial" w:hAnsi="Arial"/>
                <w:sz w:val="14"/>
                <w:szCs w:val="14"/>
                <w:color w:val="auto"/>
              </w:rPr>
              <w:t>Operating costs and expenses</w:t>
            </w:r>
          </w:p>
        </w:tc>
        <w:tc>
          <w:tcPr>
            <w:tcW w:w="40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89</w:t>
            </w:r>
          </w:p>
        </w:tc>
        <w:tc>
          <w:tcPr>
            <w:tcW w:w="300" w:type="dxa"/>
            <w:vAlign w:val="bottom"/>
          </w:tcPr>
          <w:p>
            <w:pPr>
              <w:spacing w:after="0"/>
              <w:rPr>
                <w:sz w:val="12"/>
                <w:szCs w:val="12"/>
                <w:color w:val="auto"/>
              </w:rPr>
            </w:pPr>
          </w:p>
        </w:tc>
        <w:tc>
          <w:tcPr>
            <w:tcW w:w="5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195</w:t>
            </w:r>
          </w:p>
        </w:tc>
        <w:tc>
          <w:tcPr>
            <w:tcW w:w="280" w:type="dxa"/>
            <w:vAlign w:val="bottom"/>
          </w:tcPr>
          <w:p>
            <w:pPr>
              <w:spacing w:after="0"/>
              <w:rPr>
                <w:sz w:val="12"/>
                <w:szCs w:val="12"/>
                <w:color w:val="auto"/>
              </w:rPr>
            </w:pP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119</w:t>
            </w:r>
          </w:p>
        </w:tc>
        <w:tc>
          <w:tcPr>
            <w:tcW w:w="34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9,643</w:t>
            </w:r>
          </w:p>
        </w:tc>
        <w:tc>
          <w:tcPr>
            <w:tcW w:w="30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(514)</w:t>
            </w:r>
          </w:p>
        </w:tc>
        <w:tc>
          <w:tcPr>
            <w:tcW w:w="32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9,532</w:t>
            </w:r>
          </w:p>
        </w:tc>
      </w:tr>
      <w:tr>
        <w:trPr>
          <w:trHeight w:val="149"/>
        </w:trPr>
        <w:tc>
          <w:tcPr>
            <w:tcW w:w="20" w:type="dxa"/>
            <w:vAlign w:val="bottom"/>
          </w:tcPr>
          <w:p>
            <w:pPr>
              <w:spacing w:after="0"/>
              <w:rPr>
                <w:sz w:val="12"/>
                <w:szCs w:val="12"/>
                <w:color w:val="auto"/>
              </w:rPr>
            </w:pPr>
          </w:p>
        </w:tc>
        <w:tc>
          <w:tcPr>
            <w:tcW w:w="41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Depreciation</w:t>
            </w:r>
          </w:p>
        </w:tc>
        <w:tc>
          <w:tcPr>
            <w:tcW w:w="4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7</w:t>
            </w:r>
          </w:p>
        </w:tc>
        <w:tc>
          <w:tcPr>
            <w:tcW w:w="30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1,471</w:t>
            </w:r>
          </w:p>
        </w:tc>
        <w:tc>
          <w:tcPr>
            <w:tcW w:w="30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1,478</w:t>
            </w:r>
          </w:p>
        </w:tc>
      </w:tr>
      <w:tr>
        <w:trPr>
          <w:trHeight w:val="149"/>
        </w:trPr>
        <w:tc>
          <w:tcPr>
            <w:tcW w:w="20" w:type="dxa"/>
            <w:vAlign w:val="bottom"/>
          </w:tcPr>
          <w:p>
            <w:pPr>
              <w:spacing w:after="0"/>
              <w:rPr>
                <w:sz w:val="12"/>
                <w:szCs w:val="12"/>
                <w:color w:val="auto"/>
              </w:rPr>
            </w:pPr>
          </w:p>
        </w:tc>
        <w:tc>
          <w:tcPr>
            <w:tcW w:w="41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384</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385</w:t>
            </w:r>
          </w:p>
        </w:tc>
      </w:tr>
      <w:tr>
        <w:trPr>
          <w:trHeight w:val="142"/>
        </w:trPr>
        <w:tc>
          <w:tcPr>
            <w:tcW w:w="20" w:type="dxa"/>
            <w:vAlign w:val="bottom"/>
          </w:tcPr>
          <w:p>
            <w:pPr>
              <w:spacing w:after="0"/>
              <w:rPr>
                <w:sz w:val="12"/>
                <w:szCs w:val="12"/>
                <w:color w:val="auto"/>
              </w:rPr>
            </w:pPr>
          </w:p>
        </w:tc>
        <w:tc>
          <w:tcPr>
            <w:tcW w:w="4100" w:type="dxa"/>
            <w:vAlign w:val="bottom"/>
            <w:tcBorders>
              <w:bottom w:val="single" w:sz="8" w:color="auto"/>
            </w:tcBorders>
            <w:shd w:val="clear" w:color="auto" w:fill="E5E5E5"/>
          </w:tcPr>
          <w:p>
            <w:pPr>
              <w:spacing w:after="0"/>
              <w:rPr>
                <w:sz w:val="12"/>
                <w:szCs w:val="12"/>
                <w:color w:val="auto"/>
              </w:rPr>
            </w:pPr>
          </w:p>
        </w:tc>
        <w:tc>
          <w:tcPr>
            <w:tcW w:w="4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97</w:t>
            </w:r>
          </w:p>
        </w:tc>
        <w:tc>
          <w:tcPr>
            <w:tcW w:w="30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195</w:t>
            </w:r>
          </w:p>
        </w:tc>
        <w:tc>
          <w:tcPr>
            <w:tcW w:w="280" w:type="dxa"/>
            <w:vAlign w:val="bottom"/>
            <w:tcBorders>
              <w:bottom w:val="single" w:sz="8" w:color="auto"/>
            </w:tcBorders>
            <w:shd w:val="clear" w:color="auto" w:fill="E5E5E5"/>
          </w:tcPr>
          <w:p>
            <w:pPr>
              <w:spacing w:after="0"/>
              <w:rPr>
                <w:sz w:val="12"/>
                <w:szCs w:val="12"/>
                <w:color w:val="auto"/>
              </w:rPr>
            </w:pPr>
          </w:p>
        </w:tc>
        <w:tc>
          <w:tcPr>
            <w:tcW w:w="76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119</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80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11,498</w:t>
            </w:r>
          </w:p>
        </w:tc>
        <w:tc>
          <w:tcPr>
            <w:tcW w:w="30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(514)</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11,395</w:t>
            </w:r>
          </w:p>
        </w:tc>
      </w:tr>
      <w:tr>
        <w:trPr>
          <w:trHeight w:val="142"/>
        </w:trPr>
        <w:tc>
          <w:tcPr>
            <w:tcW w:w="20" w:type="dxa"/>
            <w:vAlign w:val="bottom"/>
          </w:tcPr>
          <w:p>
            <w:pPr>
              <w:spacing w:after="0"/>
              <w:rPr>
                <w:sz w:val="12"/>
                <w:szCs w:val="12"/>
                <w:color w:val="auto"/>
              </w:rPr>
            </w:pPr>
          </w:p>
        </w:tc>
        <w:tc>
          <w:tcPr>
            <w:tcW w:w="4100" w:type="dxa"/>
            <w:vAlign w:val="bottom"/>
          </w:tcPr>
          <w:p>
            <w:pPr>
              <w:spacing w:after="0" w:line="142" w:lineRule="exact"/>
              <w:rPr>
                <w:sz w:val="20"/>
                <w:szCs w:val="20"/>
                <w:color w:val="auto"/>
              </w:rPr>
            </w:pPr>
            <w:r>
              <w:rPr>
                <w:rFonts w:ascii="Arial" w:cs="Arial" w:eastAsia="Arial" w:hAnsi="Arial"/>
                <w:sz w:val="14"/>
                <w:szCs w:val="14"/>
                <w:color w:val="auto"/>
              </w:rPr>
              <w:t>Operating income (loss)</w:t>
            </w:r>
          </w:p>
        </w:tc>
        <w:tc>
          <w:tcPr>
            <w:tcW w:w="400" w:type="dxa"/>
            <w:vAlign w:val="bottom"/>
          </w:tcPr>
          <w:p>
            <w:pPr>
              <w:spacing w:after="0"/>
              <w:rPr>
                <w:sz w:val="12"/>
                <w:szCs w:val="12"/>
                <w:color w:val="auto"/>
              </w:rPr>
            </w:pPr>
          </w:p>
        </w:tc>
        <w:tc>
          <w:tcPr>
            <w:tcW w:w="60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103</w:t>
            </w:r>
          </w:p>
        </w:tc>
        <w:tc>
          <w:tcPr>
            <w:tcW w:w="300" w:type="dxa"/>
            <w:vAlign w:val="bottom"/>
          </w:tcPr>
          <w:p>
            <w:pPr>
              <w:spacing w:after="0"/>
              <w:rPr>
                <w:sz w:val="12"/>
                <w:szCs w:val="12"/>
                <w:color w:val="auto"/>
              </w:rPr>
            </w:pPr>
          </w:p>
        </w:tc>
        <w:tc>
          <w:tcPr>
            <w:tcW w:w="56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6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4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2,835</w:t>
            </w:r>
          </w:p>
        </w:tc>
        <w:tc>
          <w:tcPr>
            <w:tcW w:w="300" w:type="dxa"/>
            <w:vAlign w:val="bottom"/>
          </w:tcPr>
          <w:p>
            <w:pPr>
              <w:spacing w:after="0"/>
              <w:rPr>
                <w:sz w:val="12"/>
                <w:szCs w:val="12"/>
                <w:color w:val="auto"/>
              </w:rPr>
            </w:pPr>
          </w:p>
        </w:tc>
        <w:tc>
          <w:tcPr>
            <w:tcW w:w="96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2,938</w:t>
            </w:r>
          </w:p>
        </w:tc>
      </w:tr>
      <w:tr>
        <w:trPr>
          <w:trHeight w:val="149"/>
        </w:trPr>
        <w:tc>
          <w:tcPr>
            <w:tcW w:w="20" w:type="dxa"/>
            <w:vAlign w:val="bottom"/>
          </w:tcPr>
          <w:p>
            <w:pPr>
              <w:spacing w:after="0"/>
              <w:rPr>
                <w:sz w:val="12"/>
                <w:szCs w:val="12"/>
                <w:color w:val="auto"/>
              </w:rPr>
            </w:pPr>
          </w:p>
        </w:tc>
        <w:tc>
          <w:tcPr>
            <w:tcW w:w="410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Other Income (Expense):</w:t>
            </w:r>
          </w:p>
        </w:tc>
        <w:tc>
          <w:tcPr>
            <w:tcW w:w="4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56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40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(358)</w:t>
            </w:r>
          </w:p>
        </w:tc>
        <w:tc>
          <w:tcPr>
            <w:tcW w:w="300" w:type="dxa"/>
            <w:vAlign w:val="bottom"/>
          </w:tcPr>
          <w:p>
            <w:pPr>
              <w:spacing w:after="0"/>
              <w:rPr>
                <w:sz w:val="12"/>
                <w:szCs w:val="12"/>
                <w:color w:val="auto"/>
              </w:rPr>
            </w:pP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(82)</w:t>
            </w:r>
          </w:p>
        </w:tc>
        <w:tc>
          <w:tcPr>
            <w:tcW w:w="280" w:type="dxa"/>
            <w:vAlign w:val="bottom"/>
          </w:tcPr>
          <w:p>
            <w:pPr>
              <w:spacing w:after="0"/>
              <w:rPr>
                <w:sz w:val="12"/>
                <w:szCs w:val="12"/>
                <w:color w:val="auto"/>
              </w:rPr>
            </w:pPr>
          </w:p>
        </w:tc>
        <w:tc>
          <w:tcPr>
            <w:tcW w:w="7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(43)</w:t>
            </w:r>
          </w:p>
        </w:tc>
        <w:tc>
          <w:tcPr>
            <w:tcW w:w="34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w:t>
            </w:r>
          </w:p>
        </w:tc>
        <w:tc>
          <w:tcPr>
            <w:tcW w:w="340" w:type="dxa"/>
            <w:vAlign w:val="bottom"/>
          </w:tcPr>
          <w:p>
            <w:pPr>
              <w:spacing w:after="0"/>
              <w:rPr>
                <w:sz w:val="12"/>
                <w:szCs w:val="12"/>
                <w:color w:val="auto"/>
              </w:rPr>
            </w:pPr>
          </w:p>
        </w:tc>
        <w:tc>
          <w:tcPr>
            <w:tcW w:w="8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(130)</w:t>
            </w:r>
          </w:p>
        </w:tc>
        <w:tc>
          <w:tcPr>
            <w:tcW w:w="30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(621)</w:t>
            </w:r>
          </w:p>
        </w:tc>
      </w:tr>
      <w:tr>
        <w:trPr>
          <w:trHeight w:val="149"/>
        </w:trPr>
        <w:tc>
          <w:tcPr>
            <w:tcW w:w="20" w:type="dxa"/>
            <w:vAlign w:val="bottom"/>
          </w:tcPr>
          <w:p>
            <w:pPr>
              <w:spacing w:after="0"/>
              <w:rPr>
                <w:sz w:val="12"/>
                <w:szCs w:val="12"/>
                <w:color w:val="auto"/>
              </w:rPr>
            </w:pPr>
          </w:p>
        </w:tc>
        <w:tc>
          <w:tcPr>
            <w:tcW w:w="410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4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58</w:t>
            </w:r>
          </w:p>
        </w:tc>
        <w:tc>
          <w:tcPr>
            <w:tcW w:w="30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61</w:t>
            </w:r>
          </w:p>
        </w:tc>
      </w:tr>
      <w:tr>
        <w:trPr>
          <w:trHeight w:val="149"/>
        </w:trPr>
        <w:tc>
          <w:tcPr>
            <w:tcW w:w="20" w:type="dxa"/>
            <w:vAlign w:val="bottom"/>
          </w:tcPr>
          <w:p>
            <w:pPr>
              <w:spacing w:after="0"/>
              <w:rPr>
                <w:sz w:val="12"/>
                <w:szCs w:val="12"/>
                <w:color w:val="auto"/>
              </w:rPr>
            </w:pPr>
          </w:p>
        </w:tc>
        <w:tc>
          <w:tcPr>
            <w:tcW w:w="410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400" w:type="dxa"/>
            <w:vAlign w:val="bottom"/>
          </w:tcPr>
          <w:p>
            <w:pPr>
              <w:spacing w:after="0"/>
              <w:rPr>
                <w:sz w:val="12"/>
                <w:szCs w:val="12"/>
                <w:color w:val="auto"/>
              </w:rPr>
            </w:pP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6"/>
              </w:rPr>
              <w:t>1,186</w:t>
            </w:r>
          </w:p>
        </w:tc>
        <w:tc>
          <w:tcPr>
            <w:tcW w:w="300" w:type="dxa"/>
            <w:vAlign w:val="bottom"/>
          </w:tcPr>
          <w:p>
            <w:pPr>
              <w:spacing w:after="0"/>
              <w:rPr>
                <w:sz w:val="12"/>
                <w:szCs w:val="12"/>
                <w:color w:val="auto"/>
              </w:rPr>
            </w:pPr>
          </w:p>
        </w:tc>
        <w:tc>
          <w:tcPr>
            <w:tcW w:w="56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79"/>
              </w:rPr>
              <w:t>1,336</w:t>
            </w:r>
          </w:p>
        </w:tc>
        <w:tc>
          <w:tcPr>
            <w:tcW w:w="280" w:type="dxa"/>
            <w:vAlign w:val="bottom"/>
          </w:tcPr>
          <w:p>
            <w:pPr>
              <w:spacing w:after="0"/>
              <w:rPr>
                <w:sz w:val="12"/>
                <w:szCs w:val="12"/>
                <w:color w:val="auto"/>
              </w:rPr>
            </w:pP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805</w:t>
            </w:r>
          </w:p>
        </w:tc>
        <w:tc>
          <w:tcPr>
            <w:tcW w:w="340" w:type="dxa"/>
            <w:vAlign w:val="bottom"/>
          </w:tcPr>
          <w:p>
            <w:pPr>
              <w:spacing w:after="0"/>
              <w:rPr>
                <w:sz w:val="12"/>
                <w:szCs w:val="12"/>
                <w:color w:val="auto"/>
              </w:rPr>
            </w:pP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1,424</w:t>
            </w:r>
          </w:p>
        </w:tc>
        <w:tc>
          <w:tcPr>
            <w:tcW w:w="340" w:type="dxa"/>
            <w:vAlign w:val="bottom"/>
          </w:tcPr>
          <w:p>
            <w:pPr>
              <w:spacing w:after="0"/>
              <w:rPr>
                <w:sz w:val="12"/>
                <w:szCs w:val="12"/>
                <w:color w:val="auto"/>
              </w:rPr>
            </w:pPr>
          </w:p>
        </w:tc>
        <w:tc>
          <w:tcPr>
            <w:tcW w:w="8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37</w:t>
            </w:r>
          </w:p>
        </w:tc>
        <w:tc>
          <w:tcPr>
            <w:tcW w:w="300" w:type="dxa"/>
            <w:vAlign w:val="bottom"/>
          </w:tcPr>
          <w:p>
            <w:pPr>
              <w:spacing w:after="0"/>
              <w:rPr>
                <w:sz w:val="12"/>
                <w:szCs w:val="12"/>
                <w:color w:val="auto"/>
              </w:rPr>
            </w:pP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(4,751)</w:t>
            </w:r>
          </w:p>
        </w:tc>
        <w:tc>
          <w:tcPr>
            <w:tcW w:w="32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37</w:t>
            </w:r>
          </w:p>
        </w:tc>
      </w:tr>
      <w:tr>
        <w:trPr>
          <w:trHeight w:val="149"/>
        </w:trPr>
        <w:tc>
          <w:tcPr>
            <w:tcW w:w="20" w:type="dxa"/>
            <w:vAlign w:val="bottom"/>
          </w:tcPr>
          <w:p>
            <w:pPr>
              <w:spacing w:after="0"/>
              <w:rPr>
                <w:sz w:val="12"/>
                <w:szCs w:val="12"/>
                <w:color w:val="auto"/>
              </w:rPr>
            </w:pPr>
          </w:p>
        </w:tc>
        <w:tc>
          <w:tcPr>
            <w:tcW w:w="410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income (expense), net</w:t>
            </w:r>
          </w:p>
        </w:tc>
        <w:tc>
          <w:tcPr>
            <w:tcW w:w="4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spacing w:after="0"/>
              <w:rPr>
                <w:sz w:val="12"/>
                <w:szCs w:val="12"/>
                <w:color w:val="auto"/>
              </w:rPr>
            </w:pPr>
          </w:p>
        </w:tc>
        <w:tc>
          <w:tcPr>
            <w:tcW w:w="8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(35)</w:t>
            </w:r>
          </w:p>
        </w:tc>
        <w:tc>
          <w:tcPr>
            <w:tcW w:w="30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(34)</w:t>
            </w:r>
          </w:p>
        </w:tc>
      </w:tr>
      <w:tr>
        <w:trPr>
          <w:trHeight w:val="142"/>
        </w:trPr>
        <w:tc>
          <w:tcPr>
            <w:tcW w:w="20" w:type="dxa"/>
            <w:vAlign w:val="bottom"/>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831</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w w:val="79"/>
              </w:rPr>
              <w:t>1,254</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762</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1,417</w:t>
            </w: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(70)</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(4,751)</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(557)</w:t>
            </w:r>
          </w:p>
        </w:tc>
      </w:tr>
      <w:tr>
        <w:trPr>
          <w:trHeight w:val="142"/>
        </w:trPr>
        <w:tc>
          <w:tcPr>
            <w:tcW w:w="20" w:type="dxa"/>
            <w:vAlign w:val="bottom"/>
          </w:tcPr>
          <w:p>
            <w:pPr>
              <w:spacing w:after="0"/>
              <w:rPr>
                <w:sz w:val="12"/>
                <w:szCs w:val="12"/>
                <w:color w:val="auto"/>
              </w:rPr>
            </w:pPr>
          </w:p>
        </w:tc>
        <w:tc>
          <w:tcPr>
            <w:tcW w:w="410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4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934</w:t>
            </w:r>
          </w:p>
        </w:tc>
        <w:tc>
          <w:tcPr>
            <w:tcW w:w="30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w w:val="79"/>
              </w:rPr>
              <w:t>1,254</w:t>
            </w:r>
          </w:p>
        </w:tc>
        <w:tc>
          <w:tcPr>
            <w:tcW w:w="28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762</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1,417</w:t>
            </w:r>
          </w:p>
        </w:tc>
        <w:tc>
          <w:tcPr>
            <w:tcW w:w="3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2,765</w:t>
            </w:r>
          </w:p>
        </w:tc>
        <w:tc>
          <w:tcPr>
            <w:tcW w:w="30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(4,751)</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2,381</w:t>
            </w:r>
          </w:p>
        </w:tc>
      </w:tr>
      <w:tr>
        <w:trPr>
          <w:trHeight w:val="149"/>
        </w:trPr>
        <w:tc>
          <w:tcPr>
            <w:tcW w:w="20" w:type="dxa"/>
            <w:vAlign w:val="bottom"/>
          </w:tcPr>
          <w:p>
            <w:pPr>
              <w:spacing w:after="0"/>
              <w:rPr>
                <w:sz w:val="12"/>
                <w:szCs w:val="12"/>
                <w:color w:val="auto"/>
              </w:rPr>
            </w:pPr>
          </w:p>
        </w:tc>
        <w:tc>
          <w:tcPr>
            <w:tcW w:w="41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88</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28</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15</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2</w:t>
            </w: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(1,147)</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(1,014)</w:t>
            </w:r>
          </w:p>
        </w:tc>
      </w:tr>
      <w:tr>
        <w:trPr>
          <w:trHeight w:val="142"/>
        </w:trPr>
        <w:tc>
          <w:tcPr>
            <w:tcW w:w="20" w:type="dxa"/>
            <w:vAlign w:val="bottom"/>
          </w:tcPr>
          <w:p>
            <w:pPr>
              <w:spacing w:after="0"/>
              <w:rPr>
                <w:sz w:val="12"/>
                <w:szCs w:val="12"/>
                <w:color w:val="auto"/>
              </w:rPr>
            </w:pPr>
          </w:p>
        </w:tc>
        <w:tc>
          <w:tcPr>
            <w:tcW w:w="410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Net income (loss)</w:t>
            </w:r>
          </w:p>
        </w:tc>
        <w:tc>
          <w:tcPr>
            <w:tcW w:w="4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w w:val="96"/>
              </w:rPr>
              <w:t>1,022</w:t>
            </w:r>
          </w:p>
        </w:tc>
        <w:tc>
          <w:tcPr>
            <w:tcW w:w="30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w w:val="79"/>
              </w:rPr>
              <w:t>1,282</w:t>
            </w:r>
          </w:p>
        </w:tc>
        <w:tc>
          <w:tcPr>
            <w:tcW w:w="28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777</w:t>
            </w:r>
          </w:p>
        </w:tc>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1,419</w:t>
            </w:r>
          </w:p>
        </w:tc>
        <w:tc>
          <w:tcPr>
            <w:tcW w:w="340" w:type="dxa"/>
            <w:vAlign w:val="bottom"/>
            <w:shd w:val="clear" w:color="auto" w:fill="E5E5E5"/>
          </w:tcPr>
          <w:p>
            <w:pPr>
              <w:spacing w:after="0"/>
              <w:rPr>
                <w:sz w:val="12"/>
                <w:szCs w:val="12"/>
                <w:color w:val="auto"/>
              </w:rPr>
            </w:pPr>
          </w:p>
        </w:tc>
        <w:tc>
          <w:tcPr>
            <w:tcW w:w="80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1,618</w:t>
            </w:r>
          </w:p>
        </w:tc>
        <w:tc>
          <w:tcPr>
            <w:tcW w:w="30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(4,751)</w:t>
            </w:r>
          </w:p>
        </w:tc>
        <w:tc>
          <w:tcPr>
            <w:tcW w:w="32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1,367</w:t>
            </w:r>
          </w:p>
        </w:tc>
      </w:tr>
      <w:tr>
        <w:trPr>
          <w:trHeight w:val="149"/>
        </w:trPr>
        <w:tc>
          <w:tcPr>
            <w:tcW w:w="20" w:type="dxa"/>
            <w:vAlign w:val="bottom"/>
          </w:tcPr>
          <w:p>
            <w:pPr>
              <w:spacing w:after="0"/>
              <w:rPr>
                <w:sz w:val="12"/>
                <w:szCs w:val="12"/>
                <w:color w:val="auto"/>
              </w:rPr>
            </w:pPr>
          </w:p>
        </w:tc>
        <w:tc>
          <w:tcPr>
            <w:tcW w:w="41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(345)</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(345)</w:t>
            </w:r>
          </w:p>
        </w:tc>
      </w:tr>
      <w:tr>
        <w:trPr>
          <w:trHeight w:val="142"/>
        </w:trPr>
        <w:tc>
          <w:tcPr>
            <w:tcW w:w="20" w:type="dxa"/>
            <w:vAlign w:val="bottom"/>
          </w:tcPr>
          <w:p>
            <w:pPr>
              <w:spacing w:after="0"/>
              <w:rPr>
                <w:sz w:val="12"/>
                <w:szCs w:val="12"/>
                <w:color w:val="auto"/>
              </w:rPr>
            </w:pPr>
          </w:p>
        </w:tc>
        <w:tc>
          <w:tcPr>
            <w:tcW w:w="410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400" w:type="dxa"/>
            <w:vAlign w:val="bottom"/>
            <w:tcBorders>
              <w:bottom w:val="single" w:sz="8" w:color="auto"/>
            </w:tcBorders>
            <w:shd w:val="clear" w:color="auto" w:fill="E5E5E5"/>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1,022</w:t>
            </w:r>
          </w:p>
        </w:tc>
        <w:tc>
          <w:tcPr>
            <w:tcW w:w="30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w w:val="79"/>
              </w:rPr>
              <w:t>1,282</w:t>
            </w:r>
          </w:p>
        </w:tc>
        <w:tc>
          <w:tcPr>
            <w:tcW w:w="2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777</w:t>
            </w:r>
          </w:p>
        </w:tc>
        <w:tc>
          <w:tcPr>
            <w:tcW w:w="34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1,419</w:t>
            </w:r>
          </w:p>
        </w:tc>
        <w:tc>
          <w:tcPr>
            <w:tcW w:w="34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1,273</w:t>
            </w:r>
          </w:p>
        </w:tc>
        <w:tc>
          <w:tcPr>
            <w:tcW w:w="30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(4,751)</w:t>
            </w:r>
          </w:p>
        </w:tc>
        <w:tc>
          <w:tcPr>
            <w:tcW w:w="320" w:type="dxa"/>
            <w:vAlign w:val="bottom"/>
            <w:tcBorders>
              <w:bottom w:val="single" w:sz="8" w:color="auto"/>
            </w:tcBorders>
            <w:shd w:val="clear" w:color="auto" w:fill="E5E5E5"/>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1,022</w:t>
            </w:r>
          </w:p>
        </w:tc>
      </w:tr>
      <w:tr>
        <w:trPr>
          <w:trHeight w:val="149"/>
        </w:trPr>
        <w:tc>
          <w:tcPr>
            <w:tcW w:w="2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2"/>
              </w:rPr>
              <w:t>Comprehensive income (loss) attributable to Comcast Corporation</w:t>
            </w:r>
          </w:p>
        </w:tc>
        <w:tc>
          <w:tcPr>
            <w:tcW w:w="40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1,014</w:t>
            </w:r>
          </w:p>
        </w:tc>
        <w:tc>
          <w:tcPr>
            <w:tcW w:w="3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79"/>
              </w:rPr>
              <w:t>1,284</w:t>
            </w:r>
          </w:p>
        </w:tc>
        <w:tc>
          <w:tcPr>
            <w:tcW w:w="28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777</w:t>
            </w:r>
          </w:p>
        </w:tc>
        <w:tc>
          <w:tcPr>
            <w:tcW w:w="3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1,419</w:t>
            </w:r>
          </w:p>
        </w:tc>
        <w:tc>
          <w:tcPr>
            <w:tcW w:w="3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1,270</w:t>
            </w:r>
          </w:p>
        </w:tc>
        <w:tc>
          <w:tcPr>
            <w:tcW w:w="3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(4,750)</w:t>
            </w:r>
          </w:p>
        </w:tc>
        <w:tc>
          <w:tcPr>
            <w:tcW w:w="32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1,014</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ind w:right="212"/>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920" w:type="dxa"/>
            <w:vAlign w:val="bottom"/>
          </w:tcPr>
          <w:p>
            <w:pPr>
              <w:jc w:val="center"/>
              <w:ind w:right="212"/>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Comcast</w:t>
            </w: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06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Guarantor</w:t>
            </w:r>
          </w:p>
        </w:tc>
        <w:tc>
          <w:tcPr>
            <w:tcW w:w="11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3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0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780" w:type="dxa"/>
            <w:vAlign w:val="bottom"/>
            <w:gridSpan w:val="2"/>
          </w:tcPr>
          <w:p>
            <w:pPr>
              <w:ind w:left="200"/>
              <w:spacing w:after="0"/>
              <w:rPr>
                <w:sz w:val="20"/>
                <w:szCs w:val="20"/>
                <w:color w:val="auto"/>
              </w:rPr>
            </w:pPr>
            <w:r>
              <w:rPr>
                <w:rFonts w:ascii="Arial" w:cs="Arial" w:eastAsia="Arial" w:hAnsi="Arial"/>
                <w:sz w:val="14"/>
                <w:szCs w:val="14"/>
                <w:color w:val="auto"/>
              </w:rPr>
              <w:t>Parent</w:t>
            </w:r>
          </w:p>
        </w:tc>
        <w:tc>
          <w:tcPr>
            <w:tcW w:w="240" w:type="dxa"/>
            <w:vAlign w:val="bottom"/>
          </w:tcPr>
          <w:p>
            <w:pPr>
              <w:spacing w:after="0"/>
              <w:rPr>
                <w:sz w:val="15"/>
                <w:szCs w:val="15"/>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color w:val="auto"/>
                <w:w w:val="78"/>
              </w:rPr>
              <w:t>Parents</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1060" w:type="dxa"/>
            <w:vAlign w:val="bottom"/>
            <w:gridSpan w:val="2"/>
          </w:tcPr>
          <w:p>
            <w:pPr>
              <w:ind w:left="180"/>
              <w:spacing w:after="0"/>
              <w:rPr>
                <w:sz w:val="20"/>
                <w:szCs w:val="20"/>
                <w:color w:val="auto"/>
              </w:rPr>
            </w:pPr>
            <w:r>
              <w:rPr>
                <w:rFonts w:ascii="Arial" w:cs="Arial" w:eastAsia="Arial" w:hAnsi="Arial"/>
                <w:sz w:val="14"/>
                <w:szCs w:val="14"/>
                <w:color w:val="auto"/>
              </w:rPr>
              <w:t>Subsidiaries</w:t>
            </w: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2"/>
              <w:spacing w:after="0"/>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434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Revenue:</w:t>
            </w:r>
          </w:p>
        </w:tc>
        <w:tc>
          <w:tcPr>
            <w:tcW w:w="62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54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72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320" w:type="dxa"/>
            <w:vAlign w:val="bottom"/>
            <w:tcBorders>
              <w:top w:val="single" w:sz="8" w:color="auto"/>
            </w:tcBorders>
            <w:shd w:val="clear" w:color="auto" w:fill="E5E5E5"/>
          </w:tcPr>
          <w:p>
            <w:pPr>
              <w:spacing w:after="0"/>
              <w:rPr>
                <w:sz w:val="12"/>
                <w:szCs w:val="12"/>
                <w:color w:val="auto"/>
              </w:rPr>
            </w:pPr>
          </w:p>
        </w:tc>
        <w:tc>
          <w:tcPr>
            <w:tcW w:w="74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92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6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30,089</w:t>
            </w:r>
          </w:p>
        </w:tc>
        <w:tc>
          <w:tcPr>
            <w:tcW w:w="260" w:type="dxa"/>
            <w:vAlign w:val="bottom"/>
          </w:tcPr>
          <w:p>
            <w:pPr>
              <w:ind w:left="18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30,089</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62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414</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405</w:t>
            </w:r>
          </w:p>
        </w:tc>
        <w:tc>
          <w:tcPr>
            <w:tcW w:w="2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252</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(1,071)</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414</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405</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252</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30,089</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(1,071)</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30,089</w:t>
            </w:r>
          </w:p>
        </w:tc>
      </w:tr>
      <w:tr>
        <w:trPr>
          <w:trHeight w:val="142"/>
        </w:trPr>
        <w:tc>
          <w:tcPr>
            <w:tcW w:w="20" w:type="dxa"/>
            <w:vAlign w:val="bottom"/>
          </w:tcPr>
          <w:p>
            <w:pPr>
              <w:spacing w:after="0"/>
              <w:rPr>
                <w:sz w:val="12"/>
                <w:szCs w:val="12"/>
                <w:color w:val="auto"/>
              </w:rPr>
            </w:pPr>
          </w:p>
        </w:tc>
        <w:tc>
          <w:tcPr>
            <w:tcW w:w="434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Costs and Expenses:</w:t>
            </w:r>
          </w:p>
        </w:tc>
        <w:tc>
          <w:tcPr>
            <w:tcW w:w="62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Arial" w:cs="Arial" w:eastAsia="Arial" w:hAnsi="Arial"/>
                <w:sz w:val="14"/>
                <w:szCs w:val="14"/>
                <w:color w:val="auto"/>
              </w:rPr>
              <w:t>Operating costs and expenses</w:t>
            </w:r>
          </w:p>
        </w:tc>
        <w:tc>
          <w:tcPr>
            <w:tcW w:w="62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191</w:t>
            </w:r>
          </w:p>
        </w:tc>
        <w:tc>
          <w:tcPr>
            <w:tcW w:w="24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405</w:t>
            </w:r>
          </w:p>
        </w:tc>
        <w:tc>
          <w:tcPr>
            <w:tcW w:w="24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252</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20,620</w:t>
            </w:r>
          </w:p>
        </w:tc>
        <w:tc>
          <w:tcPr>
            <w:tcW w:w="26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(1,071)</w:t>
            </w:r>
          </w:p>
        </w:tc>
        <w:tc>
          <w:tcPr>
            <w:tcW w:w="2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20,397</w:t>
            </w:r>
          </w:p>
        </w:tc>
      </w:tr>
      <w:tr>
        <w:trPr>
          <w:trHeight w:val="149"/>
        </w:trPr>
        <w:tc>
          <w:tcPr>
            <w:tcW w:w="20" w:type="dxa"/>
            <w:vAlign w:val="bottom"/>
          </w:tcPr>
          <w:p>
            <w:pPr>
              <w:spacing w:after="0"/>
              <w:rPr>
                <w:sz w:val="12"/>
                <w:szCs w:val="12"/>
                <w:color w:val="auto"/>
              </w:rPr>
            </w:pPr>
          </w:p>
        </w:tc>
        <w:tc>
          <w:tcPr>
            <w:tcW w:w="43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Depreciation</w:t>
            </w:r>
          </w:p>
        </w:tc>
        <w:tc>
          <w:tcPr>
            <w:tcW w:w="62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15</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3,030</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3,045</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6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808</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810</w:t>
            </w:r>
          </w:p>
        </w:tc>
      </w:tr>
      <w:tr>
        <w:trPr>
          <w:trHeight w:val="142"/>
        </w:trPr>
        <w:tc>
          <w:tcPr>
            <w:tcW w:w="20" w:type="dxa"/>
            <w:vAlign w:val="bottom"/>
          </w:tcPr>
          <w:p>
            <w:pPr>
              <w:spacing w:after="0"/>
              <w:rPr>
                <w:sz w:val="12"/>
                <w:szCs w:val="12"/>
                <w:color w:val="auto"/>
              </w:rPr>
            </w:pPr>
          </w:p>
        </w:tc>
        <w:tc>
          <w:tcPr>
            <w:tcW w:w="434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208</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405</w:t>
            </w:r>
          </w:p>
        </w:tc>
        <w:tc>
          <w:tcPr>
            <w:tcW w:w="2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252</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24,458</w:t>
            </w:r>
          </w:p>
        </w:tc>
        <w:tc>
          <w:tcPr>
            <w:tcW w:w="2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(1,071)</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24,252</w:t>
            </w:r>
          </w:p>
        </w:tc>
      </w:tr>
      <w:tr>
        <w:trPr>
          <w:trHeight w:val="142"/>
        </w:trPr>
        <w:tc>
          <w:tcPr>
            <w:tcW w:w="20" w:type="dxa"/>
            <w:vAlign w:val="bottom"/>
          </w:tcPr>
          <w:p>
            <w:pPr>
              <w:spacing w:after="0"/>
              <w:rPr>
                <w:sz w:val="12"/>
                <w:szCs w:val="12"/>
                <w:color w:val="auto"/>
              </w:rPr>
            </w:pPr>
          </w:p>
        </w:tc>
        <w:tc>
          <w:tcPr>
            <w:tcW w:w="4340" w:type="dxa"/>
            <w:vAlign w:val="bottom"/>
          </w:tcPr>
          <w:p>
            <w:pPr>
              <w:spacing w:after="0" w:line="142" w:lineRule="exact"/>
              <w:rPr>
                <w:sz w:val="20"/>
                <w:szCs w:val="20"/>
                <w:color w:val="auto"/>
              </w:rPr>
            </w:pPr>
            <w:r>
              <w:rPr>
                <w:rFonts w:ascii="Arial" w:cs="Arial" w:eastAsia="Arial" w:hAnsi="Arial"/>
                <w:sz w:val="14"/>
                <w:szCs w:val="14"/>
                <w:color w:val="auto"/>
              </w:rPr>
              <w:t>Operating income (loss)</w:t>
            </w:r>
          </w:p>
        </w:tc>
        <w:tc>
          <w:tcPr>
            <w:tcW w:w="62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206</w:t>
            </w:r>
          </w:p>
        </w:tc>
        <w:tc>
          <w:tcPr>
            <w:tcW w:w="240" w:type="dxa"/>
            <w:vAlign w:val="bottom"/>
          </w:tcPr>
          <w:p>
            <w:pPr>
              <w:spacing w:after="0"/>
              <w:rPr>
                <w:sz w:val="12"/>
                <w:szCs w:val="12"/>
                <w:color w:val="auto"/>
              </w:rPr>
            </w:pPr>
          </w:p>
        </w:tc>
        <w:tc>
          <w:tcPr>
            <w:tcW w:w="5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2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5,631</w:t>
            </w:r>
          </w:p>
        </w:tc>
        <w:tc>
          <w:tcPr>
            <w:tcW w:w="260" w:type="dxa"/>
            <w:vAlign w:val="bottom"/>
          </w:tcPr>
          <w:p>
            <w:pPr>
              <w:spacing w:after="0"/>
              <w:rPr>
                <w:sz w:val="12"/>
                <w:szCs w:val="12"/>
                <w:color w:val="auto"/>
              </w:rPr>
            </w:pPr>
          </w:p>
        </w:tc>
        <w:tc>
          <w:tcPr>
            <w:tcW w:w="92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5,837</w:t>
            </w:r>
          </w:p>
        </w:tc>
      </w:tr>
      <w:tr>
        <w:trPr>
          <w:trHeight w:val="149"/>
        </w:trPr>
        <w:tc>
          <w:tcPr>
            <w:tcW w:w="20" w:type="dxa"/>
            <w:vAlign w:val="bottom"/>
          </w:tcPr>
          <w:p>
            <w:pPr>
              <w:spacing w:after="0"/>
              <w:rPr>
                <w:sz w:val="12"/>
                <w:szCs w:val="12"/>
                <w:color w:val="auto"/>
              </w:rPr>
            </w:pPr>
          </w:p>
        </w:tc>
        <w:tc>
          <w:tcPr>
            <w:tcW w:w="434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Other Income (Expense):</w:t>
            </w:r>
          </w:p>
        </w:tc>
        <w:tc>
          <w:tcPr>
            <w:tcW w:w="62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62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(721)</w:t>
            </w:r>
          </w:p>
        </w:tc>
        <w:tc>
          <w:tcPr>
            <w:tcW w:w="2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(165)</w:t>
            </w:r>
          </w:p>
        </w:tc>
        <w:tc>
          <w:tcPr>
            <w:tcW w:w="24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(69)</w:t>
            </w:r>
          </w:p>
        </w:tc>
        <w:tc>
          <w:tcPr>
            <w:tcW w:w="3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w:t>
            </w:r>
          </w:p>
        </w:tc>
        <w:tc>
          <w:tcPr>
            <w:tcW w:w="3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(294)</w:t>
            </w:r>
          </w:p>
        </w:tc>
        <w:tc>
          <w:tcPr>
            <w:tcW w:w="260" w:type="dxa"/>
            <w:vAlign w:val="bottom"/>
          </w:tcPr>
          <w:p>
            <w:pPr>
              <w:spacing w:after="0"/>
              <w:rPr>
                <w:sz w:val="12"/>
                <w:szCs w:val="12"/>
                <w:color w:val="auto"/>
              </w:rPr>
            </w:pP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(1,265)</w:t>
            </w:r>
          </w:p>
        </w:tc>
      </w:tr>
      <w:tr>
        <w:trPr>
          <w:trHeight w:val="149"/>
        </w:trPr>
        <w:tc>
          <w:tcPr>
            <w:tcW w:w="20" w:type="dxa"/>
            <w:vAlign w:val="bottom"/>
          </w:tcPr>
          <w:p>
            <w:pPr>
              <w:spacing w:after="0"/>
              <w:rPr>
                <w:sz w:val="12"/>
                <w:szCs w:val="12"/>
                <w:color w:val="auto"/>
              </w:rPr>
            </w:pPr>
          </w:p>
        </w:tc>
        <w:tc>
          <w:tcPr>
            <w:tcW w:w="43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62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96</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100</w:t>
            </w:r>
          </w:p>
        </w:tc>
      </w:tr>
      <w:tr>
        <w:trPr>
          <w:trHeight w:val="149"/>
        </w:trPr>
        <w:tc>
          <w:tcPr>
            <w:tcW w:w="20" w:type="dxa"/>
            <w:vAlign w:val="bottom"/>
          </w:tcPr>
          <w:p>
            <w:pPr>
              <w:spacing w:after="0"/>
              <w:rPr>
                <w:sz w:val="12"/>
                <w:szCs w:val="12"/>
                <w:color w:val="auto"/>
              </w:rPr>
            </w:pPr>
          </w:p>
        </w:tc>
        <w:tc>
          <w:tcPr>
            <w:tcW w:w="434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62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2,905</w:t>
            </w:r>
          </w:p>
        </w:tc>
        <w:tc>
          <w:tcPr>
            <w:tcW w:w="24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85"/>
              </w:rPr>
              <w:t>3,222</w:t>
            </w:r>
          </w:p>
        </w:tc>
        <w:tc>
          <w:tcPr>
            <w:tcW w:w="240" w:type="dxa"/>
            <w:vAlign w:val="bottom"/>
          </w:tcPr>
          <w:p>
            <w:pPr>
              <w:spacing w:after="0"/>
              <w:rPr>
                <w:sz w:val="12"/>
                <w:szCs w:val="12"/>
                <w:color w:val="auto"/>
              </w:rPr>
            </w:pP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2,375</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3,124</w:t>
            </w:r>
          </w:p>
        </w:tc>
        <w:tc>
          <w:tcPr>
            <w:tcW w:w="32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32</w:t>
            </w:r>
          </w:p>
        </w:tc>
        <w:tc>
          <w:tcPr>
            <w:tcW w:w="26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(11,626)</w:t>
            </w:r>
          </w:p>
        </w:tc>
        <w:tc>
          <w:tcPr>
            <w:tcW w:w="2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income (expense), net</w:t>
            </w:r>
          </w:p>
        </w:tc>
        <w:tc>
          <w:tcPr>
            <w:tcW w:w="62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(63)</w:t>
            </w:r>
          </w:p>
        </w:tc>
        <w:tc>
          <w:tcPr>
            <w:tcW w:w="2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(63)</w:t>
            </w:r>
          </w:p>
        </w:tc>
      </w:tr>
      <w:tr>
        <w:trPr>
          <w:trHeight w:val="142"/>
        </w:trPr>
        <w:tc>
          <w:tcPr>
            <w:tcW w:w="20" w:type="dxa"/>
            <w:vAlign w:val="bottom"/>
          </w:tcPr>
          <w:p>
            <w:pPr>
              <w:spacing w:after="0"/>
              <w:rPr>
                <w:sz w:val="12"/>
                <w:szCs w:val="12"/>
                <w:color w:val="auto"/>
              </w:rPr>
            </w:pPr>
          </w:p>
        </w:tc>
        <w:tc>
          <w:tcPr>
            <w:tcW w:w="4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96"/>
              </w:rPr>
              <w:t>2,187</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85"/>
              </w:rPr>
              <w:t>3,057</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2,306</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3,109</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(229)</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(11,626)</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(1,196)</w:t>
            </w:r>
          </w:p>
        </w:tc>
      </w:tr>
      <w:tr>
        <w:trPr>
          <w:trHeight w:val="142"/>
        </w:trPr>
        <w:tc>
          <w:tcPr>
            <w:tcW w:w="20" w:type="dxa"/>
            <w:vAlign w:val="bottom"/>
          </w:tcPr>
          <w:p>
            <w:pPr>
              <w:spacing w:after="0"/>
              <w:rPr>
                <w:sz w:val="12"/>
                <w:szCs w:val="12"/>
                <w:color w:val="auto"/>
              </w:rPr>
            </w:pPr>
          </w:p>
        </w:tc>
        <w:tc>
          <w:tcPr>
            <w:tcW w:w="434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62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96"/>
              </w:rPr>
              <w:t>2,393</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85"/>
              </w:rPr>
              <w:t>3,057</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2,306</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3,109</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5,402</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(11,626)</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4,641</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6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179</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58</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24</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5</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(1,827)</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(1,561)</w:t>
            </w:r>
          </w:p>
        </w:tc>
      </w:tr>
      <w:tr>
        <w:trPr>
          <w:trHeight w:val="142"/>
        </w:trPr>
        <w:tc>
          <w:tcPr>
            <w:tcW w:w="20" w:type="dxa"/>
            <w:vAlign w:val="bottom"/>
          </w:tcPr>
          <w:p>
            <w:pPr>
              <w:spacing w:after="0"/>
              <w:rPr>
                <w:sz w:val="12"/>
                <w:szCs w:val="12"/>
                <w:color w:val="auto"/>
              </w:rPr>
            </w:pPr>
          </w:p>
        </w:tc>
        <w:tc>
          <w:tcPr>
            <w:tcW w:w="434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Net income (loss)</w:t>
            </w:r>
          </w:p>
        </w:tc>
        <w:tc>
          <w:tcPr>
            <w:tcW w:w="62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96"/>
              </w:rPr>
              <w:t>2,572</w:t>
            </w:r>
          </w:p>
        </w:tc>
        <w:tc>
          <w:tcPr>
            <w:tcW w:w="24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85"/>
              </w:rPr>
              <w:t>3,115</w:t>
            </w:r>
          </w:p>
        </w:tc>
        <w:tc>
          <w:tcPr>
            <w:tcW w:w="2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2,330</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3,114</w:t>
            </w:r>
          </w:p>
        </w:tc>
        <w:tc>
          <w:tcPr>
            <w:tcW w:w="32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3,575</w:t>
            </w:r>
          </w:p>
        </w:tc>
        <w:tc>
          <w:tcPr>
            <w:tcW w:w="2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12"/>
              <w:spacing w:after="0" w:line="142" w:lineRule="exact"/>
              <w:rPr>
                <w:sz w:val="20"/>
                <w:szCs w:val="20"/>
                <w:color w:val="auto"/>
              </w:rPr>
            </w:pPr>
            <w:r>
              <w:rPr>
                <w:rFonts w:ascii="Arial" w:cs="Arial" w:eastAsia="Arial" w:hAnsi="Arial"/>
                <w:sz w:val="14"/>
                <w:szCs w:val="14"/>
                <w:color w:val="auto"/>
              </w:rPr>
              <w:t>(11,626)</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3,080</w:t>
            </w:r>
          </w:p>
        </w:tc>
      </w:tr>
      <w:tr>
        <w:trPr>
          <w:trHeight w:val="149"/>
        </w:trPr>
        <w:tc>
          <w:tcPr>
            <w:tcW w:w="20" w:type="dxa"/>
            <w:vAlign w:val="bottom"/>
          </w:tcPr>
          <w:p>
            <w:pPr>
              <w:spacing w:after="0"/>
              <w:rPr>
                <w:sz w:val="12"/>
                <w:szCs w:val="12"/>
                <w:color w:val="auto"/>
              </w:rPr>
            </w:pPr>
          </w:p>
        </w:tc>
        <w:tc>
          <w:tcPr>
            <w:tcW w:w="4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6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(508)</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(508)</w:t>
            </w:r>
          </w:p>
        </w:tc>
      </w:tr>
      <w:tr>
        <w:trPr>
          <w:trHeight w:val="142"/>
        </w:trPr>
        <w:tc>
          <w:tcPr>
            <w:tcW w:w="20" w:type="dxa"/>
            <w:vAlign w:val="bottom"/>
          </w:tcPr>
          <w:p>
            <w:pPr>
              <w:spacing w:after="0"/>
              <w:rPr>
                <w:sz w:val="12"/>
                <w:szCs w:val="12"/>
                <w:color w:val="auto"/>
              </w:rPr>
            </w:pPr>
          </w:p>
        </w:tc>
        <w:tc>
          <w:tcPr>
            <w:tcW w:w="434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620" w:type="dxa"/>
            <w:vAlign w:val="bottom"/>
            <w:tcBorders>
              <w:bottom w:val="single" w:sz="8" w:color="auto"/>
            </w:tcBorders>
            <w:shd w:val="clear" w:color="auto" w:fill="E5E5E5"/>
          </w:tcPr>
          <w:p>
            <w:pPr>
              <w:ind w:left="52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2,572</w:t>
            </w:r>
          </w:p>
        </w:tc>
        <w:tc>
          <w:tcPr>
            <w:tcW w:w="2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w w:val="85"/>
              </w:rPr>
              <w:t>3,115</w:t>
            </w:r>
          </w:p>
        </w:tc>
        <w:tc>
          <w:tcPr>
            <w:tcW w:w="24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2,330</w:t>
            </w:r>
          </w:p>
        </w:tc>
        <w:tc>
          <w:tcPr>
            <w:tcW w:w="30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3,114</w:t>
            </w:r>
          </w:p>
        </w:tc>
        <w:tc>
          <w:tcPr>
            <w:tcW w:w="32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3,067</w:t>
            </w:r>
          </w:p>
        </w:tc>
        <w:tc>
          <w:tcPr>
            <w:tcW w:w="26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E5E5E5"/>
          </w:tcPr>
          <w:p>
            <w:pPr>
              <w:jc w:val="right"/>
              <w:ind w:right="112"/>
              <w:spacing w:after="0" w:line="142" w:lineRule="exact"/>
              <w:rPr>
                <w:sz w:val="20"/>
                <w:szCs w:val="20"/>
                <w:color w:val="auto"/>
              </w:rPr>
            </w:pPr>
            <w:r>
              <w:rPr>
                <w:rFonts w:ascii="Arial" w:cs="Arial" w:eastAsia="Arial" w:hAnsi="Arial"/>
                <w:sz w:val="14"/>
                <w:szCs w:val="14"/>
                <w:b w:val="1"/>
                <w:bCs w:val="1"/>
                <w:color w:val="auto"/>
              </w:rPr>
              <w:t>(11,626)</w:t>
            </w:r>
          </w:p>
        </w:tc>
        <w:tc>
          <w:tcPr>
            <w:tcW w:w="28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2,572</w:t>
            </w:r>
          </w:p>
        </w:tc>
      </w:tr>
      <w:tr>
        <w:trPr>
          <w:trHeight w:val="149"/>
        </w:trPr>
        <w:tc>
          <w:tcPr>
            <w:tcW w:w="20" w:type="dxa"/>
            <w:vAlign w:val="bottom"/>
            <w:tcBorders>
              <w:bottom w:val="single" w:sz="8" w:color="auto"/>
            </w:tcBorders>
          </w:tcPr>
          <w:p>
            <w:pPr>
              <w:spacing w:after="0"/>
              <w:rPr>
                <w:sz w:val="12"/>
                <w:szCs w:val="12"/>
                <w:color w:val="auto"/>
              </w:rPr>
            </w:pPr>
          </w:p>
        </w:tc>
        <w:tc>
          <w:tcPr>
            <w:tcW w:w="43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7"/>
              </w:rPr>
              <w:t>Comprehensive income (loss) attributable to Comcast Corporation</w:t>
            </w:r>
          </w:p>
        </w:tc>
        <w:tc>
          <w:tcPr>
            <w:tcW w:w="62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2,554</w:t>
            </w:r>
          </w:p>
        </w:tc>
        <w:tc>
          <w:tcPr>
            <w:tcW w:w="2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85"/>
              </w:rPr>
              <w:t>3,119</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2,330</w:t>
            </w:r>
          </w:p>
        </w:tc>
        <w:tc>
          <w:tcPr>
            <w:tcW w:w="3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3,114</w:t>
            </w:r>
          </w:p>
        </w:tc>
        <w:tc>
          <w:tcPr>
            <w:tcW w:w="3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3,062</w:t>
            </w:r>
          </w:p>
        </w:tc>
        <w:tc>
          <w:tcPr>
            <w:tcW w:w="2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(11,625)</w:t>
            </w:r>
          </w:p>
        </w:tc>
        <w:tc>
          <w:tcPr>
            <w:tcW w:w="2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2,554</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right="212"/>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920" w:type="dxa"/>
            <w:vAlign w:val="bottom"/>
          </w:tcPr>
          <w:p>
            <w:pPr>
              <w:jc w:val="center"/>
              <w:ind w:right="212"/>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Comcast</w:t>
            </w:r>
          </w:p>
        </w:tc>
        <w:tc>
          <w:tcPr>
            <w:tcW w:w="7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0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4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76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26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color w:val="auto"/>
                <w:w w:val="78"/>
              </w:rPr>
              <w:t>Parents</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104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2"/>
              <w:spacing w:after="0"/>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436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Revenue:</w:t>
            </w:r>
          </w:p>
        </w:tc>
        <w:tc>
          <w:tcPr>
            <w:tcW w:w="660" w:type="dxa"/>
            <w:vAlign w:val="bottom"/>
            <w:tcBorders>
              <w:top w:val="single" w:sz="8" w:color="auto"/>
            </w:tcBorders>
            <w:shd w:val="clear" w:color="auto" w:fill="E5E5E5"/>
          </w:tcPr>
          <w:p>
            <w:pPr>
              <w:spacing w:after="0"/>
              <w:rPr>
                <w:sz w:val="12"/>
                <w:szCs w:val="12"/>
                <w:color w:val="auto"/>
              </w:rPr>
            </w:pPr>
          </w:p>
        </w:tc>
        <w:tc>
          <w:tcPr>
            <w:tcW w:w="58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520" w:type="dxa"/>
            <w:vAlign w:val="bottom"/>
            <w:tcBorders>
              <w:top w:val="single" w:sz="8" w:color="auto"/>
            </w:tcBorders>
            <w:shd w:val="clear" w:color="auto" w:fill="E5E5E5"/>
          </w:tcPr>
          <w:p>
            <w:pPr>
              <w:spacing w:after="0"/>
              <w:rPr>
                <w:sz w:val="12"/>
                <w:szCs w:val="12"/>
                <w:color w:val="auto"/>
              </w:rPr>
            </w:pPr>
          </w:p>
        </w:tc>
        <w:tc>
          <w:tcPr>
            <w:tcW w:w="26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600" w:type="dxa"/>
            <w:vAlign w:val="bottom"/>
            <w:tcBorders>
              <w:top w:val="single" w:sz="8" w:color="auto"/>
            </w:tcBorders>
            <w:shd w:val="clear" w:color="auto" w:fill="E5E5E5"/>
          </w:tcPr>
          <w:p>
            <w:pPr>
              <w:spacing w:after="0"/>
              <w:rPr>
                <w:sz w:val="12"/>
                <w:szCs w:val="12"/>
                <w:color w:val="auto"/>
              </w:rPr>
            </w:pPr>
          </w:p>
        </w:tc>
        <w:tc>
          <w:tcPr>
            <w:tcW w:w="300" w:type="dxa"/>
            <w:vAlign w:val="bottom"/>
            <w:tcBorders>
              <w:top w:val="single" w:sz="8" w:color="auto"/>
            </w:tcBorders>
            <w:shd w:val="clear" w:color="auto" w:fill="E5E5E5"/>
          </w:tcPr>
          <w:p>
            <w:pPr>
              <w:spacing w:after="0"/>
              <w:rPr>
                <w:sz w:val="12"/>
                <w:szCs w:val="12"/>
                <w:color w:val="auto"/>
              </w:rPr>
            </w:pPr>
          </w:p>
        </w:tc>
        <w:tc>
          <w:tcPr>
            <w:tcW w:w="740" w:type="dxa"/>
            <w:vAlign w:val="bottom"/>
            <w:tcBorders>
              <w:top w:val="single" w:sz="8" w:color="auto"/>
            </w:tcBorders>
            <w:shd w:val="clear" w:color="auto" w:fill="E5E5E5"/>
          </w:tcPr>
          <w:p>
            <w:pPr>
              <w:spacing w:after="0"/>
              <w:rPr>
                <w:sz w:val="12"/>
                <w:szCs w:val="12"/>
                <w:color w:val="auto"/>
              </w:rPr>
            </w:pPr>
          </w:p>
        </w:tc>
        <w:tc>
          <w:tcPr>
            <w:tcW w:w="240" w:type="dxa"/>
            <w:vAlign w:val="bottom"/>
            <w:tcBorders>
              <w:top w:val="single" w:sz="8" w:color="auto"/>
            </w:tcBorders>
            <w:shd w:val="clear" w:color="auto" w:fill="E5E5E5"/>
          </w:tcPr>
          <w:p>
            <w:pPr>
              <w:spacing w:after="0"/>
              <w:rPr>
                <w:sz w:val="12"/>
                <w:szCs w:val="12"/>
                <w:color w:val="auto"/>
              </w:rPr>
            </w:pPr>
          </w:p>
        </w:tc>
        <w:tc>
          <w:tcPr>
            <w:tcW w:w="920" w:type="dxa"/>
            <w:vAlign w:val="bottom"/>
            <w:tcBorders>
              <w:top w:val="single" w:sz="8" w:color="auto"/>
            </w:tcBorders>
            <w:shd w:val="clear" w:color="auto" w:fill="E5E5E5"/>
          </w:tcPr>
          <w:p>
            <w:pPr>
              <w:spacing w:after="0"/>
              <w:rPr>
                <w:sz w:val="12"/>
                <w:szCs w:val="12"/>
                <w:color w:val="auto"/>
              </w:rPr>
            </w:pPr>
          </w:p>
        </w:tc>
        <w:tc>
          <w:tcPr>
            <w:tcW w:w="280" w:type="dxa"/>
            <w:vAlign w:val="bottom"/>
            <w:tcBorders>
              <w:top w:val="single" w:sz="8" w:color="auto"/>
            </w:tcBorders>
            <w:shd w:val="clear" w:color="auto" w:fill="E5E5E5"/>
          </w:tcPr>
          <w:p>
            <w:pPr>
              <w:spacing w:after="0"/>
              <w:rPr>
                <w:sz w:val="12"/>
                <w:szCs w:val="12"/>
                <w:color w:val="auto"/>
              </w:rPr>
            </w:pPr>
          </w:p>
        </w:tc>
        <w:tc>
          <w:tcPr>
            <w:tcW w:w="700" w:type="dxa"/>
            <w:vAlign w:val="bottom"/>
            <w:tcBorders>
              <w:top w:val="single" w:sz="8" w:color="auto"/>
            </w:tcBorders>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6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8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26,461</w:t>
            </w:r>
          </w:p>
        </w:tc>
        <w:tc>
          <w:tcPr>
            <w:tcW w:w="240" w:type="dxa"/>
            <w:vAlign w:val="bottom"/>
          </w:tcPr>
          <w:p>
            <w:pPr>
              <w:ind w:left="18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26,461</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6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398</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380</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234</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(1,012)</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398</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380</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234</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26,461</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(1,012)</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26,461</w:t>
            </w:r>
          </w:p>
        </w:tc>
      </w:tr>
      <w:tr>
        <w:trPr>
          <w:trHeight w:val="142"/>
        </w:trPr>
        <w:tc>
          <w:tcPr>
            <w:tcW w:w="20" w:type="dxa"/>
            <w:vAlign w:val="bottom"/>
          </w:tcPr>
          <w:p>
            <w:pPr>
              <w:spacing w:after="0"/>
              <w:rPr>
                <w:sz w:val="12"/>
                <w:szCs w:val="12"/>
                <w:color w:val="auto"/>
              </w:rPr>
            </w:pPr>
          </w:p>
        </w:tc>
        <w:tc>
          <w:tcPr>
            <w:tcW w:w="436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Costs and Expenses:</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Operating costs and expenses</w:t>
            </w:r>
          </w:p>
        </w:tc>
        <w:tc>
          <w:tcPr>
            <w:tcW w:w="66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237</w:t>
            </w:r>
          </w:p>
        </w:tc>
        <w:tc>
          <w:tcPr>
            <w:tcW w:w="24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380</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234</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w:t>
            </w:r>
          </w:p>
        </w:tc>
        <w:tc>
          <w:tcPr>
            <w:tcW w:w="30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17,750</w:t>
            </w:r>
          </w:p>
        </w:tc>
        <w:tc>
          <w:tcPr>
            <w:tcW w:w="24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(1,012)</w:t>
            </w:r>
          </w:p>
        </w:tc>
        <w:tc>
          <w:tcPr>
            <w:tcW w:w="2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17,594</w:t>
            </w:r>
          </w:p>
        </w:tc>
      </w:tr>
      <w:tr>
        <w:trPr>
          <w:trHeight w:val="149"/>
        </w:trPr>
        <w:tc>
          <w:tcPr>
            <w:tcW w:w="20" w:type="dxa"/>
            <w:vAlign w:val="bottom"/>
          </w:tcPr>
          <w:p>
            <w:pPr>
              <w:spacing w:after="0"/>
              <w:rPr>
                <w:sz w:val="12"/>
                <w:szCs w:val="12"/>
                <w:color w:val="auto"/>
              </w:rPr>
            </w:pPr>
          </w:p>
        </w:tc>
        <w:tc>
          <w:tcPr>
            <w:tcW w:w="436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Depreciation</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14</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2,950</w:t>
            </w: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2,964</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739</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741</w:t>
            </w:r>
          </w:p>
        </w:tc>
      </w:tr>
      <w:tr>
        <w:trPr>
          <w:trHeight w:val="142"/>
        </w:trPr>
        <w:tc>
          <w:tcPr>
            <w:tcW w:w="20" w:type="dxa"/>
            <w:vAlign w:val="bottom"/>
          </w:tcPr>
          <w:p>
            <w:pPr>
              <w:spacing w:after="0"/>
              <w:rPr>
                <w:sz w:val="12"/>
                <w:szCs w:val="12"/>
                <w:color w:val="auto"/>
              </w:rPr>
            </w:pPr>
          </w:p>
        </w:tc>
        <w:tc>
          <w:tcPr>
            <w:tcW w:w="436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253</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380</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234</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5</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21,439</w:t>
            </w:r>
          </w:p>
        </w:tc>
        <w:tc>
          <w:tcPr>
            <w:tcW w:w="24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(1,012)</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21,299</w:t>
            </w:r>
          </w:p>
        </w:tc>
      </w:tr>
      <w:tr>
        <w:trPr>
          <w:trHeight w:val="142"/>
        </w:trPr>
        <w:tc>
          <w:tcPr>
            <w:tcW w:w="20" w:type="dxa"/>
            <w:vAlign w:val="bottom"/>
          </w:tcPr>
          <w:p>
            <w:pPr>
              <w:spacing w:after="0"/>
              <w:rPr>
                <w:sz w:val="12"/>
                <w:szCs w:val="12"/>
                <w:color w:val="auto"/>
              </w:rPr>
            </w:pPr>
          </w:p>
        </w:tc>
        <w:tc>
          <w:tcPr>
            <w:tcW w:w="4360" w:type="dxa"/>
            <w:vAlign w:val="bottom"/>
          </w:tcPr>
          <w:p>
            <w:pPr>
              <w:spacing w:after="0" w:line="142" w:lineRule="exact"/>
              <w:rPr>
                <w:sz w:val="20"/>
                <w:szCs w:val="20"/>
                <w:color w:val="auto"/>
              </w:rPr>
            </w:pPr>
            <w:r>
              <w:rPr>
                <w:rFonts w:ascii="Arial" w:cs="Arial" w:eastAsia="Arial" w:hAnsi="Arial"/>
                <w:sz w:val="14"/>
                <w:szCs w:val="14"/>
                <w:color w:val="auto"/>
              </w:rPr>
              <w:t>Operating income (loss)</w:t>
            </w:r>
          </w:p>
        </w:tc>
        <w:tc>
          <w:tcPr>
            <w:tcW w:w="66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145</w:t>
            </w:r>
          </w:p>
        </w:tc>
        <w:tc>
          <w:tcPr>
            <w:tcW w:w="240" w:type="dxa"/>
            <w:vAlign w:val="bottom"/>
          </w:tcPr>
          <w:p>
            <w:pPr>
              <w:spacing w:after="0"/>
              <w:rPr>
                <w:sz w:val="12"/>
                <w:szCs w:val="12"/>
                <w:color w:val="auto"/>
              </w:rPr>
            </w:pPr>
          </w:p>
        </w:tc>
        <w:tc>
          <w:tcPr>
            <w:tcW w:w="52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(5)</w:t>
            </w:r>
          </w:p>
        </w:tc>
        <w:tc>
          <w:tcPr>
            <w:tcW w:w="300" w:type="dxa"/>
            <w:vAlign w:val="bottom"/>
          </w:tcPr>
          <w:p>
            <w:pPr>
              <w:spacing w:after="0"/>
              <w:rPr>
                <w:sz w:val="12"/>
                <w:szCs w:val="12"/>
                <w:color w:val="auto"/>
              </w:rPr>
            </w:pP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5,022</w:t>
            </w:r>
          </w:p>
        </w:tc>
        <w:tc>
          <w:tcPr>
            <w:tcW w:w="240" w:type="dxa"/>
            <w:vAlign w:val="bottom"/>
          </w:tcPr>
          <w:p>
            <w:pPr>
              <w:spacing w:after="0"/>
              <w:rPr>
                <w:sz w:val="12"/>
                <w:szCs w:val="12"/>
                <w:color w:val="auto"/>
              </w:rPr>
            </w:pPr>
          </w:p>
        </w:tc>
        <w:tc>
          <w:tcPr>
            <w:tcW w:w="92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12"/>
              <w:spacing w:after="0" w:line="142" w:lineRule="exact"/>
              <w:rPr>
                <w:sz w:val="20"/>
                <w:szCs w:val="20"/>
                <w:color w:val="auto"/>
              </w:rPr>
            </w:pPr>
            <w:r>
              <w:rPr>
                <w:rFonts w:ascii="Arial" w:cs="Arial" w:eastAsia="Arial" w:hAnsi="Arial"/>
                <w:sz w:val="14"/>
                <w:szCs w:val="14"/>
                <w:color w:val="auto"/>
              </w:rPr>
              <w:t>5,162</w:t>
            </w:r>
          </w:p>
        </w:tc>
      </w:tr>
      <w:tr>
        <w:trPr>
          <w:trHeight w:val="149"/>
        </w:trPr>
        <w:tc>
          <w:tcPr>
            <w:tcW w:w="20" w:type="dxa"/>
            <w:vAlign w:val="bottom"/>
          </w:tcPr>
          <w:p>
            <w:pPr>
              <w:spacing w:after="0"/>
              <w:rPr>
                <w:sz w:val="12"/>
                <w:szCs w:val="12"/>
                <w:color w:val="auto"/>
              </w:rPr>
            </w:pPr>
          </w:p>
        </w:tc>
        <w:tc>
          <w:tcPr>
            <w:tcW w:w="436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Other Income (Expense):</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66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(719)</w:t>
            </w:r>
          </w:p>
        </w:tc>
        <w:tc>
          <w:tcPr>
            <w:tcW w:w="24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(173)</w:t>
            </w:r>
          </w:p>
        </w:tc>
        <w:tc>
          <w:tcPr>
            <w:tcW w:w="26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(86)</w:t>
            </w:r>
          </w:p>
        </w:tc>
        <w:tc>
          <w:tcPr>
            <w:tcW w:w="3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w:t>
            </w:r>
          </w:p>
        </w:tc>
        <w:tc>
          <w:tcPr>
            <w:tcW w:w="30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(232)</w:t>
            </w:r>
          </w:p>
        </w:tc>
        <w:tc>
          <w:tcPr>
            <w:tcW w:w="240" w:type="dxa"/>
            <w:vAlign w:val="bottom"/>
          </w:tcPr>
          <w:p>
            <w:pPr>
              <w:spacing w:after="0"/>
              <w:rPr>
                <w:sz w:val="12"/>
                <w:szCs w:val="12"/>
                <w:color w:val="auto"/>
              </w:rPr>
            </w:pPr>
          </w:p>
        </w:tc>
        <w:tc>
          <w:tcPr>
            <w:tcW w:w="9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(1,226)</w:t>
            </w:r>
          </w:p>
        </w:tc>
      </w:tr>
      <w:tr>
        <w:trPr>
          <w:trHeight w:val="149"/>
        </w:trPr>
        <w:tc>
          <w:tcPr>
            <w:tcW w:w="20" w:type="dxa"/>
            <w:vAlign w:val="bottom"/>
          </w:tcPr>
          <w:p>
            <w:pPr>
              <w:spacing w:after="0"/>
              <w:rPr>
                <w:sz w:val="12"/>
                <w:szCs w:val="12"/>
                <w:color w:val="auto"/>
              </w:rPr>
            </w:pPr>
          </w:p>
        </w:tc>
        <w:tc>
          <w:tcPr>
            <w:tcW w:w="436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5</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142</w:t>
            </w: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150</w:t>
            </w: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660" w:type="dxa"/>
            <w:vAlign w:val="bottom"/>
          </w:tcPr>
          <w:p>
            <w:pPr>
              <w:spacing w:after="0"/>
              <w:rPr>
                <w:sz w:val="12"/>
                <w:szCs w:val="12"/>
                <w:color w:val="auto"/>
              </w:rPr>
            </w:pP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2,347</w:t>
            </w:r>
          </w:p>
        </w:tc>
        <w:tc>
          <w:tcPr>
            <w:tcW w:w="24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9"/>
              </w:rPr>
              <w:t>2,659</w:t>
            </w:r>
          </w:p>
        </w:tc>
        <w:tc>
          <w:tcPr>
            <w:tcW w:w="260" w:type="dxa"/>
            <w:vAlign w:val="bottom"/>
          </w:tcPr>
          <w:p>
            <w:pPr>
              <w:spacing w:after="0"/>
              <w:rPr>
                <w:sz w:val="12"/>
                <w:szCs w:val="12"/>
                <w:color w:val="auto"/>
              </w:rPr>
            </w:pP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1,599</w:t>
            </w:r>
          </w:p>
        </w:tc>
        <w:tc>
          <w:tcPr>
            <w:tcW w:w="3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2,716</w:t>
            </w:r>
          </w:p>
        </w:tc>
        <w:tc>
          <w:tcPr>
            <w:tcW w:w="300" w:type="dxa"/>
            <w:vAlign w:val="bottom"/>
          </w:tcPr>
          <w:p>
            <w:pPr>
              <w:spacing w:after="0"/>
              <w:rPr>
                <w:sz w:val="12"/>
                <w:szCs w:val="12"/>
                <w:color w:val="auto"/>
              </w:rPr>
            </w:pP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(9,321)</w:t>
            </w:r>
          </w:p>
        </w:tc>
        <w:tc>
          <w:tcPr>
            <w:tcW w:w="28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 income (expense), net</w:t>
            </w:r>
          </w:p>
        </w:tc>
        <w:tc>
          <w:tcPr>
            <w:tcW w:w="66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(16)</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(55)</w:t>
            </w:r>
          </w:p>
        </w:tc>
        <w:tc>
          <w:tcPr>
            <w:tcW w:w="24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(70)</w:t>
            </w:r>
          </w:p>
        </w:tc>
      </w:tr>
      <w:tr>
        <w:trPr>
          <w:trHeight w:val="142"/>
        </w:trPr>
        <w:tc>
          <w:tcPr>
            <w:tcW w:w="20" w:type="dxa"/>
            <w:vAlign w:val="bottom"/>
          </w:tcPr>
          <w:p>
            <w:pPr>
              <w:spacing w:after="0"/>
              <w:rPr>
                <w:sz w:val="12"/>
                <w:szCs w:val="12"/>
                <w:color w:val="auto"/>
              </w:rPr>
            </w:pPr>
          </w:p>
        </w:tc>
        <w:tc>
          <w:tcPr>
            <w:tcW w:w="4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96"/>
              </w:rPr>
              <w:t>1,615</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w w:val="79"/>
              </w:rPr>
              <w:t>2,486</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1,513</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2,706</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(145)</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(9,321)</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(1,146)</w:t>
            </w:r>
          </w:p>
        </w:tc>
      </w:tr>
      <w:tr>
        <w:trPr>
          <w:trHeight w:val="142"/>
        </w:trPr>
        <w:tc>
          <w:tcPr>
            <w:tcW w:w="20" w:type="dxa"/>
            <w:vAlign w:val="bottom"/>
          </w:tcPr>
          <w:p>
            <w:pPr>
              <w:spacing w:after="0"/>
              <w:rPr>
                <w:sz w:val="12"/>
                <w:szCs w:val="12"/>
                <w:color w:val="auto"/>
              </w:rPr>
            </w:pPr>
          </w:p>
        </w:tc>
        <w:tc>
          <w:tcPr>
            <w:tcW w:w="436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Income (loss) before income taxes</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96"/>
              </w:rPr>
              <w:t>1,760</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79"/>
              </w:rPr>
              <w:t>2,486</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1,513</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2,701</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4,877</w:t>
            </w: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(9,321)</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4,016</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205</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60</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30</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5</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(1,910)</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(1,610)</w:t>
            </w:r>
          </w:p>
        </w:tc>
      </w:tr>
      <w:tr>
        <w:trPr>
          <w:trHeight w:val="142"/>
        </w:trPr>
        <w:tc>
          <w:tcPr>
            <w:tcW w:w="20" w:type="dxa"/>
            <w:vAlign w:val="bottom"/>
          </w:tcPr>
          <w:p>
            <w:pPr>
              <w:spacing w:after="0"/>
              <w:rPr>
                <w:sz w:val="12"/>
                <w:szCs w:val="12"/>
                <w:color w:val="auto"/>
              </w:rPr>
            </w:pPr>
          </w:p>
        </w:tc>
        <w:tc>
          <w:tcPr>
            <w:tcW w:w="436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Net income (loss)</w:t>
            </w:r>
          </w:p>
        </w:tc>
        <w:tc>
          <w:tcPr>
            <w:tcW w:w="66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96"/>
              </w:rPr>
              <w:t>1,965</w:t>
            </w:r>
          </w:p>
        </w:tc>
        <w:tc>
          <w:tcPr>
            <w:tcW w:w="24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79"/>
              </w:rPr>
              <w:t>2,546</w:t>
            </w:r>
          </w:p>
        </w:tc>
        <w:tc>
          <w:tcPr>
            <w:tcW w:w="2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1,543</w:t>
            </w:r>
          </w:p>
        </w:tc>
        <w:tc>
          <w:tcPr>
            <w:tcW w:w="300" w:type="dxa"/>
            <w:vAlign w:val="bottom"/>
            <w:shd w:val="clear" w:color="auto" w:fill="E5E5E5"/>
          </w:tcPr>
          <w:p>
            <w:pPr>
              <w:spacing w:after="0"/>
              <w:rPr>
                <w:sz w:val="12"/>
                <w:szCs w:val="12"/>
                <w:color w:val="auto"/>
              </w:rPr>
            </w:pPr>
          </w:p>
        </w:tc>
        <w:tc>
          <w:tcPr>
            <w:tcW w:w="600" w:type="dxa"/>
            <w:vAlign w:val="bottom"/>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2,706</w:t>
            </w:r>
          </w:p>
        </w:tc>
        <w:tc>
          <w:tcPr>
            <w:tcW w:w="30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2,967</w:t>
            </w:r>
          </w:p>
        </w:tc>
        <w:tc>
          <w:tcPr>
            <w:tcW w:w="24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rPr>
              <w:t>(9,321)</w:t>
            </w:r>
          </w:p>
        </w:tc>
        <w:tc>
          <w:tcPr>
            <w:tcW w:w="28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2,406</w:t>
            </w: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(441)</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(441)</w:t>
            </w:r>
          </w:p>
        </w:tc>
      </w:tr>
      <w:tr>
        <w:trPr>
          <w:trHeight w:val="142"/>
        </w:trPr>
        <w:tc>
          <w:tcPr>
            <w:tcW w:w="20" w:type="dxa"/>
            <w:vAlign w:val="bottom"/>
          </w:tcPr>
          <w:p>
            <w:pPr>
              <w:spacing w:after="0"/>
              <w:rPr>
                <w:sz w:val="12"/>
                <w:szCs w:val="12"/>
                <w:color w:val="auto"/>
              </w:rPr>
            </w:pPr>
          </w:p>
        </w:tc>
        <w:tc>
          <w:tcPr>
            <w:tcW w:w="436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Net income (loss) attributable to Comcast Corporation</w:t>
            </w:r>
          </w:p>
        </w:tc>
        <w:tc>
          <w:tcPr>
            <w:tcW w:w="660" w:type="dxa"/>
            <w:vAlign w:val="bottom"/>
            <w:tcBorders>
              <w:bottom w:val="single" w:sz="8" w:color="auto"/>
            </w:tcBorders>
            <w:shd w:val="clear" w:color="auto" w:fill="E5E5E5"/>
          </w:tcPr>
          <w:p>
            <w:pPr>
              <w:ind w:left="5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1,965</w:t>
            </w:r>
          </w:p>
        </w:tc>
        <w:tc>
          <w:tcPr>
            <w:tcW w:w="24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w w:val="79"/>
              </w:rPr>
              <w:t>2,546</w:t>
            </w:r>
          </w:p>
        </w:tc>
        <w:tc>
          <w:tcPr>
            <w:tcW w:w="26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1,543</w:t>
            </w:r>
          </w:p>
        </w:tc>
        <w:tc>
          <w:tcPr>
            <w:tcW w:w="30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b w:val="1"/>
                <w:bCs w:val="1"/>
                <w:color w:val="auto"/>
              </w:rPr>
              <w:t>2,706</w:t>
            </w:r>
          </w:p>
        </w:tc>
        <w:tc>
          <w:tcPr>
            <w:tcW w:w="300" w:type="dxa"/>
            <w:vAlign w:val="bottom"/>
            <w:tcBorders>
              <w:bottom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b w:val="1"/>
                <w:bCs w:val="1"/>
                <w:color w:val="auto"/>
              </w:rPr>
              <w:t>2,526</w:t>
            </w:r>
          </w:p>
        </w:tc>
        <w:tc>
          <w:tcPr>
            <w:tcW w:w="2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b w:val="1"/>
                <w:bCs w:val="1"/>
                <w:color w:val="auto"/>
              </w:rPr>
              <w:t>(9,321)</w:t>
            </w:r>
          </w:p>
        </w:tc>
        <w:tc>
          <w:tcPr>
            <w:tcW w:w="28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1,965</w:t>
            </w:r>
          </w:p>
        </w:tc>
      </w:tr>
      <w:tr>
        <w:trPr>
          <w:trHeight w:val="149"/>
        </w:trPr>
        <w:tc>
          <w:tcPr>
            <w:tcW w:w="20" w:type="dxa"/>
            <w:vAlign w:val="bottom"/>
            <w:tcBorders>
              <w:bottom w:val="single" w:sz="8" w:color="auto"/>
            </w:tcBorders>
          </w:tcPr>
          <w:p>
            <w:pPr>
              <w:spacing w:after="0"/>
              <w:rPr>
                <w:sz w:val="12"/>
                <w:szCs w:val="12"/>
                <w:color w:val="auto"/>
              </w:rPr>
            </w:pPr>
          </w:p>
        </w:tc>
        <w:tc>
          <w:tcPr>
            <w:tcW w:w="43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7"/>
              </w:rPr>
              <w:t>Comprehensive income (loss) attributable to Comcast Corporation</w:t>
            </w:r>
          </w:p>
        </w:tc>
        <w:tc>
          <w:tcPr>
            <w:tcW w:w="66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1,959</w:t>
            </w:r>
          </w:p>
        </w:tc>
        <w:tc>
          <w:tcPr>
            <w:tcW w:w="2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79"/>
              </w:rPr>
              <w:t>2,550</w:t>
            </w:r>
          </w:p>
        </w:tc>
        <w:tc>
          <w:tcPr>
            <w:tcW w:w="2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1,543</w:t>
            </w:r>
          </w:p>
        </w:tc>
        <w:tc>
          <w:tcPr>
            <w:tcW w:w="3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2,706</w:t>
            </w:r>
          </w:p>
        </w:tc>
        <w:tc>
          <w:tcPr>
            <w:tcW w:w="3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2,525</w:t>
            </w:r>
          </w:p>
        </w:tc>
        <w:tc>
          <w:tcPr>
            <w:tcW w:w="2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(9,324)</w:t>
            </w:r>
          </w:p>
        </w:tc>
        <w:tc>
          <w:tcPr>
            <w:tcW w:w="2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1,959</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center"/>
              <w:ind w:right="252"/>
              <w:spacing w:after="0"/>
              <w:rPr>
                <w:sz w:val="20"/>
                <w:szCs w:val="20"/>
                <w:color w:val="auto"/>
              </w:rPr>
            </w:pPr>
            <w:r>
              <w:rPr>
                <w:rFonts w:ascii="Arial" w:cs="Arial" w:eastAsia="Arial" w:hAnsi="Arial"/>
                <w:sz w:val="14"/>
                <w:szCs w:val="14"/>
                <w:color w:val="auto"/>
                <w:w w:val="93"/>
              </w:rPr>
              <w:t>Elimination</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Combined</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960" w:type="dxa"/>
            <w:vAlign w:val="bottom"/>
          </w:tcPr>
          <w:p>
            <w:pPr>
              <w:jc w:val="center"/>
              <w:ind w:right="272"/>
              <w:spacing w:after="0" w:line="149" w:lineRule="exact"/>
              <w:rPr>
                <w:sz w:val="20"/>
                <w:szCs w:val="20"/>
                <w:color w:val="auto"/>
              </w:rPr>
            </w:pPr>
            <w:r>
              <w:rPr>
                <w:rFonts w:ascii="Arial" w:cs="Arial" w:eastAsia="Arial" w:hAnsi="Arial"/>
                <w:sz w:val="14"/>
                <w:szCs w:val="14"/>
                <w:color w:val="auto"/>
                <w:w w:val="76"/>
              </w:rPr>
              <w:t>and</w:t>
            </w:r>
          </w:p>
        </w:tc>
        <w:tc>
          <w:tcPr>
            <w:tcW w:w="106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1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CCCL</w:t>
            </w:r>
          </w:p>
        </w:tc>
        <w:tc>
          <w:tcPr>
            <w:tcW w:w="110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CCHMO</w:t>
            </w:r>
          </w:p>
        </w:tc>
        <w:tc>
          <w:tcPr>
            <w:tcW w:w="10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11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Guarantor</w:t>
            </w:r>
          </w:p>
        </w:tc>
        <w:tc>
          <w:tcPr>
            <w:tcW w:w="128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Consolidation</w:t>
            </w:r>
          </w:p>
        </w:tc>
        <w:tc>
          <w:tcPr>
            <w:tcW w:w="36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7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20" w:type="dxa"/>
            <w:vAlign w:val="bottom"/>
            <w:gridSpan w:val="2"/>
          </w:tcPr>
          <w:p>
            <w:pPr>
              <w:jc w:val="right"/>
              <w:ind w:right="272"/>
              <w:spacing w:after="0"/>
              <w:rPr>
                <w:sz w:val="20"/>
                <w:szCs w:val="20"/>
                <w:color w:val="auto"/>
              </w:rPr>
            </w:pPr>
            <w:r>
              <w:rPr>
                <w:rFonts w:ascii="Arial" w:cs="Arial" w:eastAsia="Arial" w:hAnsi="Arial"/>
                <w:sz w:val="14"/>
                <w:szCs w:val="14"/>
                <w:color w:val="auto"/>
              </w:rPr>
              <w:t>Parent</w:t>
            </w:r>
          </w:p>
        </w:tc>
        <w:tc>
          <w:tcPr>
            <w:tcW w:w="900" w:type="dxa"/>
            <w:vAlign w:val="bottom"/>
            <w:gridSpan w:val="2"/>
          </w:tcPr>
          <w:p>
            <w:pPr>
              <w:ind w:left="260"/>
              <w:spacing w:after="0"/>
              <w:rPr>
                <w:sz w:val="20"/>
                <w:szCs w:val="20"/>
                <w:color w:val="auto"/>
              </w:rPr>
            </w:pPr>
            <w:r>
              <w:rPr>
                <w:rFonts w:ascii="Arial" w:cs="Arial" w:eastAsia="Arial" w:hAnsi="Arial"/>
                <w:sz w:val="14"/>
                <w:szCs w:val="14"/>
                <w:color w:val="auto"/>
              </w:rPr>
              <w:t>Parent</w:t>
            </w:r>
          </w:p>
        </w:tc>
        <w:tc>
          <w:tcPr>
            <w:tcW w:w="320" w:type="dxa"/>
            <w:vAlign w:val="bottom"/>
          </w:tcPr>
          <w:p>
            <w:pPr>
              <w:spacing w:after="0"/>
              <w:rPr>
                <w:sz w:val="15"/>
                <w:szCs w:val="15"/>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color w:val="auto"/>
                <w:w w:val="78"/>
              </w:rPr>
              <w:t>Parents</w:t>
            </w:r>
          </w:p>
        </w:tc>
        <w:tc>
          <w:tcPr>
            <w:tcW w:w="1020" w:type="dxa"/>
            <w:vAlign w:val="bottom"/>
            <w:gridSpan w:val="2"/>
          </w:tcPr>
          <w:p>
            <w:pPr>
              <w:ind w:left="240"/>
              <w:spacing w:after="0"/>
              <w:rPr>
                <w:sz w:val="20"/>
                <w:szCs w:val="20"/>
                <w:color w:val="auto"/>
              </w:rPr>
            </w:pPr>
            <w:r>
              <w:rPr>
                <w:rFonts w:ascii="Arial" w:cs="Arial" w:eastAsia="Arial" w:hAnsi="Arial"/>
                <w:sz w:val="14"/>
                <w:szCs w:val="14"/>
                <w:color w:val="auto"/>
              </w:rPr>
              <w:t>Holdings</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2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60" w:type="dxa"/>
            <w:vAlign w:val="bottom"/>
            <w:gridSpan w:val="2"/>
          </w:tcPr>
          <w:p>
            <w:pPr>
              <w:jc w:val="right"/>
              <w:ind w:right="52"/>
              <w:spacing w:after="0"/>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740" w:type="dxa"/>
            <w:vAlign w:val="bottom"/>
            <w:tcBorders>
              <w:top w:val="single" w:sz="8" w:color="auto"/>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460" w:type="dxa"/>
            <w:vAlign w:val="bottom"/>
            <w:tcBorders>
              <w:top w:val="single" w:sz="8" w:color="auto"/>
              <w:bottom w:val="single" w:sz="8" w:color="auto"/>
            </w:tcBorders>
            <w:shd w:val="clear" w:color="auto" w:fill="E5E5E5"/>
          </w:tcPr>
          <w:p>
            <w:pPr>
              <w:ind w:left="36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(194)</w:t>
            </w:r>
          </w:p>
        </w:tc>
        <w:tc>
          <w:tcPr>
            <w:tcW w:w="34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w w:val="91"/>
              </w:rPr>
              <w:t>(100)</w:t>
            </w:r>
          </w:p>
        </w:tc>
        <w:tc>
          <w:tcPr>
            <w:tcW w:w="32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(71)</w:t>
            </w:r>
          </w:p>
        </w:tc>
        <w:tc>
          <w:tcPr>
            <w:tcW w:w="44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6</w:t>
            </w:r>
          </w:p>
        </w:tc>
        <w:tc>
          <w:tcPr>
            <w:tcW w:w="36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8,174</w:t>
            </w:r>
          </w:p>
        </w:tc>
        <w:tc>
          <w:tcPr>
            <w:tcW w:w="32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E5E5E5"/>
          </w:tcPr>
          <w:p>
            <w:pPr>
              <w:ind w:left="26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7,815</w:t>
            </w:r>
          </w:p>
        </w:tc>
      </w:tr>
      <w:tr>
        <w:trPr>
          <w:trHeight w:val="142"/>
        </w:trPr>
        <w:tc>
          <w:tcPr>
            <w:tcW w:w="20" w:type="dxa"/>
            <w:vAlign w:val="bottom"/>
          </w:tcPr>
          <w:p>
            <w:pPr>
              <w:spacing w:after="0"/>
              <w:rPr>
                <w:sz w:val="12"/>
                <w:szCs w:val="12"/>
                <w:color w:val="auto"/>
              </w:rPr>
            </w:pPr>
          </w:p>
        </w:tc>
        <w:tc>
          <w:tcPr>
            <w:tcW w:w="3740" w:type="dxa"/>
            <w:vAlign w:val="bottom"/>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46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3,317</w:t>
            </w:r>
          </w:p>
        </w:tc>
        <w:tc>
          <w:tcPr>
            <w:tcW w:w="3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100</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624</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(6)</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(4,035)</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46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w:t>
            </w:r>
          </w:p>
        </w:tc>
        <w:tc>
          <w:tcPr>
            <w:tcW w:w="340" w:type="dxa"/>
            <w:vAlign w:val="bottom"/>
          </w:tcPr>
          <w:p>
            <w:pPr>
              <w:spacing w:after="0"/>
              <w:rPr>
                <w:sz w:val="12"/>
                <w:szCs w:val="12"/>
                <w:color w:val="auto"/>
              </w:rPr>
            </w:pPr>
          </w:p>
        </w:tc>
        <w:tc>
          <w:tcPr>
            <w:tcW w:w="5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(2,457)</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(2,461)</w:t>
            </w: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46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(4)</w:t>
            </w:r>
          </w:p>
        </w:tc>
        <w:tc>
          <w:tcPr>
            <w:tcW w:w="3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(410)</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(414)</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of businesses and investments</w:t>
            </w:r>
          </w:p>
        </w:tc>
        <w:tc>
          <w:tcPr>
            <w:tcW w:w="46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64</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64</w:t>
            </w: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46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(108)</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(108)</w:t>
            </w:r>
          </w:p>
        </w:tc>
      </w:tr>
      <w:tr>
        <w:trPr>
          <w:trHeight w:val="149"/>
        </w:trPr>
        <w:tc>
          <w:tcPr>
            <w:tcW w:w="20" w:type="dxa"/>
            <w:vAlign w:val="bottom"/>
          </w:tcPr>
          <w:p>
            <w:pPr>
              <w:spacing w:after="0"/>
              <w:rPr>
                <w:sz w:val="12"/>
                <w:szCs w:val="12"/>
                <w:color w:val="auto"/>
              </w:rPr>
            </w:pPr>
          </w:p>
        </w:tc>
        <w:tc>
          <w:tcPr>
            <w:tcW w:w="37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90</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90</w:t>
            </w:r>
          </w:p>
        </w:tc>
      </w:tr>
      <w:tr>
        <w:trPr>
          <w:trHeight w:val="142"/>
        </w:trPr>
        <w:tc>
          <w:tcPr>
            <w:tcW w:w="20" w:type="dxa"/>
            <w:vAlign w:val="bottom"/>
          </w:tcPr>
          <w:p>
            <w:pPr>
              <w:spacing w:after="0"/>
              <w:rPr>
                <w:sz w:val="12"/>
                <w:szCs w:val="12"/>
                <w:color w:val="auto"/>
              </w:rPr>
            </w:pPr>
          </w:p>
        </w:tc>
        <w:tc>
          <w:tcPr>
            <w:tcW w:w="374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46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3,309</w:t>
            </w:r>
          </w:p>
        </w:tc>
        <w:tc>
          <w:tcPr>
            <w:tcW w:w="34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100</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624</w:t>
            </w:r>
          </w:p>
        </w:tc>
        <w:tc>
          <w:tcPr>
            <w:tcW w:w="4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(6)</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(6,856)</w:t>
            </w:r>
          </w:p>
        </w:tc>
        <w:tc>
          <w:tcPr>
            <w:tcW w:w="32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(2,829)</w:t>
            </w:r>
          </w:p>
        </w:tc>
      </w:tr>
      <w:tr>
        <w:trPr>
          <w:trHeight w:val="142"/>
        </w:trPr>
        <w:tc>
          <w:tcPr>
            <w:tcW w:w="20" w:type="dxa"/>
            <w:vAlign w:val="bottom"/>
          </w:tcPr>
          <w:p>
            <w:pPr>
              <w:spacing w:after="0"/>
              <w:rPr>
                <w:sz w:val="12"/>
                <w:szCs w:val="12"/>
                <w:color w:val="auto"/>
              </w:rPr>
            </w:pPr>
          </w:p>
        </w:tc>
        <w:tc>
          <w:tcPr>
            <w:tcW w:w="3740" w:type="dxa"/>
            <w:vAlign w:val="bottom"/>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w w:val="97"/>
              </w:rPr>
              <w:t>Proceeds from (repayments of) short-term borrowings, net</w:t>
            </w:r>
          </w:p>
        </w:tc>
        <w:tc>
          <w:tcPr>
            <w:tcW w:w="46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(553)</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(554)</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Repurchases and repayments of debt</w:t>
            </w:r>
          </w:p>
        </w:tc>
        <w:tc>
          <w:tcPr>
            <w:tcW w:w="46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0"/>
              </w:rPr>
              <w:t>(1,125)</w:t>
            </w:r>
          </w:p>
        </w:tc>
        <w:tc>
          <w:tcPr>
            <w:tcW w:w="340" w:type="dxa"/>
            <w:vAlign w:val="bottom"/>
          </w:tcPr>
          <w:p>
            <w:pPr>
              <w:spacing w:after="0"/>
              <w:rPr>
                <w:sz w:val="12"/>
                <w:szCs w:val="12"/>
                <w:color w:val="auto"/>
              </w:rPr>
            </w:pPr>
          </w:p>
        </w:tc>
        <w:tc>
          <w:tcPr>
            <w:tcW w:w="5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(553)</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(1,692)</w:t>
            </w: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46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w w:val="90"/>
              </w:rPr>
              <w:t>(1,500)</w:t>
            </w:r>
          </w:p>
        </w:tc>
        <w:tc>
          <w:tcPr>
            <w:tcW w:w="3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(1,500)</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46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(741)</w:t>
            </w:r>
          </w:p>
        </w:tc>
        <w:tc>
          <w:tcPr>
            <w:tcW w:w="340" w:type="dxa"/>
            <w:vAlign w:val="bottom"/>
          </w:tcPr>
          <w:p>
            <w:pPr>
              <w:spacing w:after="0"/>
              <w:rPr>
                <w:sz w:val="12"/>
                <w:szCs w:val="12"/>
                <w:color w:val="auto"/>
              </w:rPr>
            </w:pPr>
          </w:p>
        </w:tc>
        <w:tc>
          <w:tcPr>
            <w:tcW w:w="5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46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184</w:t>
            </w:r>
          </w:p>
        </w:tc>
        <w:tc>
          <w:tcPr>
            <w:tcW w:w="3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184</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46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(233)</w:t>
            </w:r>
          </w:p>
        </w:tc>
        <w:tc>
          <w:tcPr>
            <w:tcW w:w="32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(233)</w:t>
            </w:r>
          </w:p>
        </w:tc>
      </w:tr>
      <w:tr>
        <w:trPr>
          <w:trHeight w:val="149"/>
        </w:trPr>
        <w:tc>
          <w:tcPr>
            <w:tcW w:w="20" w:type="dxa"/>
            <w:vAlign w:val="bottom"/>
          </w:tcPr>
          <w:p>
            <w:pPr>
              <w:spacing w:after="0"/>
              <w:rPr>
                <w:sz w:val="12"/>
                <w:szCs w:val="12"/>
                <w:color w:val="auto"/>
              </w:rPr>
            </w:pPr>
          </w:p>
        </w:tc>
        <w:tc>
          <w:tcPr>
            <w:tcW w:w="374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w:t>
            </w:r>
          </w:p>
        </w:tc>
        <w:tc>
          <w:tcPr>
            <w:tcW w:w="46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68</w:t>
            </w:r>
          </w:p>
        </w:tc>
        <w:tc>
          <w:tcPr>
            <w:tcW w:w="34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80" w:type="dxa"/>
            <w:vAlign w:val="bottom"/>
            <w:tcBorders>
              <w:bottom w:val="single" w:sz="8" w:color="auto"/>
            </w:tcBorders>
            <w:shd w:val="clear" w:color="auto" w:fill="E5E5E5"/>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(37)</w:t>
            </w:r>
          </w:p>
        </w:tc>
        <w:tc>
          <w:tcPr>
            <w:tcW w:w="32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31</w:t>
            </w:r>
          </w:p>
        </w:tc>
      </w:tr>
      <w:tr>
        <w:trPr>
          <w:trHeight w:val="142"/>
        </w:trPr>
        <w:tc>
          <w:tcPr>
            <w:tcW w:w="20" w:type="dxa"/>
            <w:vAlign w:val="bottom"/>
          </w:tcPr>
          <w:p>
            <w:pPr>
              <w:spacing w:after="0"/>
              <w:rPr>
                <w:sz w:val="12"/>
                <w:szCs w:val="12"/>
                <w:color w:val="auto"/>
              </w:rPr>
            </w:pPr>
          </w:p>
        </w:tc>
        <w:tc>
          <w:tcPr>
            <w:tcW w:w="37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w w:val="90"/>
              </w:rPr>
              <w:t>(3,115)</w:t>
            </w: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(553)</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(837)</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(4,505)</w:t>
            </w:r>
          </w:p>
        </w:tc>
      </w:tr>
      <w:tr>
        <w:trPr>
          <w:trHeight w:val="142"/>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2" w:lineRule="exact"/>
              <w:rPr>
                <w:sz w:val="20"/>
                <w:szCs w:val="20"/>
                <w:color w:val="auto"/>
              </w:rPr>
            </w:pPr>
            <w:r>
              <w:rPr>
                <w:rFonts w:ascii="Arial" w:cs="Arial" w:eastAsia="Arial" w:hAnsi="Arial"/>
                <w:sz w:val="14"/>
                <w:szCs w:val="14"/>
                <w:color w:val="auto"/>
              </w:rPr>
              <w:t>Increase (decrease) in cash and cash equivalents</w:t>
            </w:r>
          </w:p>
        </w:tc>
        <w:tc>
          <w:tcPr>
            <w:tcW w:w="46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56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80" w:type="dxa"/>
            <w:vAlign w:val="bottom"/>
            <w:shd w:val="clear" w:color="auto" w:fill="E5E5E5"/>
          </w:tcPr>
          <w:p>
            <w:pPr>
              <w:jc w:val="right"/>
              <w:ind w:right="232"/>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481</w:t>
            </w:r>
          </w:p>
        </w:tc>
        <w:tc>
          <w:tcPr>
            <w:tcW w:w="32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481</w:t>
            </w:r>
          </w:p>
        </w:tc>
      </w:tr>
      <w:tr>
        <w:trPr>
          <w:trHeight w:val="149"/>
        </w:trPr>
        <w:tc>
          <w:tcPr>
            <w:tcW w:w="20" w:type="dxa"/>
            <w:vAlign w:val="bottom"/>
          </w:tcPr>
          <w:p>
            <w:pPr>
              <w:spacing w:after="0"/>
              <w:rPr>
                <w:sz w:val="12"/>
                <w:szCs w:val="12"/>
                <w:color w:val="auto"/>
              </w:rPr>
            </w:pPr>
          </w:p>
        </w:tc>
        <w:tc>
          <w:tcPr>
            <w:tcW w:w="37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1,620</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1,620</w:t>
            </w:r>
          </w:p>
        </w:tc>
      </w:tr>
      <w:tr>
        <w:trPr>
          <w:trHeight w:val="149"/>
        </w:trPr>
        <w:tc>
          <w:tcPr>
            <w:tcW w:w="20" w:type="dxa"/>
            <w:vAlign w:val="bottom"/>
          </w:tcPr>
          <w:p>
            <w:pPr>
              <w:spacing w:after="0"/>
              <w:rPr>
                <w:sz w:val="12"/>
                <w:szCs w:val="12"/>
                <w:color w:val="auto"/>
              </w:rPr>
            </w:pPr>
          </w:p>
        </w:tc>
        <w:tc>
          <w:tcPr>
            <w:tcW w:w="3740" w:type="dxa"/>
            <w:vAlign w:val="bottom"/>
            <w:tcBorders>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460" w:type="dxa"/>
            <w:vAlign w:val="bottom"/>
            <w:tcBorders>
              <w:bottom w:val="single" w:sz="8" w:color="auto"/>
            </w:tcBorders>
            <w:shd w:val="clear" w:color="auto" w:fill="E5E5E5"/>
          </w:tcPr>
          <w:p>
            <w:pPr>
              <w:ind w:left="36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E5E5E5"/>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b w:val="1"/>
                <w:bCs w:val="1"/>
                <w:color w:val="auto"/>
              </w:rPr>
              <w:t>2,101</w:t>
            </w:r>
          </w:p>
        </w:tc>
        <w:tc>
          <w:tcPr>
            <w:tcW w:w="3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E5E5E5"/>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shd w:val="clear" w:color="auto" w:fill="E5E5E5"/>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b w:val="1"/>
                <w:bCs w:val="1"/>
                <w:color w:val="auto"/>
              </w:rPr>
              <w:t>2,101</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2011</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center"/>
              <w:ind w:right="252"/>
              <w:spacing w:after="0"/>
              <w:rPr>
                <w:sz w:val="20"/>
                <w:szCs w:val="20"/>
                <w:color w:val="auto"/>
              </w:rPr>
            </w:pPr>
            <w:r>
              <w:rPr>
                <w:rFonts w:ascii="Arial" w:cs="Arial" w:eastAsia="Arial" w:hAnsi="Arial"/>
                <w:sz w:val="14"/>
                <w:szCs w:val="14"/>
                <w:color w:val="auto"/>
                <w:w w:val="93"/>
              </w:rPr>
              <w:t>Elimination</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Combined</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Non-</w:t>
            </w:r>
          </w:p>
        </w:tc>
        <w:tc>
          <w:tcPr>
            <w:tcW w:w="300" w:type="dxa"/>
            <w:vAlign w:val="bottom"/>
          </w:tcPr>
          <w:p>
            <w:pPr>
              <w:spacing w:after="0"/>
              <w:rPr>
                <w:sz w:val="12"/>
                <w:szCs w:val="12"/>
                <w:color w:val="auto"/>
              </w:rPr>
            </w:pPr>
          </w:p>
        </w:tc>
        <w:tc>
          <w:tcPr>
            <w:tcW w:w="960" w:type="dxa"/>
            <w:vAlign w:val="bottom"/>
          </w:tcPr>
          <w:p>
            <w:pPr>
              <w:jc w:val="center"/>
              <w:ind w:right="252"/>
              <w:spacing w:after="0" w:line="149" w:lineRule="exact"/>
              <w:rPr>
                <w:sz w:val="20"/>
                <w:szCs w:val="20"/>
                <w:color w:val="auto"/>
              </w:rPr>
            </w:pPr>
            <w:r>
              <w:rPr>
                <w:rFonts w:ascii="Arial" w:cs="Arial" w:eastAsia="Arial" w:hAnsi="Arial"/>
                <w:sz w:val="14"/>
                <w:szCs w:val="14"/>
                <w:color w:val="auto"/>
                <w:w w:val="85"/>
              </w:rPr>
              <w:t>and</w:t>
            </w:r>
          </w:p>
        </w:tc>
        <w:tc>
          <w:tcPr>
            <w:tcW w:w="106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1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Comcast</w:t>
            </w:r>
          </w:p>
        </w:tc>
        <w:tc>
          <w:tcPr>
            <w:tcW w:w="9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CCCL</w:t>
            </w:r>
          </w:p>
        </w:tc>
        <w:tc>
          <w:tcPr>
            <w:tcW w:w="108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CCHMO</w:t>
            </w:r>
          </w:p>
        </w:tc>
        <w:tc>
          <w:tcPr>
            <w:tcW w:w="10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Comcast</w:t>
            </w:r>
          </w:p>
        </w:tc>
        <w:tc>
          <w:tcPr>
            <w:tcW w:w="118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Consolidation</w:t>
            </w:r>
          </w:p>
        </w:tc>
        <w:tc>
          <w:tcPr>
            <w:tcW w:w="360" w:type="dxa"/>
            <w:vAlign w:val="bottom"/>
          </w:tcPr>
          <w:p>
            <w:pPr>
              <w:spacing w:after="0"/>
              <w:rPr>
                <w:sz w:val="12"/>
                <w:szCs w:val="12"/>
                <w:color w:val="auto"/>
              </w:rPr>
            </w:pPr>
          </w:p>
        </w:tc>
        <w:tc>
          <w:tcPr>
            <w:tcW w:w="70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7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40" w:type="dxa"/>
            <w:vAlign w:val="bottom"/>
            <w:gridSpan w:val="2"/>
          </w:tcPr>
          <w:p>
            <w:pPr>
              <w:jc w:val="right"/>
              <w:ind w:right="292"/>
              <w:spacing w:after="0"/>
              <w:rPr>
                <w:sz w:val="20"/>
                <w:szCs w:val="20"/>
                <w:color w:val="auto"/>
              </w:rPr>
            </w:pPr>
            <w:r>
              <w:rPr>
                <w:rFonts w:ascii="Arial" w:cs="Arial" w:eastAsia="Arial" w:hAnsi="Arial"/>
                <w:sz w:val="14"/>
                <w:szCs w:val="14"/>
                <w:color w:val="auto"/>
              </w:rPr>
              <w:t>Parent</w:t>
            </w:r>
          </w:p>
        </w:tc>
        <w:tc>
          <w:tcPr>
            <w:tcW w:w="920" w:type="dxa"/>
            <w:vAlign w:val="bottom"/>
            <w:gridSpan w:val="2"/>
          </w:tcPr>
          <w:p>
            <w:pPr>
              <w:jc w:val="right"/>
              <w:ind w:right="252"/>
              <w:spacing w:after="0"/>
              <w:rPr>
                <w:sz w:val="20"/>
                <w:szCs w:val="20"/>
                <w:color w:val="auto"/>
              </w:rPr>
            </w:pPr>
            <w:r>
              <w:rPr>
                <w:rFonts w:ascii="Arial" w:cs="Arial" w:eastAsia="Arial" w:hAnsi="Arial"/>
                <w:sz w:val="14"/>
                <w:szCs w:val="14"/>
                <w:color w:val="auto"/>
              </w:rPr>
              <w:t>Parent</w:t>
            </w:r>
          </w:p>
        </w:tc>
        <w:tc>
          <w:tcPr>
            <w:tcW w:w="320" w:type="dxa"/>
            <w:vAlign w:val="bottom"/>
          </w:tcPr>
          <w:p>
            <w:pPr>
              <w:spacing w:after="0"/>
              <w:rPr>
                <w:sz w:val="15"/>
                <w:szCs w:val="15"/>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color w:val="auto"/>
                <w:w w:val="78"/>
              </w:rPr>
              <w:t>Parents</w:t>
            </w:r>
          </w:p>
        </w:tc>
        <w:tc>
          <w:tcPr>
            <w:tcW w:w="1020" w:type="dxa"/>
            <w:vAlign w:val="bottom"/>
            <w:gridSpan w:val="2"/>
          </w:tcPr>
          <w:p>
            <w:pPr>
              <w:ind w:left="240"/>
              <w:spacing w:after="0"/>
              <w:rPr>
                <w:sz w:val="20"/>
                <w:szCs w:val="20"/>
                <w:color w:val="auto"/>
              </w:rPr>
            </w:pPr>
            <w:r>
              <w:rPr>
                <w:rFonts w:ascii="Arial" w:cs="Arial" w:eastAsia="Arial" w:hAnsi="Arial"/>
                <w:sz w:val="14"/>
                <w:szCs w:val="14"/>
                <w:color w:val="auto"/>
              </w:rPr>
              <w:t>Holdings</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60" w:type="dxa"/>
            <w:vAlign w:val="bottom"/>
            <w:gridSpan w:val="2"/>
          </w:tcPr>
          <w:p>
            <w:pPr>
              <w:jc w:val="right"/>
              <w:ind w:right="52"/>
              <w:spacing w:after="0"/>
              <w:rPr>
                <w:sz w:val="20"/>
                <w:szCs w:val="20"/>
                <w:color w:val="auto"/>
              </w:rPr>
            </w:pPr>
            <w:r>
              <w:rPr>
                <w:rFonts w:ascii="Arial" w:cs="Arial" w:eastAsia="Arial" w:hAnsi="Arial"/>
                <w:sz w:val="14"/>
                <w:szCs w:val="14"/>
                <w:color w:val="auto"/>
              </w:rPr>
              <w:t>Corporation</w:t>
            </w:r>
          </w:p>
        </w:tc>
      </w:tr>
      <w:tr>
        <w:trPr>
          <w:trHeight w:val="142"/>
        </w:trPr>
        <w:tc>
          <w:tcPr>
            <w:tcW w:w="20" w:type="dxa"/>
            <w:vAlign w:val="bottom"/>
          </w:tcPr>
          <w:p>
            <w:pPr>
              <w:spacing w:after="0"/>
              <w:rPr>
                <w:sz w:val="12"/>
                <w:szCs w:val="12"/>
                <w:color w:val="auto"/>
              </w:rPr>
            </w:pPr>
          </w:p>
        </w:tc>
        <w:tc>
          <w:tcPr>
            <w:tcW w:w="3740" w:type="dxa"/>
            <w:vAlign w:val="bottom"/>
            <w:tcBorders>
              <w:top w:val="single" w:sz="8" w:color="auto"/>
              <w:bottom w:val="single" w:sz="8" w:color="auto"/>
            </w:tcBorders>
            <w:shd w:val="clear" w:color="auto" w:fill="E5E5E5"/>
          </w:tcPr>
          <w:p>
            <w:pPr>
              <w:ind w:left="2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480" w:type="dxa"/>
            <w:vAlign w:val="bottom"/>
            <w:tcBorders>
              <w:top w:val="single" w:sz="8" w:color="auto"/>
              <w:bottom w:val="single" w:sz="8" w:color="auto"/>
            </w:tcBorders>
            <w:shd w:val="clear" w:color="auto" w:fill="E5E5E5"/>
          </w:tcPr>
          <w:p>
            <w:pPr>
              <w:ind w:left="38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(291)</w:t>
            </w:r>
          </w:p>
        </w:tc>
        <w:tc>
          <w:tcPr>
            <w:tcW w:w="30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w:t>
            </w:r>
          </w:p>
        </w:tc>
        <w:tc>
          <w:tcPr>
            <w:tcW w:w="32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(66)</w:t>
            </w:r>
          </w:p>
        </w:tc>
        <w:tc>
          <w:tcPr>
            <w:tcW w:w="44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(12)</w:t>
            </w:r>
          </w:p>
        </w:tc>
        <w:tc>
          <w:tcPr>
            <w:tcW w:w="360" w:type="dxa"/>
            <w:vAlign w:val="bottom"/>
            <w:tcBorders>
              <w:top w:val="single" w:sz="8" w:color="auto"/>
              <w:bottom w:val="single" w:sz="8" w:color="auto"/>
            </w:tcBorders>
            <w:shd w:val="clear" w:color="auto" w:fill="E5E5E5"/>
          </w:tcPr>
          <w:p>
            <w:pPr>
              <w:ind w:left="24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7,329</w:t>
            </w:r>
          </w:p>
        </w:tc>
        <w:tc>
          <w:tcPr>
            <w:tcW w:w="300" w:type="dxa"/>
            <w:vAlign w:val="bottom"/>
            <w:tcBorders>
              <w:top w:val="single" w:sz="8" w:color="auto"/>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E5E5E5"/>
          </w:tcPr>
          <w:p>
            <w:pPr>
              <w:ind w:left="26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6,956</w:t>
            </w:r>
          </w:p>
        </w:tc>
      </w:tr>
      <w:tr>
        <w:trPr>
          <w:trHeight w:val="142"/>
        </w:trPr>
        <w:tc>
          <w:tcPr>
            <w:tcW w:w="20" w:type="dxa"/>
            <w:vAlign w:val="bottom"/>
          </w:tcPr>
          <w:p>
            <w:pPr>
              <w:spacing w:after="0"/>
              <w:rPr>
                <w:sz w:val="12"/>
                <w:szCs w:val="12"/>
                <w:color w:val="auto"/>
              </w:rPr>
            </w:pPr>
          </w:p>
        </w:tc>
        <w:tc>
          <w:tcPr>
            <w:tcW w:w="3740" w:type="dxa"/>
            <w:vAlign w:val="bottom"/>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4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1,640</w:t>
            </w:r>
          </w:p>
        </w:tc>
        <w:tc>
          <w:tcPr>
            <w:tcW w:w="3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w w:val="91"/>
              </w:rPr>
              <w:t>1,004</w:t>
            </w:r>
          </w:p>
        </w:tc>
        <w:tc>
          <w:tcPr>
            <w:tcW w:w="32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66</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32</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(2,742)</w:t>
            </w:r>
          </w:p>
        </w:tc>
        <w:tc>
          <w:tcPr>
            <w:tcW w:w="30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48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w:t>
            </w:r>
          </w:p>
        </w:tc>
        <w:tc>
          <w:tcPr>
            <w:tcW w:w="3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(2,374)</w:t>
            </w:r>
          </w:p>
        </w:tc>
        <w:tc>
          <w:tcPr>
            <w:tcW w:w="30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(2,377)</w:t>
            </w: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4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(296)</w:t>
            </w:r>
          </w:p>
        </w:tc>
        <w:tc>
          <w:tcPr>
            <w:tcW w:w="30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(296)</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48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(5,660)</w:t>
            </w:r>
          </w:p>
        </w:tc>
        <w:tc>
          <w:tcPr>
            <w:tcW w:w="30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(5,660)</w:t>
            </w: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Proceeds from sales of businesses and investments</w:t>
            </w:r>
          </w:p>
        </w:tc>
        <w:tc>
          <w:tcPr>
            <w:tcW w:w="4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116</w:t>
            </w:r>
          </w:p>
        </w:tc>
        <w:tc>
          <w:tcPr>
            <w:tcW w:w="30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116</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48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(46)</w:t>
            </w:r>
          </w:p>
        </w:tc>
        <w:tc>
          <w:tcPr>
            <w:tcW w:w="30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r>
      <w:tr>
        <w:trPr>
          <w:trHeight w:val="149"/>
        </w:trPr>
        <w:tc>
          <w:tcPr>
            <w:tcW w:w="20" w:type="dxa"/>
            <w:vAlign w:val="bottom"/>
          </w:tcPr>
          <w:p>
            <w:pPr>
              <w:spacing w:after="0"/>
              <w:rPr>
                <w:sz w:val="12"/>
                <w:szCs w:val="12"/>
                <w:color w:val="auto"/>
              </w:rPr>
            </w:pPr>
          </w:p>
        </w:tc>
        <w:tc>
          <w:tcPr>
            <w:tcW w:w="3740" w:type="dxa"/>
            <w:vAlign w:val="bottom"/>
            <w:tcBorders>
              <w:bottom w:val="single" w:sz="8" w:color="auto"/>
            </w:tcBorders>
            <w:shd w:val="clear" w:color="auto" w:fill="E5E5E5"/>
          </w:tcPr>
          <w:p>
            <w:pPr>
              <w:ind w:left="200"/>
              <w:spacing w:after="0" w:line="149" w:lineRule="exact"/>
              <w:rPr>
                <w:sz w:val="20"/>
                <w:szCs w:val="20"/>
                <w:color w:val="auto"/>
              </w:rPr>
            </w:pPr>
            <w:r>
              <w:rPr>
                <w:rFonts w:ascii="Arial" w:cs="Arial" w:eastAsia="Arial" w:hAnsi="Arial"/>
                <w:sz w:val="14"/>
                <w:szCs w:val="14"/>
                <w:color w:val="auto"/>
              </w:rPr>
              <w:t>Other</w:t>
            </w:r>
          </w:p>
        </w:tc>
        <w:tc>
          <w:tcPr>
            <w:tcW w:w="48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(50)</w:t>
            </w:r>
          </w:p>
        </w:tc>
        <w:tc>
          <w:tcPr>
            <w:tcW w:w="30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6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27</w:t>
            </w:r>
          </w:p>
        </w:tc>
        <w:tc>
          <w:tcPr>
            <w:tcW w:w="30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(23)</w:t>
            </w:r>
          </w:p>
        </w:tc>
      </w:tr>
      <w:tr>
        <w:trPr>
          <w:trHeight w:val="142"/>
        </w:trPr>
        <w:tc>
          <w:tcPr>
            <w:tcW w:w="20" w:type="dxa"/>
            <w:vAlign w:val="bottom"/>
          </w:tcPr>
          <w:p>
            <w:pPr>
              <w:spacing w:after="0"/>
              <w:rPr>
                <w:sz w:val="12"/>
                <w:szCs w:val="12"/>
                <w:color w:val="auto"/>
              </w:rPr>
            </w:pPr>
          </w:p>
        </w:tc>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1,587</w:t>
            </w: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w w:val="91"/>
              </w:rPr>
              <w:t>1,004</w:t>
            </w: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66</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32</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(10,975)</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(8,286)</w:t>
            </w:r>
          </w:p>
        </w:tc>
      </w:tr>
      <w:tr>
        <w:trPr>
          <w:trHeight w:val="142"/>
        </w:trPr>
        <w:tc>
          <w:tcPr>
            <w:tcW w:w="20" w:type="dxa"/>
            <w:vAlign w:val="bottom"/>
          </w:tcPr>
          <w:p>
            <w:pPr>
              <w:spacing w:after="0"/>
              <w:rPr>
                <w:sz w:val="12"/>
                <w:szCs w:val="12"/>
                <w:color w:val="auto"/>
              </w:rPr>
            </w:pPr>
          </w:p>
        </w:tc>
        <w:tc>
          <w:tcPr>
            <w:tcW w:w="374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4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w w:val="97"/>
              </w:rPr>
              <w:t>Proceeds from (repayments of) short-term borrowings, net</w:t>
            </w:r>
          </w:p>
        </w:tc>
        <w:tc>
          <w:tcPr>
            <w:tcW w:w="48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747</w:t>
            </w:r>
          </w:p>
        </w:tc>
        <w:tc>
          <w:tcPr>
            <w:tcW w:w="3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w:t>
            </w:r>
          </w:p>
        </w:tc>
        <w:tc>
          <w:tcPr>
            <w:tcW w:w="30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741</w:t>
            </w: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Repurchases and repayments of debt</w:t>
            </w:r>
          </w:p>
        </w:tc>
        <w:tc>
          <w:tcPr>
            <w:tcW w:w="4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(750)</w:t>
            </w:r>
          </w:p>
        </w:tc>
        <w:tc>
          <w:tcPr>
            <w:tcW w:w="3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w w:val="85"/>
              </w:rPr>
              <w:t>(1,000)</w:t>
            </w:r>
          </w:p>
        </w:tc>
        <w:tc>
          <w:tcPr>
            <w:tcW w:w="32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(14)</w:t>
            </w:r>
          </w:p>
        </w:tc>
        <w:tc>
          <w:tcPr>
            <w:tcW w:w="30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(1,764)</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48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0"/>
              </w:rPr>
              <w:t>(1,050)</w:t>
            </w:r>
          </w:p>
        </w:tc>
        <w:tc>
          <w:tcPr>
            <w:tcW w:w="3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(1,050)</w:t>
            </w: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4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(572)</w:t>
            </w:r>
          </w:p>
        </w:tc>
        <w:tc>
          <w:tcPr>
            <w:tcW w:w="3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(572)</w:t>
            </w:r>
          </w:p>
        </w:tc>
      </w:tr>
      <w:tr>
        <w:trPr>
          <w:trHeight w:val="149"/>
        </w:trPr>
        <w:tc>
          <w:tcPr>
            <w:tcW w:w="20" w:type="dxa"/>
            <w:vAlign w:val="bottom"/>
          </w:tcPr>
          <w:p>
            <w:pPr>
              <w:spacing w:after="0"/>
              <w:rPr>
                <w:sz w:val="12"/>
                <w:szCs w:val="12"/>
                <w:color w:val="auto"/>
              </w:rPr>
            </w:pPr>
          </w:p>
        </w:tc>
        <w:tc>
          <w:tcPr>
            <w:tcW w:w="374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48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206</w:t>
            </w:r>
          </w:p>
        </w:tc>
        <w:tc>
          <w:tcPr>
            <w:tcW w:w="300" w:type="dxa"/>
            <w:vAlign w:val="bottom"/>
          </w:tcPr>
          <w:p>
            <w:pPr>
              <w:spacing w:after="0"/>
              <w:rPr>
                <w:sz w:val="12"/>
                <w:szCs w:val="12"/>
                <w:color w:val="auto"/>
              </w:rPr>
            </w:pPr>
          </w:p>
        </w:tc>
        <w:tc>
          <w:tcPr>
            <w:tcW w:w="6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206</w:t>
            </w:r>
          </w:p>
        </w:tc>
      </w:tr>
      <w:tr>
        <w:trPr>
          <w:trHeight w:val="149"/>
        </w:trPr>
        <w:tc>
          <w:tcPr>
            <w:tcW w:w="20" w:type="dxa"/>
            <w:vAlign w:val="bottom"/>
          </w:tcPr>
          <w:p>
            <w:pPr>
              <w:spacing w:after="0"/>
              <w:rPr>
                <w:sz w:val="12"/>
                <w:szCs w:val="12"/>
                <w:color w:val="auto"/>
              </w:rPr>
            </w:pPr>
          </w:p>
        </w:tc>
        <w:tc>
          <w:tcPr>
            <w:tcW w:w="3740" w:type="dxa"/>
            <w:vAlign w:val="bottom"/>
            <w:shd w:val="clear" w:color="auto" w:fill="E5E5E5"/>
          </w:tcPr>
          <w:p>
            <w:pPr>
              <w:ind w:left="200"/>
              <w:spacing w:after="0" w:line="149" w:lineRule="exact"/>
              <w:rPr>
                <w:sz w:val="20"/>
                <w:szCs w:val="20"/>
                <w:color w:val="auto"/>
              </w:rPr>
            </w:pPr>
            <w:r>
              <w:rPr>
                <w:rFonts w:ascii="Arial" w:cs="Arial" w:eastAsia="Arial" w:hAnsi="Arial"/>
                <w:sz w:val="14"/>
                <w:szCs w:val="14"/>
                <w:color w:val="auto"/>
              </w:rPr>
              <w:t>Distributions (to) from noncontrolling interests</w:t>
            </w:r>
          </w:p>
        </w:tc>
        <w:tc>
          <w:tcPr>
            <w:tcW w:w="480" w:type="dxa"/>
            <w:vAlign w:val="bottom"/>
            <w:shd w:val="clear" w:color="auto" w:fill="E5E5E5"/>
          </w:tcPr>
          <w:p>
            <w:pPr>
              <w:spacing w:after="0"/>
              <w:rPr>
                <w:sz w:val="12"/>
                <w:szCs w:val="12"/>
                <w:color w:val="auto"/>
              </w:rPr>
            </w:pPr>
          </w:p>
        </w:tc>
        <w:tc>
          <w:tcPr>
            <w:tcW w:w="6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77</w:t>
            </w:r>
          </w:p>
        </w:tc>
        <w:tc>
          <w:tcPr>
            <w:tcW w:w="300" w:type="dxa"/>
            <w:vAlign w:val="bottom"/>
            <w:shd w:val="clear" w:color="auto" w:fill="E5E5E5"/>
          </w:tcPr>
          <w:p>
            <w:pPr>
              <w:spacing w:after="0"/>
              <w:rPr>
                <w:sz w:val="12"/>
                <w:szCs w:val="12"/>
                <w:color w:val="auto"/>
              </w:rPr>
            </w:pPr>
          </w:p>
        </w:tc>
        <w:tc>
          <w:tcPr>
            <w:tcW w:w="62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2"/>
                <w:szCs w:val="12"/>
                <w:color w:val="auto"/>
              </w:rPr>
            </w:pPr>
          </w:p>
        </w:tc>
        <w:tc>
          <w:tcPr>
            <w:tcW w:w="76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8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(252)</w:t>
            </w:r>
          </w:p>
        </w:tc>
        <w:tc>
          <w:tcPr>
            <w:tcW w:w="30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7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(175)</w:t>
            </w:r>
          </w:p>
        </w:tc>
      </w:tr>
      <w:tr>
        <w:trPr>
          <w:trHeight w:val="149"/>
        </w:trPr>
        <w:tc>
          <w:tcPr>
            <w:tcW w:w="20" w:type="dxa"/>
            <w:vAlign w:val="bottom"/>
          </w:tcPr>
          <w:p>
            <w:pPr>
              <w:spacing w:after="0"/>
              <w:rPr>
                <w:sz w:val="12"/>
                <w:szCs w:val="12"/>
                <w:color w:val="auto"/>
              </w:rPr>
            </w:pPr>
          </w:p>
        </w:tc>
        <w:tc>
          <w:tcPr>
            <w:tcW w:w="37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46</w:t>
            </w: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(20)</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(69)</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w:t>
            </w:r>
          </w:p>
        </w:tc>
      </w:tr>
      <w:tr>
        <w:trPr>
          <w:trHeight w:val="142"/>
        </w:trPr>
        <w:tc>
          <w:tcPr>
            <w:tcW w:w="20" w:type="dxa"/>
            <w:vAlign w:val="bottom"/>
          </w:tcPr>
          <w:p>
            <w:pPr>
              <w:spacing w:after="0"/>
              <w:rPr>
                <w:sz w:val="12"/>
                <w:szCs w:val="12"/>
                <w:color w:val="auto"/>
              </w:rPr>
            </w:pPr>
          </w:p>
        </w:tc>
        <w:tc>
          <w:tcPr>
            <w:tcW w:w="374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48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w w:val="90"/>
              </w:rPr>
              <w:t>(1,296)</w:t>
            </w:r>
          </w:p>
        </w:tc>
        <w:tc>
          <w:tcPr>
            <w:tcW w:w="30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85"/>
              </w:rPr>
              <w:t>(1,000)</w:t>
            </w:r>
          </w:p>
        </w:tc>
        <w:tc>
          <w:tcPr>
            <w:tcW w:w="320" w:type="dxa"/>
            <w:vAlign w:val="bottom"/>
            <w:tcBorders>
              <w:bottom w:val="single" w:sz="8" w:color="auto"/>
            </w:tcBorders>
            <w:shd w:val="clear" w:color="auto" w:fill="E5E5E5"/>
          </w:tcPr>
          <w:p>
            <w:pPr>
              <w:spacing w:after="0"/>
              <w:rPr>
                <w:sz w:val="12"/>
                <w:szCs w:val="12"/>
                <w:color w:val="auto"/>
              </w:rPr>
            </w:pPr>
          </w:p>
        </w:tc>
        <w:tc>
          <w:tcPr>
            <w:tcW w:w="760" w:type="dxa"/>
            <w:vAlign w:val="bottom"/>
            <w:tcBorders>
              <w:bottom w:val="single" w:sz="8" w:color="auto"/>
            </w:tcBorders>
            <w:shd w:val="clear" w:color="auto" w:fill="E5E5E5"/>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(20)</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(341)</w:t>
            </w:r>
          </w:p>
        </w:tc>
        <w:tc>
          <w:tcPr>
            <w:tcW w:w="30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(2,657)</w:t>
            </w:r>
          </w:p>
        </w:tc>
      </w:tr>
      <w:tr>
        <w:trPr>
          <w:trHeight w:val="142"/>
        </w:trPr>
        <w:tc>
          <w:tcPr>
            <w:tcW w:w="20" w:type="dxa"/>
            <w:vAlign w:val="bottom"/>
          </w:tcPr>
          <w:p>
            <w:pPr>
              <w:spacing w:after="0"/>
              <w:rPr>
                <w:sz w:val="12"/>
                <w:szCs w:val="12"/>
                <w:color w:val="auto"/>
              </w:rPr>
            </w:pPr>
          </w:p>
        </w:tc>
        <w:tc>
          <w:tcPr>
            <w:tcW w:w="3740" w:type="dxa"/>
            <w:vAlign w:val="bottom"/>
          </w:tcPr>
          <w:p>
            <w:pPr>
              <w:spacing w:after="0" w:line="142" w:lineRule="exact"/>
              <w:rPr>
                <w:sz w:val="20"/>
                <w:szCs w:val="20"/>
                <w:color w:val="auto"/>
              </w:rPr>
            </w:pPr>
            <w:r>
              <w:rPr>
                <w:rFonts w:ascii="Arial" w:cs="Arial" w:eastAsia="Arial" w:hAnsi="Arial"/>
                <w:sz w:val="14"/>
                <w:szCs w:val="14"/>
                <w:color w:val="auto"/>
              </w:rPr>
              <w:t>Increase (decrease) in cash and cash equivalents</w:t>
            </w:r>
          </w:p>
        </w:tc>
        <w:tc>
          <w:tcPr>
            <w:tcW w:w="480" w:type="dxa"/>
            <w:vAlign w:val="bottom"/>
          </w:tcPr>
          <w:p>
            <w:pPr>
              <w:spacing w:after="0"/>
              <w:rPr>
                <w:sz w:val="12"/>
                <w:szCs w:val="12"/>
                <w:color w:val="auto"/>
              </w:rPr>
            </w:pPr>
          </w:p>
        </w:tc>
        <w:tc>
          <w:tcPr>
            <w:tcW w:w="66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2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6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8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(3,987)</w:t>
            </w:r>
          </w:p>
        </w:tc>
        <w:tc>
          <w:tcPr>
            <w:tcW w:w="300" w:type="dxa"/>
            <w:vAlign w:val="bottom"/>
          </w:tcPr>
          <w:p>
            <w:pPr>
              <w:spacing w:after="0"/>
              <w:rPr>
                <w:sz w:val="12"/>
                <w:szCs w:val="12"/>
                <w:color w:val="auto"/>
              </w:rPr>
            </w:pPr>
          </w:p>
        </w:tc>
        <w:tc>
          <w:tcPr>
            <w:tcW w:w="96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(3,987)</w:t>
            </w:r>
          </w:p>
        </w:tc>
      </w:tr>
      <w:tr>
        <w:trPr>
          <w:trHeight w:val="149"/>
        </w:trPr>
        <w:tc>
          <w:tcPr>
            <w:tcW w:w="20" w:type="dxa"/>
            <w:vAlign w:val="bottom"/>
          </w:tcPr>
          <w:p>
            <w:pPr>
              <w:spacing w:after="0"/>
              <w:rPr>
                <w:sz w:val="12"/>
                <w:szCs w:val="12"/>
                <w:color w:val="auto"/>
              </w:rPr>
            </w:pPr>
          </w:p>
        </w:tc>
        <w:tc>
          <w:tcPr>
            <w:tcW w:w="374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48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5E5E5"/>
          </w:tcPr>
          <w:p>
            <w:pPr>
              <w:spacing w:after="0"/>
              <w:rPr>
                <w:sz w:val="12"/>
                <w:szCs w:val="12"/>
                <w:color w:val="auto"/>
              </w:rPr>
            </w:pPr>
          </w:p>
        </w:tc>
        <w:tc>
          <w:tcPr>
            <w:tcW w:w="76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5E5E5"/>
          </w:tcPr>
          <w:p>
            <w:pPr>
              <w:spacing w:after="0"/>
              <w:rPr>
                <w:sz w:val="12"/>
                <w:szCs w:val="12"/>
                <w:color w:val="auto"/>
              </w:rPr>
            </w:pPr>
          </w:p>
        </w:tc>
        <w:tc>
          <w:tcPr>
            <w:tcW w:w="58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jc w:val="right"/>
              <w:ind w:right="212"/>
              <w:spacing w:after="0" w:line="149" w:lineRule="exact"/>
              <w:rPr>
                <w:sz w:val="20"/>
                <w:szCs w:val="20"/>
                <w:color w:val="auto"/>
              </w:rPr>
            </w:pPr>
            <w:r>
              <w:rPr>
                <w:rFonts w:ascii="Arial" w:cs="Arial" w:eastAsia="Arial" w:hAnsi="Arial"/>
                <w:sz w:val="14"/>
                <w:szCs w:val="14"/>
                <w:color w:val="auto"/>
              </w:rPr>
              <w:t>5,984</w:t>
            </w:r>
          </w:p>
        </w:tc>
        <w:tc>
          <w:tcPr>
            <w:tcW w:w="30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spacing w:after="0"/>
              <w:rPr>
                <w:sz w:val="12"/>
                <w:szCs w:val="12"/>
                <w:color w:val="auto"/>
              </w:rPr>
            </w:pPr>
          </w:p>
        </w:tc>
        <w:tc>
          <w:tcPr>
            <w:tcW w:w="70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5,984</w:t>
            </w:r>
          </w:p>
        </w:tc>
      </w:tr>
      <w:tr>
        <w:trPr>
          <w:trHeight w:val="149"/>
        </w:trPr>
        <w:tc>
          <w:tcPr>
            <w:tcW w:w="2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480" w:type="dxa"/>
            <w:vAlign w:val="bottom"/>
            <w:tcBorders>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1,997</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1,997</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are a leading provider of entertainment, information and communication products and services. On January 28, 2011, we closed the NBCUniversal transaction in which we acquired control of the businesses of NBCUniversal, and on July 1, 2011, we closed the Universal Orlando transaction in which we acquired the remaining 50% equity interest in Universal Orlando that we did not already own. We report our operations as the following five reportable business segments.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one of the nation’s leading providers of video, high-speed Internet and voice services to residential and business customers. As of June 30, 2012, our cable systems served 22.1 million video customers, 18.7 million high-speed Internet customers and 9.7 million voice customers and passed more than 52 million homes and businesses in 39 states and the District of Columbia. Our Cable Communications segment generates revenue primarily from subscriptions to our cable services, which we market individually and in packages, and from the sale of advertising. During the six months ended June 30, 2012, our Cable Communications segment generated 65% of our consolidated revenue and more than 80% of our operating income (loss) before depreciation and amortization.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NBCUniversal is a leading media and entertainment company that develops, produces and distributes entertainment, news and information, sports and other content for global audiences.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Networks segment consists primarily of our national cable networks, which provide entertainment, news and information, and sports programming, our regional sports and news networks, our international cable networks, our cable television production studio, and our related digital media properties. Our Cable Networks segment generates revenue primarily from the distribution of our cable network programming to multichannel video providers, the sale of advertising and the licensing and sale of our owned programming.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Our Broadcast Television segment generates revenue primarily from the sale of advertising and the licensing and sale of our owned programming.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 Our Filmed Entertainment segment generates revenue primarily from the worldwide theatrical release of our owned and acquired films, content licensing and home entertainment.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Theme Parks segment consists primarily of our Universal theme parks in Orlando and Hollywood. We also receive fees related to intellectual property licenses and other services from third parties that own and operate Universal Studios Japan and Universal Studios Singapore. Our Theme Parks segment generates revenue primarily from theme park attendance and per capita spending, as well as from licensing and other fees. Per capita spending includes ticket price and in-park spending on food, beverage and merchandise.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 large, multipurpose arena in Philadelphia. Comcast Spectacor also owns Global Spectrum, which provides venue management services, and Ovations Food Services, which provides food services for sporting events, concerts and other events.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00" w:type="dxa"/>
            <w:vAlign w:val="bottom"/>
            <w:gridSpan w:val="3"/>
          </w:tcPr>
          <w:p>
            <w:pPr>
              <w:jc w:val="right"/>
              <w:ind w:right="354"/>
              <w:spacing w:after="0"/>
              <w:rPr>
                <w:sz w:val="20"/>
                <w:szCs w:val="20"/>
                <w:color w:val="auto"/>
              </w:rPr>
            </w:pPr>
            <w:r>
              <w:rPr>
                <w:rFonts w:ascii="Arial" w:cs="Arial" w:eastAsia="Arial" w:hAnsi="Arial"/>
                <w:sz w:val="14"/>
                <w:szCs w:val="14"/>
                <w:color w:val="auto"/>
                <w:w w:val="94"/>
              </w:rPr>
              <w:t>Three Months Ended</w:t>
            </w:r>
          </w:p>
        </w:tc>
        <w:tc>
          <w:tcPr>
            <w:tcW w:w="1120" w:type="dxa"/>
            <w:vAlign w:val="bottom"/>
          </w:tcPr>
          <w:p>
            <w:pPr>
              <w:jc w:val="right"/>
              <w:ind w:right="315"/>
              <w:spacing w:after="0"/>
              <w:rPr>
                <w:sz w:val="20"/>
                <w:szCs w:val="20"/>
                <w:color w:val="auto"/>
              </w:rPr>
            </w:pPr>
            <w:r>
              <w:rPr>
                <w:rFonts w:ascii="Arial" w:cs="Arial" w:eastAsia="Arial" w:hAnsi="Arial"/>
                <w:sz w:val="14"/>
                <w:szCs w:val="14"/>
                <w:color w:val="auto"/>
              </w:rPr>
              <w:t>Increase/</w:t>
            </w:r>
          </w:p>
        </w:tc>
        <w:tc>
          <w:tcPr>
            <w:tcW w:w="260" w:type="dxa"/>
            <w:vAlign w:val="bottom"/>
          </w:tcPr>
          <w:p>
            <w:pPr>
              <w:spacing w:after="0"/>
              <w:rPr>
                <w:sz w:val="14"/>
                <w:szCs w:val="14"/>
                <w:color w:val="auto"/>
              </w:rPr>
            </w:pPr>
          </w:p>
        </w:tc>
        <w:tc>
          <w:tcPr>
            <w:tcW w:w="1720" w:type="dxa"/>
            <w:vAlign w:val="bottom"/>
            <w:gridSpan w:val="3"/>
          </w:tcPr>
          <w:p>
            <w:pPr>
              <w:jc w:val="right"/>
              <w:ind w:right="434"/>
              <w:spacing w:after="0"/>
              <w:rPr>
                <w:sz w:val="20"/>
                <w:szCs w:val="20"/>
                <w:color w:val="auto"/>
              </w:rPr>
            </w:pPr>
            <w:r>
              <w:rPr>
                <w:rFonts w:ascii="Arial" w:cs="Arial" w:eastAsia="Arial" w:hAnsi="Arial"/>
                <w:sz w:val="14"/>
                <w:szCs w:val="14"/>
                <w:color w:val="auto"/>
              </w:rPr>
              <w:t>Six Months Ended</w:t>
            </w:r>
          </w:p>
        </w:tc>
        <w:tc>
          <w:tcPr>
            <w:tcW w:w="100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(Decrease)</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(Decrease)</w:t>
            </w:r>
          </w:p>
        </w:tc>
      </w:tr>
      <w:tr>
        <w:trPr>
          <w:trHeight w:val="237"/>
        </w:trPr>
        <w:tc>
          <w:tcPr>
            <w:tcW w:w="5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20"/>
                <w:szCs w:val="20"/>
                <w:color w:val="auto"/>
              </w:rPr>
            </w:pPr>
          </w:p>
        </w:tc>
        <w:tc>
          <w:tcPr>
            <w:tcW w:w="720" w:type="dxa"/>
            <w:vAlign w:val="bottom"/>
          </w:tcPr>
          <w:p>
            <w:pPr>
              <w:jc w:val="right"/>
              <w:ind w:right="317"/>
              <w:spacing w:after="0"/>
              <w:rPr>
                <w:sz w:val="20"/>
                <w:szCs w:val="20"/>
                <w:color w:val="auto"/>
              </w:rPr>
            </w:pPr>
            <w:r>
              <w:rPr>
                <w:rFonts w:ascii="Arial" w:cs="Arial" w:eastAsia="Arial" w:hAnsi="Arial"/>
                <w:sz w:val="14"/>
                <w:szCs w:val="14"/>
                <w:color w:val="auto"/>
                <w:w w:val="96"/>
              </w:rPr>
              <w:t>2012</w:t>
            </w:r>
          </w:p>
        </w:tc>
        <w:tc>
          <w:tcPr>
            <w:tcW w:w="260" w:type="dxa"/>
            <w:vAlign w:val="bottom"/>
          </w:tcPr>
          <w:p>
            <w:pPr>
              <w:spacing w:after="0"/>
              <w:rPr>
                <w:sz w:val="20"/>
                <w:szCs w:val="20"/>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color w:val="auto"/>
                <w:w w:val="96"/>
              </w:rPr>
              <w:t>2011</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297"/>
              <w:spacing w:after="0"/>
              <w:rPr>
                <w:sz w:val="20"/>
                <w:szCs w:val="20"/>
                <w:color w:val="auto"/>
              </w:rPr>
            </w:pPr>
            <w:r>
              <w:rPr>
                <w:rFonts w:ascii="Arial" w:cs="Arial" w:eastAsia="Arial" w:hAnsi="Arial"/>
                <w:sz w:val="14"/>
                <w:szCs w:val="14"/>
                <w:color w:val="auto"/>
              </w:rPr>
              <w:t>2012</w:t>
            </w:r>
          </w:p>
        </w:tc>
        <w:tc>
          <w:tcPr>
            <w:tcW w:w="260" w:type="dxa"/>
            <w:vAlign w:val="bottom"/>
          </w:tcPr>
          <w:p>
            <w:pPr>
              <w:spacing w:after="0"/>
              <w:rPr>
                <w:sz w:val="20"/>
                <w:szCs w:val="20"/>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color w:val="auto"/>
              </w:rPr>
              <w:t>2011</w:t>
            </w:r>
          </w:p>
        </w:tc>
        <w:tc>
          <w:tcPr>
            <w:tcW w:w="10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w w:val="83"/>
              </w:rPr>
              <w:t>15,211</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3"/>
              </w:rPr>
              <w:t>14,333</w:t>
            </w:r>
          </w:p>
        </w:tc>
        <w:tc>
          <w:tcPr>
            <w:tcW w:w="112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6.1%</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w w:val="87"/>
              </w:rPr>
              <w:t>30,089</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7"/>
              </w:rPr>
              <w:t>26,461</w:t>
            </w:r>
          </w:p>
        </w:tc>
        <w:tc>
          <w:tcPr>
            <w:tcW w:w="10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Costs and Expenses:</w:t>
            </w: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6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w w:val="83"/>
              </w:rPr>
              <w:t>10,207</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9,532</w:t>
            </w:r>
          </w:p>
        </w:tc>
        <w:tc>
          <w:tcPr>
            <w:tcW w:w="11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7.1</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w w:val="87"/>
              </w:rPr>
              <w:t>20,397</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87"/>
              </w:rPr>
              <w:t>17,594</w:t>
            </w:r>
          </w:p>
        </w:tc>
        <w:tc>
          <w:tcPr>
            <w:tcW w:w="10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60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1,516</w:t>
            </w:r>
          </w:p>
        </w:tc>
        <w:tc>
          <w:tcPr>
            <w:tcW w:w="26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1,478</w:t>
            </w: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3,045</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2,964</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6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409</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385</w:t>
            </w:r>
          </w:p>
        </w:tc>
        <w:tc>
          <w:tcPr>
            <w:tcW w:w="11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810</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741</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9.3</w:t>
            </w: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60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3,079</w:t>
            </w:r>
          </w:p>
        </w:tc>
        <w:tc>
          <w:tcPr>
            <w:tcW w:w="26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2,938</w:t>
            </w: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5,837</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5,162</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6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(635)</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(557)</w:t>
            </w:r>
          </w:p>
        </w:tc>
        <w:tc>
          <w:tcPr>
            <w:tcW w:w="11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w w:val="94"/>
              </w:rPr>
              <w:t>(1,196)</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4"/>
              </w:rPr>
              <w:t>(1,146)</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4.4</w:t>
            </w: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2,444</w:t>
            </w:r>
          </w:p>
        </w:tc>
        <w:tc>
          <w:tcPr>
            <w:tcW w:w="26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2,381</w:t>
            </w: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4,641</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4,016</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15.6</w:t>
            </w: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6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(811)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1"/>
              </w:rPr>
              <w:t>(1,014)</w:t>
            </w:r>
          </w:p>
        </w:tc>
        <w:tc>
          <w:tcPr>
            <w:tcW w:w="11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(20.1)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w w:val="94"/>
              </w:rPr>
              <w:t>(1,561)</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4"/>
              </w:rPr>
              <w:t>(1,610)</w:t>
            </w:r>
          </w:p>
        </w:tc>
        <w:tc>
          <w:tcPr>
            <w:tcW w:w="10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(3.0)</w:t>
            </w: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1,633</w:t>
            </w:r>
          </w:p>
        </w:tc>
        <w:tc>
          <w:tcPr>
            <w:tcW w:w="26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1,367</w:t>
            </w: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8"/>
                <w:szCs w:val="18"/>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3,080</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2,406</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28.0</w:t>
            </w: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(285)</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(345)</w:t>
            </w:r>
          </w:p>
        </w:tc>
        <w:tc>
          <w:tcPr>
            <w:tcW w:w="11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(17.5)</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(508)</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(441)</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15.3</w:t>
            </w:r>
          </w:p>
        </w:tc>
      </w:tr>
      <w:tr>
        <w:trPr>
          <w:trHeight w:val="217"/>
        </w:trPr>
        <w:tc>
          <w:tcPr>
            <w:tcW w:w="2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1,348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1,022</w:t>
            </w: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31.9%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2,572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1,965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comparability of our consolidated results of operations was impacted by the NBCUniversal transaction, which closed on January 28, 2011, and the Universal Orlando transaction, which closed on July 1, 2011. NBCUniversal’s and Universal Orlando’s results of operations are included in our consolidated financial statements following their respective acquisition dates.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incurred transaction costs directly related to the NBCUniversal transaction in 2011. Incremental expenses were primarily related to legal, accounting and valuation services and investment banking fees. In addition, NBCUniversal incurred transaction-related costs associated with severance and other related compensation charges. Total transaction-related expenses incurred during the three and six months ended June 30, 2011 were $6 million and $129 million, respectively.</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more complete discussion of the NBCUniversal and Universal Orlando transactions, refer to our consolidated financial statements included in our 2011 Annual Report on Form 10-K.</w:t>
      </w:r>
    </w:p>
    <w:p>
      <w:pPr>
        <w:spacing w:after="0" w:line="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of our businesses is subject to seasonal and cyclical variations. Revenue and operating costs and expenses in our Broadcast Television segment are cyclical as a result of our periodic broadcasts of the Olympic Games and Super Bowl games. Because we broadcasted the 2012 Super Bowl in February 2012, during the six months ended June 30, 2012, our advertising revenue increased as a result of increased demand for advertising time and our operating costs and expenses also increased as a result of our production costs and amortization of the related rights fees. We also expect our advertising revenue and our programming and production costs to increase in the third quarter of 2012 due to our broadcast of the 2012 London Olympic Games, and we expect to pay substantially all of the related rights fees in the third quarter of 2012.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Cable Communications segment and the NBCUniversal segments accounted for substantially all of the increases in consolidated revenue for the three and six months ended June 30, 2012. The remaining changes in consolidated revenue related to our other business activities, primarily Comcast Spectacor. Revenue for our Cable Communications and NBCUniversal segments is discussed separately under the heading “Segment Operating Results.”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Costs and Expenses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Communications segment and the NBCUniversal segments accounted for substantially all of the increases in consolidated operating costs and expenses for the three and six months ended June 30, 2012. The remaining changes in consolidated operating costs and expenses related to our other business activities, primarily Comcast Spectacor. Operating costs and expenses for our Cable Communications and NBCUniversal segments are discussed separately under the heading “Segment Operating Results.”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depreciation and amortization increased for the three months ended June 30, 2012 primarily due to the impact of consolidating Universal Orlando following the close of the transaction. Consolidated depreciation and amortization increased for the six months ended June 30, 2012 primarily due to the impact of consolidating NBCUniversal and Universal Orlando following the close of each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GAAP, in Note 15 to our condensed consolidated financial statements. This measure should not be considered a substitute for operating income (loss), net income attributable to Comcast Corporation, net cash provided by operating activities, or other measures of performance or liquidity we have reported in accordance with GAAP.</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20" w:type="dxa"/>
            <w:vAlign w:val="bottom"/>
            <w:gridSpan w:val="2"/>
          </w:tcPr>
          <w:p>
            <w:pPr>
              <w:jc w:val="right"/>
              <w:ind w:right="234"/>
              <w:spacing w:after="0"/>
              <w:rPr>
                <w:sz w:val="20"/>
                <w:szCs w:val="20"/>
                <w:color w:val="auto"/>
              </w:rPr>
            </w:pPr>
            <w:r>
              <w:rPr>
                <w:rFonts w:ascii="Arial" w:cs="Arial" w:eastAsia="Arial" w:hAnsi="Arial"/>
                <w:sz w:val="14"/>
                <w:szCs w:val="14"/>
                <w:color w:val="auto"/>
              </w:rPr>
              <w:t>Three Months Ended</w:t>
            </w:r>
          </w:p>
        </w:tc>
        <w:tc>
          <w:tcPr>
            <w:tcW w:w="980" w:type="dxa"/>
            <w:vAlign w:val="bottom"/>
          </w:tcPr>
          <w:p>
            <w:pPr>
              <w:jc w:val="right"/>
              <w:spacing w:after="0"/>
              <w:rPr>
                <w:sz w:val="20"/>
                <w:szCs w:val="20"/>
                <w:color w:val="auto"/>
              </w:rPr>
            </w:pPr>
            <w:r>
              <w:rPr>
                <w:rFonts w:ascii="Arial" w:cs="Arial" w:eastAsia="Arial" w:hAnsi="Arial"/>
                <w:sz w:val="14"/>
                <w:szCs w:val="14"/>
                <w:color w:val="auto"/>
              </w:rPr>
              <w:t>Increase/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080" w:type="dxa"/>
            <w:vAlign w:val="bottom"/>
          </w:tcPr>
          <w:p>
            <w:pPr>
              <w:spacing w:after="0"/>
              <w:rPr>
                <w:sz w:val="15"/>
                <w:szCs w:val="15"/>
                <w:color w:val="auto"/>
              </w:rPr>
            </w:pPr>
          </w:p>
        </w:tc>
        <w:tc>
          <w:tcPr>
            <w:tcW w:w="192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4"/>
                <w:szCs w:val="14"/>
                <w:color w:val="auto"/>
              </w:rPr>
              <w:t>June 30</w:t>
            </w:r>
          </w:p>
        </w:tc>
        <w:tc>
          <w:tcPr>
            <w:tcW w:w="152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3080" w:type="dxa"/>
            <w:vAlign w:val="bottom"/>
          </w:tcPr>
          <w:p>
            <w:pPr>
              <w:spacing w:after="0"/>
              <w:rPr>
                <w:sz w:val="12"/>
                <w:szCs w:val="12"/>
                <w:color w:val="auto"/>
              </w:rPr>
            </w:pPr>
          </w:p>
        </w:tc>
        <w:tc>
          <w:tcPr>
            <w:tcW w:w="100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2012</w:t>
            </w:r>
          </w:p>
        </w:tc>
        <w:tc>
          <w:tcPr>
            <w:tcW w:w="920" w:type="dxa"/>
            <w:vAlign w:val="bottom"/>
          </w:tcPr>
          <w:p>
            <w:pPr>
              <w:jc w:val="right"/>
              <w:ind w:right="234"/>
              <w:spacing w:after="0" w:line="142" w:lineRule="exact"/>
              <w:rPr>
                <w:sz w:val="20"/>
                <w:szCs w:val="20"/>
                <w:color w:val="auto"/>
              </w:rPr>
            </w:pPr>
            <w:r>
              <w:rPr>
                <w:rFonts w:ascii="Arial" w:cs="Arial" w:eastAsia="Arial" w:hAnsi="Arial"/>
                <w:sz w:val="14"/>
                <w:szCs w:val="14"/>
                <w:color w:val="auto"/>
              </w:rPr>
              <w:t>2011</w:t>
            </w:r>
          </w:p>
        </w:tc>
        <w:tc>
          <w:tcPr>
            <w:tcW w:w="980" w:type="dxa"/>
            <w:vAlign w:val="bottom"/>
          </w:tcPr>
          <w:p>
            <w:pPr>
              <w:jc w:val="right"/>
              <w:ind w:right="496"/>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08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3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Video</w:t>
            </w:r>
          </w:p>
        </w:tc>
        <w:tc>
          <w:tcPr>
            <w:tcW w:w="408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$5,079</w:t>
            </w:r>
          </w:p>
        </w:tc>
        <w:tc>
          <w:tcPr>
            <w:tcW w:w="9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$ 4,941</w:t>
            </w:r>
          </w:p>
        </w:tc>
        <w:tc>
          <w:tcPr>
            <w:tcW w:w="98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$138</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High-speed Internet</w:t>
            </w:r>
          </w:p>
        </w:tc>
        <w:tc>
          <w:tcPr>
            <w:tcW w:w="4080" w:type="dxa"/>
            <w:vAlign w:val="bottom"/>
            <w:gridSpan w:val="2"/>
          </w:tcPr>
          <w:p>
            <w:pPr>
              <w:jc w:val="right"/>
              <w:ind w:right="112"/>
              <w:spacing w:after="0"/>
              <w:rPr>
                <w:sz w:val="20"/>
                <w:szCs w:val="20"/>
                <w:color w:val="auto"/>
              </w:rPr>
            </w:pPr>
            <w:r>
              <w:rPr>
                <w:rFonts w:ascii="Arial" w:cs="Arial" w:eastAsia="Arial" w:hAnsi="Arial"/>
                <w:sz w:val="18"/>
                <w:szCs w:val="18"/>
                <w:color w:val="auto"/>
              </w:rPr>
              <w:t>2,380</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2,186</w:t>
            </w:r>
          </w:p>
        </w:tc>
        <w:tc>
          <w:tcPr>
            <w:tcW w:w="980" w:type="dxa"/>
            <w:vAlign w:val="bottom"/>
          </w:tcPr>
          <w:p>
            <w:pPr>
              <w:jc w:val="right"/>
              <w:ind w:right="356"/>
              <w:spacing w:after="0"/>
              <w:rPr>
                <w:sz w:val="20"/>
                <w:szCs w:val="20"/>
                <w:color w:val="auto"/>
              </w:rPr>
            </w:pPr>
            <w:r>
              <w:rPr>
                <w:rFonts w:ascii="Arial" w:cs="Arial" w:eastAsia="Arial" w:hAnsi="Arial"/>
                <w:sz w:val="18"/>
                <w:szCs w:val="18"/>
                <w:color w:val="auto"/>
              </w:rPr>
              <w:t>194</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Voice</w:t>
            </w:r>
          </w:p>
        </w:tc>
        <w:tc>
          <w:tcPr>
            <w:tcW w:w="408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889</w:t>
            </w:r>
          </w:p>
        </w:tc>
        <w:tc>
          <w:tcPr>
            <w:tcW w:w="9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878</w:t>
            </w:r>
          </w:p>
        </w:tc>
        <w:tc>
          <w:tcPr>
            <w:tcW w:w="98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11</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Business services</w:t>
            </w:r>
          </w:p>
        </w:tc>
        <w:tc>
          <w:tcPr>
            <w:tcW w:w="4080" w:type="dxa"/>
            <w:vAlign w:val="bottom"/>
            <w:gridSpan w:val="2"/>
          </w:tcPr>
          <w:p>
            <w:pPr>
              <w:jc w:val="right"/>
              <w:ind w:right="112"/>
              <w:spacing w:after="0"/>
              <w:rPr>
                <w:sz w:val="20"/>
                <w:szCs w:val="20"/>
                <w:color w:val="auto"/>
              </w:rPr>
            </w:pPr>
            <w:r>
              <w:rPr>
                <w:rFonts w:ascii="Arial" w:cs="Arial" w:eastAsia="Arial" w:hAnsi="Arial"/>
                <w:sz w:val="18"/>
                <w:szCs w:val="18"/>
                <w:color w:val="auto"/>
              </w:rPr>
              <w:t>582</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435</w:t>
            </w:r>
          </w:p>
        </w:tc>
        <w:tc>
          <w:tcPr>
            <w:tcW w:w="980" w:type="dxa"/>
            <w:vAlign w:val="bottom"/>
          </w:tcPr>
          <w:p>
            <w:pPr>
              <w:jc w:val="right"/>
              <w:ind w:right="356"/>
              <w:spacing w:after="0"/>
              <w:rPr>
                <w:sz w:val="20"/>
                <w:szCs w:val="20"/>
                <w:color w:val="auto"/>
              </w:rPr>
            </w:pPr>
            <w:r>
              <w:rPr>
                <w:rFonts w:ascii="Arial" w:cs="Arial" w:eastAsia="Arial" w:hAnsi="Arial"/>
                <w:sz w:val="18"/>
                <w:szCs w:val="18"/>
                <w:color w:val="auto"/>
              </w:rPr>
              <w:t>147</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w w:val="85"/>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Advertising</w:t>
            </w:r>
          </w:p>
        </w:tc>
        <w:tc>
          <w:tcPr>
            <w:tcW w:w="408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552</w:t>
            </w:r>
          </w:p>
        </w:tc>
        <w:tc>
          <w:tcPr>
            <w:tcW w:w="9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512</w:t>
            </w:r>
          </w:p>
        </w:tc>
        <w:tc>
          <w:tcPr>
            <w:tcW w:w="98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40</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0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color w:val="auto"/>
              </w:rPr>
              <w:t>415</w:t>
            </w: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389</w:t>
            </w: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26</w:t>
            </w: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08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9,897</w:t>
            </w:r>
          </w:p>
        </w:tc>
        <w:tc>
          <w:tcPr>
            <w:tcW w:w="9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9,341</w:t>
            </w:r>
          </w:p>
        </w:tc>
        <w:tc>
          <w:tcPr>
            <w:tcW w:w="98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556</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3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w:t>
            </w:r>
          </w:p>
        </w:tc>
        <w:tc>
          <w:tcPr>
            <w:tcW w:w="408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2,109</w:t>
            </w:r>
          </w:p>
        </w:tc>
        <w:tc>
          <w:tcPr>
            <w:tcW w:w="9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1,953</w:t>
            </w:r>
          </w:p>
        </w:tc>
        <w:tc>
          <w:tcPr>
            <w:tcW w:w="98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156</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Technical labor</w:t>
            </w:r>
          </w:p>
        </w:tc>
        <w:tc>
          <w:tcPr>
            <w:tcW w:w="4080" w:type="dxa"/>
            <w:vAlign w:val="bottom"/>
            <w:gridSpan w:val="2"/>
          </w:tcPr>
          <w:p>
            <w:pPr>
              <w:jc w:val="right"/>
              <w:ind w:right="112"/>
              <w:spacing w:after="0"/>
              <w:rPr>
                <w:sz w:val="20"/>
                <w:szCs w:val="20"/>
                <w:color w:val="auto"/>
              </w:rPr>
            </w:pPr>
            <w:r>
              <w:rPr>
                <w:rFonts w:ascii="Arial" w:cs="Arial" w:eastAsia="Arial" w:hAnsi="Arial"/>
                <w:sz w:val="18"/>
                <w:szCs w:val="18"/>
                <w:color w:val="auto"/>
              </w:rPr>
              <w:t>579</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568</w:t>
            </w:r>
          </w:p>
        </w:tc>
        <w:tc>
          <w:tcPr>
            <w:tcW w:w="980" w:type="dxa"/>
            <w:vAlign w:val="bottom"/>
          </w:tcPr>
          <w:p>
            <w:pPr>
              <w:jc w:val="right"/>
              <w:ind w:right="356"/>
              <w:spacing w:after="0"/>
              <w:rPr>
                <w:sz w:val="20"/>
                <w:szCs w:val="20"/>
                <w:color w:val="auto"/>
              </w:rPr>
            </w:pPr>
            <w:r>
              <w:rPr>
                <w:rFonts w:ascii="Arial" w:cs="Arial" w:eastAsia="Arial" w:hAnsi="Arial"/>
                <w:sz w:val="18"/>
                <w:szCs w:val="18"/>
                <w:color w:val="auto"/>
              </w:rPr>
              <w:t>11</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Customer service</w:t>
            </w:r>
          </w:p>
        </w:tc>
        <w:tc>
          <w:tcPr>
            <w:tcW w:w="408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481</w:t>
            </w:r>
          </w:p>
        </w:tc>
        <w:tc>
          <w:tcPr>
            <w:tcW w:w="9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460</w:t>
            </w:r>
          </w:p>
        </w:tc>
        <w:tc>
          <w:tcPr>
            <w:tcW w:w="98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21</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Marketing</w:t>
            </w:r>
          </w:p>
        </w:tc>
        <w:tc>
          <w:tcPr>
            <w:tcW w:w="4080" w:type="dxa"/>
            <w:vAlign w:val="bottom"/>
            <w:gridSpan w:val="2"/>
          </w:tcPr>
          <w:p>
            <w:pPr>
              <w:jc w:val="right"/>
              <w:ind w:right="112"/>
              <w:spacing w:after="0"/>
              <w:rPr>
                <w:sz w:val="20"/>
                <w:szCs w:val="20"/>
                <w:color w:val="auto"/>
              </w:rPr>
            </w:pPr>
            <w:r>
              <w:rPr>
                <w:rFonts w:ascii="Arial" w:cs="Arial" w:eastAsia="Arial" w:hAnsi="Arial"/>
                <w:sz w:val="18"/>
                <w:szCs w:val="18"/>
                <w:color w:val="auto"/>
              </w:rPr>
              <w:t>665</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606</w:t>
            </w:r>
          </w:p>
        </w:tc>
        <w:tc>
          <w:tcPr>
            <w:tcW w:w="980" w:type="dxa"/>
            <w:vAlign w:val="bottom"/>
          </w:tcPr>
          <w:p>
            <w:pPr>
              <w:jc w:val="right"/>
              <w:ind w:right="356"/>
              <w:spacing w:after="0"/>
              <w:rPr>
                <w:sz w:val="20"/>
                <w:szCs w:val="20"/>
                <w:color w:val="auto"/>
              </w:rPr>
            </w:pPr>
            <w:r>
              <w:rPr>
                <w:rFonts w:ascii="Arial" w:cs="Arial" w:eastAsia="Arial" w:hAnsi="Arial"/>
                <w:sz w:val="18"/>
                <w:szCs w:val="18"/>
                <w:color w:val="auto"/>
              </w:rPr>
              <w:t>59</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4080" w:type="dxa"/>
            <w:vAlign w:val="bottom"/>
            <w:tcBorders>
              <w:bottom w:val="single" w:sz="8" w:color="auto"/>
            </w:tcBorders>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1,962</w:t>
            </w:r>
          </w:p>
        </w:tc>
        <w:tc>
          <w:tcPr>
            <w:tcW w:w="92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1,868</w:t>
            </w:r>
          </w:p>
        </w:tc>
        <w:tc>
          <w:tcPr>
            <w:tcW w:w="980" w:type="dxa"/>
            <w:vAlign w:val="bottom"/>
            <w:tcBorders>
              <w:bottom w:val="single" w:sz="8" w:color="auto"/>
            </w:tcBorders>
            <w:shd w:val="clear" w:color="auto" w:fill="E5E5E5"/>
          </w:tcPr>
          <w:p>
            <w:pPr>
              <w:jc w:val="right"/>
              <w:ind w:right="356"/>
              <w:spacing w:after="0"/>
              <w:rPr>
                <w:sz w:val="20"/>
                <w:szCs w:val="20"/>
                <w:color w:val="auto"/>
              </w:rPr>
            </w:pPr>
            <w:r>
              <w:rPr>
                <w:rFonts w:ascii="Arial" w:cs="Arial" w:eastAsia="Arial" w:hAnsi="Arial"/>
                <w:sz w:val="18"/>
                <w:szCs w:val="18"/>
                <w:color w:val="auto"/>
              </w:rPr>
              <w:t>94</w:t>
            </w:r>
          </w:p>
        </w:tc>
        <w:tc>
          <w:tcPr>
            <w:tcW w:w="5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40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color w:val="auto"/>
              </w:rPr>
              <w:t>5,796</w:t>
            </w: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5,455</w:t>
            </w: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341</w:t>
            </w: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4080" w:type="dxa"/>
            <w:vAlign w:val="bottom"/>
            <w:tcBorders>
              <w:bottom w:val="single" w:sz="8" w:color="auto"/>
            </w:tcBorders>
            <w:gridSpan w:val="2"/>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$4,101</w:t>
            </w:r>
          </w:p>
        </w:tc>
        <w:tc>
          <w:tcPr>
            <w:tcW w:w="92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$ 3,886</w:t>
            </w:r>
          </w:p>
        </w:tc>
        <w:tc>
          <w:tcPr>
            <w:tcW w:w="980" w:type="dxa"/>
            <w:vAlign w:val="bottom"/>
            <w:tcBorders>
              <w:bottom w:val="single" w:sz="8" w:color="auto"/>
            </w:tcBorders>
            <w:shd w:val="clear" w:color="auto" w:fill="E5E5E5"/>
          </w:tcPr>
          <w:p>
            <w:pPr>
              <w:jc w:val="right"/>
              <w:ind w:right="356"/>
              <w:spacing w:after="0"/>
              <w:rPr>
                <w:sz w:val="20"/>
                <w:szCs w:val="20"/>
                <w:color w:val="auto"/>
              </w:rPr>
            </w:pPr>
            <w:r>
              <w:rPr>
                <w:rFonts w:ascii="Arial" w:cs="Arial" w:eastAsia="Arial" w:hAnsi="Arial"/>
                <w:sz w:val="18"/>
                <w:szCs w:val="18"/>
                <w:b w:val="1"/>
                <w:bCs w:val="1"/>
                <w:color w:val="auto"/>
              </w:rPr>
              <w:t>$215</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080" w:type="dxa"/>
            <w:vAlign w:val="bottom"/>
          </w:tcPr>
          <w:p>
            <w:pPr>
              <w:jc w:val="right"/>
              <w:ind w:right="2072"/>
              <w:spacing w:after="0"/>
              <w:rPr>
                <w:sz w:val="20"/>
                <w:szCs w:val="20"/>
                <w:color w:val="auto"/>
              </w:rPr>
            </w:pPr>
            <w:r>
              <w:rPr>
                <w:rFonts w:ascii="Arial" w:cs="Arial" w:eastAsia="Arial" w:hAnsi="Arial"/>
                <w:sz w:val="18"/>
                <w:szCs w:val="18"/>
                <w:color w:val="auto"/>
              </w:rPr>
              <w:t>30</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3"/>
          </w:tcPr>
          <w:p>
            <w:pPr>
              <w:jc w:val="right"/>
              <w:ind w:right="374"/>
              <w:spacing w:after="0"/>
              <w:rPr>
                <w:sz w:val="20"/>
                <w:szCs w:val="20"/>
                <w:color w:val="auto"/>
              </w:rPr>
            </w:pPr>
            <w:r>
              <w:rPr>
                <w:rFonts w:ascii="Arial" w:cs="Arial" w:eastAsia="Arial" w:hAnsi="Arial"/>
                <w:sz w:val="14"/>
                <w:szCs w:val="14"/>
                <w:color w:val="auto"/>
              </w:rPr>
              <w:t>Six Months Ended</w:t>
            </w: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Increase/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7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(Decrease)</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256"/>
              <w:spacing w:after="0" w:line="142" w:lineRule="exact"/>
              <w:rPr>
                <w:sz w:val="20"/>
                <w:szCs w:val="20"/>
                <w:color w:val="auto"/>
              </w:rPr>
            </w:pPr>
            <w:r>
              <w:rPr>
                <w:rFonts w:ascii="Arial" w:cs="Arial" w:eastAsia="Arial" w:hAnsi="Arial"/>
                <w:sz w:val="14"/>
                <w:szCs w:val="14"/>
                <w:color w:val="auto"/>
              </w:rPr>
              <w:t>2012</w:t>
            </w:r>
          </w:p>
        </w:tc>
        <w:tc>
          <w:tcPr>
            <w:tcW w:w="280" w:type="dxa"/>
            <w:vAlign w:val="bottom"/>
          </w:tcPr>
          <w:p>
            <w:pPr>
              <w:spacing w:after="0"/>
              <w:rPr>
                <w:sz w:val="12"/>
                <w:szCs w:val="12"/>
                <w:color w:val="auto"/>
              </w:rPr>
            </w:pPr>
          </w:p>
        </w:tc>
        <w:tc>
          <w:tcPr>
            <w:tcW w:w="680" w:type="dxa"/>
            <w:vAlign w:val="bottom"/>
          </w:tcPr>
          <w:p>
            <w:pPr>
              <w:jc w:val="right"/>
              <w:ind w:right="254"/>
              <w:spacing w:after="0" w:line="142" w:lineRule="exact"/>
              <w:rPr>
                <w:sz w:val="20"/>
                <w:szCs w:val="20"/>
                <w:color w:val="auto"/>
              </w:rPr>
            </w:pPr>
            <w:r>
              <w:rPr>
                <w:rFonts w:ascii="Arial" w:cs="Arial" w:eastAsia="Arial" w:hAnsi="Arial"/>
                <w:sz w:val="14"/>
                <w:szCs w:val="14"/>
                <w:color w:val="auto"/>
              </w:rPr>
              <w:t>2011</w:t>
            </w:r>
          </w:p>
        </w:tc>
        <w:tc>
          <w:tcPr>
            <w:tcW w:w="280" w:type="dxa"/>
            <w:vAlign w:val="bottom"/>
          </w:tcPr>
          <w:p>
            <w:pPr>
              <w:spacing w:after="0"/>
              <w:rPr>
                <w:sz w:val="12"/>
                <w:szCs w:val="12"/>
                <w:color w:val="auto"/>
              </w:rPr>
            </w:pPr>
          </w:p>
        </w:tc>
        <w:tc>
          <w:tcPr>
            <w:tcW w:w="840" w:type="dxa"/>
            <w:vAlign w:val="bottom"/>
          </w:tcPr>
          <w:p>
            <w:pPr>
              <w:jc w:val="right"/>
              <w:ind w:right="556"/>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Video</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w w:val="87"/>
              </w:rPr>
              <w:t>10,048</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9,832</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216</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High-speed Internet</w:t>
            </w:r>
          </w:p>
        </w:tc>
        <w:tc>
          <w:tcPr>
            <w:tcW w:w="4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4,703</w:t>
            </w:r>
          </w:p>
        </w:tc>
        <w:tc>
          <w:tcPr>
            <w:tcW w:w="28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4,292</w:t>
            </w:r>
          </w:p>
        </w:tc>
        <w:tc>
          <w:tcPr>
            <w:tcW w:w="280" w:type="dxa"/>
            <w:vAlign w:val="bottom"/>
          </w:tcPr>
          <w:p>
            <w:pPr>
              <w:spacing w:after="0"/>
              <w:rPr>
                <w:sz w:val="18"/>
                <w:szCs w:val="18"/>
                <w:color w:val="auto"/>
              </w:rPr>
            </w:pPr>
          </w:p>
        </w:tc>
        <w:tc>
          <w:tcPr>
            <w:tcW w:w="840" w:type="dxa"/>
            <w:vAlign w:val="bottom"/>
          </w:tcPr>
          <w:p>
            <w:pPr>
              <w:jc w:val="right"/>
              <w:ind w:right="356"/>
              <w:spacing w:after="0"/>
              <w:rPr>
                <w:sz w:val="20"/>
                <w:szCs w:val="20"/>
                <w:color w:val="auto"/>
              </w:rPr>
            </w:pPr>
            <w:r>
              <w:rPr>
                <w:rFonts w:ascii="Arial" w:cs="Arial" w:eastAsia="Arial" w:hAnsi="Arial"/>
                <w:sz w:val="18"/>
                <w:szCs w:val="18"/>
                <w:color w:val="auto"/>
              </w:rPr>
              <w:t>411</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Voice</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1,767</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1,738</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29</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Business services</w:t>
            </w:r>
          </w:p>
        </w:tc>
        <w:tc>
          <w:tcPr>
            <w:tcW w:w="4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1,123</w:t>
            </w:r>
          </w:p>
        </w:tc>
        <w:tc>
          <w:tcPr>
            <w:tcW w:w="28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829</w:t>
            </w:r>
          </w:p>
        </w:tc>
        <w:tc>
          <w:tcPr>
            <w:tcW w:w="280" w:type="dxa"/>
            <w:vAlign w:val="bottom"/>
          </w:tcPr>
          <w:p>
            <w:pPr>
              <w:spacing w:after="0"/>
              <w:rPr>
                <w:sz w:val="18"/>
                <w:szCs w:val="18"/>
                <w:color w:val="auto"/>
              </w:rPr>
            </w:pPr>
          </w:p>
        </w:tc>
        <w:tc>
          <w:tcPr>
            <w:tcW w:w="840" w:type="dxa"/>
            <w:vAlign w:val="bottom"/>
          </w:tcPr>
          <w:p>
            <w:pPr>
              <w:jc w:val="right"/>
              <w:ind w:right="356"/>
              <w:spacing w:after="0"/>
              <w:rPr>
                <w:sz w:val="20"/>
                <w:szCs w:val="20"/>
                <w:color w:val="auto"/>
              </w:rPr>
            </w:pPr>
            <w:r>
              <w:rPr>
                <w:rFonts w:ascii="Arial" w:cs="Arial" w:eastAsia="Arial" w:hAnsi="Arial"/>
                <w:sz w:val="18"/>
                <w:szCs w:val="18"/>
                <w:color w:val="auto"/>
              </w:rPr>
              <w:t>294</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w w:val="85"/>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Advertising</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1,028</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967</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61</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827</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767</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60</w:t>
            </w: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6"/>
              <w:spacing w:after="0"/>
              <w:rPr>
                <w:sz w:val="20"/>
                <w:szCs w:val="20"/>
                <w:color w:val="auto"/>
              </w:rPr>
            </w:pPr>
            <w:r>
              <w:rPr>
                <w:rFonts w:ascii="Arial" w:cs="Arial" w:eastAsia="Arial" w:hAnsi="Arial"/>
                <w:sz w:val="18"/>
                <w:szCs w:val="18"/>
                <w:b w:val="1"/>
                <w:bCs w:val="1"/>
                <w:color w:val="auto"/>
                <w:w w:val="87"/>
              </w:rPr>
              <w:t>19,496</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b w:val="1"/>
                <w:bCs w:val="1"/>
                <w:color w:val="auto"/>
                <w:w w:val="83"/>
              </w:rPr>
              <w:t>18,425</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56"/>
              <w:spacing w:after="0"/>
              <w:rPr>
                <w:sz w:val="20"/>
                <w:szCs w:val="20"/>
                <w:color w:val="auto"/>
              </w:rPr>
            </w:pPr>
            <w:r>
              <w:rPr>
                <w:rFonts w:ascii="Arial" w:cs="Arial" w:eastAsia="Arial" w:hAnsi="Arial"/>
                <w:sz w:val="18"/>
                <w:szCs w:val="18"/>
                <w:b w:val="1"/>
                <w:bCs w:val="1"/>
                <w:color w:val="auto"/>
                <w:w w:val="84"/>
              </w:rPr>
              <w:t>1,071</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4,185</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3,922</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263</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Technical labor</w:t>
            </w:r>
          </w:p>
        </w:tc>
        <w:tc>
          <w:tcPr>
            <w:tcW w:w="4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1,167</w:t>
            </w:r>
          </w:p>
        </w:tc>
        <w:tc>
          <w:tcPr>
            <w:tcW w:w="28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1,161</w:t>
            </w:r>
          </w:p>
        </w:tc>
        <w:tc>
          <w:tcPr>
            <w:tcW w:w="280" w:type="dxa"/>
            <w:vAlign w:val="bottom"/>
          </w:tcPr>
          <w:p>
            <w:pPr>
              <w:spacing w:after="0"/>
              <w:rPr>
                <w:sz w:val="18"/>
                <w:szCs w:val="18"/>
                <w:color w:val="auto"/>
              </w:rPr>
            </w:pPr>
          </w:p>
        </w:tc>
        <w:tc>
          <w:tcPr>
            <w:tcW w:w="840" w:type="dxa"/>
            <w:vAlign w:val="bottom"/>
          </w:tcPr>
          <w:p>
            <w:pPr>
              <w:jc w:val="right"/>
              <w:ind w:right="356"/>
              <w:spacing w:after="0"/>
              <w:rPr>
                <w:sz w:val="20"/>
                <w:szCs w:val="20"/>
                <w:color w:val="auto"/>
              </w:rPr>
            </w:pPr>
            <w:r>
              <w:rPr>
                <w:rFonts w:ascii="Arial" w:cs="Arial" w:eastAsia="Arial" w:hAnsi="Arial"/>
                <w:sz w:val="18"/>
                <w:szCs w:val="18"/>
                <w:color w:val="auto"/>
              </w:rPr>
              <w:t>6</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Customer service</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975</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929</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46</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Marketing</w:t>
            </w:r>
          </w:p>
        </w:tc>
        <w:tc>
          <w:tcPr>
            <w:tcW w:w="4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1,295</w:t>
            </w:r>
          </w:p>
        </w:tc>
        <w:tc>
          <w:tcPr>
            <w:tcW w:w="28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1,170</w:t>
            </w:r>
          </w:p>
        </w:tc>
        <w:tc>
          <w:tcPr>
            <w:tcW w:w="280" w:type="dxa"/>
            <w:vAlign w:val="bottom"/>
          </w:tcPr>
          <w:p>
            <w:pPr>
              <w:spacing w:after="0"/>
              <w:rPr>
                <w:sz w:val="18"/>
                <w:szCs w:val="18"/>
                <w:color w:val="auto"/>
              </w:rPr>
            </w:pPr>
          </w:p>
        </w:tc>
        <w:tc>
          <w:tcPr>
            <w:tcW w:w="840" w:type="dxa"/>
            <w:vAlign w:val="bottom"/>
          </w:tcPr>
          <w:p>
            <w:pPr>
              <w:jc w:val="right"/>
              <w:ind w:right="356"/>
              <w:spacing w:after="0"/>
              <w:rPr>
                <w:sz w:val="20"/>
                <w:szCs w:val="20"/>
                <w:color w:val="auto"/>
              </w:rPr>
            </w:pPr>
            <w:r>
              <w:rPr>
                <w:rFonts w:ascii="Arial" w:cs="Arial" w:eastAsia="Arial" w:hAnsi="Arial"/>
                <w:sz w:val="18"/>
                <w:szCs w:val="18"/>
                <w:color w:val="auto"/>
              </w:rPr>
              <w:t>125</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w w:val="85"/>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3,818</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3,608</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56"/>
              <w:spacing w:after="0"/>
              <w:rPr>
                <w:sz w:val="20"/>
                <w:szCs w:val="20"/>
                <w:color w:val="auto"/>
              </w:rPr>
            </w:pPr>
            <w:r>
              <w:rPr>
                <w:rFonts w:ascii="Arial" w:cs="Arial" w:eastAsia="Arial" w:hAnsi="Arial"/>
                <w:sz w:val="18"/>
                <w:szCs w:val="18"/>
                <w:color w:val="auto"/>
              </w:rPr>
              <w:t>210</w:t>
            </w:r>
          </w:p>
        </w:tc>
        <w:tc>
          <w:tcPr>
            <w:tcW w:w="5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87"/>
              </w:rPr>
              <w:t>11,440</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83"/>
              </w:rPr>
              <w:t>10,790</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650</w:t>
            </w: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b w:val="1"/>
                <w:bCs w:val="1"/>
                <w:color w:val="auto"/>
              </w:rPr>
              <w:t>8,056</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7,635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356"/>
              <w:spacing w:after="0"/>
              <w:rPr>
                <w:sz w:val="20"/>
                <w:szCs w:val="20"/>
                <w:color w:val="auto"/>
              </w:rPr>
            </w:pPr>
            <w:r>
              <w:rPr>
                <w:rFonts w:ascii="Arial" w:cs="Arial" w:eastAsia="Arial" w:hAnsi="Arial"/>
                <w:sz w:val="18"/>
                <w:szCs w:val="18"/>
                <w:b w:val="1"/>
                <w:bCs w:val="1"/>
                <w:color w:val="auto"/>
              </w:rPr>
              <w:t>421</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84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4"/>
                <w:szCs w:val="14"/>
                <w:color w:val="auto"/>
              </w:rPr>
              <w:t>Total Customers</w:t>
            </w:r>
          </w:p>
        </w:tc>
        <w:tc>
          <w:tcPr>
            <w:tcW w:w="3540" w:type="dxa"/>
            <w:vAlign w:val="bottom"/>
            <w:tcBorders>
              <w:bottom w:val="single" w:sz="8" w:color="auto"/>
            </w:tcBorders>
            <w:gridSpan w:val="2"/>
          </w:tcPr>
          <w:p>
            <w:pPr>
              <w:jc w:val="right"/>
              <w:ind w:right="717"/>
              <w:spacing w:after="0"/>
              <w:rPr>
                <w:sz w:val="20"/>
                <w:szCs w:val="20"/>
                <w:color w:val="auto"/>
              </w:rPr>
            </w:pPr>
            <w:r>
              <w:rPr>
                <w:rFonts w:ascii="Arial" w:cs="Arial" w:eastAsia="Arial" w:hAnsi="Arial"/>
                <w:sz w:val="14"/>
                <w:szCs w:val="14"/>
                <w:color w:val="auto"/>
              </w:rPr>
              <w:t>Net Additional Customers</w:t>
            </w:r>
          </w:p>
        </w:tc>
      </w:tr>
      <w:tr>
        <w:trPr>
          <w:trHeight w:val="209"/>
        </w:trPr>
        <w:tc>
          <w:tcPr>
            <w:tcW w:w="5040" w:type="dxa"/>
            <w:vAlign w:val="bottom"/>
          </w:tcPr>
          <w:p>
            <w:pPr>
              <w:spacing w:after="0"/>
              <w:rPr>
                <w:sz w:val="18"/>
                <w:szCs w:val="18"/>
                <w:color w:val="auto"/>
              </w:rPr>
            </w:pPr>
          </w:p>
        </w:tc>
        <w:tc>
          <w:tcPr>
            <w:tcW w:w="1400" w:type="dxa"/>
            <w:vAlign w:val="bottom"/>
          </w:tcPr>
          <w:p>
            <w:pPr>
              <w:jc w:val="right"/>
              <w:ind w:right="302"/>
              <w:spacing w:after="0"/>
              <w:rPr>
                <w:sz w:val="20"/>
                <w:szCs w:val="20"/>
                <w:color w:val="auto"/>
              </w:rPr>
            </w:pPr>
            <w:r>
              <w:rPr>
                <w:rFonts w:ascii="Arial" w:cs="Arial" w:eastAsia="Arial" w:hAnsi="Arial"/>
                <w:sz w:val="14"/>
                <w:szCs w:val="14"/>
                <w:color w:val="auto"/>
              </w:rPr>
              <w:t>June 30,</w:t>
            </w:r>
          </w:p>
        </w:tc>
        <w:tc>
          <w:tcPr>
            <w:tcW w:w="1440" w:type="dxa"/>
            <w:vAlign w:val="bottom"/>
          </w:tcPr>
          <w:p>
            <w:pPr>
              <w:jc w:val="right"/>
              <w:ind w:right="580"/>
              <w:spacing w:after="0"/>
              <w:rPr>
                <w:sz w:val="20"/>
                <w:szCs w:val="20"/>
                <w:color w:val="auto"/>
              </w:rPr>
            </w:pPr>
            <w:r>
              <w:rPr>
                <w:rFonts w:ascii="Arial" w:cs="Arial" w:eastAsia="Arial" w:hAnsi="Arial"/>
                <w:sz w:val="14"/>
                <w:szCs w:val="14"/>
                <w:color w:val="auto"/>
              </w:rPr>
              <w:t>June 30,</w:t>
            </w:r>
          </w:p>
        </w:tc>
        <w:tc>
          <w:tcPr>
            <w:tcW w:w="2420" w:type="dxa"/>
            <w:vAlign w:val="bottom"/>
          </w:tcPr>
          <w:p>
            <w:pPr>
              <w:jc w:val="right"/>
              <w:ind w:right="582"/>
              <w:spacing w:after="0"/>
              <w:rPr>
                <w:sz w:val="20"/>
                <w:szCs w:val="20"/>
                <w:color w:val="auto"/>
              </w:rPr>
            </w:pPr>
            <w:r>
              <w:rPr>
                <w:rFonts w:ascii="Arial" w:cs="Arial" w:eastAsia="Arial" w:hAnsi="Arial"/>
                <w:sz w:val="14"/>
                <w:szCs w:val="14"/>
                <w:color w:val="auto"/>
              </w:rPr>
              <w:t>Three Months Ended</w:t>
            </w:r>
          </w:p>
        </w:tc>
        <w:tc>
          <w:tcPr>
            <w:tcW w:w="1120" w:type="dxa"/>
            <w:vAlign w:val="bottom"/>
          </w:tcPr>
          <w:p>
            <w:pPr>
              <w:jc w:val="right"/>
              <w:ind w:right="37"/>
              <w:spacing w:after="0"/>
              <w:rPr>
                <w:sz w:val="20"/>
                <w:szCs w:val="20"/>
                <w:color w:val="auto"/>
              </w:rPr>
            </w:pPr>
            <w:r>
              <w:rPr>
                <w:rFonts w:ascii="Arial" w:cs="Arial" w:eastAsia="Arial" w:hAnsi="Arial"/>
                <w:sz w:val="14"/>
                <w:szCs w:val="14"/>
                <w:color w:val="auto"/>
                <w:w w:val="86"/>
              </w:rPr>
              <w:t>Six Months Ended</w:t>
            </w:r>
          </w:p>
        </w:tc>
      </w:tr>
      <w:tr>
        <w:trPr>
          <w:trHeight w:val="230"/>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14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2012</w:t>
            </w:r>
          </w:p>
        </w:tc>
        <w:tc>
          <w:tcPr>
            <w:tcW w:w="144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color w:val="auto"/>
              </w:rPr>
              <w:t>2011</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 2012</w:t>
            </w:r>
          </w:p>
        </w:tc>
        <w:tc>
          <w:tcPr>
            <w:tcW w:w="1120" w:type="dxa"/>
            <w:vAlign w:val="bottom"/>
            <w:tcBorders>
              <w:bottom w:val="single" w:sz="8" w:color="auto"/>
            </w:tcBorders>
          </w:tcPr>
          <w:p>
            <w:pPr>
              <w:spacing w:after="0"/>
              <w:rPr>
                <w:sz w:val="20"/>
                <w:szCs w:val="20"/>
                <w:color w:val="auto"/>
              </w:rPr>
            </w:pPr>
          </w:p>
        </w:tc>
      </w:tr>
      <w:tr>
        <w:trPr>
          <w:trHeight w:val="210"/>
        </w:trPr>
        <w:tc>
          <w:tcPr>
            <w:tcW w:w="5040" w:type="dxa"/>
            <w:vAlign w:val="bottom"/>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1400" w:type="dxa"/>
            <w:vAlign w:val="bottom"/>
            <w:shd w:val="clear" w:color="auto" w:fill="E5E5E5"/>
          </w:tcPr>
          <w:p>
            <w:pPr>
              <w:jc w:val="right"/>
              <w:ind w:right="242"/>
              <w:spacing w:after="0"/>
              <w:rPr>
                <w:sz w:val="20"/>
                <w:szCs w:val="20"/>
                <w:color w:val="auto"/>
              </w:rPr>
            </w:pPr>
            <w:r>
              <w:rPr>
                <w:rFonts w:ascii="Arial" w:cs="Arial" w:eastAsia="Arial" w:hAnsi="Arial"/>
                <w:sz w:val="18"/>
                <w:szCs w:val="18"/>
                <w:color w:val="auto"/>
              </w:rPr>
              <w:t>22,118</w:t>
            </w:r>
          </w:p>
        </w:tc>
        <w:tc>
          <w:tcPr>
            <w:tcW w:w="1440" w:type="dxa"/>
            <w:vAlign w:val="bottom"/>
            <w:shd w:val="clear" w:color="auto" w:fill="E5E5E5"/>
          </w:tcPr>
          <w:p>
            <w:pPr>
              <w:jc w:val="right"/>
              <w:ind w:right="540"/>
              <w:spacing w:after="0"/>
              <w:rPr>
                <w:sz w:val="20"/>
                <w:szCs w:val="20"/>
                <w:color w:val="auto"/>
              </w:rPr>
            </w:pPr>
            <w:r>
              <w:rPr>
                <w:rFonts w:ascii="Arial" w:cs="Arial" w:eastAsia="Arial" w:hAnsi="Arial"/>
                <w:sz w:val="18"/>
                <w:szCs w:val="18"/>
                <w:color w:val="auto"/>
              </w:rPr>
              <w:t>22,513</w:t>
            </w:r>
          </w:p>
        </w:tc>
        <w:tc>
          <w:tcPr>
            <w:tcW w:w="2420" w:type="dxa"/>
            <w:vAlign w:val="bottom"/>
            <w:shd w:val="clear" w:color="auto" w:fill="E5E5E5"/>
          </w:tcPr>
          <w:p>
            <w:pPr>
              <w:jc w:val="right"/>
              <w:ind w:right="522"/>
              <w:spacing w:after="0"/>
              <w:rPr>
                <w:sz w:val="20"/>
                <w:szCs w:val="20"/>
                <w:color w:val="auto"/>
              </w:rPr>
            </w:pPr>
            <w:r>
              <w:rPr>
                <w:rFonts w:ascii="Arial" w:cs="Arial" w:eastAsia="Arial" w:hAnsi="Arial"/>
                <w:sz w:val="18"/>
                <w:szCs w:val="18"/>
                <w:color w:val="auto"/>
              </w:rPr>
              <w:t>(176)</w:t>
            </w: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1400" w:type="dxa"/>
            <w:vAlign w:val="bottom"/>
          </w:tcPr>
          <w:p>
            <w:pPr>
              <w:jc w:val="right"/>
              <w:ind w:right="242"/>
              <w:spacing w:after="0"/>
              <w:rPr>
                <w:sz w:val="20"/>
                <w:szCs w:val="20"/>
                <w:color w:val="auto"/>
              </w:rPr>
            </w:pPr>
            <w:r>
              <w:rPr>
                <w:rFonts w:ascii="Arial" w:cs="Arial" w:eastAsia="Arial" w:hAnsi="Arial"/>
                <w:sz w:val="18"/>
                <w:szCs w:val="18"/>
                <w:color w:val="auto"/>
              </w:rPr>
              <w:t>18,738</w:t>
            </w:r>
          </w:p>
        </w:tc>
        <w:tc>
          <w:tcPr>
            <w:tcW w:w="1440" w:type="dxa"/>
            <w:vAlign w:val="bottom"/>
          </w:tcPr>
          <w:p>
            <w:pPr>
              <w:jc w:val="right"/>
              <w:ind w:right="540"/>
              <w:spacing w:after="0"/>
              <w:rPr>
                <w:sz w:val="20"/>
                <w:szCs w:val="20"/>
                <w:color w:val="auto"/>
              </w:rPr>
            </w:pPr>
            <w:r>
              <w:rPr>
                <w:rFonts w:ascii="Arial" w:cs="Arial" w:eastAsia="Arial" w:hAnsi="Arial"/>
                <w:sz w:val="18"/>
                <w:szCs w:val="18"/>
                <w:color w:val="auto"/>
              </w:rPr>
              <w:t>17,547</w:t>
            </w:r>
          </w:p>
        </w:tc>
        <w:tc>
          <w:tcPr>
            <w:tcW w:w="2420" w:type="dxa"/>
            <w:vAlign w:val="bottom"/>
          </w:tcPr>
          <w:p>
            <w:pPr>
              <w:jc w:val="right"/>
              <w:ind w:right="562"/>
              <w:spacing w:after="0"/>
              <w:rPr>
                <w:sz w:val="20"/>
                <w:szCs w:val="20"/>
                <w:color w:val="auto"/>
              </w:rPr>
            </w:pPr>
            <w:r>
              <w:rPr>
                <w:rFonts w:ascii="Arial" w:cs="Arial" w:eastAsia="Arial" w:hAnsi="Arial"/>
                <w:sz w:val="18"/>
                <w:szCs w:val="18"/>
                <w:color w:val="auto"/>
              </w:rPr>
              <w:t>156</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594</w:t>
            </w:r>
          </w:p>
        </w:tc>
      </w:tr>
      <w:tr>
        <w:trPr>
          <w:trHeight w:val="216"/>
        </w:trPr>
        <w:tc>
          <w:tcPr>
            <w:tcW w:w="5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Voice customers</w:t>
            </w:r>
          </w:p>
        </w:tc>
        <w:tc>
          <w:tcPr>
            <w:tcW w:w="1400" w:type="dxa"/>
            <w:vAlign w:val="bottom"/>
            <w:tcBorders>
              <w:bottom w:val="single" w:sz="8" w:color="auto"/>
            </w:tcBorders>
            <w:shd w:val="clear" w:color="auto" w:fill="E5E5E5"/>
          </w:tcPr>
          <w:p>
            <w:pPr>
              <w:jc w:val="right"/>
              <w:ind w:right="242"/>
              <w:spacing w:after="0"/>
              <w:rPr>
                <w:sz w:val="20"/>
                <w:szCs w:val="20"/>
                <w:color w:val="auto"/>
              </w:rPr>
            </w:pPr>
            <w:r>
              <w:rPr>
                <w:rFonts w:ascii="Arial" w:cs="Arial" w:eastAsia="Arial" w:hAnsi="Arial"/>
                <w:sz w:val="18"/>
                <w:szCs w:val="18"/>
                <w:color w:val="auto"/>
              </w:rPr>
              <w:t>9,664</w:t>
            </w:r>
          </w:p>
        </w:tc>
        <w:tc>
          <w:tcPr>
            <w:tcW w:w="1440" w:type="dxa"/>
            <w:vAlign w:val="bottom"/>
            <w:tcBorders>
              <w:bottom w:val="single" w:sz="8" w:color="auto"/>
            </w:tcBorders>
            <w:shd w:val="clear" w:color="auto" w:fill="E5E5E5"/>
          </w:tcPr>
          <w:p>
            <w:pPr>
              <w:jc w:val="right"/>
              <w:ind w:right="540"/>
              <w:spacing w:after="0"/>
              <w:rPr>
                <w:sz w:val="20"/>
                <w:szCs w:val="20"/>
                <w:color w:val="auto"/>
              </w:rPr>
            </w:pPr>
            <w:r>
              <w:rPr>
                <w:rFonts w:ascii="Arial" w:cs="Arial" w:eastAsia="Arial" w:hAnsi="Arial"/>
                <w:sz w:val="18"/>
                <w:szCs w:val="18"/>
                <w:color w:val="auto"/>
              </w:rPr>
              <w:t>9,063</w:t>
            </w:r>
          </w:p>
        </w:tc>
        <w:tc>
          <w:tcPr>
            <w:tcW w:w="2420" w:type="dxa"/>
            <w:vAlign w:val="bottom"/>
            <w:tcBorders>
              <w:bottom w:val="single" w:sz="8" w:color="auto"/>
            </w:tcBorders>
            <w:shd w:val="clear" w:color="auto" w:fill="E5E5E5"/>
          </w:tcPr>
          <w:p>
            <w:pPr>
              <w:jc w:val="right"/>
              <w:ind w:right="562"/>
              <w:spacing w:after="0"/>
              <w:rPr>
                <w:sz w:val="20"/>
                <w:szCs w:val="20"/>
                <w:color w:val="auto"/>
              </w:rPr>
            </w:pPr>
            <w:r>
              <w:rPr>
                <w:rFonts w:ascii="Arial" w:cs="Arial" w:eastAsia="Arial" w:hAnsi="Arial"/>
                <w:sz w:val="18"/>
                <w:szCs w:val="18"/>
                <w:color w:val="auto"/>
              </w:rPr>
              <w:t>158</w:t>
            </w:r>
          </w:p>
        </w:tc>
        <w:tc>
          <w:tcPr>
            <w:tcW w:w="11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322</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Customer data includes residential and business customers.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average monthly total revenue per video customer for the three months ended June 30, 2012 increased to $149 from $138 for the three months ended June 30, 2011. Our average monthly total revenue per video customer for the six months ended June 30, 2012 increased to $146 from $136 for the six months ended June 30, 2011. The increases in average monthly total revenue per video customer were primarily due to increases in the number of residential customers receiving multiple services, rate adjustments, higher contributions from business services and declines in the total number of video customers.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video revenue increased for the three and six months ended June 30, 2012 compared to the same periods in 2011 primarily due to rate adjustments and additional customers receiving higher levels of video service, which were partially offset by declines in the number of residential video customers. For the three and six months ended June 30, 2012, the number of video customers decreased primarily due to competitive pressures in our service areas. We expect further declines in the number of residential video customers during the remainder of 2012. As of June 30, 2012, 54% of our digital video customers subscribed to at least one of our high-definition television (“HDTV”) and digital video recorder (“DVR”) services.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high-speed Internet revenue increased for the three and six months ended June 30, 2012 compared to the same periods in 2011 primarily due to increases in the number of residential customers, rate adjustments and additional customers receiving higher levels of service.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voice revenue increased slightly for the three and six months ended June 30, 2012 compared to the same periods in 2011 primarily due to increases in the number of residential customers.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business services revenue increased for the three and six months ended June 30, 2012 compared to the same periods in 2011 primarily due to increases in the number of business customers.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advertising revenue increased for the three and six months ended June 30, 2012 compared to the same periods in 2011 primarily due to increases in political advertising revenue and improvements in the local and regional advertising markets.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other revenue increased for the three and six months ended June 30, 2012 compared to the same periods in 2011 primarily due to increases in franchise and other regulatory fees.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Programming expenses increased for the three and six months ended June 30, 2012 compared to the same periods in 2011 primarily due to increases in fees charged by programming networks and fees incurred to secure rights for additional programming options for our customers. Technical labor expenses increased slightly for the three months ended June 30, 2012 and remained flat for the six months ended June 30, 2012 compared to the same periods in 2011. Customer service expenses increased for the three and six months ended June 30, 2012 compared to the same periods in 2011 primarily due to increases in labor costs associated with higher levels of customer service activity. Marketing expenses increased for the three and six months ended June 30, 2012 compared to the same periods in 2011 primarily due to increases in the number of sales employees and media spending for residential and business services. Other operating costs and expenses increased for the three and six months ended June 30, 2012 compared to the same periods in 2011 primarily due to an increase in activity related to business services and an increase in franchise and other regulatory fees.</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Overview</w:t>
      </w:r>
    </w:p>
    <w:p>
      <w:pPr>
        <w:spacing w:after="0" w:line="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discussion below compares the NBCUniversal segments’ actual results for the three and six months ended June 30, 2012 to pro forma combined results for the three and six months ended June 30, 2011. Management believes reviewing our operating results by combining actual and pro forma results for the NBCUniversal segments for 2011 is more useful in identifying trends in, or reaching conclusions regarding, the overall operating performance of these segments for the current period. Our pro forma amounts presented in the tables below include adjustments as if the NBCUniversal and Universal Orlando transactions had occurred on January 1, 2010. Our pro forma data was also adjusted for the effects of acquisition accounting and the elimination of costs and expenses directly related to the transactions but does not include adjustments for costs related to integration activities, cost savings or synergies that have been or may be achieved by the combined businesses. Pro forma amounts are not necessarily indicative of what our results would have been had we operated the NBCUniversal contributed businesses or Universal Orlando since January 1, 2010, nor of our future results.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operating results of the NBCUniversal segments for the three and six months ended June 30, 2012 and 2011 are presented in the table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72"/>
              <w:spacing w:after="0"/>
              <w:rPr>
                <w:sz w:val="20"/>
                <w:szCs w:val="20"/>
                <w:color w:val="auto"/>
              </w:rPr>
            </w:pPr>
            <w:r>
              <w:rPr>
                <w:rFonts w:ascii="Arial" w:cs="Arial" w:eastAsia="Arial" w:hAnsi="Arial"/>
                <w:sz w:val="14"/>
                <w:szCs w:val="14"/>
                <w:color w:val="auto"/>
                <w:w w:val="89"/>
              </w:rPr>
              <w:t>2012</w:t>
            </w:r>
          </w:p>
        </w:tc>
        <w:tc>
          <w:tcPr>
            <w:tcW w:w="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19"/>
              <w:spacing w:after="0"/>
              <w:rPr>
                <w:sz w:val="20"/>
                <w:szCs w:val="20"/>
                <w:color w:val="auto"/>
              </w:rPr>
            </w:pPr>
            <w:r>
              <w:rPr>
                <w:rFonts w:ascii="Arial" w:cs="Arial" w:eastAsia="Arial" w:hAnsi="Arial"/>
                <w:sz w:val="14"/>
                <w:szCs w:val="14"/>
                <w:color w:val="auto"/>
                <w:w w:val="89"/>
              </w:rPr>
              <w:t>2011</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1"/>
        </w:trPr>
        <w:tc>
          <w:tcPr>
            <w:tcW w:w="3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121"/>
              <w:spacing w:after="0" w:line="131" w:lineRule="exact"/>
              <w:rPr>
                <w:sz w:val="20"/>
                <w:szCs w:val="20"/>
                <w:color w:val="auto"/>
              </w:rPr>
            </w:pPr>
            <w:r>
              <w:rPr>
                <w:rFonts w:ascii="Arial" w:cs="Arial" w:eastAsia="Arial" w:hAnsi="Arial"/>
                <w:sz w:val="14"/>
                <w:szCs w:val="14"/>
                <w:color w:val="auto"/>
                <w:w w:val="87"/>
              </w:rPr>
              <w:t>Pro Forma</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73"/>
        </w:trPr>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gridSpan w:val="4"/>
          </w:tcPr>
          <w:p>
            <w:pPr>
              <w:jc w:val="center"/>
              <w:ind w:right="900"/>
              <w:spacing w:after="0"/>
              <w:rPr>
                <w:sz w:val="20"/>
                <w:szCs w:val="20"/>
                <w:color w:val="auto"/>
              </w:rPr>
            </w:pPr>
            <w:r>
              <w:rPr>
                <w:rFonts w:ascii="Arial" w:cs="Arial" w:eastAsia="Arial" w:hAnsi="Arial"/>
                <w:sz w:val="14"/>
                <w:szCs w:val="14"/>
                <w:color w:val="auto"/>
                <w:w w:val="92"/>
              </w:rPr>
              <w:t>Actual</w:t>
            </w:r>
          </w:p>
        </w:tc>
        <w:tc>
          <w:tcPr>
            <w:tcW w:w="160" w:type="dxa"/>
            <w:vAlign w:val="bottom"/>
          </w:tcPr>
          <w:p>
            <w:pPr>
              <w:spacing w:after="0"/>
              <w:rPr>
                <w:sz w:val="15"/>
                <w:szCs w:val="15"/>
                <w:color w:val="auto"/>
              </w:rPr>
            </w:pPr>
          </w:p>
        </w:tc>
        <w:tc>
          <w:tcPr>
            <w:tcW w:w="1100" w:type="dxa"/>
            <w:vAlign w:val="bottom"/>
            <w:gridSpan w:val="2"/>
          </w:tcPr>
          <w:p>
            <w:pPr>
              <w:jc w:val="center"/>
              <w:ind w:right="473"/>
              <w:spacing w:after="0"/>
              <w:rPr>
                <w:sz w:val="20"/>
                <w:szCs w:val="20"/>
                <w:color w:val="auto"/>
              </w:rPr>
            </w:pPr>
            <w:r>
              <w:rPr>
                <w:rFonts w:ascii="Arial" w:cs="Arial" w:eastAsia="Arial" w:hAnsi="Arial"/>
                <w:sz w:val="14"/>
                <w:szCs w:val="14"/>
                <w:color w:val="auto"/>
                <w:w w:val="92"/>
              </w:rPr>
              <w:t>Actual</w:t>
            </w:r>
          </w:p>
        </w:tc>
        <w:tc>
          <w:tcPr>
            <w:tcW w:w="120" w:type="dxa"/>
            <w:vAlign w:val="bottom"/>
          </w:tcPr>
          <w:p>
            <w:pPr>
              <w:spacing w:after="0"/>
              <w:rPr>
                <w:sz w:val="15"/>
                <w:szCs w:val="15"/>
                <w:color w:val="auto"/>
              </w:rPr>
            </w:pPr>
          </w:p>
        </w:tc>
        <w:tc>
          <w:tcPr>
            <w:tcW w:w="1100" w:type="dxa"/>
            <w:vAlign w:val="bottom"/>
          </w:tcPr>
          <w:p>
            <w:pPr>
              <w:jc w:val="center"/>
              <w:ind w:right="419"/>
              <w:spacing w:after="0"/>
              <w:rPr>
                <w:sz w:val="20"/>
                <w:szCs w:val="20"/>
                <w:color w:val="auto"/>
              </w:rPr>
            </w:pPr>
            <w:r>
              <w:rPr>
                <w:rFonts w:ascii="Arial" w:cs="Arial" w:eastAsia="Arial" w:hAnsi="Arial"/>
                <w:sz w:val="14"/>
                <w:szCs w:val="14"/>
                <w:color w:val="auto"/>
                <w:w w:val="84"/>
              </w:rPr>
              <w:t>Pro Forma</w:t>
            </w:r>
          </w:p>
        </w:tc>
        <w:tc>
          <w:tcPr>
            <w:tcW w:w="140" w:type="dxa"/>
            <w:vAlign w:val="bottom"/>
          </w:tcPr>
          <w:p>
            <w:pPr>
              <w:spacing w:after="0"/>
              <w:rPr>
                <w:sz w:val="15"/>
                <w:szCs w:val="15"/>
                <w:color w:val="auto"/>
              </w:rPr>
            </w:pPr>
          </w:p>
        </w:tc>
        <w:tc>
          <w:tcPr>
            <w:tcW w:w="1160" w:type="dxa"/>
            <w:vAlign w:val="bottom"/>
            <w:gridSpan w:val="3"/>
          </w:tcPr>
          <w:p>
            <w:pPr>
              <w:jc w:val="center"/>
              <w:ind w:right="560"/>
              <w:spacing w:after="0"/>
              <w:rPr>
                <w:sz w:val="20"/>
                <w:szCs w:val="20"/>
                <w:color w:val="auto"/>
              </w:rPr>
            </w:pPr>
            <w:r>
              <w:rPr>
                <w:rFonts w:ascii="Arial" w:cs="Arial" w:eastAsia="Arial" w:hAnsi="Arial"/>
                <w:sz w:val="14"/>
                <w:szCs w:val="14"/>
                <w:color w:val="auto"/>
                <w:w w:val="87"/>
              </w:rPr>
              <w:t>Combined</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2"/>
          </w:tcPr>
          <w:p>
            <w:pPr>
              <w:jc w:val="right"/>
              <w:ind w:right="355"/>
              <w:spacing w:after="0"/>
              <w:rPr>
                <w:sz w:val="20"/>
                <w:szCs w:val="20"/>
                <w:color w:val="auto"/>
              </w:rPr>
            </w:pPr>
            <w:r>
              <w:rPr>
                <w:rFonts w:ascii="Arial" w:cs="Arial" w:eastAsia="Arial" w:hAnsi="Arial"/>
                <w:sz w:val="14"/>
                <w:szCs w:val="14"/>
                <w:color w:val="auto"/>
                <w:w w:val="86"/>
              </w:rPr>
              <w:t>Increase/(Decrease)</w:t>
            </w:r>
          </w:p>
        </w:tc>
      </w:tr>
      <w:tr>
        <w:trPr>
          <w:trHeight w:val="131"/>
        </w:trPr>
        <w:tc>
          <w:tcPr>
            <w:tcW w:w="3740" w:type="dxa"/>
            <w:vAlign w:val="bottom"/>
          </w:tcPr>
          <w:p>
            <w:pPr>
              <w:spacing w:after="0"/>
              <w:rPr>
                <w:sz w:val="11"/>
                <w:szCs w:val="11"/>
                <w:color w:val="auto"/>
              </w:rPr>
            </w:pPr>
          </w:p>
        </w:tc>
        <w:tc>
          <w:tcPr>
            <w:tcW w:w="1220" w:type="dxa"/>
            <w:vAlign w:val="bottom"/>
            <w:tcBorders>
              <w:top w:val="single" w:sz="8" w:color="auto"/>
            </w:tcBorders>
            <w:gridSpan w:val="3"/>
          </w:tcPr>
          <w:p>
            <w:pPr>
              <w:ind w:left="340"/>
              <w:spacing w:after="0" w:line="131" w:lineRule="exact"/>
              <w:rPr>
                <w:sz w:val="20"/>
                <w:szCs w:val="20"/>
                <w:color w:val="auto"/>
              </w:rPr>
            </w:pPr>
            <w:r>
              <w:rPr>
                <w:rFonts w:ascii="Arial" w:cs="Arial" w:eastAsia="Arial" w:hAnsi="Arial"/>
                <w:sz w:val="14"/>
                <w:szCs w:val="14"/>
                <w:color w:val="auto"/>
                <w:w w:val="99"/>
              </w:rPr>
              <w:t>Three Months</w:t>
            </w:r>
          </w:p>
        </w:tc>
        <w:tc>
          <w:tcPr>
            <w:tcW w:w="3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ind w:left="60"/>
              <w:spacing w:after="0" w:line="131" w:lineRule="exact"/>
              <w:rPr>
                <w:sz w:val="20"/>
                <w:szCs w:val="20"/>
                <w:color w:val="auto"/>
              </w:rPr>
            </w:pPr>
            <w:r>
              <w:rPr>
                <w:rFonts w:ascii="Arial" w:cs="Arial" w:eastAsia="Arial" w:hAnsi="Arial"/>
                <w:sz w:val="14"/>
                <w:szCs w:val="14"/>
                <w:color w:val="auto"/>
              </w:rPr>
              <w:t>Three Months</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60"/>
              <w:spacing w:after="0" w:line="131" w:lineRule="exact"/>
              <w:rPr>
                <w:sz w:val="20"/>
                <w:szCs w:val="20"/>
                <w:color w:val="auto"/>
              </w:rPr>
            </w:pPr>
            <w:r>
              <w:rPr>
                <w:rFonts w:ascii="Arial" w:cs="Arial" w:eastAsia="Arial" w:hAnsi="Arial"/>
                <w:sz w:val="14"/>
                <w:szCs w:val="14"/>
                <w:color w:val="auto"/>
                <w:w w:val="97"/>
              </w:rPr>
              <w:t>Three Months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r>
      <w:tr>
        <w:trPr>
          <w:trHeight w:val="132"/>
        </w:trPr>
        <w:tc>
          <w:tcPr>
            <w:tcW w:w="3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4"/>
          </w:tcPr>
          <w:p>
            <w:pPr>
              <w:jc w:val="center"/>
              <w:ind w:right="900"/>
              <w:spacing w:after="0" w:line="133" w:lineRule="exact"/>
              <w:rPr>
                <w:sz w:val="20"/>
                <w:szCs w:val="20"/>
                <w:color w:val="auto"/>
              </w:rPr>
            </w:pPr>
            <w:r>
              <w:rPr>
                <w:rFonts w:ascii="Arial" w:cs="Arial" w:eastAsia="Arial" w:hAnsi="Arial"/>
                <w:sz w:val="14"/>
                <w:szCs w:val="14"/>
                <w:color w:val="auto"/>
                <w:w w:val="88"/>
              </w:rPr>
              <w:t>Ended</w:t>
            </w:r>
          </w:p>
        </w:tc>
        <w:tc>
          <w:tcPr>
            <w:tcW w:w="160" w:type="dxa"/>
            <w:vAlign w:val="bottom"/>
          </w:tcPr>
          <w:p>
            <w:pPr>
              <w:spacing w:after="0"/>
              <w:rPr>
                <w:sz w:val="11"/>
                <w:szCs w:val="11"/>
                <w:color w:val="auto"/>
              </w:rPr>
            </w:pPr>
          </w:p>
        </w:tc>
        <w:tc>
          <w:tcPr>
            <w:tcW w:w="1100" w:type="dxa"/>
            <w:vAlign w:val="bottom"/>
            <w:gridSpan w:val="2"/>
          </w:tcPr>
          <w:p>
            <w:pPr>
              <w:jc w:val="center"/>
              <w:ind w:right="453"/>
              <w:spacing w:after="0" w:line="133" w:lineRule="exact"/>
              <w:rPr>
                <w:sz w:val="20"/>
                <w:szCs w:val="20"/>
                <w:color w:val="auto"/>
              </w:rPr>
            </w:pPr>
            <w:r>
              <w:rPr>
                <w:rFonts w:ascii="Arial" w:cs="Arial" w:eastAsia="Arial" w:hAnsi="Arial"/>
                <w:sz w:val="14"/>
                <w:szCs w:val="14"/>
                <w:color w:val="auto"/>
                <w:w w:val="83"/>
              </w:rPr>
              <w:t>Ended</w:t>
            </w:r>
          </w:p>
        </w:tc>
        <w:tc>
          <w:tcPr>
            <w:tcW w:w="12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NBCUniversal</w:t>
            </w:r>
          </w:p>
        </w:tc>
        <w:tc>
          <w:tcPr>
            <w:tcW w:w="140" w:type="dxa"/>
            <w:vAlign w:val="bottom"/>
          </w:tcPr>
          <w:p>
            <w:pPr>
              <w:spacing w:after="0"/>
              <w:rPr>
                <w:sz w:val="11"/>
                <w:szCs w:val="11"/>
                <w:color w:val="auto"/>
              </w:rPr>
            </w:pPr>
          </w:p>
        </w:tc>
        <w:tc>
          <w:tcPr>
            <w:tcW w:w="1160" w:type="dxa"/>
            <w:vAlign w:val="bottom"/>
            <w:gridSpan w:val="3"/>
          </w:tcPr>
          <w:p>
            <w:pPr>
              <w:jc w:val="center"/>
              <w:ind w:right="580"/>
              <w:spacing w:after="0" w:line="133" w:lineRule="exact"/>
              <w:rPr>
                <w:sz w:val="20"/>
                <w:szCs w:val="20"/>
                <w:color w:val="auto"/>
              </w:rPr>
            </w:pPr>
            <w:r>
              <w:rPr>
                <w:rFonts w:ascii="Arial" w:cs="Arial" w:eastAsia="Arial" w:hAnsi="Arial"/>
                <w:sz w:val="14"/>
                <w:szCs w:val="14"/>
                <w:color w:val="auto"/>
                <w:w w:val="83"/>
              </w:rPr>
              <w:t>Ended</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6"/>
                <w:szCs w:val="16"/>
                <w:color w:val="auto"/>
              </w:rPr>
            </w:pPr>
          </w:p>
        </w:tc>
        <w:tc>
          <w:tcPr>
            <w:tcW w:w="1420" w:type="dxa"/>
            <w:vAlign w:val="bottom"/>
            <w:gridSpan w:val="4"/>
          </w:tcPr>
          <w:p>
            <w:pPr>
              <w:jc w:val="center"/>
              <w:ind w:right="920"/>
              <w:spacing w:after="0"/>
              <w:rPr>
                <w:sz w:val="20"/>
                <w:szCs w:val="20"/>
                <w:color w:val="auto"/>
              </w:rPr>
            </w:pPr>
            <w:r>
              <w:rPr>
                <w:rFonts w:ascii="Arial" w:cs="Arial" w:eastAsia="Arial" w:hAnsi="Arial"/>
                <w:sz w:val="14"/>
                <w:szCs w:val="14"/>
                <w:color w:val="auto"/>
                <w:w w:val="84"/>
              </w:rPr>
              <w:t>June 30</w:t>
            </w:r>
          </w:p>
        </w:tc>
        <w:tc>
          <w:tcPr>
            <w:tcW w:w="160" w:type="dxa"/>
            <w:vAlign w:val="bottom"/>
          </w:tcPr>
          <w:p>
            <w:pPr>
              <w:spacing w:after="0"/>
              <w:rPr>
                <w:sz w:val="16"/>
                <w:szCs w:val="16"/>
                <w:color w:val="auto"/>
              </w:rPr>
            </w:pPr>
          </w:p>
        </w:tc>
        <w:tc>
          <w:tcPr>
            <w:tcW w:w="1100" w:type="dxa"/>
            <w:vAlign w:val="bottom"/>
            <w:gridSpan w:val="2"/>
          </w:tcPr>
          <w:p>
            <w:pPr>
              <w:jc w:val="center"/>
              <w:ind w:right="453"/>
              <w:spacing w:after="0" w:line="189" w:lineRule="exact"/>
              <w:rPr>
                <w:sz w:val="20"/>
                <w:szCs w:val="20"/>
                <w:color w:val="auto"/>
              </w:rPr>
            </w:pPr>
            <w:r>
              <w:rPr>
                <w:rFonts w:ascii="Arial" w:cs="Arial" w:eastAsia="Arial" w:hAnsi="Arial"/>
                <w:sz w:val="13"/>
                <w:szCs w:val="13"/>
                <w:color w:val="auto"/>
                <w:w w:val="85"/>
              </w:rPr>
              <w:t>June 30</w:t>
            </w:r>
            <w:r>
              <w:rPr>
                <w:rFonts w:ascii="Arial" w:cs="Arial" w:eastAsia="Arial" w:hAnsi="Arial"/>
                <w:sz w:val="21"/>
                <w:szCs w:val="21"/>
                <w:color w:val="auto"/>
                <w:w w:val="85"/>
                <w:vertAlign w:val="superscript"/>
              </w:rPr>
              <w:t>(a)</w:t>
            </w:r>
          </w:p>
        </w:tc>
        <w:tc>
          <w:tcPr>
            <w:tcW w:w="1220" w:type="dxa"/>
            <w:vAlign w:val="bottom"/>
            <w:gridSpan w:val="2"/>
          </w:tcPr>
          <w:p>
            <w:pPr>
              <w:jc w:val="center"/>
              <w:ind w:right="299"/>
              <w:spacing w:after="0" w:line="189" w:lineRule="exact"/>
              <w:rPr>
                <w:sz w:val="20"/>
                <w:szCs w:val="20"/>
                <w:color w:val="auto"/>
              </w:rPr>
            </w:pPr>
            <w:r>
              <w:rPr>
                <w:rFonts w:ascii="Arial" w:cs="Arial" w:eastAsia="Arial" w:hAnsi="Arial"/>
                <w:sz w:val="13"/>
                <w:szCs w:val="13"/>
                <w:color w:val="auto"/>
                <w:w w:val="86"/>
              </w:rPr>
              <w:t>Businesses</w:t>
            </w:r>
            <w:r>
              <w:rPr>
                <w:rFonts w:ascii="Arial" w:cs="Arial" w:eastAsia="Arial" w:hAnsi="Arial"/>
                <w:sz w:val="21"/>
                <w:szCs w:val="21"/>
                <w:color w:val="auto"/>
                <w:w w:val="86"/>
                <w:vertAlign w:val="superscript"/>
              </w:rPr>
              <w:t>(b)</w:t>
            </w:r>
          </w:p>
        </w:tc>
        <w:tc>
          <w:tcPr>
            <w:tcW w:w="140" w:type="dxa"/>
            <w:vAlign w:val="bottom"/>
          </w:tcPr>
          <w:p>
            <w:pPr>
              <w:spacing w:after="0"/>
              <w:rPr>
                <w:sz w:val="16"/>
                <w:szCs w:val="16"/>
                <w:color w:val="auto"/>
              </w:rPr>
            </w:pPr>
          </w:p>
        </w:tc>
        <w:tc>
          <w:tcPr>
            <w:tcW w:w="1160" w:type="dxa"/>
            <w:vAlign w:val="bottom"/>
            <w:gridSpan w:val="3"/>
          </w:tcPr>
          <w:p>
            <w:pPr>
              <w:jc w:val="center"/>
              <w:ind w:right="580"/>
              <w:spacing w:after="0" w:line="189" w:lineRule="exact"/>
              <w:rPr>
                <w:sz w:val="20"/>
                <w:szCs w:val="20"/>
                <w:color w:val="auto"/>
              </w:rPr>
            </w:pPr>
            <w:r>
              <w:rPr>
                <w:rFonts w:ascii="Arial" w:cs="Arial" w:eastAsia="Arial" w:hAnsi="Arial"/>
                <w:sz w:val="13"/>
                <w:szCs w:val="13"/>
                <w:color w:val="auto"/>
                <w:w w:val="86"/>
              </w:rPr>
              <w:t>June 30</w:t>
            </w:r>
            <w:r>
              <w:rPr>
                <w:rFonts w:ascii="Arial" w:cs="Arial" w:eastAsia="Arial" w:hAnsi="Arial"/>
                <w:sz w:val="21"/>
                <w:szCs w:val="21"/>
                <w:color w:val="auto"/>
                <w:w w:val="86"/>
                <w:vertAlign w:val="superscript"/>
              </w:rPr>
              <w:t>(c)</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ind w:right="418"/>
              <w:spacing w:after="0"/>
              <w:rPr>
                <w:sz w:val="20"/>
                <w:szCs w:val="20"/>
                <w:color w:val="auto"/>
              </w:rPr>
            </w:pPr>
            <w:r>
              <w:rPr>
                <w:rFonts w:ascii="Arial" w:cs="Arial" w:eastAsia="Arial" w:hAnsi="Arial"/>
                <w:sz w:val="14"/>
                <w:szCs w:val="14"/>
                <w:color w:val="auto"/>
              </w:rPr>
              <w:t>$</w:t>
            </w:r>
          </w:p>
        </w:tc>
        <w:tc>
          <w:tcPr>
            <w:tcW w:w="900" w:type="dxa"/>
            <w:vAlign w:val="bottom"/>
          </w:tcPr>
          <w:p>
            <w:pPr>
              <w:ind w:left="320"/>
              <w:spacing w:after="0"/>
              <w:rPr>
                <w:sz w:val="20"/>
                <w:szCs w:val="20"/>
                <w:color w:val="auto"/>
              </w:rPr>
            </w:pPr>
            <w:r>
              <w:rPr>
                <w:rFonts w:ascii="Arial" w:cs="Arial" w:eastAsia="Arial" w:hAnsi="Arial"/>
                <w:sz w:val="14"/>
                <w:szCs w:val="14"/>
                <w:color w:val="auto"/>
              </w:rPr>
              <w:t>%</w:t>
            </w:r>
          </w:p>
        </w:tc>
      </w:tr>
      <w:tr>
        <w:trPr>
          <w:trHeight w:val="210"/>
        </w:trPr>
        <w:tc>
          <w:tcPr>
            <w:tcW w:w="37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6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E5E5E5"/>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spacing w:after="0"/>
              <w:rPr>
                <w:sz w:val="18"/>
                <w:szCs w:val="18"/>
                <w:color w:val="auto"/>
              </w:rPr>
            </w:pPr>
          </w:p>
        </w:tc>
        <w:tc>
          <w:tcPr>
            <w:tcW w:w="110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E5E5E5"/>
            </w:tcBorders>
            <w:shd w:val="clear" w:color="auto" w:fill="E5E5E5"/>
          </w:tcPr>
          <w:p>
            <w:pPr>
              <w:spacing w:after="0"/>
              <w:rPr>
                <w:sz w:val="18"/>
                <w:szCs w:val="18"/>
                <w:color w:val="auto"/>
              </w:rPr>
            </w:pPr>
          </w:p>
        </w:tc>
        <w:tc>
          <w:tcPr>
            <w:tcW w:w="200" w:type="dxa"/>
            <w:vAlign w:val="bottom"/>
            <w:tcBorders>
              <w:top w:val="single" w:sz="8" w:color="E5E5E5"/>
            </w:tcBorders>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2,252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53"/>
              <w:spacing w:after="0"/>
              <w:rPr>
                <w:sz w:val="20"/>
                <w:szCs w:val="20"/>
                <w:color w:val="auto"/>
              </w:rPr>
            </w:pPr>
            <w:r>
              <w:rPr>
                <w:rFonts w:ascii="Arial" w:cs="Arial" w:eastAsia="Arial" w:hAnsi="Arial"/>
                <w:sz w:val="18"/>
                <w:szCs w:val="18"/>
                <w:color w:val="auto"/>
              </w:rPr>
              <w:t>2,173</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1"/>
              <w:spacing w:after="0"/>
              <w:rPr>
                <w:sz w:val="20"/>
                <w:szCs w:val="20"/>
                <w:color w:val="auto"/>
              </w:rPr>
            </w:pPr>
            <w:r>
              <w:rPr>
                <w:rFonts w:ascii="Arial" w:cs="Arial" w:eastAsia="Arial" w:hAnsi="Arial"/>
                <w:sz w:val="18"/>
                <w:szCs w:val="18"/>
                <w:color w:val="auto"/>
              </w:rPr>
              <w:t>2,173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38"/>
              <w:spacing w:after="0"/>
              <w:rPr>
                <w:sz w:val="20"/>
                <w:szCs w:val="20"/>
                <w:color w:val="auto"/>
              </w:rPr>
            </w:pPr>
            <w:r>
              <w:rPr>
                <w:rFonts w:ascii="Arial" w:cs="Arial" w:eastAsia="Arial" w:hAnsi="Arial"/>
                <w:sz w:val="18"/>
                <w:szCs w:val="18"/>
                <w:color w:val="auto"/>
              </w:rPr>
              <w:t>79</w:t>
            </w:r>
          </w:p>
        </w:tc>
        <w:tc>
          <w:tcPr>
            <w:tcW w:w="900" w:type="dxa"/>
            <w:vAlign w:val="bottom"/>
          </w:tcPr>
          <w:p>
            <w:pPr>
              <w:ind w:left="360"/>
              <w:spacing w:after="0"/>
              <w:rPr>
                <w:sz w:val="20"/>
                <w:szCs w:val="20"/>
                <w:color w:val="auto"/>
              </w:rPr>
            </w:pPr>
            <w:r>
              <w:rPr>
                <w:rFonts w:ascii="Arial" w:cs="Arial" w:eastAsia="Arial" w:hAnsi="Arial"/>
                <w:sz w:val="18"/>
                <w:szCs w:val="18"/>
                <w:color w:val="auto"/>
              </w:rPr>
              <w:t>3.6 %</w:t>
            </w:r>
          </w:p>
        </w:tc>
      </w:tr>
      <w:tr>
        <w:trPr>
          <w:trHeight w:val="216"/>
        </w:trPr>
        <w:tc>
          <w:tcPr>
            <w:tcW w:w="37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460" w:type="dxa"/>
            <w:vAlign w:val="bottom"/>
            <w:shd w:val="clear" w:color="auto" w:fill="E5E5E5"/>
          </w:tcPr>
          <w:p>
            <w:pPr>
              <w:spacing w:after="0"/>
              <w:rPr>
                <w:sz w:val="18"/>
                <w:szCs w:val="18"/>
                <w:color w:val="auto"/>
              </w:rPr>
            </w:pPr>
          </w:p>
        </w:tc>
        <w:tc>
          <w:tcPr>
            <w:tcW w:w="76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1,540</w:t>
            </w:r>
          </w:p>
        </w:tc>
        <w:tc>
          <w:tcPr>
            <w:tcW w:w="3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100" w:type="dxa"/>
            <w:vAlign w:val="bottom"/>
            <w:gridSpan w:val="2"/>
            <w:shd w:val="clear" w:color="auto" w:fill="E5E5E5"/>
          </w:tcPr>
          <w:p>
            <w:pPr>
              <w:jc w:val="right"/>
              <w:ind w:right="353"/>
              <w:spacing w:after="0"/>
              <w:rPr>
                <w:sz w:val="20"/>
                <w:szCs w:val="20"/>
                <w:color w:val="auto"/>
              </w:rPr>
            </w:pPr>
            <w:r>
              <w:rPr>
                <w:rFonts w:ascii="Arial" w:cs="Arial" w:eastAsia="Arial" w:hAnsi="Arial"/>
                <w:sz w:val="18"/>
                <w:szCs w:val="18"/>
                <w:color w:val="auto"/>
              </w:rPr>
              <w:t>1,695</w:t>
            </w:r>
          </w:p>
        </w:tc>
        <w:tc>
          <w:tcPr>
            <w:tcW w:w="12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319"/>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
              <w:spacing w:after="0"/>
              <w:rPr>
                <w:sz w:val="20"/>
                <w:szCs w:val="20"/>
                <w:color w:val="auto"/>
              </w:rPr>
            </w:pPr>
            <w:r>
              <w:rPr>
                <w:rFonts w:ascii="Arial" w:cs="Arial" w:eastAsia="Arial" w:hAnsi="Arial"/>
                <w:sz w:val="18"/>
                <w:szCs w:val="18"/>
                <w:color w:val="auto"/>
              </w:rPr>
              <w:t>1,695</w:t>
            </w:r>
          </w:p>
        </w:tc>
        <w:tc>
          <w:tcPr>
            <w:tcW w:w="1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w w:val="90"/>
              </w:rPr>
              <w:t>(155)</w:t>
            </w:r>
          </w:p>
        </w:tc>
        <w:tc>
          <w:tcPr>
            <w:tcW w:w="9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(9.1)</w:t>
            </w: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46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1,231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53"/>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8"/>
                <w:szCs w:val="18"/>
                <w:color w:val="auto"/>
              </w:rPr>
              <w:t>1,254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178"/>
              <w:spacing w:after="0"/>
              <w:rPr>
                <w:sz w:val="20"/>
                <w:szCs w:val="20"/>
                <w:color w:val="auto"/>
              </w:rPr>
            </w:pPr>
            <w:r>
              <w:rPr>
                <w:rFonts w:ascii="Arial" w:cs="Arial" w:eastAsia="Arial" w:hAnsi="Arial"/>
                <w:sz w:val="18"/>
                <w:szCs w:val="18"/>
                <w:color w:val="auto"/>
              </w:rPr>
              <w:t>(23)</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(1.8)</w:t>
            </w:r>
          </w:p>
        </w:tc>
      </w:tr>
      <w:tr>
        <w:trPr>
          <w:trHeight w:val="216"/>
        </w:trPr>
        <w:tc>
          <w:tcPr>
            <w:tcW w:w="37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460" w:type="dxa"/>
            <w:vAlign w:val="bottom"/>
            <w:shd w:val="clear" w:color="auto" w:fill="E5E5E5"/>
          </w:tcPr>
          <w:p>
            <w:pPr>
              <w:spacing w:after="0"/>
              <w:rPr>
                <w:sz w:val="18"/>
                <w:szCs w:val="18"/>
                <w:color w:val="auto"/>
              </w:rPr>
            </w:pPr>
          </w:p>
        </w:tc>
        <w:tc>
          <w:tcPr>
            <w:tcW w:w="76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539</w:t>
            </w:r>
          </w:p>
        </w:tc>
        <w:tc>
          <w:tcPr>
            <w:tcW w:w="3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100" w:type="dxa"/>
            <w:vAlign w:val="bottom"/>
            <w:gridSpan w:val="2"/>
            <w:shd w:val="clear" w:color="auto" w:fill="E5E5E5"/>
          </w:tcPr>
          <w:p>
            <w:pPr>
              <w:jc w:val="right"/>
              <w:ind w:right="353"/>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319"/>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18</w:t>
            </w:r>
          </w:p>
        </w:tc>
        <w:tc>
          <w:tcPr>
            <w:tcW w:w="9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3.4</w:t>
            </w:r>
          </w:p>
        </w:tc>
      </w:tr>
      <w:tr>
        <w:trPr>
          <w:trHeight w:val="216"/>
        </w:trPr>
        <w:tc>
          <w:tcPr>
            <w:tcW w:w="37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w:t>
            </w:r>
          </w:p>
        </w:tc>
        <w:tc>
          <w:tcPr>
            <w:tcW w:w="360" w:type="dxa"/>
            <w:vAlign w:val="bottom"/>
            <w:tcBorders>
              <w:bottom w:val="single" w:sz="8" w:color="E5E5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313"/>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color w:val="auto"/>
              </w:rPr>
              <w:t>368</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E5E5E5"/>
            </w:tcBorders>
          </w:tcPr>
          <w:p>
            <w:pPr>
              <w:spacing w:after="0"/>
              <w:rPr>
                <w:sz w:val="18"/>
                <w:szCs w:val="18"/>
                <w:color w:val="auto"/>
              </w:rPr>
            </w:pPr>
          </w:p>
        </w:tc>
        <w:tc>
          <w:tcPr>
            <w:tcW w:w="200" w:type="dxa"/>
            <w:vAlign w:val="bottom"/>
            <w:tcBorders>
              <w:bottom w:val="single" w:sz="8" w:color="E5E5E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color w:val="auto"/>
              </w:rPr>
              <w:t>38</w:t>
            </w: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39.2</w:t>
            </w:r>
          </w:p>
        </w:tc>
      </w:tr>
      <w:tr>
        <w:trPr>
          <w:trHeight w:val="217"/>
        </w:trPr>
        <w:tc>
          <w:tcPr>
            <w:tcW w:w="37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gridSpan w:val="2"/>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5,504</w:t>
            </w:r>
          </w:p>
        </w:tc>
        <w:tc>
          <w:tcPr>
            <w:tcW w:w="360" w:type="dxa"/>
            <w:vAlign w:val="bottom"/>
            <w:tcBorders>
              <w:bottom w:val="single" w:sz="8" w:color="E5E5E5"/>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gridSpan w:val="2"/>
            <w:shd w:val="clear" w:color="auto" w:fill="E5E5E5"/>
          </w:tcPr>
          <w:p>
            <w:pPr>
              <w:jc w:val="right"/>
              <w:ind w:right="353"/>
              <w:spacing w:after="0"/>
              <w:rPr>
                <w:sz w:val="20"/>
                <w:szCs w:val="20"/>
                <w:color w:val="auto"/>
              </w:rPr>
            </w:pPr>
            <w:r>
              <w:rPr>
                <w:rFonts w:ascii="Arial" w:cs="Arial" w:eastAsia="Arial" w:hAnsi="Arial"/>
                <w:sz w:val="18"/>
                <w:szCs w:val="18"/>
                <w:b w:val="1"/>
                <w:bCs w:val="1"/>
                <w:color w:val="auto"/>
              </w:rPr>
              <w:t>5,179</w:t>
            </w:r>
          </w:p>
        </w:tc>
        <w:tc>
          <w:tcPr>
            <w:tcW w:w="12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E5E5E5"/>
          </w:tcPr>
          <w:p>
            <w:pPr>
              <w:jc w:val="right"/>
              <w:ind w:right="319"/>
              <w:spacing w:after="0"/>
              <w:rPr>
                <w:sz w:val="20"/>
                <w:szCs w:val="20"/>
                <w:color w:val="auto"/>
              </w:rPr>
            </w:pPr>
            <w:r>
              <w:rPr>
                <w:rFonts w:ascii="Arial" w:cs="Arial" w:eastAsia="Arial" w:hAnsi="Arial"/>
                <w:sz w:val="18"/>
                <w:szCs w:val="18"/>
                <w:b w:val="1"/>
                <w:bCs w:val="1"/>
                <w:color w:val="auto"/>
              </w:rPr>
              <w:t>368</w:t>
            </w:r>
          </w:p>
        </w:tc>
        <w:tc>
          <w:tcPr>
            <w:tcW w:w="1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E5E5E5"/>
          </w:tcPr>
          <w:p>
            <w:pPr>
              <w:jc w:val="right"/>
              <w:ind w:right="21"/>
              <w:spacing w:after="0"/>
              <w:rPr>
                <w:sz w:val="20"/>
                <w:szCs w:val="20"/>
                <w:color w:val="auto"/>
              </w:rPr>
            </w:pPr>
            <w:r>
              <w:rPr>
                <w:rFonts w:ascii="Arial" w:cs="Arial" w:eastAsia="Arial" w:hAnsi="Arial"/>
                <w:sz w:val="18"/>
                <w:szCs w:val="18"/>
                <w:b w:val="1"/>
                <w:bCs w:val="1"/>
                <w:color w:val="auto"/>
              </w:rPr>
              <w:t>5,547</w:t>
            </w:r>
          </w:p>
        </w:tc>
        <w:tc>
          <w:tcPr>
            <w:tcW w:w="180" w:type="dxa"/>
            <w:vAlign w:val="bottom"/>
            <w:tcBorders>
              <w:bottom w:val="single" w:sz="8" w:color="E5E5E5"/>
            </w:tcBorders>
            <w:shd w:val="clear" w:color="auto" w:fill="E5E5E5"/>
          </w:tcPr>
          <w:p>
            <w:pPr>
              <w:spacing w:after="0"/>
              <w:rPr>
                <w:sz w:val="18"/>
                <w:szCs w:val="18"/>
                <w:color w:val="auto"/>
              </w:rPr>
            </w:pPr>
          </w:p>
        </w:tc>
        <w:tc>
          <w:tcPr>
            <w:tcW w:w="20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b w:val="1"/>
                <w:bCs w:val="1"/>
                <w:color w:val="auto"/>
              </w:rPr>
              <w:t>(43)</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(0.8)%</w:t>
            </w: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b w:val="1"/>
                <w:bCs w:val="1"/>
                <w:color w:val="auto"/>
              </w:rPr>
              <w:t>Operating Income Before Depreciation and</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3740" w:type="dxa"/>
            <w:vAlign w:val="bottom"/>
          </w:tcPr>
          <w:p>
            <w:pPr>
              <w:ind w:left="220"/>
              <w:spacing w:after="0"/>
              <w:rPr>
                <w:sz w:val="20"/>
                <w:szCs w:val="20"/>
                <w:color w:val="auto"/>
              </w:rPr>
            </w:pPr>
            <w:r>
              <w:rPr>
                <w:rFonts w:ascii="Arial" w:cs="Arial" w:eastAsia="Arial" w:hAnsi="Arial"/>
                <w:sz w:val="18"/>
                <w:szCs w:val="18"/>
                <w:b w:val="1"/>
                <w:bCs w:val="1"/>
                <w:color w:val="auto"/>
              </w:rPr>
              <w:t>Amortization</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7"/>
        </w:trPr>
        <w:tc>
          <w:tcPr>
            <w:tcW w:w="37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460" w:type="dxa"/>
            <w:vAlign w:val="bottom"/>
            <w:shd w:val="clear" w:color="auto" w:fill="E5E5E5"/>
          </w:tcPr>
          <w:p>
            <w:pPr>
              <w:ind w:left="3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788</w:t>
            </w:r>
          </w:p>
        </w:tc>
        <w:tc>
          <w:tcPr>
            <w:tcW w:w="3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60" w:type="dxa"/>
            <w:vAlign w:val="bottom"/>
            <w:shd w:val="clear" w:color="auto" w:fill="E5E5E5"/>
          </w:tcPr>
          <w:p>
            <w:pPr>
              <w:ind w:left="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5E5E5"/>
          </w:tcPr>
          <w:p>
            <w:pPr>
              <w:jc w:val="right"/>
              <w:ind w:right="353"/>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E5E5E5"/>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E5E5"/>
          </w:tcPr>
          <w:p>
            <w:pPr>
              <w:jc w:val="right"/>
              <w:ind w:right="319"/>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ind w:left="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5E5E5"/>
          </w:tcPr>
          <w:p>
            <w:pPr>
              <w:jc w:val="right"/>
              <w:ind w:right="21"/>
              <w:spacing w:after="0"/>
              <w:rPr>
                <w:sz w:val="20"/>
                <w:szCs w:val="20"/>
                <w:color w:val="auto"/>
              </w:rPr>
            </w:pPr>
            <w:r>
              <w:rPr>
                <w:rFonts w:ascii="Arial" w:cs="Arial" w:eastAsia="Arial" w:hAnsi="Arial"/>
                <w:sz w:val="18"/>
                <w:szCs w:val="18"/>
                <w:color w:val="auto"/>
              </w:rPr>
              <w:t>846</w:t>
            </w:r>
          </w:p>
        </w:tc>
        <w:tc>
          <w:tcPr>
            <w:tcW w:w="1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4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(58)</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46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196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53"/>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238"/>
              <w:spacing w:after="0"/>
              <w:rPr>
                <w:sz w:val="20"/>
                <w:szCs w:val="20"/>
                <w:color w:val="auto"/>
              </w:rPr>
            </w:pPr>
            <w:r>
              <w:rPr>
                <w:rFonts w:ascii="Arial" w:cs="Arial" w:eastAsia="Arial" w:hAnsi="Arial"/>
                <w:sz w:val="18"/>
                <w:szCs w:val="18"/>
                <w:color w:val="auto"/>
              </w:rPr>
              <w:t>6</w:t>
            </w:r>
          </w:p>
        </w:tc>
        <w:tc>
          <w:tcPr>
            <w:tcW w:w="900" w:type="dxa"/>
            <w:vAlign w:val="bottom"/>
          </w:tcPr>
          <w:p>
            <w:pPr>
              <w:jc w:val="right"/>
              <w:ind w:right="195"/>
              <w:spacing w:after="0"/>
              <w:rPr>
                <w:sz w:val="20"/>
                <w:szCs w:val="20"/>
                <w:color w:val="auto"/>
              </w:rPr>
            </w:pPr>
            <w:r>
              <w:rPr>
                <w:rFonts w:ascii="Arial" w:cs="Arial" w:eastAsia="Arial" w:hAnsi="Arial"/>
                <w:sz w:val="18"/>
                <w:szCs w:val="18"/>
                <w:color w:val="auto"/>
              </w:rPr>
              <w:t>2.7</w:t>
            </w:r>
          </w:p>
        </w:tc>
      </w:tr>
      <w:tr>
        <w:trPr>
          <w:trHeight w:val="216"/>
        </w:trPr>
        <w:tc>
          <w:tcPr>
            <w:tcW w:w="37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460" w:type="dxa"/>
            <w:vAlign w:val="bottom"/>
            <w:shd w:val="clear" w:color="auto" w:fill="E5E5E5"/>
          </w:tcPr>
          <w:p>
            <w:pPr>
              <w:spacing w:after="0"/>
              <w:rPr>
                <w:sz w:val="18"/>
                <w:szCs w:val="18"/>
                <w:color w:val="auto"/>
              </w:rPr>
            </w:pPr>
          </w:p>
        </w:tc>
        <w:tc>
          <w:tcPr>
            <w:tcW w:w="7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(83)</w:t>
            </w:r>
          </w:p>
        </w:tc>
        <w:tc>
          <w:tcPr>
            <w:tcW w:w="3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100" w:type="dxa"/>
            <w:vAlign w:val="bottom"/>
            <w:gridSpan w:val="2"/>
            <w:shd w:val="clear" w:color="auto" w:fill="E5E5E5"/>
          </w:tcPr>
          <w:p>
            <w:pPr>
              <w:jc w:val="right"/>
              <w:ind w:right="353"/>
              <w:spacing w:after="0"/>
              <w:rPr>
                <w:sz w:val="20"/>
                <w:szCs w:val="20"/>
                <w:color w:val="auto"/>
              </w:rPr>
            </w:pPr>
            <w:r>
              <w:rPr>
                <w:rFonts w:ascii="Arial" w:cs="Arial" w:eastAsia="Arial" w:hAnsi="Arial"/>
                <w:sz w:val="18"/>
                <w:szCs w:val="18"/>
                <w:color w:val="auto"/>
              </w:rPr>
              <w:t>27</w:t>
            </w:r>
          </w:p>
        </w:tc>
        <w:tc>
          <w:tcPr>
            <w:tcW w:w="12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319"/>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
              <w:spacing w:after="0"/>
              <w:rPr>
                <w:sz w:val="20"/>
                <w:szCs w:val="20"/>
                <w:color w:val="auto"/>
              </w:rPr>
            </w:pPr>
            <w:r>
              <w:rPr>
                <w:rFonts w:ascii="Arial" w:cs="Arial" w:eastAsia="Arial" w:hAnsi="Arial"/>
                <w:sz w:val="18"/>
                <w:szCs w:val="18"/>
                <w:color w:val="auto"/>
              </w:rPr>
              <w:t>27</w:t>
            </w:r>
          </w:p>
        </w:tc>
        <w:tc>
          <w:tcPr>
            <w:tcW w:w="1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w w:val="90"/>
              </w:rPr>
              <w:t>(110)</w:t>
            </w:r>
          </w:p>
        </w:tc>
        <w:tc>
          <w:tcPr>
            <w:tcW w:w="900" w:type="dxa"/>
            <w:vAlign w:val="bottom"/>
            <w:shd w:val="clear" w:color="auto" w:fill="E5E5E5"/>
          </w:tcPr>
          <w:p>
            <w:pPr>
              <w:ind w:left="340"/>
              <w:spacing w:after="0"/>
              <w:rPr>
                <w:sz w:val="20"/>
                <w:szCs w:val="20"/>
                <w:color w:val="auto"/>
              </w:rPr>
            </w:pPr>
            <w:r>
              <w:rPr>
                <w:rFonts w:ascii="Arial" w:cs="Arial" w:eastAsia="Arial" w:hAnsi="Arial"/>
                <w:sz w:val="18"/>
                <w:szCs w:val="18"/>
                <w:color w:val="auto"/>
              </w:rPr>
              <w:t>NM</w:t>
            </w: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46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235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53"/>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238"/>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195"/>
              <w:spacing w:after="0"/>
              <w:rPr>
                <w:sz w:val="20"/>
                <w:szCs w:val="20"/>
                <w:color w:val="auto"/>
              </w:rPr>
            </w:pPr>
            <w:r>
              <w:rPr>
                <w:rFonts w:ascii="Arial" w:cs="Arial" w:eastAsia="Arial" w:hAnsi="Arial"/>
                <w:sz w:val="18"/>
                <w:szCs w:val="18"/>
                <w:color w:val="auto"/>
              </w:rPr>
              <w:t>4.2</w:t>
            </w:r>
          </w:p>
        </w:tc>
      </w:tr>
      <w:tr>
        <w:trPr>
          <w:trHeight w:val="216"/>
        </w:trPr>
        <w:tc>
          <w:tcPr>
            <w:tcW w:w="37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4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(154)</w:t>
            </w:r>
          </w:p>
        </w:tc>
        <w:tc>
          <w:tcPr>
            <w:tcW w:w="360" w:type="dxa"/>
            <w:vAlign w:val="bottom"/>
            <w:tcBorders>
              <w:bottom w:val="single" w:sz="8" w:color="E5E5E5"/>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gridSpan w:val="2"/>
            <w:shd w:val="clear" w:color="auto" w:fill="E5E5E5"/>
          </w:tcPr>
          <w:p>
            <w:pPr>
              <w:jc w:val="right"/>
              <w:ind w:right="313"/>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319"/>
              <w:spacing w:after="0"/>
              <w:rPr>
                <w:sz w:val="20"/>
                <w:szCs w:val="20"/>
                <w:color w:val="auto"/>
              </w:rPr>
            </w:pPr>
            <w:r>
              <w:rPr>
                <w:rFonts w:ascii="Arial" w:cs="Arial" w:eastAsia="Arial" w:hAnsi="Arial"/>
                <w:sz w:val="18"/>
                <w:szCs w:val="18"/>
                <w:color w:val="auto"/>
              </w:rPr>
              <w:t>160</w:t>
            </w:r>
          </w:p>
        </w:tc>
        <w:tc>
          <w:tcPr>
            <w:tcW w:w="1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Borders>
              <w:bottom w:val="single" w:sz="8" w:color="E5E5E5"/>
            </w:tcBorders>
            <w:shd w:val="clear" w:color="auto" w:fill="E5E5E5"/>
          </w:tcPr>
          <w:p>
            <w:pPr>
              <w:spacing w:after="0"/>
              <w:rPr>
                <w:sz w:val="18"/>
                <w:szCs w:val="18"/>
                <w:color w:val="auto"/>
              </w:rPr>
            </w:pPr>
          </w:p>
        </w:tc>
        <w:tc>
          <w:tcPr>
            <w:tcW w:w="20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rPr>
              <w:t>(27)</w:t>
            </w:r>
          </w:p>
        </w:tc>
        <w:tc>
          <w:tcPr>
            <w:tcW w:w="9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(20.3)</w:t>
            </w:r>
          </w:p>
        </w:tc>
      </w:tr>
      <w:tr>
        <w:trPr>
          <w:trHeight w:val="195"/>
        </w:trPr>
        <w:tc>
          <w:tcPr>
            <w:tcW w:w="3740" w:type="dxa"/>
            <w:vAlign w:val="bottom"/>
          </w:tcPr>
          <w:p>
            <w:pPr>
              <w:spacing w:after="0" w:line="195" w:lineRule="exact"/>
              <w:rPr>
                <w:sz w:val="20"/>
                <w:szCs w:val="20"/>
                <w:color w:val="auto"/>
              </w:rPr>
            </w:pPr>
            <w:r>
              <w:rPr>
                <w:rFonts w:ascii="Arial" w:cs="Arial" w:eastAsia="Arial" w:hAnsi="Arial"/>
                <w:sz w:val="18"/>
                <w:szCs w:val="18"/>
                <w:b w:val="1"/>
                <w:bCs w:val="1"/>
                <w:color w:val="auto"/>
                <w:w w:val="91"/>
              </w:rPr>
              <w:t>Total operating income before depreciation and</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7"/>
        </w:trPr>
        <w:tc>
          <w:tcPr>
            <w:tcW w:w="37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amortization</w:t>
            </w: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982</w:t>
            </w: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gridSpan w:val="2"/>
          </w:tcPr>
          <w:p>
            <w:pPr>
              <w:jc w:val="right"/>
              <w:ind w:right="353"/>
              <w:spacing w:after="0"/>
              <w:rPr>
                <w:sz w:val="20"/>
                <w:szCs w:val="20"/>
                <w:color w:val="auto"/>
              </w:rPr>
            </w:pPr>
            <w:r>
              <w:rPr>
                <w:rFonts w:ascii="Arial" w:cs="Arial" w:eastAsia="Arial" w:hAnsi="Arial"/>
                <w:sz w:val="18"/>
                <w:szCs w:val="18"/>
                <w:b w:val="1"/>
                <w:bCs w:val="1"/>
                <w:color w:val="auto"/>
              </w:rPr>
              <w:t>1,001</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8"/>
                <w:szCs w:val="18"/>
                <w:b w:val="1"/>
                <w:bCs w:val="1"/>
                <w:color w:val="auto"/>
              </w:rPr>
              <w:t>160</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1,161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gridSpan w:val="3"/>
          </w:tcPr>
          <w:p>
            <w:pPr>
              <w:jc w:val="right"/>
              <w:ind w:right="178"/>
              <w:spacing w:after="0"/>
              <w:rPr>
                <w:sz w:val="20"/>
                <w:szCs w:val="20"/>
                <w:color w:val="auto"/>
              </w:rPr>
            </w:pPr>
            <w:r>
              <w:rPr>
                <w:rFonts w:ascii="Arial" w:cs="Arial" w:eastAsia="Arial" w:hAnsi="Arial"/>
                <w:sz w:val="18"/>
                <w:szCs w:val="18"/>
                <w:b w:val="1"/>
                <w:bCs w:val="1"/>
                <w:color w:val="auto"/>
              </w:rPr>
              <w:t>$ (179)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r>
      <w:tr>
        <w:trPr>
          <w:trHeight w:val="432"/>
        </w:trPr>
        <w:tc>
          <w:tcPr>
            <w:tcW w:w="3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gridSpan w:val="3"/>
          </w:tcPr>
          <w:p>
            <w:pPr>
              <w:jc w:val="center"/>
              <w:ind w:left="778"/>
              <w:spacing w:after="0"/>
              <w:rPr>
                <w:sz w:val="20"/>
                <w:szCs w:val="20"/>
                <w:color w:val="auto"/>
              </w:rPr>
            </w:pPr>
            <w:r>
              <w:rPr>
                <w:rFonts w:ascii="Arial" w:cs="Arial" w:eastAsia="Arial" w:hAnsi="Arial"/>
                <w:sz w:val="14"/>
                <w:szCs w:val="14"/>
                <w:color w:val="auto"/>
                <w:w w:val="83"/>
              </w:rPr>
              <w:t>2012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left="159"/>
              <w:spacing w:after="0"/>
              <w:rPr>
                <w:sz w:val="20"/>
                <w:szCs w:val="20"/>
                <w:color w:val="auto"/>
              </w:rPr>
            </w:pPr>
            <w:r>
              <w:rPr>
                <w:rFonts w:ascii="Arial" w:cs="Arial" w:eastAsia="Arial" w:hAnsi="Arial"/>
                <w:sz w:val="14"/>
                <w:szCs w:val="14"/>
                <w:color w:val="auto"/>
                <w:w w:val="83"/>
              </w:rPr>
              <w:t>2011</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31"/>
        </w:trPr>
        <w:tc>
          <w:tcPr>
            <w:tcW w:w="3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left="41"/>
              <w:spacing w:after="0" w:line="131" w:lineRule="exact"/>
              <w:rPr>
                <w:sz w:val="20"/>
                <w:szCs w:val="20"/>
                <w:color w:val="auto"/>
              </w:rPr>
            </w:pPr>
            <w:r>
              <w:rPr>
                <w:rFonts w:ascii="Arial" w:cs="Arial" w:eastAsia="Arial" w:hAnsi="Arial"/>
                <w:sz w:val="14"/>
                <w:szCs w:val="14"/>
                <w:color w:val="auto"/>
                <w:w w:val="84"/>
              </w:rPr>
              <w:t>Pro Forma</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73"/>
        </w:trPr>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Actual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left="233"/>
              <w:spacing w:after="0"/>
              <w:rPr>
                <w:sz w:val="20"/>
                <w:szCs w:val="20"/>
                <w:color w:val="auto"/>
              </w:rPr>
            </w:pPr>
            <w:r>
              <w:rPr>
                <w:rFonts w:ascii="Arial" w:cs="Arial" w:eastAsia="Arial" w:hAnsi="Arial"/>
                <w:sz w:val="14"/>
                <w:szCs w:val="14"/>
                <w:color w:val="auto"/>
                <w:w w:val="92"/>
              </w:rPr>
              <w:t>Actual</w:t>
            </w:r>
          </w:p>
        </w:tc>
        <w:tc>
          <w:tcPr>
            <w:tcW w:w="120" w:type="dxa"/>
            <w:vAlign w:val="bottom"/>
          </w:tcPr>
          <w:p>
            <w:pPr>
              <w:spacing w:after="0"/>
              <w:rPr>
                <w:sz w:val="15"/>
                <w:szCs w:val="15"/>
                <w:color w:val="auto"/>
              </w:rPr>
            </w:pPr>
          </w:p>
        </w:tc>
        <w:tc>
          <w:tcPr>
            <w:tcW w:w="1100" w:type="dxa"/>
            <w:vAlign w:val="bottom"/>
          </w:tcPr>
          <w:p>
            <w:pPr>
              <w:jc w:val="center"/>
              <w:ind w:left="159"/>
              <w:spacing w:after="0"/>
              <w:rPr>
                <w:sz w:val="20"/>
                <w:szCs w:val="20"/>
                <w:color w:val="auto"/>
              </w:rPr>
            </w:pPr>
            <w:r>
              <w:rPr>
                <w:rFonts w:ascii="Arial" w:cs="Arial" w:eastAsia="Arial" w:hAnsi="Arial"/>
                <w:sz w:val="14"/>
                <w:szCs w:val="14"/>
                <w:color w:val="auto"/>
                <w:w w:val="87"/>
              </w:rPr>
              <w:t>Pro Forma</w:t>
            </w:r>
          </w:p>
        </w:tc>
        <w:tc>
          <w:tcPr>
            <w:tcW w:w="140" w:type="dxa"/>
            <w:vAlign w:val="bottom"/>
          </w:tcPr>
          <w:p>
            <w:pPr>
              <w:spacing w:after="0"/>
              <w:rPr>
                <w:sz w:val="15"/>
                <w:szCs w:val="15"/>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color w:val="auto"/>
                <w:w w:val="87"/>
              </w:rPr>
              <w:t>Combined</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2"/>
          </w:tcPr>
          <w:p>
            <w:pPr>
              <w:jc w:val="right"/>
              <w:ind w:right="295"/>
              <w:spacing w:after="0"/>
              <w:rPr>
                <w:sz w:val="20"/>
                <w:szCs w:val="20"/>
                <w:color w:val="auto"/>
              </w:rPr>
            </w:pPr>
            <w:r>
              <w:rPr>
                <w:rFonts w:ascii="Arial" w:cs="Arial" w:eastAsia="Arial" w:hAnsi="Arial"/>
                <w:sz w:val="14"/>
                <w:szCs w:val="14"/>
                <w:color w:val="auto"/>
                <w:w w:val="91"/>
              </w:rPr>
              <w:t>Increase/(Decrease)</w:t>
            </w:r>
          </w:p>
        </w:tc>
      </w:tr>
      <w:tr>
        <w:trPr>
          <w:trHeight w:val="131"/>
        </w:trPr>
        <w:tc>
          <w:tcPr>
            <w:tcW w:w="3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Borders>
              <w:top w:val="single" w:sz="8" w:color="auto"/>
            </w:tcBorders>
            <w:gridSpan w:val="3"/>
          </w:tcPr>
          <w:p>
            <w:pPr>
              <w:jc w:val="center"/>
              <w:ind w:left="112"/>
              <w:spacing w:after="0" w:line="131" w:lineRule="exact"/>
              <w:rPr>
                <w:sz w:val="20"/>
                <w:szCs w:val="20"/>
                <w:color w:val="auto"/>
              </w:rPr>
            </w:pPr>
            <w:r>
              <w:rPr>
                <w:rFonts w:ascii="Arial" w:cs="Arial" w:eastAsia="Arial" w:hAnsi="Arial"/>
                <w:sz w:val="14"/>
                <w:szCs w:val="14"/>
                <w:color w:val="auto"/>
                <w:w w:val="89"/>
              </w:rPr>
              <w:t>Six Months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top w:val="single" w:sz="8" w:color="auto"/>
            </w:tcBorders>
          </w:tcPr>
          <w:p>
            <w:pPr>
              <w:jc w:val="center"/>
              <w:ind w:left="213"/>
              <w:spacing w:after="0" w:line="131" w:lineRule="exact"/>
              <w:rPr>
                <w:sz w:val="20"/>
                <w:szCs w:val="20"/>
                <w:color w:val="auto"/>
              </w:rPr>
            </w:pPr>
            <w:r>
              <w:rPr>
                <w:rFonts w:ascii="Arial" w:cs="Arial" w:eastAsia="Arial" w:hAnsi="Arial"/>
                <w:sz w:val="14"/>
                <w:szCs w:val="14"/>
                <w:color w:val="auto"/>
                <w:w w:val="89"/>
              </w:rPr>
              <w:t>Six Months</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left="41"/>
              <w:spacing w:after="0" w:line="131" w:lineRule="exact"/>
              <w:rPr>
                <w:sz w:val="20"/>
                <w:szCs w:val="20"/>
                <w:color w:val="auto"/>
              </w:rPr>
            </w:pPr>
            <w:r>
              <w:rPr>
                <w:rFonts w:ascii="Arial" w:cs="Arial" w:eastAsia="Arial" w:hAnsi="Arial"/>
                <w:sz w:val="14"/>
                <w:szCs w:val="14"/>
                <w:color w:val="auto"/>
                <w:w w:val="92"/>
              </w:rPr>
              <w:t>Six Months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r>
      <w:tr>
        <w:trPr>
          <w:trHeight w:val="132"/>
        </w:trPr>
        <w:tc>
          <w:tcPr>
            <w:tcW w:w="3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jc w:val="center"/>
              <w:ind w:right="200"/>
              <w:spacing w:after="0" w:line="133" w:lineRule="exact"/>
              <w:rPr>
                <w:sz w:val="20"/>
                <w:szCs w:val="20"/>
                <w:color w:val="auto"/>
              </w:rPr>
            </w:pPr>
            <w:r>
              <w:rPr>
                <w:rFonts w:ascii="Arial" w:cs="Arial" w:eastAsia="Arial" w:hAnsi="Arial"/>
                <w:sz w:val="14"/>
                <w:szCs w:val="14"/>
                <w:color w:val="auto"/>
                <w:w w:val="83"/>
              </w:rPr>
              <w:t>Ended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left="213"/>
              <w:spacing w:after="0" w:line="133" w:lineRule="exact"/>
              <w:rPr>
                <w:sz w:val="20"/>
                <w:szCs w:val="20"/>
                <w:color w:val="auto"/>
              </w:rPr>
            </w:pPr>
            <w:r>
              <w:rPr>
                <w:rFonts w:ascii="Arial" w:cs="Arial" w:eastAsia="Arial" w:hAnsi="Arial"/>
                <w:sz w:val="14"/>
                <w:szCs w:val="14"/>
                <w:color w:val="auto"/>
                <w:w w:val="83"/>
              </w:rPr>
              <w:t>Ended</w:t>
            </w:r>
          </w:p>
        </w:tc>
        <w:tc>
          <w:tcPr>
            <w:tcW w:w="120" w:type="dxa"/>
            <w:vAlign w:val="bottom"/>
          </w:tcPr>
          <w:p>
            <w:pPr>
              <w:spacing w:after="0"/>
              <w:rPr>
                <w:sz w:val="11"/>
                <w:szCs w:val="11"/>
                <w:color w:val="auto"/>
              </w:rPr>
            </w:pPr>
          </w:p>
        </w:tc>
        <w:tc>
          <w:tcPr>
            <w:tcW w:w="1100" w:type="dxa"/>
            <w:vAlign w:val="bottom"/>
          </w:tcPr>
          <w:p>
            <w:pPr>
              <w:jc w:val="center"/>
              <w:ind w:left="139"/>
              <w:spacing w:after="0" w:line="133" w:lineRule="exact"/>
              <w:rPr>
                <w:sz w:val="20"/>
                <w:szCs w:val="20"/>
                <w:color w:val="auto"/>
              </w:rPr>
            </w:pPr>
            <w:r>
              <w:rPr>
                <w:rFonts w:ascii="Arial" w:cs="Arial" w:eastAsia="Arial" w:hAnsi="Arial"/>
                <w:sz w:val="14"/>
                <w:szCs w:val="14"/>
                <w:color w:val="auto"/>
                <w:w w:val="90"/>
              </w:rPr>
              <w:t>NBCUniversal</w:t>
            </w:r>
          </w:p>
        </w:tc>
        <w:tc>
          <w:tcPr>
            <w:tcW w:w="140" w:type="dxa"/>
            <w:vAlign w:val="bottom"/>
          </w:tcPr>
          <w:p>
            <w:pPr>
              <w:spacing w:after="0"/>
              <w:rPr>
                <w:sz w:val="11"/>
                <w:szCs w:val="11"/>
                <w:color w:val="auto"/>
              </w:rPr>
            </w:pPr>
          </w:p>
        </w:tc>
        <w:tc>
          <w:tcPr>
            <w:tcW w:w="1160" w:type="dxa"/>
            <w:vAlign w:val="bottom"/>
            <w:gridSpan w:val="3"/>
          </w:tcPr>
          <w:p>
            <w:pPr>
              <w:jc w:val="center"/>
              <w:ind w:right="80"/>
              <w:spacing w:after="0" w:line="133" w:lineRule="exact"/>
              <w:rPr>
                <w:sz w:val="20"/>
                <w:szCs w:val="20"/>
                <w:color w:val="auto"/>
              </w:rPr>
            </w:pPr>
            <w:r>
              <w:rPr>
                <w:rFonts w:ascii="Arial" w:cs="Arial" w:eastAsia="Arial" w:hAnsi="Arial"/>
                <w:sz w:val="14"/>
                <w:szCs w:val="14"/>
                <w:color w:val="auto"/>
                <w:w w:val="88"/>
              </w:rPr>
              <w:t>Ended</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84"/>
              </w:rPr>
              <w:t>June 30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left="213"/>
              <w:spacing w:after="0" w:line="189" w:lineRule="exact"/>
              <w:rPr>
                <w:sz w:val="20"/>
                <w:szCs w:val="20"/>
                <w:color w:val="auto"/>
              </w:rPr>
            </w:pPr>
            <w:r>
              <w:rPr>
                <w:rFonts w:ascii="Arial" w:cs="Arial" w:eastAsia="Arial" w:hAnsi="Arial"/>
                <w:sz w:val="13"/>
                <w:szCs w:val="13"/>
                <w:color w:val="auto"/>
                <w:w w:val="85"/>
              </w:rPr>
              <w:t>June 30</w:t>
            </w:r>
            <w:r>
              <w:rPr>
                <w:rFonts w:ascii="Arial" w:cs="Arial" w:eastAsia="Arial" w:hAnsi="Arial"/>
                <w:sz w:val="21"/>
                <w:szCs w:val="21"/>
                <w:color w:val="auto"/>
                <w:w w:val="85"/>
                <w:vertAlign w:val="superscript"/>
              </w:rPr>
              <w:t>(a)</w:t>
            </w:r>
          </w:p>
        </w:tc>
        <w:tc>
          <w:tcPr>
            <w:tcW w:w="120" w:type="dxa"/>
            <w:vAlign w:val="bottom"/>
          </w:tcPr>
          <w:p>
            <w:pPr>
              <w:spacing w:after="0"/>
              <w:rPr>
                <w:sz w:val="16"/>
                <w:szCs w:val="16"/>
                <w:color w:val="auto"/>
              </w:rPr>
            </w:pPr>
          </w:p>
        </w:tc>
        <w:tc>
          <w:tcPr>
            <w:tcW w:w="1100" w:type="dxa"/>
            <w:vAlign w:val="bottom"/>
          </w:tcPr>
          <w:p>
            <w:pPr>
              <w:jc w:val="center"/>
              <w:ind w:left="139"/>
              <w:spacing w:after="0" w:line="189" w:lineRule="exact"/>
              <w:rPr>
                <w:sz w:val="20"/>
                <w:szCs w:val="20"/>
                <w:color w:val="auto"/>
              </w:rPr>
            </w:pPr>
            <w:r>
              <w:rPr>
                <w:rFonts w:ascii="Arial" w:cs="Arial" w:eastAsia="Arial" w:hAnsi="Arial"/>
                <w:sz w:val="13"/>
                <w:szCs w:val="13"/>
                <w:color w:val="auto"/>
                <w:w w:val="86"/>
              </w:rPr>
              <w:t>Businesses</w:t>
            </w:r>
            <w:r>
              <w:rPr>
                <w:rFonts w:ascii="Arial" w:cs="Arial" w:eastAsia="Arial" w:hAnsi="Arial"/>
                <w:sz w:val="21"/>
                <w:szCs w:val="21"/>
                <w:color w:val="auto"/>
                <w:w w:val="86"/>
                <w:vertAlign w:val="superscript"/>
              </w:rPr>
              <w:t>(b)</w:t>
            </w:r>
          </w:p>
        </w:tc>
        <w:tc>
          <w:tcPr>
            <w:tcW w:w="14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color w:val="auto"/>
                <w:w w:val="80"/>
              </w:rPr>
              <w:t>June 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ind w:right="378"/>
              <w:spacing w:after="0"/>
              <w:rPr>
                <w:sz w:val="20"/>
                <w:szCs w:val="20"/>
                <w:color w:val="auto"/>
              </w:rPr>
            </w:pPr>
            <w:r>
              <w:rPr>
                <w:rFonts w:ascii="Arial" w:cs="Arial" w:eastAsia="Arial" w:hAnsi="Arial"/>
                <w:sz w:val="14"/>
                <w:szCs w:val="14"/>
                <w:color w:val="auto"/>
              </w:rPr>
              <w:t>$</w:t>
            </w:r>
          </w:p>
        </w:tc>
        <w:tc>
          <w:tcPr>
            <w:tcW w:w="900" w:type="dxa"/>
            <w:vAlign w:val="bottom"/>
          </w:tcPr>
          <w:p>
            <w:pPr>
              <w:ind w:left="34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1"/>
        </w:trPr>
        <w:tc>
          <w:tcPr>
            <w:tcW w:w="472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Cable Networks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4,390</w:t>
            </w: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3,391</w:t>
            </w: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2,423</w:t>
            </w: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951</w:t>
            </w:r>
          </w:p>
        </w:tc>
      </w:tr>
      <w:tr>
        <w:trPr>
          <w:trHeight w:val="222"/>
        </w:trPr>
        <w:tc>
          <w:tcPr>
            <w:tcW w:w="20" w:type="dxa"/>
            <w:vAlign w:val="bottom"/>
          </w:tcPr>
          <w:p>
            <w:pPr>
              <w:spacing w:after="0"/>
              <w:rPr>
                <w:sz w:val="19"/>
                <w:szCs w:val="19"/>
                <w:color w:val="auto"/>
              </w:rPr>
            </w:pPr>
          </w:p>
        </w:tc>
        <w:tc>
          <w:tcPr>
            <w:tcW w:w="4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Headquarters, other and eliminations</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19"/>
        </w:trPr>
        <w:tc>
          <w:tcPr>
            <w:tcW w:w="2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0"/>
              </w:rPr>
              <w:t>10,976</w:t>
            </w:r>
          </w:p>
        </w:tc>
      </w:tr>
      <w:tr>
        <w:trPr>
          <w:trHeight w:val="208"/>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w w:val="97"/>
              </w:rPr>
              <w:t>Operating Income Before Depreciation and Amortization</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Cable Networks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1,593</w:t>
            </w: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186</w:t>
            </w: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392</w:t>
            </w:r>
          </w:p>
        </w:tc>
      </w:tr>
      <w:tr>
        <w:trPr>
          <w:trHeight w:val="222"/>
        </w:trPr>
        <w:tc>
          <w:tcPr>
            <w:tcW w:w="20" w:type="dxa"/>
            <w:vAlign w:val="bottom"/>
          </w:tcPr>
          <w:p>
            <w:pPr>
              <w:spacing w:after="0"/>
              <w:rPr>
                <w:sz w:val="19"/>
                <w:szCs w:val="19"/>
                <w:color w:val="auto"/>
              </w:rPr>
            </w:pPr>
          </w:p>
        </w:tc>
        <w:tc>
          <w:tcPr>
            <w:tcW w:w="4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Headquarters, other and eliminations</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19"/>
        </w:trPr>
        <w:tc>
          <w:tcPr>
            <w:tcW w:w="2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Total operating income before depreciation and amortization</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1,795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-1697355</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72466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w w:val="97"/>
              </w:rPr>
              <w:t>3,805</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388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4,193</w:t>
            </w:r>
          </w:p>
        </w:tc>
      </w:tr>
      <w:tr>
        <w:trPr>
          <w:trHeight w:val="216"/>
        </w:trPr>
        <w:tc>
          <w:tcPr>
            <w:tcW w:w="46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w w:val="97"/>
              </w:rPr>
              <w:t>2,583</w:t>
            </w:r>
          </w:p>
        </w:tc>
        <w:tc>
          <w:tcPr>
            <w:tcW w:w="42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3,047</w:t>
            </w:r>
          </w:p>
        </w:tc>
      </w:tr>
      <w:tr>
        <w:trPr>
          <w:trHeight w:val="216"/>
        </w:trPr>
        <w:tc>
          <w:tcPr>
            <w:tcW w:w="46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w w:val="97"/>
              </w:rPr>
              <w:t>1,876</w:t>
            </w:r>
          </w:p>
        </w:tc>
        <w:tc>
          <w:tcPr>
            <w:tcW w:w="42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2,229</w:t>
            </w:r>
          </w:p>
        </w:tc>
      </w:tr>
      <w:tr>
        <w:trPr>
          <w:trHeight w:val="216"/>
        </w:trPr>
        <w:tc>
          <w:tcPr>
            <w:tcW w:w="46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796</w:t>
            </w:r>
          </w:p>
        </w:tc>
        <w:tc>
          <w:tcPr>
            <w:tcW w:w="42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911</w:t>
            </w:r>
          </w:p>
        </w:tc>
      </w:tr>
      <w:tr>
        <w:trPr>
          <w:trHeight w:val="223"/>
        </w:trPr>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(738)</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544</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18"/>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7"/>
              </w:rPr>
              <w:t>8,322</w:t>
            </w:r>
          </w:p>
        </w:tc>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1,864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0"/>
              </w:rPr>
              <w:t>10,186</w:t>
            </w:r>
          </w:p>
        </w:tc>
      </w:tr>
      <w:tr>
        <w:trPr>
          <w:trHeight w:val="424"/>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w w:val="97"/>
              </w:rPr>
              <w:t>1,511</w:t>
            </w:r>
          </w:p>
        </w:tc>
        <w:tc>
          <w:tcPr>
            <w:tcW w:w="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152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1,663</w:t>
            </w:r>
          </w:p>
        </w:tc>
      </w:tr>
      <w:tr>
        <w:trPr>
          <w:trHeight w:val="216"/>
        </w:trPr>
        <w:tc>
          <w:tcPr>
            <w:tcW w:w="46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225</w:t>
            </w:r>
          </w:p>
        </w:tc>
        <w:tc>
          <w:tcPr>
            <w:tcW w:w="42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210</w:t>
            </w:r>
          </w:p>
        </w:tc>
      </w:tr>
      <w:tr>
        <w:trPr>
          <w:trHeight w:val="216"/>
        </w:trPr>
        <w:tc>
          <w:tcPr>
            <w:tcW w:w="46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(116)</w:t>
            </w:r>
          </w:p>
        </w:tc>
        <w:tc>
          <w:tcPr>
            <w:tcW w:w="42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46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359</w:t>
            </w:r>
          </w:p>
        </w:tc>
      </w:tr>
      <w:tr>
        <w:trPr>
          <w:trHeight w:val="223"/>
        </w:trPr>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(483)</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136</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r>
      <w:tr>
        <w:trPr>
          <w:trHeight w:val="218"/>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7"/>
              </w:rPr>
              <w:t>1,459</w:t>
            </w:r>
          </w:p>
        </w:tc>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307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1,766</w:t>
            </w: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52"/>
              <w:spacing w:after="0"/>
              <w:rPr>
                <w:sz w:val="20"/>
                <w:szCs w:val="20"/>
                <w:color w:val="auto"/>
              </w:rPr>
            </w:pPr>
            <w:r>
              <w:rPr>
                <w:rFonts w:ascii="Arial" w:cs="Arial" w:eastAsia="Arial" w:hAnsi="Arial"/>
                <w:sz w:val="18"/>
                <w:szCs w:val="18"/>
                <w:color w:val="auto"/>
                <w:w w:val="93"/>
              </w:rPr>
              <w:t>197</w:t>
            </w:r>
          </w:p>
        </w:tc>
        <w:tc>
          <w:tcPr>
            <w:tcW w:w="840" w:type="dxa"/>
            <w:vAlign w:val="bottom"/>
          </w:tcPr>
          <w:p>
            <w:pPr>
              <w:ind w:left="320"/>
              <w:spacing w:after="0"/>
              <w:rPr>
                <w:sz w:val="20"/>
                <w:szCs w:val="20"/>
                <w:color w:val="auto"/>
              </w:rPr>
            </w:pPr>
            <w:r>
              <w:rPr>
                <w:rFonts w:ascii="Arial" w:cs="Arial" w:eastAsia="Arial" w:hAnsi="Arial"/>
                <w:sz w:val="18"/>
                <w:szCs w:val="18"/>
                <w:color w:val="auto"/>
              </w:rPr>
              <w:t>4.7 %</w:t>
            </w:r>
          </w:p>
        </w:tc>
      </w:tr>
      <w:tr>
        <w:trPr>
          <w:trHeight w:val="216"/>
        </w:trPr>
        <w:tc>
          <w:tcPr>
            <w:tcW w:w="420" w:type="dxa"/>
            <w:vAlign w:val="bottom"/>
          </w:tcPr>
          <w:p>
            <w:pPr>
              <w:spacing w:after="0"/>
              <w:rPr>
                <w:sz w:val="18"/>
                <w:szCs w:val="18"/>
                <w:color w:val="auto"/>
              </w:rPr>
            </w:pPr>
          </w:p>
        </w:tc>
        <w:tc>
          <w:tcPr>
            <w:tcW w:w="640" w:type="dxa"/>
            <w:vAlign w:val="bottom"/>
          </w:tcPr>
          <w:p>
            <w:pPr>
              <w:jc w:val="right"/>
              <w:ind w:right="252"/>
              <w:spacing w:after="0"/>
              <w:rPr>
                <w:sz w:val="20"/>
                <w:szCs w:val="20"/>
                <w:color w:val="auto"/>
              </w:rPr>
            </w:pPr>
            <w:r>
              <w:rPr>
                <w:rFonts w:ascii="Arial" w:cs="Arial" w:eastAsia="Arial" w:hAnsi="Arial"/>
                <w:sz w:val="18"/>
                <w:szCs w:val="18"/>
                <w:color w:val="auto"/>
                <w:w w:val="93"/>
              </w:rPr>
              <w:t>344</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11.3</w:t>
            </w:r>
          </w:p>
        </w:tc>
      </w:tr>
      <w:tr>
        <w:trPr>
          <w:trHeight w:val="216"/>
        </w:trPr>
        <w:tc>
          <w:tcPr>
            <w:tcW w:w="420" w:type="dxa"/>
            <w:vAlign w:val="bottom"/>
          </w:tcPr>
          <w:p>
            <w:pPr>
              <w:spacing w:after="0"/>
              <w:rPr>
                <w:sz w:val="18"/>
                <w:szCs w:val="18"/>
                <w:color w:val="auto"/>
              </w:rPr>
            </w:pPr>
          </w:p>
        </w:tc>
        <w:tc>
          <w:tcPr>
            <w:tcW w:w="640" w:type="dxa"/>
            <w:vAlign w:val="bottom"/>
          </w:tcPr>
          <w:p>
            <w:pPr>
              <w:jc w:val="right"/>
              <w:ind w:right="252"/>
              <w:spacing w:after="0"/>
              <w:rPr>
                <w:sz w:val="20"/>
                <w:szCs w:val="20"/>
                <w:color w:val="auto"/>
              </w:rPr>
            </w:pPr>
            <w:r>
              <w:rPr>
                <w:rFonts w:ascii="Arial" w:cs="Arial" w:eastAsia="Arial" w:hAnsi="Arial"/>
                <w:sz w:val="18"/>
                <w:szCs w:val="18"/>
                <w:color w:val="auto"/>
                <w:w w:val="93"/>
              </w:rPr>
              <w:t>194</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8.7</w:t>
            </w:r>
          </w:p>
        </w:tc>
      </w:tr>
      <w:tr>
        <w:trPr>
          <w:trHeight w:val="216"/>
        </w:trPr>
        <w:tc>
          <w:tcPr>
            <w:tcW w:w="420" w:type="dxa"/>
            <w:vAlign w:val="bottom"/>
          </w:tcPr>
          <w:p>
            <w:pPr>
              <w:spacing w:after="0"/>
              <w:rPr>
                <w:sz w:val="18"/>
                <w:szCs w:val="18"/>
                <w:color w:val="auto"/>
              </w:rPr>
            </w:pPr>
          </w:p>
        </w:tc>
        <w:tc>
          <w:tcPr>
            <w:tcW w:w="640" w:type="dxa"/>
            <w:vAlign w:val="bottom"/>
          </w:tcPr>
          <w:p>
            <w:pPr>
              <w:jc w:val="right"/>
              <w:ind w:right="252"/>
              <w:spacing w:after="0"/>
              <w:rPr>
                <w:sz w:val="20"/>
                <w:szCs w:val="20"/>
                <w:color w:val="auto"/>
              </w:rPr>
            </w:pPr>
            <w:r>
              <w:rPr>
                <w:rFonts w:ascii="Arial" w:cs="Arial" w:eastAsia="Arial" w:hAnsi="Arial"/>
                <w:sz w:val="18"/>
                <w:szCs w:val="18"/>
                <w:color w:val="auto"/>
              </w:rPr>
              <w:t>40</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4.4</w:t>
            </w:r>
          </w:p>
        </w:tc>
      </w:tr>
      <w:tr>
        <w:trPr>
          <w:trHeight w:val="223"/>
        </w:trPr>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15</w:t>
            </w: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7.7</w:t>
            </w:r>
          </w:p>
        </w:tc>
      </w:tr>
      <w:tr>
        <w:trPr>
          <w:trHeight w:val="218"/>
        </w:trPr>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3"/>
              </w:rPr>
              <w:t>790</w:t>
            </w:r>
          </w:p>
        </w:tc>
        <w:tc>
          <w:tcPr>
            <w:tcW w:w="8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7.8 %</w:t>
            </w:r>
          </w:p>
        </w:tc>
      </w:tr>
      <w:tr>
        <w:trPr>
          <w:trHeight w:val="430"/>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(70)</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r>
    </w:tbl>
    <w:p>
      <w:pPr>
        <w:ind w:left="1280" w:hanging="789"/>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(11.5)</w:t>
      </w:r>
    </w:p>
    <w:p>
      <w:pPr>
        <w:spacing w:after="0" w:line="9" w:lineRule="exact"/>
        <w:rPr>
          <w:sz w:val="20"/>
          <w:szCs w:val="20"/>
          <w:color w:val="auto"/>
        </w:rPr>
      </w:pPr>
    </w:p>
    <w:p>
      <w:pPr>
        <w:ind w:left="540"/>
        <w:spacing w:after="0"/>
        <w:tabs>
          <w:tab w:leader="none" w:pos="13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35.8</w:t>
      </w:r>
    </w:p>
    <w:p>
      <w:pPr>
        <w:spacing w:after="0" w:line="9" w:lineRule="exact"/>
        <w:rPr>
          <w:sz w:val="20"/>
          <w:szCs w:val="20"/>
          <w:color w:val="auto"/>
        </w:rPr>
      </w:pPr>
    </w:p>
    <w:p>
      <w:pPr>
        <w:ind w:left="1420" w:hanging="871"/>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9.0</w:t>
      </w:r>
    </w:p>
    <w:p>
      <w:pPr>
        <w:spacing w:after="0" w:line="9" w:lineRule="exact"/>
        <w:rPr>
          <w:rFonts w:ascii="Arial" w:cs="Arial" w:eastAsia="Arial" w:hAnsi="Arial"/>
          <w:sz w:val="18"/>
          <w:szCs w:val="18"/>
          <w:color w:val="auto"/>
        </w:rPr>
      </w:pPr>
    </w:p>
    <w:p>
      <w:pPr>
        <w:ind w:left="1340" w:hanging="791"/>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13.7</w:t>
      </w:r>
    </w:p>
    <w:p>
      <w:pPr>
        <w:spacing w:after="0" w:line="10" w:lineRule="exact"/>
        <w:rPr>
          <w:sz w:val="20"/>
          <w:szCs w:val="20"/>
          <w:color w:val="auto"/>
        </w:rPr>
      </w:pPr>
    </w:p>
    <w:p>
      <w:pPr>
        <w:ind w:left="300"/>
        <w:spacing w:after="0"/>
        <w:tabs>
          <w:tab w:leader="none" w:pos="520" w:val="left"/>
          <w:tab w:leader="none" w:pos="1360" w:val="left"/>
        </w:tabs>
        <w:rPr>
          <w:sz w:val="20"/>
          <w:szCs w:val="20"/>
          <w:color w:val="auto"/>
        </w:rPr>
      </w:pPr>
      <w:r>
        <w:rPr>
          <w:rFonts w:ascii="Arial" w:cs="Arial" w:eastAsia="Arial" w:hAnsi="Arial"/>
          <w:sz w:val="18"/>
          <w:szCs w:val="18"/>
          <w:b w:val="1"/>
          <w:bCs w:val="1"/>
          <w:color w:val="auto"/>
        </w:rPr>
        <w:t>$</w:t>
        <w:tab/>
        <w:t>29</w:t>
      </w:r>
      <w:r>
        <w:rPr>
          <w:sz w:val="20"/>
          <w:szCs w:val="20"/>
          <w:color w:val="auto"/>
        </w:rPr>
        <w:tab/>
      </w:r>
      <w:r>
        <w:rPr>
          <w:rFonts w:ascii="Arial" w:cs="Arial" w:eastAsia="Arial" w:hAnsi="Arial"/>
          <w:sz w:val="16"/>
          <w:szCs w:val="16"/>
          <w:b w:val="1"/>
          <w:bCs w:val="1"/>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20078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78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12007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3">
            <w:col w:w="5620" w:space="320"/>
            <w:col w:w="3260" w:space="320"/>
            <w:col w:w="1900"/>
          </w:cols>
          <w:pgMar w:left="240" w:top="459" w:right="239" w:bottom="1440" w:gutter="0" w:footer="0" w:header="0"/>
          <w:type w:val="continuous"/>
        </w:sectPr>
      </w:pPr>
    </w:p>
    <w:p>
      <w:pPr>
        <w:jc w:val="both"/>
        <w:ind w:left="340" w:hanging="332"/>
        <w:spacing w:after="0" w:line="230"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Actual amounts include the results of operations of the businesses we contributed to NBCUniversal for the three and six months ended June 30, 2011, as well as the results of operations for the NBCUniversal acquired businesses and Universal Orlando for the period January 29, 2011 through June 30, 2011. Headquarters, other and eliminations includes the elimination of the results of operations for Universal Orlando for the period January 29, 2011 through June 30, 2011 in order to reconcile to our condensed consolidated financial statements because Universal Orlando was recorded as an equity method investment during that period.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 forma amounts for the three months ended June 30, 2011 reflect adjustments to include 100% of the results of operations of Universal Orlando in the total NBCUniversal results.</w:t>
      </w:r>
    </w:p>
    <w:p>
      <w:pPr>
        <w:spacing w:after="0" w:line="78"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for the period January 1, 2011 through January 28, 2011 and Universal Orlando for the six months ended June 30, 2011 and other pro forma adjustments that include the effects of acquisition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Segment—Actual and Pro Forma Results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color w:val="auto"/>
                <w:w w:val="92"/>
              </w:rPr>
              <w:t>Actual</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gridSpan w:val="3"/>
          </w:tcPr>
          <w:p>
            <w:pPr>
              <w:jc w:val="center"/>
              <w:ind w:right="74"/>
              <w:spacing w:after="0" w:line="131" w:lineRule="exact"/>
              <w:rPr>
                <w:sz w:val="20"/>
                <w:szCs w:val="20"/>
                <w:color w:val="auto"/>
              </w:rPr>
            </w:pPr>
            <w:r>
              <w:rPr>
                <w:rFonts w:ascii="Arial" w:cs="Arial" w:eastAsia="Arial" w:hAnsi="Arial"/>
                <w:sz w:val="14"/>
                <w:szCs w:val="14"/>
                <w:color w:val="auto"/>
                <w:w w:val="87"/>
              </w:rPr>
              <w:t>Three Months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center"/>
              <w:ind w:right="6"/>
              <w:spacing w:after="0" w:line="149" w:lineRule="exact"/>
              <w:rPr>
                <w:sz w:val="20"/>
                <w:szCs w:val="20"/>
                <w:color w:val="auto"/>
              </w:rPr>
            </w:pPr>
            <w:r>
              <w:rPr>
                <w:rFonts w:ascii="Arial" w:cs="Arial" w:eastAsia="Arial" w:hAnsi="Arial"/>
                <w:sz w:val="14"/>
                <w:szCs w:val="14"/>
                <w:color w:val="auto"/>
                <w:w w:val="83"/>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Increase/</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left="237"/>
              <w:spacing w:after="0"/>
              <w:rPr>
                <w:sz w:val="20"/>
                <w:szCs w:val="20"/>
                <w:color w:val="auto"/>
              </w:rPr>
            </w:pPr>
            <w:r>
              <w:rPr>
                <w:rFonts w:ascii="Arial" w:cs="Arial" w:eastAsia="Arial" w:hAnsi="Arial"/>
                <w:sz w:val="14"/>
                <w:szCs w:val="14"/>
                <w:color w:val="auto"/>
                <w:w w:val="84"/>
              </w:rPr>
              <w:t>June 30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515"/>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2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3"/>
              </w:rPr>
              <w:t>2012</w:t>
            </w:r>
          </w:p>
        </w:tc>
        <w:tc>
          <w:tcPr>
            <w:tcW w:w="920" w:type="dxa"/>
            <w:vAlign w:val="bottom"/>
            <w:tcBorders>
              <w:bottom w:val="single" w:sz="8" w:color="auto"/>
            </w:tcBorders>
            <w:gridSpan w:val="2"/>
          </w:tcPr>
          <w:p>
            <w:pPr>
              <w:jc w:val="right"/>
              <w:ind w:right="14"/>
              <w:spacing w:after="0" w:line="142" w:lineRule="exact"/>
              <w:rPr>
                <w:sz w:val="20"/>
                <w:szCs w:val="20"/>
                <w:color w:val="auto"/>
              </w:rPr>
            </w:pPr>
            <w:r>
              <w:rPr>
                <w:rFonts w:ascii="Arial" w:cs="Arial" w:eastAsia="Arial" w:hAnsi="Arial"/>
                <w:sz w:val="11"/>
                <w:szCs w:val="11"/>
                <w:color w:val="auto"/>
              </w:rPr>
              <w:t xml:space="preserve">2011 </w:t>
            </w:r>
            <w:r>
              <w:rPr>
                <w:rFonts w:ascii="Arial" w:cs="Arial" w:eastAsia="Arial" w:hAnsi="Arial"/>
                <w:sz w:val="16"/>
                <w:szCs w:val="16"/>
                <w:color w:val="auto"/>
                <w:vertAlign w:val="superscript"/>
              </w:rPr>
              <w:t>(a)</w:t>
            </w:r>
          </w:p>
        </w:tc>
        <w:tc>
          <w:tcPr>
            <w:tcW w:w="100" w:type="dxa"/>
            <w:vAlign w:val="bottom"/>
            <w:tcBorders>
              <w:bottom w:val="single" w:sz="8" w:color="E5E5E5"/>
            </w:tcBorders>
          </w:tcPr>
          <w:p>
            <w:pPr>
              <w:spacing w:after="0"/>
              <w:rPr>
                <w:sz w:val="12"/>
                <w:szCs w:val="12"/>
                <w:color w:val="auto"/>
              </w:rPr>
            </w:pPr>
          </w:p>
        </w:tc>
        <w:tc>
          <w:tcPr>
            <w:tcW w:w="260" w:type="dxa"/>
            <w:vAlign w:val="bottom"/>
            <w:tcBorders>
              <w:bottom w:val="single" w:sz="8" w:color="E5E5E5"/>
            </w:tcBorders>
          </w:tcPr>
          <w:p>
            <w:pPr>
              <w:spacing w:after="0"/>
              <w:rPr>
                <w:sz w:val="12"/>
                <w:szCs w:val="12"/>
                <w:color w:val="auto"/>
              </w:rPr>
            </w:pPr>
          </w:p>
        </w:tc>
        <w:tc>
          <w:tcPr>
            <w:tcW w:w="1160" w:type="dxa"/>
            <w:vAlign w:val="bottom"/>
            <w:tcBorders>
              <w:bottom w:val="single" w:sz="8" w:color="auto"/>
            </w:tcBorders>
            <w:gridSpan w:val="2"/>
          </w:tcPr>
          <w:p>
            <w:pPr>
              <w:jc w:val="right"/>
              <w:ind w:right="566"/>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Distribution</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$1,167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26"/>
              <w:spacing w:after="0"/>
              <w:rPr>
                <w:sz w:val="20"/>
                <w:szCs w:val="20"/>
                <w:color w:val="auto"/>
              </w:rPr>
            </w:pPr>
            <w:r>
              <w:rPr>
                <w:rFonts w:ascii="Arial" w:cs="Arial" w:eastAsia="Arial" w:hAnsi="Arial"/>
                <w:sz w:val="18"/>
                <w:szCs w:val="18"/>
                <w:color w:val="auto"/>
              </w:rPr>
              <w:t>$ 74</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16"/>
        </w:trPr>
        <w:tc>
          <w:tcPr>
            <w:tcW w:w="4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924</w:t>
            </w:r>
          </w:p>
        </w:tc>
        <w:tc>
          <w:tcPr>
            <w:tcW w:w="46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160" w:type="dxa"/>
            <w:vAlign w:val="bottom"/>
            <w:gridSpan w:val="2"/>
            <w:shd w:val="clear" w:color="auto" w:fill="E5E5E5"/>
          </w:tcPr>
          <w:p>
            <w:pPr>
              <w:jc w:val="right"/>
              <w:ind w:right="426"/>
              <w:spacing w:after="0"/>
              <w:rPr>
                <w:sz w:val="20"/>
                <w:szCs w:val="20"/>
                <w:color w:val="auto"/>
              </w:rPr>
            </w:pPr>
            <w:r>
              <w:rPr>
                <w:rFonts w:ascii="Arial" w:cs="Arial" w:eastAsia="Arial" w:hAnsi="Arial"/>
                <w:sz w:val="18"/>
                <w:szCs w:val="18"/>
                <w:color w:val="auto"/>
              </w:rPr>
              <w:t>37</w:t>
            </w:r>
          </w:p>
        </w:tc>
        <w:tc>
          <w:tcPr>
            <w:tcW w:w="64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Content licensing and other</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E5E5E5"/>
            </w:tcBorders>
          </w:tcPr>
          <w:p>
            <w:pPr>
              <w:spacing w:after="0"/>
              <w:rPr>
                <w:sz w:val="18"/>
                <w:szCs w:val="18"/>
                <w:color w:val="auto"/>
              </w:rPr>
            </w:pPr>
          </w:p>
        </w:tc>
        <w:tc>
          <w:tcPr>
            <w:tcW w:w="260" w:type="dxa"/>
            <w:vAlign w:val="bottom"/>
            <w:tcBorders>
              <w:bottom w:val="single" w:sz="8" w:color="E5E5E5"/>
            </w:tcBorders>
          </w:tcPr>
          <w:p>
            <w:pPr>
              <w:spacing w:after="0"/>
              <w:rPr>
                <w:sz w:val="18"/>
                <w:szCs w:val="18"/>
                <w:color w:val="auto"/>
              </w:rPr>
            </w:pPr>
          </w:p>
        </w:tc>
        <w:tc>
          <w:tcPr>
            <w:tcW w:w="1160" w:type="dxa"/>
            <w:vAlign w:val="bottom"/>
            <w:tcBorders>
              <w:bottom w:val="single" w:sz="8" w:color="auto"/>
            </w:tcBorders>
            <w:gridSpan w:val="2"/>
          </w:tcPr>
          <w:p>
            <w:pPr>
              <w:jc w:val="right"/>
              <w:ind w:right="366"/>
              <w:spacing w:after="0"/>
              <w:rPr>
                <w:sz w:val="20"/>
                <w:szCs w:val="20"/>
                <w:color w:val="auto"/>
              </w:rPr>
            </w:pPr>
            <w:r>
              <w:rPr>
                <w:rFonts w:ascii="Arial" w:cs="Arial" w:eastAsia="Arial" w:hAnsi="Arial"/>
                <w:sz w:val="18"/>
                <w:szCs w:val="18"/>
                <w:color w:val="auto"/>
              </w:rPr>
              <w:t>(32)</w:t>
            </w: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84"/>
              </w:rPr>
              <w:t>(16.2)</w:t>
            </w:r>
          </w:p>
        </w:tc>
        <w:tc>
          <w:tcPr>
            <w:tcW w:w="0" w:type="dxa"/>
            <w:vAlign w:val="bottom"/>
          </w:tcPr>
          <w:p>
            <w:pPr>
              <w:spacing w:after="0"/>
              <w:rPr>
                <w:sz w:val="1"/>
                <w:szCs w:val="1"/>
                <w:color w:val="auto"/>
              </w:rPr>
            </w:pPr>
          </w:p>
        </w:tc>
      </w:tr>
      <w:tr>
        <w:trPr>
          <w:trHeight w:val="210"/>
        </w:trPr>
        <w:tc>
          <w:tcPr>
            <w:tcW w:w="49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2,252</w:t>
            </w:r>
          </w:p>
        </w:tc>
        <w:tc>
          <w:tcPr>
            <w:tcW w:w="46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2,173</w:t>
            </w:r>
          </w:p>
        </w:tc>
        <w:tc>
          <w:tcPr>
            <w:tcW w:w="1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160" w:type="dxa"/>
            <w:vAlign w:val="bottom"/>
            <w:gridSpan w:val="2"/>
            <w:shd w:val="clear" w:color="auto" w:fill="E5E5E5"/>
          </w:tcPr>
          <w:p>
            <w:pPr>
              <w:jc w:val="right"/>
              <w:ind w:right="426"/>
              <w:spacing w:after="0"/>
              <w:rPr>
                <w:sz w:val="20"/>
                <w:szCs w:val="20"/>
                <w:color w:val="auto"/>
              </w:rPr>
            </w:pPr>
            <w:r>
              <w:rPr>
                <w:rFonts w:ascii="Arial" w:cs="Arial" w:eastAsia="Arial" w:hAnsi="Arial"/>
                <w:sz w:val="18"/>
                <w:szCs w:val="18"/>
                <w:color w:val="auto"/>
              </w:rPr>
              <w:t>79</w:t>
            </w:r>
          </w:p>
        </w:tc>
        <w:tc>
          <w:tcPr>
            <w:tcW w:w="64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1,464</w:t>
            </w: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1,327</w:t>
            </w:r>
          </w:p>
        </w:tc>
        <w:tc>
          <w:tcPr>
            <w:tcW w:w="100" w:type="dxa"/>
            <w:vAlign w:val="bottom"/>
            <w:tcBorders>
              <w:bottom w:val="single" w:sz="8" w:color="E5E5E5"/>
            </w:tcBorders>
          </w:tcPr>
          <w:p>
            <w:pPr>
              <w:spacing w:after="0"/>
              <w:rPr>
                <w:sz w:val="18"/>
                <w:szCs w:val="18"/>
                <w:color w:val="auto"/>
              </w:rPr>
            </w:pPr>
          </w:p>
        </w:tc>
        <w:tc>
          <w:tcPr>
            <w:tcW w:w="260" w:type="dxa"/>
            <w:vAlign w:val="bottom"/>
            <w:tcBorders>
              <w:bottom w:val="single" w:sz="8" w:color="E5E5E5"/>
            </w:tcBorders>
          </w:tcPr>
          <w:p>
            <w:pPr>
              <w:spacing w:after="0"/>
              <w:rPr>
                <w:sz w:val="18"/>
                <w:szCs w:val="18"/>
                <w:color w:val="auto"/>
              </w:rPr>
            </w:pPr>
          </w:p>
        </w:tc>
        <w:tc>
          <w:tcPr>
            <w:tcW w:w="1160" w:type="dxa"/>
            <w:vAlign w:val="bottom"/>
            <w:tcBorders>
              <w:bottom w:val="single" w:sz="8" w:color="auto"/>
            </w:tcBorders>
            <w:gridSpan w:val="2"/>
          </w:tcPr>
          <w:p>
            <w:pPr>
              <w:jc w:val="right"/>
              <w:ind w:right="426"/>
              <w:spacing w:after="0"/>
              <w:rPr>
                <w:sz w:val="20"/>
                <w:szCs w:val="20"/>
                <w:color w:val="auto"/>
              </w:rPr>
            </w:pPr>
            <w:r>
              <w:rPr>
                <w:rFonts w:ascii="Arial" w:cs="Arial" w:eastAsia="Arial" w:hAnsi="Arial"/>
                <w:sz w:val="18"/>
                <w:szCs w:val="18"/>
                <w:color w:val="auto"/>
              </w:rPr>
              <w:t>137</w:t>
            </w: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96"/>
              </w:rPr>
              <w:t>10.3</w:t>
            </w:r>
          </w:p>
        </w:tc>
        <w:tc>
          <w:tcPr>
            <w:tcW w:w="0" w:type="dxa"/>
            <w:vAlign w:val="bottom"/>
          </w:tcPr>
          <w:p>
            <w:pPr>
              <w:spacing w:after="0"/>
              <w:rPr>
                <w:sz w:val="1"/>
                <w:szCs w:val="1"/>
                <w:color w:val="auto"/>
              </w:rPr>
            </w:pPr>
          </w:p>
        </w:tc>
      </w:tr>
      <w:tr>
        <w:trPr>
          <w:trHeight w:val="217"/>
        </w:trPr>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788</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846</w:t>
            </w:r>
          </w:p>
        </w:tc>
        <w:tc>
          <w:tcPr>
            <w:tcW w:w="100" w:type="dxa"/>
            <w:vAlign w:val="bottom"/>
            <w:tcBorders>
              <w:bottom w:val="single" w:sz="8" w:color="E5E5E5"/>
            </w:tcBorders>
            <w:shd w:val="clear" w:color="auto" w:fill="E5E5E5"/>
          </w:tcPr>
          <w:p>
            <w:pPr>
              <w:spacing w:after="0"/>
              <w:rPr>
                <w:sz w:val="18"/>
                <w:szCs w:val="18"/>
                <w:color w:val="auto"/>
              </w:rPr>
            </w:pPr>
          </w:p>
        </w:tc>
        <w:tc>
          <w:tcPr>
            <w:tcW w:w="260" w:type="dxa"/>
            <w:vAlign w:val="bottom"/>
            <w:tcBorders>
              <w:bottom w:val="single" w:sz="8" w:color="E5E5E5"/>
            </w:tcBorders>
            <w:shd w:val="clear" w:color="auto" w:fill="E5E5E5"/>
          </w:tcPr>
          <w:p>
            <w:pPr>
              <w:spacing w:after="0"/>
              <w:rPr>
                <w:sz w:val="18"/>
                <w:szCs w:val="18"/>
                <w:color w:val="auto"/>
              </w:rPr>
            </w:pPr>
          </w:p>
        </w:tc>
        <w:tc>
          <w:tcPr>
            <w:tcW w:w="1160" w:type="dxa"/>
            <w:vAlign w:val="bottom"/>
            <w:tcBorders>
              <w:bottom w:val="single" w:sz="8" w:color="auto"/>
            </w:tcBorders>
            <w:gridSpan w:val="2"/>
            <w:shd w:val="clear" w:color="auto" w:fill="E5E5E5"/>
          </w:tcPr>
          <w:p>
            <w:pPr>
              <w:jc w:val="right"/>
              <w:ind w:right="366"/>
              <w:spacing w:after="0"/>
              <w:rPr>
                <w:sz w:val="20"/>
                <w:szCs w:val="20"/>
                <w:color w:val="auto"/>
              </w:rPr>
            </w:pPr>
            <w:r>
              <w:rPr>
                <w:rFonts w:ascii="Arial" w:cs="Arial" w:eastAsia="Arial" w:hAnsi="Arial"/>
                <w:sz w:val="18"/>
                <w:szCs w:val="18"/>
                <w:b w:val="1"/>
                <w:bCs w:val="1"/>
                <w:color w:val="auto"/>
              </w:rPr>
              <w:t>$ (58)</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351"/>
        </w:trPr>
        <w:tc>
          <w:tcPr>
            <w:tcW w:w="49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w w:val="89"/>
              </w:rPr>
              <w:t>2012</w:t>
            </w: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center"/>
              <w:ind w:left="79"/>
              <w:spacing w:after="0"/>
              <w:rPr>
                <w:sz w:val="20"/>
                <w:szCs w:val="20"/>
                <w:color w:val="auto"/>
              </w:rPr>
            </w:pPr>
            <w:r>
              <w:rPr>
                <w:rFonts w:ascii="Arial" w:cs="Arial" w:eastAsia="Arial" w:hAnsi="Arial"/>
                <w:sz w:val="14"/>
                <w:szCs w:val="14"/>
                <w:color w:val="auto"/>
                <w:w w:val="89"/>
              </w:rPr>
              <w:t>2011</w:t>
            </w: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vMerge w:val="restart"/>
          </w:tcPr>
          <w:p>
            <w:pPr>
              <w:jc w:val="right"/>
              <w:ind w:right="515"/>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3"/>
          </w:tcPr>
          <w:p>
            <w:pPr>
              <w:jc w:val="center"/>
              <w:ind w:left="206"/>
              <w:spacing w:after="0" w:line="131" w:lineRule="exact"/>
              <w:rPr>
                <w:sz w:val="20"/>
                <w:szCs w:val="20"/>
                <w:color w:val="auto"/>
              </w:rPr>
            </w:pPr>
            <w:r>
              <w:rPr>
                <w:rFonts w:ascii="Arial" w:cs="Arial" w:eastAsia="Arial" w:hAnsi="Arial"/>
                <w:sz w:val="14"/>
                <w:szCs w:val="14"/>
                <w:color w:val="auto"/>
                <w:w w:val="87"/>
              </w:rPr>
              <w:t>Pro Forma</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92"/>
              </w:rPr>
              <w:t>Actual</w:t>
            </w:r>
          </w:p>
        </w:tc>
        <w:tc>
          <w:tcPr>
            <w:tcW w:w="400" w:type="dxa"/>
            <w:vAlign w:val="bottom"/>
          </w:tcPr>
          <w:p>
            <w:pPr>
              <w:spacing w:after="0"/>
              <w:rPr>
                <w:sz w:val="13"/>
                <w:szCs w:val="13"/>
                <w:color w:val="auto"/>
              </w:rPr>
            </w:pPr>
          </w:p>
        </w:tc>
        <w:tc>
          <w:tcPr>
            <w:tcW w:w="700" w:type="dxa"/>
            <w:vAlign w:val="bottom"/>
          </w:tcPr>
          <w:p>
            <w:pPr>
              <w:jc w:val="center"/>
              <w:ind w:right="217"/>
              <w:spacing w:after="0" w:line="159" w:lineRule="exact"/>
              <w:rPr>
                <w:sz w:val="20"/>
                <w:szCs w:val="20"/>
                <w:color w:val="auto"/>
              </w:rPr>
            </w:pPr>
            <w:r>
              <w:rPr>
                <w:rFonts w:ascii="Arial" w:cs="Arial" w:eastAsia="Arial" w:hAnsi="Arial"/>
                <w:sz w:val="14"/>
                <w:szCs w:val="14"/>
                <w:color w:val="auto"/>
                <w:w w:val="92"/>
              </w:rPr>
              <w:t>Actual</w:t>
            </w:r>
          </w:p>
        </w:tc>
        <w:tc>
          <w:tcPr>
            <w:tcW w:w="200" w:type="dxa"/>
            <w:vAlign w:val="bottom"/>
          </w:tcPr>
          <w:p>
            <w:pPr>
              <w:spacing w:after="0"/>
              <w:rPr>
                <w:sz w:val="13"/>
                <w:szCs w:val="13"/>
                <w:color w:val="auto"/>
              </w:rPr>
            </w:pPr>
          </w:p>
        </w:tc>
        <w:tc>
          <w:tcPr>
            <w:tcW w:w="8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4"/>
              </w:rPr>
              <w:t>Pro Forma</w:t>
            </w:r>
          </w:p>
        </w:tc>
        <w:tc>
          <w:tcPr>
            <w:tcW w:w="1280" w:type="dxa"/>
            <w:vAlign w:val="bottom"/>
            <w:gridSpan w:val="4"/>
          </w:tcPr>
          <w:p>
            <w:pPr>
              <w:jc w:val="center"/>
              <w:spacing w:after="0" w:line="159" w:lineRule="exact"/>
              <w:rPr>
                <w:sz w:val="20"/>
                <w:szCs w:val="20"/>
                <w:color w:val="auto"/>
              </w:rPr>
            </w:pPr>
            <w:r>
              <w:rPr>
                <w:rFonts w:ascii="Arial" w:cs="Arial" w:eastAsia="Arial" w:hAnsi="Arial"/>
                <w:sz w:val="14"/>
                <w:szCs w:val="14"/>
                <w:color w:val="auto"/>
                <w:w w:val="87"/>
              </w:rPr>
              <w:t>Combined</w:t>
            </w:r>
          </w:p>
        </w:tc>
        <w:tc>
          <w:tcPr>
            <w:tcW w:w="80" w:type="dxa"/>
            <w:vAlign w:val="bottom"/>
          </w:tcPr>
          <w:p>
            <w:pPr>
              <w:spacing w:after="0"/>
              <w:rPr>
                <w:sz w:val="13"/>
                <w:szCs w:val="13"/>
                <w:color w:val="auto"/>
              </w:rPr>
            </w:pPr>
          </w:p>
        </w:tc>
        <w:tc>
          <w:tcPr>
            <w:tcW w:w="1720" w:type="dxa"/>
            <w:vAlign w:val="bottom"/>
            <w:gridSpan w:val="2"/>
          </w:tcPr>
          <w:p>
            <w:pPr>
              <w:jc w:val="right"/>
              <w:ind w:right="475"/>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980" w:type="dxa"/>
            <w:vAlign w:val="bottom"/>
            <w:tcBorders>
              <w:top w:val="single" w:sz="8" w:color="auto"/>
            </w:tcBorders>
            <w:gridSpan w:val="2"/>
          </w:tcPr>
          <w:p>
            <w:pPr>
              <w:jc w:val="center"/>
              <w:ind w:left="159"/>
              <w:spacing w:after="0" w:line="131" w:lineRule="exact"/>
              <w:rPr>
                <w:sz w:val="20"/>
                <w:szCs w:val="20"/>
                <w:color w:val="auto"/>
              </w:rPr>
            </w:pPr>
            <w:r>
              <w:rPr>
                <w:rFonts w:ascii="Arial" w:cs="Arial" w:eastAsia="Arial" w:hAnsi="Arial"/>
                <w:sz w:val="14"/>
                <w:szCs w:val="14"/>
                <w:color w:val="auto"/>
                <w:w w:val="89"/>
              </w:rPr>
              <w:t>Six Months</w:t>
            </w:r>
          </w:p>
        </w:tc>
        <w:tc>
          <w:tcPr>
            <w:tcW w:w="340" w:type="dxa"/>
            <w:vAlign w:val="bottom"/>
          </w:tcPr>
          <w:p>
            <w:pPr>
              <w:spacing w:after="0"/>
              <w:rPr>
                <w:sz w:val="11"/>
                <w:szCs w:val="11"/>
                <w:color w:val="auto"/>
              </w:rPr>
            </w:pPr>
          </w:p>
        </w:tc>
        <w:tc>
          <w:tcPr>
            <w:tcW w:w="1100" w:type="dxa"/>
            <w:vAlign w:val="bottom"/>
            <w:tcBorders>
              <w:top w:val="single" w:sz="8" w:color="auto"/>
            </w:tcBorders>
            <w:gridSpan w:val="2"/>
          </w:tcPr>
          <w:p>
            <w:pPr>
              <w:jc w:val="center"/>
              <w:ind w:left="44"/>
              <w:spacing w:after="0" w:line="131" w:lineRule="exact"/>
              <w:rPr>
                <w:sz w:val="20"/>
                <w:szCs w:val="20"/>
                <w:color w:val="auto"/>
              </w:rPr>
            </w:pPr>
            <w:r>
              <w:rPr>
                <w:rFonts w:ascii="Arial" w:cs="Arial" w:eastAsia="Arial" w:hAnsi="Arial"/>
                <w:sz w:val="14"/>
                <w:szCs w:val="14"/>
                <w:color w:val="auto"/>
                <w:w w:val="89"/>
              </w:rPr>
              <w:t>Six Months</w:t>
            </w: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left="206"/>
              <w:spacing w:after="0" w:line="131" w:lineRule="exact"/>
              <w:rPr>
                <w:sz w:val="20"/>
                <w:szCs w:val="20"/>
                <w:color w:val="auto"/>
              </w:rPr>
            </w:pPr>
            <w:r>
              <w:rPr>
                <w:rFonts w:ascii="Arial" w:cs="Arial" w:eastAsia="Arial" w:hAnsi="Arial"/>
                <w:sz w:val="14"/>
                <w:szCs w:val="14"/>
                <w:color w:val="auto"/>
                <w:w w:val="89"/>
              </w:rPr>
              <w:t>Six Months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480"/>
              <w:spacing w:after="0" w:line="146" w:lineRule="exact"/>
              <w:rPr>
                <w:sz w:val="20"/>
                <w:szCs w:val="20"/>
                <w:color w:val="auto"/>
              </w:rPr>
            </w:pPr>
            <w:r>
              <w:rPr>
                <w:rFonts w:ascii="Arial" w:cs="Arial" w:eastAsia="Arial" w:hAnsi="Arial"/>
                <w:sz w:val="14"/>
                <w:szCs w:val="14"/>
                <w:color w:val="auto"/>
                <w:w w:val="83"/>
              </w:rPr>
              <w:t>Ended</w:t>
            </w:r>
          </w:p>
        </w:tc>
        <w:tc>
          <w:tcPr>
            <w:tcW w:w="400" w:type="dxa"/>
            <w:vAlign w:val="bottom"/>
          </w:tcPr>
          <w:p>
            <w:pPr>
              <w:spacing w:after="0"/>
              <w:rPr>
                <w:sz w:val="12"/>
                <w:szCs w:val="12"/>
                <w:color w:val="auto"/>
              </w:rPr>
            </w:pPr>
          </w:p>
        </w:tc>
        <w:tc>
          <w:tcPr>
            <w:tcW w:w="700" w:type="dxa"/>
            <w:vAlign w:val="bottom"/>
          </w:tcPr>
          <w:p>
            <w:pPr>
              <w:jc w:val="center"/>
              <w:ind w:right="197"/>
              <w:spacing w:after="0" w:line="146" w:lineRule="exact"/>
              <w:rPr>
                <w:sz w:val="20"/>
                <w:szCs w:val="20"/>
                <w:color w:val="auto"/>
              </w:rPr>
            </w:pPr>
            <w:r>
              <w:rPr>
                <w:rFonts w:ascii="Arial" w:cs="Arial" w:eastAsia="Arial" w:hAnsi="Arial"/>
                <w:sz w:val="14"/>
                <w:szCs w:val="14"/>
                <w:color w:val="auto"/>
                <w:w w:val="83"/>
              </w:rPr>
              <w:t>Ended</w:t>
            </w:r>
          </w:p>
        </w:tc>
        <w:tc>
          <w:tcPr>
            <w:tcW w:w="1000" w:type="dxa"/>
            <w:vAlign w:val="bottom"/>
            <w:gridSpan w:val="3"/>
          </w:tcPr>
          <w:p>
            <w:pPr>
              <w:jc w:val="center"/>
              <w:ind w:left="79"/>
              <w:spacing w:after="0" w:line="146" w:lineRule="exact"/>
              <w:rPr>
                <w:sz w:val="20"/>
                <w:szCs w:val="20"/>
                <w:color w:val="auto"/>
              </w:rPr>
            </w:pPr>
            <w:r>
              <w:rPr>
                <w:rFonts w:ascii="Arial" w:cs="Arial" w:eastAsia="Arial" w:hAnsi="Arial"/>
                <w:sz w:val="14"/>
                <w:szCs w:val="14"/>
                <w:color w:val="auto"/>
                <w:w w:val="90"/>
              </w:rPr>
              <w:t>NBCUniversal</w:t>
            </w:r>
          </w:p>
        </w:tc>
        <w:tc>
          <w:tcPr>
            <w:tcW w:w="460" w:type="dxa"/>
            <w:vAlign w:val="bottom"/>
          </w:tcPr>
          <w:p>
            <w:pPr>
              <w:spacing w:after="0"/>
              <w:rPr>
                <w:sz w:val="12"/>
                <w:szCs w:val="12"/>
                <w:color w:val="auto"/>
              </w:rPr>
            </w:pPr>
          </w:p>
        </w:tc>
        <w:tc>
          <w:tcPr>
            <w:tcW w:w="820" w:type="dxa"/>
            <w:vAlign w:val="bottom"/>
            <w:gridSpan w:val="3"/>
          </w:tcPr>
          <w:p>
            <w:pPr>
              <w:jc w:val="center"/>
              <w:ind w:right="440"/>
              <w:spacing w:after="0" w:line="146" w:lineRule="exact"/>
              <w:rPr>
                <w:sz w:val="20"/>
                <w:szCs w:val="20"/>
                <w:color w:val="auto"/>
              </w:rPr>
            </w:pPr>
            <w:r>
              <w:rPr>
                <w:rFonts w:ascii="Arial" w:cs="Arial" w:eastAsia="Arial" w:hAnsi="Arial"/>
                <w:sz w:val="14"/>
                <w:szCs w:val="14"/>
                <w:color w:val="auto"/>
                <w:w w:val="83"/>
              </w:rPr>
              <w:t>Ended</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920" w:type="dxa"/>
            <w:vAlign w:val="bottom"/>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5"/>
                <w:szCs w:val="15"/>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color w:val="auto"/>
                <w:w w:val="84"/>
              </w:rPr>
              <w:t>June 30</w:t>
            </w:r>
          </w:p>
        </w:tc>
        <w:tc>
          <w:tcPr>
            <w:tcW w:w="1100" w:type="dxa"/>
            <w:vAlign w:val="bottom"/>
            <w:gridSpan w:val="2"/>
          </w:tcPr>
          <w:p>
            <w:pPr>
              <w:jc w:val="center"/>
              <w:ind w:left="44"/>
              <w:spacing w:after="0" w:line="176" w:lineRule="exact"/>
              <w:rPr>
                <w:sz w:val="20"/>
                <w:szCs w:val="20"/>
                <w:color w:val="auto"/>
              </w:rPr>
            </w:pPr>
            <w:r>
              <w:rPr>
                <w:rFonts w:ascii="Arial" w:cs="Arial" w:eastAsia="Arial" w:hAnsi="Arial"/>
                <w:sz w:val="13"/>
                <w:szCs w:val="13"/>
                <w:color w:val="auto"/>
                <w:w w:val="86"/>
              </w:rPr>
              <w:t>June 30</w:t>
            </w:r>
            <w:r>
              <w:rPr>
                <w:rFonts w:ascii="Arial" w:cs="Arial" w:eastAsia="Arial" w:hAnsi="Arial"/>
                <w:sz w:val="20"/>
                <w:szCs w:val="20"/>
                <w:color w:val="auto"/>
                <w:w w:val="86"/>
                <w:vertAlign w:val="superscript"/>
              </w:rPr>
              <w:t>(a)</w:t>
            </w:r>
          </w:p>
        </w:tc>
        <w:tc>
          <w:tcPr>
            <w:tcW w:w="200" w:type="dxa"/>
            <w:vAlign w:val="bottom"/>
          </w:tcPr>
          <w:p>
            <w:pPr>
              <w:spacing w:after="0"/>
              <w:rPr>
                <w:sz w:val="15"/>
                <w:szCs w:val="15"/>
                <w:color w:val="auto"/>
              </w:rPr>
            </w:pPr>
          </w:p>
        </w:tc>
        <w:tc>
          <w:tcPr>
            <w:tcW w:w="800" w:type="dxa"/>
            <w:vAlign w:val="bottom"/>
            <w:gridSpan w:val="2"/>
          </w:tcPr>
          <w:p>
            <w:pPr>
              <w:jc w:val="center"/>
              <w:spacing w:after="0" w:line="176" w:lineRule="exact"/>
              <w:rPr>
                <w:sz w:val="20"/>
                <w:szCs w:val="20"/>
                <w:color w:val="auto"/>
              </w:rPr>
            </w:pPr>
            <w:r>
              <w:rPr>
                <w:rFonts w:ascii="Arial" w:cs="Arial" w:eastAsia="Arial" w:hAnsi="Arial"/>
                <w:sz w:val="13"/>
                <w:szCs w:val="13"/>
                <w:color w:val="auto"/>
                <w:w w:val="86"/>
              </w:rPr>
              <w:t>Businesses</w:t>
            </w:r>
            <w:r>
              <w:rPr>
                <w:rFonts w:ascii="Arial" w:cs="Arial" w:eastAsia="Arial" w:hAnsi="Arial"/>
                <w:sz w:val="20"/>
                <w:szCs w:val="20"/>
                <w:color w:val="auto"/>
                <w:w w:val="86"/>
                <w:vertAlign w:val="superscript"/>
              </w:rPr>
              <w:t>(b)</w:t>
            </w:r>
          </w:p>
        </w:tc>
        <w:tc>
          <w:tcPr>
            <w:tcW w:w="1280" w:type="dxa"/>
            <w:vAlign w:val="bottom"/>
            <w:gridSpan w:val="4"/>
          </w:tcPr>
          <w:p>
            <w:pPr>
              <w:jc w:val="center"/>
              <w:spacing w:after="0"/>
              <w:rPr>
                <w:sz w:val="20"/>
                <w:szCs w:val="20"/>
                <w:color w:val="auto"/>
              </w:rPr>
            </w:pPr>
            <w:r>
              <w:rPr>
                <w:rFonts w:ascii="Arial" w:cs="Arial" w:eastAsia="Arial" w:hAnsi="Arial"/>
                <w:sz w:val="14"/>
                <w:szCs w:val="14"/>
                <w:color w:val="auto"/>
                <w:w w:val="84"/>
              </w:rPr>
              <w:t>June 30</w:t>
            </w:r>
          </w:p>
        </w:tc>
        <w:tc>
          <w:tcPr>
            <w:tcW w:w="1160" w:type="dxa"/>
            <w:vAlign w:val="bottom"/>
            <w:gridSpan w:val="2"/>
          </w:tcPr>
          <w:p>
            <w:pPr>
              <w:jc w:val="right"/>
              <w:ind w:right="486"/>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E5E5E5"/>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E5E5E5"/>
            </w:tcBorders>
            <w:shd w:val="clear" w:color="auto" w:fill="E5E5E5"/>
          </w:tcPr>
          <w:p>
            <w:pPr>
              <w:spacing w:after="0"/>
              <w:rPr>
                <w:sz w:val="18"/>
                <w:szCs w:val="18"/>
                <w:color w:val="auto"/>
              </w:rPr>
            </w:pPr>
          </w:p>
        </w:tc>
        <w:tc>
          <w:tcPr>
            <w:tcW w:w="80" w:type="dxa"/>
            <w:vAlign w:val="bottom"/>
            <w:tcBorders>
              <w:top w:val="single" w:sz="8" w:color="E5E5E5"/>
            </w:tcBorders>
            <w:shd w:val="clear" w:color="auto" w:fill="E5E5E5"/>
          </w:tcPr>
          <w:p>
            <w:pPr>
              <w:spacing w:after="0"/>
              <w:rPr>
                <w:sz w:val="18"/>
                <w:szCs w:val="18"/>
                <w:color w:val="auto"/>
              </w:rPr>
            </w:pPr>
          </w:p>
        </w:tc>
        <w:tc>
          <w:tcPr>
            <w:tcW w:w="10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Distribution</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2,310</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7"/>
              <w:spacing w:after="0"/>
              <w:rPr>
                <w:sz w:val="20"/>
                <w:szCs w:val="20"/>
                <w:color w:val="auto"/>
              </w:rPr>
            </w:pPr>
            <w:r>
              <w:rPr>
                <w:rFonts w:ascii="Arial" w:cs="Arial" w:eastAsia="Arial" w:hAnsi="Arial"/>
                <w:sz w:val="18"/>
                <w:szCs w:val="18"/>
                <w:color w:val="auto"/>
              </w:rPr>
              <w:t>2,006</w:t>
            </w:r>
          </w:p>
        </w:tc>
        <w:tc>
          <w:tcPr>
            <w:tcW w:w="600" w:type="dxa"/>
            <w:vAlign w:val="bottom"/>
            <w:gridSpan w:val="2"/>
          </w:tcPr>
          <w:p>
            <w:pPr>
              <w:jc w:val="right"/>
              <w:ind w:right="27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2,194</w:t>
            </w:r>
          </w:p>
        </w:tc>
        <w:tc>
          <w:tcPr>
            <w:tcW w:w="260" w:type="dxa"/>
            <w:vAlign w:val="bottom"/>
          </w:tcPr>
          <w:p>
            <w:pPr>
              <w:spacing w:after="0"/>
              <w:rPr>
                <w:sz w:val="18"/>
                <w:szCs w:val="18"/>
                <w:color w:val="auto"/>
              </w:rPr>
            </w:pPr>
          </w:p>
        </w:tc>
        <w:tc>
          <w:tcPr>
            <w:tcW w:w="1160" w:type="dxa"/>
            <w:vAlign w:val="bottom"/>
            <w:gridSpan w:val="2"/>
          </w:tcPr>
          <w:p>
            <w:pPr>
              <w:jc w:val="right"/>
              <w:ind w:right="346"/>
              <w:spacing w:after="0"/>
              <w:rPr>
                <w:sz w:val="20"/>
                <w:szCs w:val="20"/>
                <w:color w:val="auto"/>
              </w:rPr>
            </w:pPr>
            <w:r>
              <w:rPr>
                <w:rFonts w:ascii="Arial" w:cs="Arial" w:eastAsia="Arial" w:hAnsi="Arial"/>
                <w:sz w:val="18"/>
                <w:szCs w:val="18"/>
                <w:color w:val="auto"/>
              </w:rPr>
              <w:t>$ 116</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16"/>
        </w:trPr>
        <w:tc>
          <w:tcPr>
            <w:tcW w:w="4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1,738</w:t>
            </w:r>
          </w:p>
        </w:tc>
        <w:tc>
          <w:tcPr>
            <w:tcW w:w="3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1,494</w:t>
            </w:r>
          </w:p>
        </w:tc>
        <w:tc>
          <w:tcPr>
            <w:tcW w:w="2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162</w:t>
            </w:r>
          </w:p>
        </w:tc>
        <w:tc>
          <w:tcPr>
            <w:tcW w:w="460" w:type="dxa"/>
            <w:vAlign w:val="bottom"/>
            <w:shd w:val="clear" w:color="auto" w:fill="E5E5E5"/>
          </w:tcPr>
          <w:p>
            <w:pPr>
              <w:spacing w:after="0"/>
              <w:rPr>
                <w:sz w:val="18"/>
                <w:szCs w:val="18"/>
                <w:color w:val="auto"/>
              </w:rPr>
            </w:pPr>
          </w:p>
        </w:tc>
        <w:tc>
          <w:tcPr>
            <w:tcW w:w="5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1,656</w:t>
            </w:r>
          </w:p>
        </w:tc>
        <w:tc>
          <w:tcPr>
            <w:tcW w:w="260" w:type="dxa"/>
            <w:vAlign w:val="bottom"/>
            <w:shd w:val="clear" w:color="auto" w:fill="E5E5E5"/>
          </w:tcPr>
          <w:p>
            <w:pPr>
              <w:spacing w:after="0"/>
              <w:rPr>
                <w:sz w:val="18"/>
                <w:szCs w:val="18"/>
                <w:color w:val="auto"/>
              </w:rPr>
            </w:pPr>
          </w:p>
        </w:tc>
        <w:tc>
          <w:tcPr>
            <w:tcW w:w="1160" w:type="dxa"/>
            <w:vAlign w:val="bottom"/>
            <w:gridSpan w:val="2"/>
            <w:shd w:val="clear" w:color="auto" w:fill="E5E5E5"/>
          </w:tcPr>
          <w:p>
            <w:pPr>
              <w:jc w:val="right"/>
              <w:ind w:right="346"/>
              <w:spacing w:after="0"/>
              <w:rPr>
                <w:sz w:val="20"/>
                <w:szCs w:val="20"/>
                <w:color w:val="auto"/>
              </w:rPr>
            </w:pPr>
            <w:r>
              <w:rPr>
                <w:rFonts w:ascii="Arial" w:cs="Arial" w:eastAsia="Arial" w:hAnsi="Arial"/>
                <w:sz w:val="18"/>
                <w:szCs w:val="18"/>
                <w:color w:val="auto"/>
              </w:rPr>
              <w:t>82</w:t>
            </w:r>
          </w:p>
        </w:tc>
        <w:tc>
          <w:tcPr>
            <w:tcW w:w="64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Content licensing and other</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ind w:right="97"/>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260" w:type="dxa"/>
            <w:vAlign w:val="bottom"/>
          </w:tcPr>
          <w:p>
            <w:pPr>
              <w:spacing w:after="0"/>
              <w:rPr>
                <w:sz w:val="18"/>
                <w:szCs w:val="18"/>
                <w:color w:val="auto"/>
              </w:rPr>
            </w:pPr>
          </w:p>
        </w:tc>
        <w:tc>
          <w:tcPr>
            <w:tcW w:w="1160" w:type="dxa"/>
            <w:vAlign w:val="bottom"/>
            <w:gridSpan w:val="2"/>
          </w:tcPr>
          <w:p>
            <w:pPr>
              <w:jc w:val="right"/>
              <w:ind w:right="286"/>
              <w:spacing w:after="0"/>
              <w:rPr>
                <w:sz w:val="20"/>
                <w:szCs w:val="20"/>
                <w:color w:val="auto"/>
              </w:rPr>
            </w:pPr>
            <w:r>
              <w:rPr>
                <w:rFonts w:ascii="Arial" w:cs="Arial" w:eastAsia="Arial" w:hAnsi="Arial"/>
                <w:sz w:val="18"/>
                <w:szCs w:val="18"/>
                <w:color w:val="auto"/>
              </w:rPr>
              <w:t>(1)</w:t>
            </w: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4,390</w:t>
            </w:r>
          </w:p>
        </w:tc>
        <w:tc>
          <w:tcPr>
            <w:tcW w:w="340" w:type="dxa"/>
            <w:vAlign w:val="bottom"/>
            <w:tcBorders>
              <w:top w:val="single" w:sz="8" w:color="E5E5E5"/>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3,805</w:t>
            </w:r>
          </w:p>
        </w:tc>
        <w:tc>
          <w:tcPr>
            <w:tcW w:w="20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388</w:t>
            </w:r>
          </w:p>
        </w:tc>
        <w:tc>
          <w:tcPr>
            <w:tcW w:w="46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4,193</w:t>
            </w:r>
          </w:p>
        </w:tc>
        <w:tc>
          <w:tcPr>
            <w:tcW w:w="260" w:type="dxa"/>
            <w:vAlign w:val="bottom"/>
            <w:tcBorders>
              <w:top w:val="single" w:sz="8" w:color="E5E5E5"/>
            </w:tcBorders>
            <w:shd w:val="clear" w:color="auto" w:fill="E5E5E5"/>
          </w:tcPr>
          <w:p>
            <w:pPr>
              <w:spacing w:after="0"/>
              <w:rPr>
                <w:sz w:val="18"/>
                <w:szCs w:val="18"/>
                <w:color w:val="auto"/>
              </w:rPr>
            </w:pPr>
          </w:p>
        </w:tc>
        <w:tc>
          <w:tcPr>
            <w:tcW w:w="80" w:type="dxa"/>
            <w:vAlign w:val="bottom"/>
            <w:tcBorders>
              <w:top w:val="single" w:sz="8" w:color="E5E5E5"/>
            </w:tcBorders>
            <w:shd w:val="clear" w:color="auto" w:fill="E5E5E5"/>
          </w:tcPr>
          <w:p>
            <w:pPr>
              <w:spacing w:after="0"/>
              <w:rPr>
                <w:sz w:val="18"/>
                <w:szCs w:val="18"/>
                <w:color w:val="auto"/>
              </w:rPr>
            </w:pPr>
          </w:p>
        </w:tc>
        <w:tc>
          <w:tcPr>
            <w:tcW w:w="1080" w:type="dxa"/>
            <w:vAlign w:val="bottom"/>
            <w:tcBorders>
              <w:top w:val="single" w:sz="8" w:color="auto"/>
            </w:tcBorders>
            <w:shd w:val="clear" w:color="auto" w:fill="E5E5E5"/>
          </w:tcPr>
          <w:p>
            <w:pPr>
              <w:jc w:val="right"/>
              <w:ind w:right="346"/>
              <w:spacing w:after="0"/>
              <w:rPr>
                <w:sz w:val="20"/>
                <w:szCs w:val="20"/>
                <w:color w:val="auto"/>
              </w:rPr>
            </w:pPr>
            <w:r>
              <w:rPr>
                <w:rFonts w:ascii="Arial" w:cs="Arial" w:eastAsia="Arial" w:hAnsi="Arial"/>
                <w:sz w:val="18"/>
                <w:szCs w:val="18"/>
                <w:color w:val="auto"/>
              </w:rPr>
              <w:t>197</w:t>
            </w:r>
          </w:p>
        </w:tc>
        <w:tc>
          <w:tcPr>
            <w:tcW w:w="640" w:type="dxa"/>
            <w:vAlign w:val="bottom"/>
            <w:tcBorders>
              <w:top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2,797</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ind w:right="97"/>
              <w:spacing w:after="0"/>
              <w:rPr>
                <w:sz w:val="20"/>
                <w:szCs w:val="20"/>
                <w:color w:val="auto"/>
              </w:rPr>
            </w:pPr>
            <w:r>
              <w:rPr>
                <w:rFonts w:ascii="Arial" w:cs="Arial" w:eastAsia="Arial" w:hAnsi="Arial"/>
                <w:sz w:val="18"/>
                <w:szCs w:val="18"/>
                <w:color w:val="auto"/>
              </w:rPr>
              <w:t>2,294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236</w:t>
            </w:r>
          </w:p>
        </w:tc>
        <w:tc>
          <w:tcPr>
            <w:tcW w:w="4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2,530</w:t>
            </w:r>
          </w:p>
        </w:tc>
        <w:tc>
          <w:tcPr>
            <w:tcW w:w="260" w:type="dxa"/>
            <w:vAlign w:val="bottom"/>
          </w:tcPr>
          <w:p>
            <w:pPr>
              <w:spacing w:after="0"/>
              <w:rPr>
                <w:sz w:val="18"/>
                <w:szCs w:val="18"/>
                <w:color w:val="auto"/>
              </w:rPr>
            </w:pPr>
          </w:p>
        </w:tc>
        <w:tc>
          <w:tcPr>
            <w:tcW w:w="1160" w:type="dxa"/>
            <w:vAlign w:val="bottom"/>
            <w:gridSpan w:val="2"/>
          </w:tcPr>
          <w:p>
            <w:pPr>
              <w:jc w:val="right"/>
              <w:ind w:right="346"/>
              <w:spacing w:after="0"/>
              <w:rPr>
                <w:sz w:val="20"/>
                <w:szCs w:val="20"/>
                <w:color w:val="auto"/>
              </w:rPr>
            </w:pPr>
            <w:r>
              <w:rPr>
                <w:rFonts w:ascii="Arial" w:cs="Arial" w:eastAsia="Arial" w:hAnsi="Arial"/>
                <w:sz w:val="18"/>
                <w:szCs w:val="18"/>
                <w:color w:val="auto"/>
              </w:rPr>
              <w:t>267</w:t>
            </w:r>
          </w:p>
        </w:tc>
        <w:tc>
          <w:tcPr>
            <w:tcW w:w="640" w:type="dxa"/>
            <w:vAlign w:val="bottom"/>
          </w:tcPr>
          <w:p>
            <w:pPr>
              <w:jc w:val="right"/>
              <w:ind w:right="195"/>
              <w:spacing w:after="0"/>
              <w:rPr>
                <w:sz w:val="20"/>
                <w:szCs w:val="20"/>
                <w:color w:val="auto"/>
              </w:rPr>
            </w:pPr>
            <w:r>
              <w:rPr>
                <w:rFonts w:ascii="Arial" w:cs="Arial" w:eastAsia="Arial" w:hAnsi="Arial"/>
                <w:sz w:val="18"/>
                <w:szCs w:val="18"/>
                <w:color w:val="auto"/>
                <w:w w:val="96"/>
              </w:rPr>
              <w:t>10.5</w:t>
            </w:r>
          </w:p>
        </w:tc>
        <w:tc>
          <w:tcPr>
            <w:tcW w:w="0" w:type="dxa"/>
            <w:vAlign w:val="bottom"/>
          </w:tcPr>
          <w:p>
            <w:pPr>
              <w:spacing w:after="0"/>
              <w:rPr>
                <w:sz w:val="1"/>
                <w:szCs w:val="1"/>
                <w:color w:val="auto"/>
              </w:rPr>
            </w:pPr>
          </w:p>
        </w:tc>
      </w:tr>
      <w:tr>
        <w:trPr>
          <w:trHeight w:val="217"/>
        </w:trPr>
        <w:tc>
          <w:tcPr>
            <w:tcW w:w="492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1,593</w:t>
            </w:r>
          </w:p>
        </w:tc>
        <w:tc>
          <w:tcPr>
            <w:tcW w:w="340" w:type="dxa"/>
            <w:vAlign w:val="bottom"/>
            <w:tcBorders>
              <w:top w:val="single" w:sz="8" w:color="E5E5E5"/>
              <w:bottom w:val="single" w:sz="8" w:color="E5E5E5"/>
            </w:tcBorders>
            <w:shd w:val="clear" w:color="auto" w:fill="E5E5E5"/>
          </w:tcPr>
          <w:p>
            <w:pPr>
              <w:spacing w:after="0"/>
              <w:rPr>
                <w:sz w:val="18"/>
                <w:szCs w:val="18"/>
                <w:color w:val="auto"/>
              </w:rPr>
            </w:pPr>
          </w:p>
        </w:tc>
        <w:tc>
          <w:tcPr>
            <w:tcW w:w="4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b w:val="1"/>
                <w:bCs w:val="1"/>
                <w:color w:val="auto"/>
              </w:rPr>
              <w:t>1,511</w:t>
            </w:r>
          </w:p>
        </w:tc>
        <w:tc>
          <w:tcPr>
            <w:tcW w:w="600" w:type="dxa"/>
            <w:vAlign w:val="bottom"/>
            <w:tcBorders>
              <w:top w:val="single" w:sz="8" w:color="auto"/>
              <w:bottom w:val="single" w:sz="8" w:color="auto"/>
            </w:tcBorders>
            <w:gridSpan w:val="2"/>
            <w:shd w:val="clear" w:color="auto" w:fill="E5E5E5"/>
          </w:tcPr>
          <w:p>
            <w:pPr>
              <w:jc w:val="right"/>
              <w:ind w:right="275"/>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152</w:t>
            </w:r>
          </w:p>
        </w:tc>
        <w:tc>
          <w:tcPr>
            <w:tcW w:w="4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1,663</w:t>
            </w:r>
          </w:p>
        </w:tc>
        <w:tc>
          <w:tcPr>
            <w:tcW w:w="260" w:type="dxa"/>
            <w:vAlign w:val="bottom"/>
            <w:tcBorders>
              <w:top w:val="single" w:sz="8" w:color="E5E5E5"/>
              <w:bottom w:val="single" w:sz="8" w:color="E5E5E5"/>
            </w:tcBorders>
            <w:shd w:val="clear" w:color="auto" w:fill="E5E5E5"/>
          </w:tcPr>
          <w:p>
            <w:pPr>
              <w:spacing w:after="0"/>
              <w:rPr>
                <w:sz w:val="18"/>
                <w:szCs w:val="18"/>
                <w:color w:val="auto"/>
              </w:rPr>
            </w:pPr>
          </w:p>
        </w:tc>
        <w:tc>
          <w:tcPr>
            <w:tcW w:w="80" w:type="dxa"/>
            <w:vAlign w:val="bottom"/>
            <w:tcBorders>
              <w:top w:val="single" w:sz="8" w:color="E5E5E5"/>
              <w:bottom w:val="single" w:sz="8" w:color="E5E5E5"/>
            </w:tcBorders>
            <w:shd w:val="clear" w:color="auto" w:fill="E5E5E5"/>
          </w:tcPr>
          <w:p>
            <w:pPr>
              <w:spacing w:after="0"/>
              <w:rPr>
                <w:sz w:val="18"/>
                <w:szCs w:val="18"/>
                <w:color w:val="auto"/>
              </w:rPr>
            </w:pPr>
          </w:p>
        </w:tc>
        <w:tc>
          <w:tcPr>
            <w:tcW w:w="1080" w:type="dxa"/>
            <w:vAlign w:val="bottom"/>
            <w:tcBorders>
              <w:top w:val="single" w:sz="8" w:color="auto"/>
              <w:bottom w:val="single" w:sz="8" w:color="auto"/>
            </w:tcBorders>
            <w:shd w:val="clear" w:color="auto" w:fill="E5E5E5"/>
          </w:tcPr>
          <w:p>
            <w:pPr>
              <w:jc w:val="right"/>
              <w:ind w:right="286"/>
              <w:spacing w:after="0"/>
              <w:rPr>
                <w:sz w:val="20"/>
                <w:szCs w:val="20"/>
                <w:color w:val="auto"/>
              </w:rPr>
            </w:pPr>
            <w:r>
              <w:rPr>
                <w:rFonts w:ascii="Arial" w:cs="Arial" w:eastAsia="Arial" w:hAnsi="Arial"/>
                <w:sz w:val="18"/>
                <w:szCs w:val="18"/>
                <w:b w:val="1"/>
                <w:bCs w:val="1"/>
                <w:color w:val="auto"/>
              </w:rPr>
              <w:t>$ (70)</w:t>
            </w:r>
          </w:p>
        </w:tc>
        <w:tc>
          <w:tcPr>
            <w:tcW w:w="6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20" w:hanging="332"/>
        <w:spacing w:after="0" w:line="239"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Comcast Content Business for the three and six months ended June 30, 2011, and the results of operations for the NBCUniversal acquired businesses for the period January 29, 2011 through June 30, 2011.</w:t>
      </w:r>
    </w:p>
    <w:p>
      <w:pPr>
        <w:spacing w:after="0" w:line="4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for the period January 1, 2011 through January 28, 2011 and other pro forma adjustments that include the effects of acquisition accounting and the elimination of operating costs and expenses directly related to the transaction.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 Segment—Revenue</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Networks revenue increased for the three and six months ended June 30, 2012 compared to the same periods in 2011 primarily due to increases in distribution and advertising revenue. The increase in distribution revenue was primarily due to rate increases, and the increase in advertising revenue was primarily due to increases in the price and volume of advertising units sold, which were partially offset by the impact of audience ratings declines. In addition, content licensing revenue decreased for the three months ended June 30, 2012 compared to the same period in 2011 primarily due to the impact of licensing arrangements that were entered into in the prior year.</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both the three and six months ended June 30, 2012, 13% of our total Cable Networks segment revenue was generated from our Cable Communications segment. For the three and six months ended June 30, 2011, 12% and 13%, respectively, of our total Cable Networks segment revenue and pro forma combined revenue was generated from our Cable Communications segment. These amounts are eliminated in our condensed consolidated financial statements but are included in the amounts presented above.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 Segment—Operating Costs and Expenses</w:t>
      </w:r>
    </w:p>
    <w:p>
      <w:pPr>
        <w:spacing w:after="0" w:line="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operating costs and expenses increased for the three and six months ended June 30, 2012 compared to the same periods in 2011 primarily due to higher programming and production expenses resulting from our continuing investment in original programming and an increase in sports rights costs.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Segment—Actual and Pro Forma Results of Operations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2"/>
              </w:rPr>
              <w:t>Actual</w:t>
            </w: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jc w:val="center"/>
              <w:ind w:right="28"/>
              <w:spacing w:after="0" w:line="131" w:lineRule="exact"/>
              <w:rPr>
                <w:sz w:val="20"/>
                <w:szCs w:val="20"/>
                <w:color w:val="auto"/>
              </w:rPr>
            </w:pPr>
            <w:r>
              <w:rPr>
                <w:rFonts w:ascii="Arial" w:cs="Arial" w:eastAsia="Arial" w:hAnsi="Arial"/>
                <w:sz w:val="14"/>
                <w:szCs w:val="14"/>
                <w:color w:val="auto"/>
                <w:w w:val="87"/>
              </w:rPr>
              <w:t>Three</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jc w:val="center"/>
              <w:ind w:left="202"/>
              <w:spacing w:after="0" w:line="149" w:lineRule="exact"/>
              <w:rPr>
                <w:sz w:val="20"/>
                <w:szCs w:val="20"/>
                <w:color w:val="auto"/>
              </w:rPr>
            </w:pPr>
            <w:r>
              <w:rPr>
                <w:rFonts w:ascii="Arial" w:cs="Arial" w:eastAsia="Arial" w:hAnsi="Arial"/>
                <w:sz w:val="14"/>
                <w:szCs w:val="14"/>
                <w:color w:val="auto"/>
                <w:w w:val="91"/>
              </w:rPr>
              <w:t>Months</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83"/>
              </w:rPr>
              <w:t>Ended</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center"/>
              <w:ind w:left="220"/>
              <w:spacing w:after="0" w:line="149" w:lineRule="exact"/>
              <w:rPr>
                <w:sz w:val="20"/>
                <w:szCs w:val="20"/>
                <w:color w:val="auto"/>
              </w:rPr>
            </w:pPr>
            <w:r>
              <w:rPr>
                <w:rFonts w:ascii="Arial" w:cs="Arial" w:eastAsia="Arial" w:hAnsi="Arial"/>
                <w:sz w:val="14"/>
                <w:szCs w:val="14"/>
                <w:color w:val="auto"/>
                <w:w w:val="86"/>
              </w:rPr>
              <w:t>Increase/</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202"/>
              <w:spacing w:after="0"/>
              <w:rPr>
                <w:sz w:val="20"/>
                <w:szCs w:val="20"/>
                <w:color w:val="auto"/>
              </w:rPr>
            </w:pPr>
            <w:r>
              <w:rPr>
                <w:rFonts w:ascii="Arial" w:cs="Arial" w:eastAsia="Arial" w:hAnsi="Arial"/>
                <w:sz w:val="14"/>
                <w:szCs w:val="14"/>
                <w:color w:val="auto"/>
                <w:w w:val="84"/>
              </w:rPr>
              <w:t>June 30</w:t>
            </w: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55"/>
              <w:spacing w:after="0"/>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3"/>
        </w:trPr>
        <w:tc>
          <w:tcPr>
            <w:tcW w:w="36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43" w:lineRule="exact"/>
              <w:rPr>
                <w:sz w:val="20"/>
                <w:szCs w:val="20"/>
                <w:color w:val="auto"/>
              </w:rPr>
            </w:pPr>
            <w:r>
              <w:rPr>
                <w:rFonts w:ascii="Arial" w:cs="Arial" w:eastAsia="Arial" w:hAnsi="Arial"/>
                <w:sz w:val="14"/>
                <w:szCs w:val="14"/>
                <w:color w:val="auto"/>
                <w:w w:val="83"/>
              </w:rPr>
              <w:t>2012</w:t>
            </w:r>
          </w:p>
        </w:tc>
        <w:tc>
          <w:tcPr>
            <w:tcW w:w="92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1"/>
                <w:szCs w:val="11"/>
                <w:color w:val="auto"/>
              </w:rPr>
              <w:t>2011</w:t>
            </w:r>
            <w:r>
              <w:rPr>
                <w:rFonts w:ascii="Arial" w:cs="Arial" w:eastAsia="Arial" w:hAnsi="Arial"/>
                <w:sz w:val="16"/>
                <w:szCs w:val="16"/>
                <w:color w:val="auto"/>
                <w:vertAlign w:val="superscript"/>
              </w:rPr>
              <w:t>(a)</w:t>
            </w:r>
          </w:p>
        </w:tc>
        <w:tc>
          <w:tcPr>
            <w:tcW w:w="340" w:type="dxa"/>
            <w:vAlign w:val="bottom"/>
            <w:tcBorders>
              <w:bottom w:val="single" w:sz="8" w:color="E5E5E5"/>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60"/>
              <w:spacing w:after="0" w:line="143"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ind w:lef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$ 1,113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1,114</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0"/>
              <w:spacing w:after="0"/>
              <w:rPr>
                <w:sz w:val="20"/>
                <w:szCs w:val="20"/>
                <w:color w:val="auto"/>
              </w:rPr>
            </w:pPr>
            <w:r>
              <w:rPr>
                <w:rFonts w:ascii="Arial" w:cs="Arial" w:eastAsia="Arial" w:hAnsi="Arial"/>
                <w:sz w:val="18"/>
                <w:szCs w:val="18"/>
                <w:color w:val="auto"/>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6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331</w:t>
            </w:r>
          </w:p>
        </w:tc>
        <w:tc>
          <w:tcPr>
            <w:tcW w:w="46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462</w:t>
            </w:r>
          </w:p>
        </w:tc>
        <w:tc>
          <w:tcPr>
            <w:tcW w:w="3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20"/>
              <w:spacing w:after="0"/>
              <w:rPr>
                <w:sz w:val="20"/>
                <w:szCs w:val="20"/>
                <w:color w:val="auto"/>
              </w:rPr>
            </w:pPr>
            <w:r>
              <w:rPr>
                <w:rFonts w:ascii="Arial" w:cs="Arial" w:eastAsia="Arial" w:hAnsi="Arial"/>
                <w:sz w:val="18"/>
                <w:szCs w:val="18"/>
                <w:color w:val="auto"/>
                <w:w w:val="90"/>
              </w:rPr>
              <w:t>(131)</w:t>
            </w:r>
          </w:p>
        </w:tc>
        <w:tc>
          <w:tcPr>
            <w:tcW w:w="6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w w:val="89"/>
              </w:rPr>
              <w:t>(28.4)</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Borders>
              <w:bottom w:val="single" w:sz="8" w:color="E5E5E5"/>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8"/>
                <w:szCs w:val="18"/>
                <w:color w:val="auto"/>
              </w:rPr>
              <w:t>(23)</w:t>
            </w: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89"/>
              </w:rPr>
              <w:t>(18.1)</w:t>
            </w:r>
          </w:p>
        </w:tc>
        <w:tc>
          <w:tcPr>
            <w:tcW w:w="0" w:type="dxa"/>
            <w:vAlign w:val="bottom"/>
          </w:tcPr>
          <w:p>
            <w:pPr>
              <w:spacing w:after="0"/>
              <w:rPr>
                <w:sz w:val="1"/>
                <w:szCs w:val="1"/>
                <w:color w:val="auto"/>
              </w:rPr>
            </w:pPr>
          </w:p>
        </w:tc>
      </w:tr>
      <w:tr>
        <w:trPr>
          <w:trHeight w:val="210"/>
        </w:trPr>
        <w:tc>
          <w:tcPr>
            <w:tcW w:w="3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1,540</w:t>
            </w:r>
          </w:p>
        </w:tc>
        <w:tc>
          <w:tcPr>
            <w:tcW w:w="46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1,695</w:t>
            </w:r>
          </w:p>
        </w:tc>
        <w:tc>
          <w:tcPr>
            <w:tcW w:w="3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20"/>
              <w:spacing w:after="0"/>
              <w:rPr>
                <w:sz w:val="20"/>
                <w:szCs w:val="20"/>
                <w:color w:val="auto"/>
              </w:rPr>
            </w:pPr>
            <w:r>
              <w:rPr>
                <w:rFonts w:ascii="Arial" w:cs="Arial" w:eastAsia="Arial" w:hAnsi="Arial"/>
                <w:sz w:val="18"/>
                <w:szCs w:val="18"/>
                <w:color w:val="auto"/>
                <w:w w:val="90"/>
              </w:rPr>
              <w:t>(155)</w:t>
            </w:r>
          </w:p>
        </w:tc>
        <w:tc>
          <w:tcPr>
            <w:tcW w:w="6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1,344</w:t>
            </w: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1,505</w:t>
            </w:r>
          </w:p>
        </w:tc>
        <w:tc>
          <w:tcPr>
            <w:tcW w:w="340" w:type="dxa"/>
            <w:vAlign w:val="bottom"/>
            <w:tcBorders>
              <w:bottom w:val="single" w:sz="8" w:color="E5E5E5"/>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8"/>
                <w:szCs w:val="18"/>
                <w:color w:val="auto"/>
                <w:w w:val="90"/>
              </w:rPr>
              <w:t>(161)</w:t>
            </w: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89"/>
              </w:rPr>
              <w:t>(10.6)</w:t>
            </w:r>
          </w:p>
        </w:tc>
        <w:tc>
          <w:tcPr>
            <w:tcW w:w="0" w:type="dxa"/>
            <w:vAlign w:val="bottom"/>
          </w:tcPr>
          <w:p>
            <w:pPr>
              <w:spacing w:after="0"/>
              <w:rPr>
                <w:sz w:val="1"/>
                <w:szCs w:val="1"/>
                <w:color w:val="auto"/>
              </w:rPr>
            </w:pPr>
          </w:p>
        </w:tc>
      </w:tr>
      <w:tr>
        <w:trPr>
          <w:trHeight w:val="217"/>
        </w:trPr>
        <w:tc>
          <w:tcPr>
            <w:tcW w:w="5000" w:type="dxa"/>
            <w:vAlign w:val="bottom"/>
            <w:tcBorders>
              <w:bottom w:val="single" w:sz="8" w:color="auto"/>
            </w:tcBorders>
            <w:gridSpan w:val="4"/>
            <w:shd w:val="clear" w:color="auto" w:fill="E5E5E5"/>
          </w:tcPr>
          <w:p>
            <w:pPr>
              <w:spacing w:after="0"/>
              <w:rPr>
                <w:sz w:val="20"/>
                <w:szCs w:val="20"/>
                <w:color w:val="auto"/>
              </w:rPr>
            </w:pPr>
            <w:r>
              <w:rPr>
                <w:rFonts w:ascii="Arial" w:cs="Arial" w:eastAsia="Arial" w:hAnsi="Arial"/>
                <w:sz w:val="18"/>
                <w:szCs w:val="18"/>
                <w:b w:val="1"/>
                <w:bCs w:val="1"/>
                <w:color w:val="auto"/>
                <w:w w:val="94"/>
              </w:rPr>
              <w:t>Operating income (loss) before depreciation and amortization</w:t>
            </w:r>
          </w:p>
        </w:tc>
        <w:tc>
          <w:tcPr>
            <w:tcW w:w="44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196</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190</w:t>
            </w:r>
          </w:p>
        </w:tc>
        <w:tc>
          <w:tcPr>
            <w:tcW w:w="340" w:type="dxa"/>
            <w:vAlign w:val="bottom"/>
            <w:tcBorders>
              <w:bottom w:val="single" w:sz="8" w:color="E5E5E5"/>
            </w:tcBorders>
            <w:shd w:val="clear" w:color="auto" w:fill="E5E5E5"/>
          </w:tcPr>
          <w:p>
            <w:pPr>
              <w:spacing w:after="0"/>
              <w:rPr>
                <w:sz w:val="18"/>
                <w:szCs w:val="18"/>
                <w:color w:val="auto"/>
              </w:rPr>
            </w:pPr>
          </w:p>
        </w:tc>
        <w:tc>
          <w:tcPr>
            <w:tcW w:w="4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80"/>
              <w:spacing w:after="0"/>
              <w:rPr>
                <w:sz w:val="20"/>
                <w:szCs w:val="20"/>
                <w:color w:val="auto"/>
              </w:rPr>
            </w:pPr>
            <w:r>
              <w:rPr>
                <w:rFonts w:ascii="Arial" w:cs="Arial" w:eastAsia="Arial" w:hAnsi="Arial"/>
                <w:sz w:val="18"/>
                <w:szCs w:val="18"/>
                <w:b w:val="1"/>
                <w:bCs w:val="1"/>
                <w:color w:val="auto"/>
              </w:rPr>
              <w:t>6</w:t>
            </w:r>
          </w:p>
        </w:tc>
        <w:tc>
          <w:tcPr>
            <w:tcW w:w="6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2.7 %</w:t>
            </w:r>
          </w:p>
        </w:tc>
        <w:tc>
          <w:tcPr>
            <w:tcW w:w="0" w:type="dxa"/>
            <w:vAlign w:val="bottom"/>
          </w:tcPr>
          <w:p>
            <w:pPr>
              <w:spacing w:after="0"/>
              <w:rPr>
                <w:sz w:val="1"/>
                <w:szCs w:val="1"/>
                <w:color w:val="auto"/>
              </w:rPr>
            </w:pPr>
          </w:p>
        </w:tc>
      </w:tr>
      <w:tr>
        <w:trPr>
          <w:trHeight w:val="351"/>
        </w:trPr>
        <w:tc>
          <w:tcPr>
            <w:tcW w:w="36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w w:val="83"/>
              </w:rPr>
              <w:t>2012</w:t>
            </w:r>
          </w:p>
        </w:tc>
        <w:tc>
          <w:tcPr>
            <w:tcW w:w="3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vMerge w:val="restart"/>
          </w:tcPr>
          <w:p>
            <w:pPr>
              <w:jc w:val="center"/>
              <w:ind w:left="220"/>
              <w:spacing w:after="0"/>
              <w:rPr>
                <w:sz w:val="20"/>
                <w:szCs w:val="20"/>
                <w:color w:val="auto"/>
              </w:rPr>
            </w:pPr>
            <w:r>
              <w:rPr>
                <w:rFonts w:ascii="Arial" w:cs="Arial" w:eastAsia="Arial" w:hAnsi="Arial"/>
                <w:sz w:val="14"/>
                <w:szCs w:val="14"/>
                <w:color w:val="auto"/>
                <w:w w:val="86"/>
              </w:rPr>
              <w:t>Increase/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Actual</w:t>
            </w:r>
          </w:p>
        </w:tc>
        <w:tc>
          <w:tcPr>
            <w:tcW w:w="440" w:type="dxa"/>
            <w:vAlign w:val="bottom"/>
          </w:tcPr>
          <w:p>
            <w:pPr>
              <w:spacing w:after="0"/>
              <w:rPr>
                <w:sz w:val="15"/>
                <w:szCs w:val="15"/>
                <w:color w:val="auto"/>
              </w:rPr>
            </w:pPr>
          </w:p>
        </w:tc>
        <w:tc>
          <w:tcPr>
            <w:tcW w:w="1140" w:type="dxa"/>
            <w:vAlign w:val="bottom"/>
          </w:tcPr>
          <w:p>
            <w:pPr>
              <w:jc w:val="center"/>
              <w:ind w:right="220"/>
              <w:spacing w:after="0"/>
              <w:rPr>
                <w:sz w:val="20"/>
                <w:szCs w:val="20"/>
                <w:color w:val="auto"/>
              </w:rPr>
            </w:pPr>
            <w:r>
              <w:rPr>
                <w:rFonts w:ascii="Arial" w:cs="Arial" w:eastAsia="Arial" w:hAnsi="Arial"/>
                <w:sz w:val="14"/>
                <w:szCs w:val="14"/>
                <w:color w:val="auto"/>
                <w:w w:val="92"/>
              </w:rPr>
              <w:t>Actual</w:t>
            </w:r>
          </w:p>
        </w:tc>
        <w:tc>
          <w:tcPr>
            <w:tcW w:w="28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w w:val="87"/>
              </w:rPr>
              <w:t>Pro Forma</w:t>
            </w:r>
          </w:p>
        </w:tc>
        <w:tc>
          <w:tcPr>
            <w:tcW w:w="1660" w:type="dxa"/>
            <w:vAlign w:val="bottom"/>
            <w:gridSpan w:val="4"/>
          </w:tcPr>
          <w:p>
            <w:pPr>
              <w:ind w:left="80"/>
              <w:spacing w:after="0"/>
              <w:rPr>
                <w:sz w:val="20"/>
                <w:szCs w:val="20"/>
                <w:color w:val="auto"/>
              </w:rPr>
            </w:pPr>
            <w:r>
              <w:rPr>
                <w:rFonts w:ascii="Arial" w:cs="Arial" w:eastAsia="Arial" w:hAnsi="Arial"/>
                <w:sz w:val="14"/>
                <w:szCs w:val="14"/>
                <w:color w:val="auto"/>
              </w:rPr>
              <w:t>Pro Forma Combined</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gridSpan w:val="2"/>
          </w:tcPr>
          <w:p>
            <w:pPr>
              <w:jc w:val="center"/>
              <w:ind w:right="255"/>
              <w:spacing w:after="0"/>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020" w:type="dxa"/>
            <w:vAlign w:val="bottom"/>
            <w:tcBorders>
              <w:top w:val="single" w:sz="8" w:color="auto"/>
            </w:tcBorders>
            <w:gridSpan w:val="2"/>
          </w:tcPr>
          <w:p>
            <w:pPr>
              <w:jc w:val="center"/>
              <w:ind w:left="199"/>
              <w:spacing w:after="0" w:line="131" w:lineRule="exact"/>
              <w:rPr>
                <w:sz w:val="20"/>
                <w:szCs w:val="20"/>
                <w:color w:val="auto"/>
              </w:rPr>
            </w:pPr>
            <w:r>
              <w:rPr>
                <w:rFonts w:ascii="Arial" w:cs="Arial" w:eastAsia="Arial" w:hAnsi="Arial"/>
                <w:sz w:val="14"/>
                <w:szCs w:val="14"/>
                <w:color w:val="auto"/>
                <w:w w:val="89"/>
              </w:rPr>
              <w:t>Six Months</w:t>
            </w:r>
          </w:p>
        </w:tc>
        <w:tc>
          <w:tcPr>
            <w:tcW w:w="3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240"/>
              <w:spacing w:after="0" w:line="131" w:lineRule="exact"/>
              <w:rPr>
                <w:sz w:val="20"/>
                <w:szCs w:val="20"/>
                <w:color w:val="auto"/>
              </w:rPr>
            </w:pPr>
            <w:r>
              <w:rPr>
                <w:rFonts w:ascii="Arial" w:cs="Arial" w:eastAsia="Arial" w:hAnsi="Arial"/>
                <w:sz w:val="14"/>
                <w:szCs w:val="14"/>
                <w:color w:val="auto"/>
                <w:w w:val="87"/>
              </w:rPr>
              <w:t>For the Period</w:t>
            </w: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center"/>
              <w:ind w:right="520"/>
              <w:spacing w:after="0" w:line="146" w:lineRule="exact"/>
              <w:rPr>
                <w:sz w:val="20"/>
                <w:szCs w:val="20"/>
                <w:color w:val="auto"/>
              </w:rPr>
            </w:pPr>
            <w:r>
              <w:rPr>
                <w:rFonts w:ascii="Arial" w:cs="Arial" w:eastAsia="Arial" w:hAnsi="Arial"/>
                <w:sz w:val="14"/>
                <w:szCs w:val="14"/>
                <w:color w:val="auto"/>
                <w:w w:val="83"/>
              </w:rPr>
              <w:t>Ended</w:t>
            </w:r>
          </w:p>
        </w:tc>
        <w:tc>
          <w:tcPr>
            <w:tcW w:w="1580" w:type="dxa"/>
            <w:vAlign w:val="bottom"/>
            <w:gridSpan w:val="2"/>
          </w:tcPr>
          <w:p>
            <w:pPr>
              <w:jc w:val="center"/>
              <w:ind w:left="59"/>
              <w:spacing w:after="0" w:line="146" w:lineRule="exact"/>
              <w:rPr>
                <w:sz w:val="20"/>
                <w:szCs w:val="20"/>
                <w:color w:val="auto"/>
              </w:rPr>
            </w:pPr>
            <w:r>
              <w:rPr>
                <w:rFonts w:ascii="Arial" w:cs="Arial" w:eastAsia="Arial" w:hAnsi="Arial"/>
                <w:sz w:val="14"/>
                <w:szCs w:val="14"/>
                <w:color w:val="auto"/>
                <w:w w:val="86"/>
              </w:rPr>
              <w:t>January 29 through</w:t>
            </w:r>
          </w:p>
        </w:tc>
        <w:tc>
          <w:tcPr>
            <w:tcW w:w="1340" w:type="dxa"/>
            <w:vAlign w:val="bottom"/>
            <w:gridSpan w:val="3"/>
          </w:tcPr>
          <w:p>
            <w:pPr>
              <w:ind w:left="180"/>
              <w:spacing w:after="0" w:line="146" w:lineRule="exact"/>
              <w:rPr>
                <w:sz w:val="20"/>
                <w:szCs w:val="20"/>
                <w:color w:val="auto"/>
              </w:rPr>
            </w:pPr>
            <w:r>
              <w:rPr>
                <w:rFonts w:ascii="Arial" w:cs="Arial" w:eastAsia="Arial" w:hAnsi="Arial"/>
                <w:sz w:val="14"/>
                <w:szCs w:val="14"/>
                <w:color w:val="auto"/>
              </w:rPr>
              <w:t>NBCUniversal</w:t>
            </w:r>
          </w:p>
        </w:tc>
        <w:tc>
          <w:tcPr>
            <w:tcW w:w="1660" w:type="dxa"/>
            <w:vAlign w:val="bottom"/>
            <w:gridSpan w:val="4"/>
          </w:tcPr>
          <w:p>
            <w:pPr>
              <w:jc w:val="center"/>
              <w:ind w:right="320"/>
              <w:spacing w:after="0" w:line="146" w:lineRule="exact"/>
              <w:rPr>
                <w:sz w:val="20"/>
                <w:szCs w:val="20"/>
                <w:color w:val="auto"/>
              </w:rPr>
            </w:pPr>
            <w:r>
              <w:rPr>
                <w:rFonts w:ascii="Arial" w:cs="Arial" w:eastAsia="Arial" w:hAnsi="Arial"/>
                <w:sz w:val="14"/>
                <w:szCs w:val="14"/>
                <w:color w:val="auto"/>
                <w:w w:val="89"/>
              </w:rPr>
              <w:t>Six Months</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5"/>
                <w:szCs w:val="15"/>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4"/>
                <w:szCs w:val="14"/>
                <w:color w:val="auto"/>
                <w:w w:val="84"/>
              </w:rPr>
              <w:t>June 30</w:t>
            </w:r>
          </w:p>
        </w:tc>
        <w:tc>
          <w:tcPr>
            <w:tcW w:w="440" w:type="dxa"/>
            <w:vAlign w:val="bottom"/>
          </w:tcPr>
          <w:p>
            <w:pPr>
              <w:spacing w:after="0"/>
              <w:rPr>
                <w:sz w:val="15"/>
                <w:szCs w:val="15"/>
                <w:color w:val="auto"/>
              </w:rPr>
            </w:pPr>
          </w:p>
        </w:tc>
        <w:tc>
          <w:tcPr>
            <w:tcW w:w="1140" w:type="dxa"/>
            <w:vAlign w:val="bottom"/>
          </w:tcPr>
          <w:p>
            <w:pPr>
              <w:jc w:val="center"/>
              <w:ind w:right="240"/>
              <w:spacing w:after="0" w:line="176" w:lineRule="exact"/>
              <w:rPr>
                <w:sz w:val="20"/>
                <w:szCs w:val="20"/>
                <w:color w:val="auto"/>
              </w:rPr>
            </w:pPr>
            <w:r>
              <w:rPr>
                <w:rFonts w:ascii="Arial" w:cs="Arial" w:eastAsia="Arial" w:hAnsi="Arial"/>
                <w:sz w:val="13"/>
                <w:szCs w:val="13"/>
                <w:color w:val="auto"/>
                <w:w w:val="86"/>
              </w:rPr>
              <w:t>June 30</w:t>
            </w:r>
            <w:r>
              <w:rPr>
                <w:rFonts w:ascii="Arial" w:cs="Arial" w:eastAsia="Arial" w:hAnsi="Arial"/>
                <w:sz w:val="20"/>
                <w:szCs w:val="20"/>
                <w:color w:val="auto"/>
                <w:w w:val="86"/>
                <w:vertAlign w:val="superscript"/>
              </w:rPr>
              <w:t>(a)</w:t>
            </w:r>
          </w:p>
        </w:tc>
        <w:tc>
          <w:tcPr>
            <w:tcW w:w="1340" w:type="dxa"/>
            <w:vAlign w:val="bottom"/>
            <w:gridSpan w:val="3"/>
          </w:tcPr>
          <w:p>
            <w:pPr>
              <w:jc w:val="right"/>
              <w:ind w:right="400"/>
              <w:spacing w:after="0" w:line="176" w:lineRule="exact"/>
              <w:rPr>
                <w:sz w:val="20"/>
                <w:szCs w:val="20"/>
                <w:color w:val="auto"/>
              </w:rPr>
            </w:pPr>
            <w:r>
              <w:rPr>
                <w:rFonts w:ascii="Arial" w:cs="Arial" w:eastAsia="Arial" w:hAnsi="Arial"/>
                <w:sz w:val="13"/>
                <w:szCs w:val="13"/>
                <w:color w:val="auto"/>
              </w:rPr>
              <w:t>Businesses</w:t>
            </w:r>
            <w:r>
              <w:rPr>
                <w:rFonts w:ascii="Arial" w:cs="Arial" w:eastAsia="Arial" w:hAnsi="Arial"/>
                <w:sz w:val="20"/>
                <w:szCs w:val="20"/>
                <w:color w:val="auto"/>
                <w:vertAlign w:val="superscript"/>
              </w:rPr>
              <w:t>(b)</w:t>
            </w:r>
          </w:p>
        </w:tc>
        <w:tc>
          <w:tcPr>
            <w:tcW w:w="1660" w:type="dxa"/>
            <w:vAlign w:val="bottom"/>
            <w:gridSpan w:val="4"/>
          </w:tcPr>
          <w:p>
            <w:pPr>
              <w:jc w:val="center"/>
              <w:ind w:right="320"/>
              <w:spacing w:after="0"/>
              <w:rPr>
                <w:sz w:val="20"/>
                <w:szCs w:val="20"/>
                <w:color w:val="auto"/>
              </w:rPr>
            </w:pPr>
            <w:r>
              <w:rPr>
                <w:rFonts w:ascii="Arial" w:cs="Arial" w:eastAsia="Arial" w:hAnsi="Arial"/>
                <w:sz w:val="14"/>
                <w:szCs w:val="14"/>
                <w:color w:val="auto"/>
                <w:w w:val="82"/>
              </w:rPr>
              <w:t>Ended June 30</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560"/>
              <w:spacing w:after="0"/>
              <w:rPr>
                <w:sz w:val="20"/>
                <w:szCs w:val="20"/>
                <w:color w:val="auto"/>
              </w:rPr>
            </w:pPr>
            <w:r>
              <w:rPr>
                <w:rFonts w:ascii="Arial" w:cs="Arial" w:eastAsia="Arial" w:hAnsi="Arial"/>
                <w:sz w:val="14"/>
                <w:szCs w:val="14"/>
                <w:color w:val="auto"/>
              </w:rPr>
              <w:t>$</w:t>
            </w:r>
          </w:p>
        </w:tc>
        <w:tc>
          <w:tcPr>
            <w:tcW w:w="640" w:type="dxa"/>
            <w:vAlign w:val="bottom"/>
          </w:tcPr>
          <w:p>
            <w:pPr>
              <w:ind w:lef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E5E5E5"/>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11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E5E5E5"/>
            </w:tcBorders>
            <w:shd w:val="clear" w:color="auto" w:fill="E5E5E5"/>
          </w:tcPr>
          <w:p>
            <w:pPr>
              <w:spacing w:after="0"/>
              <w:rPr>
                <w:sz w:val="18"/>
                <w:szCs w:val="18"/>
                <w:color w:val="auto"/>
              </w:rPr>
            </w:pPr>
          </w:p>
        </w:tc>
        <w:tc>
          <w:tcPr>
            <w:tcW w:w="20" w:type="dxa"/>
            <w:vAlign w:val="bottom"/>
            <w:tcBorders>
              <w:top w:val="single" w:sz="8" w:color="E5E5E5"/>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2,379</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0"/>
              <w:spacing w:after="0"/>
              <w:rPr>
                <w:sz w:val="20"/>
                <w:szCs w:val="20"/>
                <w:color w:val="auto"/>
              </w:rPr>
            </w:pPr>
            <w:r>
              <w:rPr>
                <w:rFonts w:ascii="Arial" w:cs="Arial" w:eastAsia="Arial" w:hAnsi="Arial"/>
                <w:sz w:val="18"/>
                <w:szCs w:val="18"/>
                <w:color w:val="auto"/>
              </w:rPr>
              <w:t>1,709</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315</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2,024</w:t>
            </w:r>
          </w:p>
        </w:tc>
        <w:tc>
          <w:tcPr>
            <w:tcW w:w="340" w:type="dxa"/>
            <w:vAlign w:val="bottom"/>
          </w:tcPr>
          <w:p>
            <w:pPr>
              <w:spacing w:after="0"/>
              <w:rPr>
                <w:sz w:val="18"/>
                <w:szCs w:val="18"/>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$355</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w w:val="85"/>
              </w:rPr>
              <w:t>17.5 %</w:t>
            </w:r>
          </w:p>
        </w:tc>
        <w:tc>
          <w:tcPr>
            <w:tcW w:w="0" w:type="dxa"/>
            <w:vAlign w:val="bottom"/>
          </w:tcPr>
          <w:p>
            <w:pPr>
              <w:spacing w:after="0"/>
              <w:rPr>
                <w:sz w:val="1"/>
                <w:szCs w:val="1"/>
                <w:color w:val="auto"/>
              </w:rPr>
            </w:pPr>
          </w:p>
        </w:tc>
      </w:tr>
      <w:tr>
        <w:trPr>
          <w:trHeight w:val="216"/>
        </w:trPr>
        <w:tc>
          <w:tcPr>
            <w:tcW w:w="36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788</w:t>
            </w: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681</w:t>
            </w:r>
          </w:p>
        </w:tc>
        <w:tc>
          <w:tcPr>
            <w:tcW w:w="28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792</w:t>
            </w:r>
          </w:p>
        </w:tc>
        <w:tc>
          <w:tcPr>
            <w:tcW w:w="3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60"/>
              <w:spacing w:after="0"/>
              <w:rPr>
                <w:sz w:val="20"/>
                <w:szCs w:val="20"/>
                <w:color w:val="auto"/>
              </w:rPr>
            </w:pPr>
            <w:r>
              <w:rPr>
                <w:rFonts w:ascii="Arial" w:cs="Arial" w:eastAsia="Arial" w:hAnsi="Arial"/>
                <w:sz w:val="18"/>
                <w:szCs w:val="18"/>
                <w:color w:val="auto"/>
              </w:rPr>
              <w:t>(4)</w:t>
            </w:r>
          </w:p>
        </w:tc>
        <w:tc>
          <w:tcPr>
            <w:tcW w:w="6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360" w:type="dxa"/>
            <w:vAlign w:val="bottom"/>
            <w:tcBorders>
              <w:bottom w:val="single" w:sz="8" w:color="E5E5E5"/>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193</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38</w:t>
            </w: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340" w:type="dxa"/>
            <w:vAlign w:val="bottom"/>
            <w:tcBorders>
              <w:bottom w:val="single" w:sz="8" w:color="E5E5E5"/>
            </w:tcBorders>
          </w:tcPr>
          <w:p>
            <w:pPr>
              <w:spacing w:after="0"/>
              <w:rPr>
                <w:sz w:val="18"/>
                <w:szCs w:val="18"/>
                <w:color w:val="auto"/>
              </w:rPr>
            </w:pPr>
          </w:p>
        </w:tc>
        <w:tc>
          <w:tcPr>
            <w:tcW w:w="2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60"/>
              <w:spacing w:after="0"/>
              <w:rPr>
                <w:sz w:val="20"/>
                <w:szCs w:val="20"/>
                <w:color w:val="auto"/>
              </w:rPr>
            </w:pPr>
            <w:r>
              <w:rPr>
                <w:rFonts w:ascii="Arial" w:cs="Arial" w:eastAsia="Arial" w:hAnsi="Arial"/>
                <w:sz w:val="18"/>
                <w:szCs w:val="18"/>
                <w:color w:val="auto"/>
              </w:rPr>
              <w:t>(7)</w:t>
            </w: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3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3,391</w:t>
            </w: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2,583</w:t>
            </w:r>
          </w:p>
        </w:tc>
        <w:tc>
          <w:tcPr>
            <w:tcW w:w="28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color w:val="auto"/>
              </w:rPr>
              <w:t>464</w:t>
            </w:r>
          </w:p>
        </w:tc>
        <w:tc>
          <w:tcPr>
            <w:tcW w:w="4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3,047</w:t>
            </w:r>
          </w:p>
        </w:tc>
        <w:tc>
          <w:tcPr>
            <w:tcW w:w="3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420"/>
              <w:spacing w:after="0"/>
              <w:rPr>
                <w:sz w:val="20"/>
                <w:szCs w:val="20"/>
                <w:color w:val="auto"/>
              </w:rPr>
            </w:pPr>
            <w:r>
              <w:rPr>
                <w:rFonts w:ascii="Arial" w:cs="Arial" w:eastAsia="Arial" w:hAnsi="Arial"/>
                <w:sz w:val="18"/>
                <w:szCs w:val="18"/>
                <w:color w:val="auto"/>
                <w:w w:val="93"/>
              </w:rPr>
              <w:t>344</w:t>
            </w:r>
          </w:p>
        </w:tc>
        <w:tc>
          <w:tcPr>
            <w:tcW w:w="64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w w:val="96"/>
              </w:rPr>
              <w:t>11.3</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360" w:type="dxa"/>
            <w:vAlign w:val="bottom"/>
            <w:tcBorders>
              <w:bottom w:val="single" w:sz="8" w:color="E5E5E5"/>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2,358</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479</w:t>
            </w: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2,837</w:t>
            </w:r>
          </w:p>
        </w:tc>
        <w:tc>
          <w:tcPr>
            <w:tcW w:w="340" w:type="dxa"/>
            <w:vAlign w:val="bottom"/>
            <w:tcBorders>
              <w:bottom w:val="single" w:sz="8" w:color="E5E5E5"/>
            </w:tcBorders>
          </w:tcPr>
          <w:p>
            <w:pPr>
              <w:spacing w:after="0"/>
              <w:rPr>
                <w:sz w:val="18"/>
                <w:szCs w:val="18"/>
                <w:color w:val="auto"/>
              </w:rPr>
            </w:pPr>
          </w:p>
        </w:tc>
        <w:tc>
          <w:tcPr>
            <w:tcW w:w="2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20"/>
              <w:spacing w:after="0"/>
              <w:rPr>
                <w:sz w:val="20"/>
                <w:szCs w:val="20"/>
                <w:color w:val="auto"/>
              </w:rPr>
            </w:pPr>
            <w:r>
              <w:rPr>
                <w:rFonts w:ascii="Arial" w:cs="Arial" w:eastAsia="Arial" w:hAnsi="Arial"/>
                <w:sz w:val="18"/>
                <w:szCs w:val="18"/>
                <w:color w:val="auto"/>
                <w:w w:val="93"/>
              </w:rPr>
              <w:t>368</w:t>
            </w: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96"/>
              </w:rPr>
              <w:t>13.0</w:t>
            </w:r>
          </w:p>
        </w:tc>
        <w:tc>
          <w:tcPr>
            <w:tcW w:w="0" w:type="dxa"/>
            <w:vAlign w:val="bottom"/>
          </w:tcPr>
          <w:p>
            <w:pPr>
              <w:spacing w:after="0"/>
              <w:rPr>
                <w:sz w:val="1"/>
                <w:szCs w:val="1"/>
                <w:color w:val="auto"/>
              </w:rPr>
            </w:pPr>
          </w:p>
        </w:tc>
      </w:tr>
      <w:tr>
        <w:trPr>
          <w:trHeight w:val="195"/>
        </w:trPr>
        <w:tc>
          <w:tcPr>
            <w:tcW w:w="362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w w:val="86"/>
              </w:rPr>
              <w:t>Operating income (loss) before depreciation and</w:t>
            </w:r>
          </w:p>
        </w:tc>
        <w:tc>
          <w:tcPr>
            <w:tcW w:w="44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amortization</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186</w:t>
            </w:r>
          </w:p>
        </w:tc>
        <w:tc>
          <w:tcPr>
            <w:tcW w:w="360" w:type="dxa"/>
            <w:vAlign w:val="bottom"/>
            <w:tcBorders>
              <w:bottom w:val="single" w:sz="8" w:color="E5E5E5"/>
            </w:tcBorders>
            <w:shd w:val="clear" w:color="auto" w:fill="E5E5E5"/>
          </w:tcPr>
          <w:p>
            <w:pPr>
              <w:spacing w:after="0"/>
              <w:rPr>
                <w:sz w:val="20"/>
                <w:szCs w:val="20"/>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225</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gridSpan w:val="2"/>
            <w:shd w:val="clear" w:color="auto" w:fill="E5E5E5"/>
          </w:tcPr>
          <w:p>
            <w:pPr>
              <w:jc w:val="right"/>
              <w:ind w:right="300"/>
              <w:spacing w:after="0"/>
              <w:rPr>
                <w:sz w:val="20"/>
                <w:szCs w:val="20"/>
                <w:color w:val="auto"/>
              </w:rPr>
            </w:pPr>
            <w:r>
              <w:rPr>
                <w:rFonts w:ascii="Arial" w:cs="Arial" w:eastAsia="Arial" w:hAnsi="Arial"/>
                <w:sz w:val="18"/>
                <w:szCs w:val="18"/>
                <w:b w:val="1"/>
                <w:bCs w:val="1"/>
                <w:color w:val="auto"/>
              </w:rPr>
              <w:t>(15)</w:t>
            </w:r>
          </w:p>
        </w:tc>
        <w:tc>
          <w:tcPr>
            <w:tcW w:w="4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spacing w:after="0"/>
              <w:rPr>
                <w:sz w:val="20"/>
                <w:szCs w:val="20"/>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210</w:t>
            </w:r>
          </w:p>
        </w:tc>
        <w:tc>
          <w:tcPr>
            <w:tcW w:w="340" w:type="dxa"/>
            <w:vAlign w:val="bottom"/>
            <w:tcBorders>
              <w:bottom w:val="single" w:sz="8" w:color="E5E5E5"/>
            </w:tcBorders>
            <w:shd w:val="clear" w:color="auto" w:fill="E5E5E5"/>
          </w:tcPr>
          <w:p>
            <w:pPr>
              <w:spacing w:after="0"/>
              <w:rPr>
                <w:sz w:val="20"/>
                <w:szCs w:val="20"/>
                <w:color w:val="auto"/>
              </w:rPr>
            </w:pPr>
          </w:p>
        </w:tc>
        <w:tc>
          <w:tcPr>
            <w:tcW w:w="20" w:type="dxa"/>
            <w:vAlign w:val="bottom"/>
            <w:tcBorders>
              <w:bottom w:val="single" w:sz="8" w:color="E5E5E5"/>
            </w:tcBorders>
            <w:shd w:val="clear" w:color="auto" w:fill="E5E5E5"/>
          </w:tcPr>
          <w:p>
            <w:pPr>
              <w:spacing w:after="0"/>
              <w:rPr>
                <w:sz w:val="20"/>
                <w:szCs w:val="20"/>
                <w:color w:val="auto"/>
              </w:rPr>
            </w:pPr>
          </w:p>
        </w:tc>
        <w:tc>
          <w:tcPr>
            <w:tcW w:w="1180" w:type="dxa"/>
            <w:vAlign w:val="bottom"/>
            <w:tcBorders>
              <w:bottom w:val="single" w:sz="8" w:color="auto"/>
            </w:tcBorders>
            <w:gridSpan w:val="2"/>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 (24)</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1"/>
              </w:rPr>
              <w:t>(11.5)%</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Actual amounts include the results of operations for the NBCUniversal acquired businesses for the three months ended June 30, 2011 and for the period January 29, 2011 through June 30, 2011.</w:t>
      </w:r>
    </w:p>
    <w:p>
      <w:pPr>
        <w:spacing w:after="0" w:line="78"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for the period January 1, 2011 through January 28, 2011 and other pro forma adjustments that include the effects of acquisition accounting.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 Segment—Revenue</w:t>
      </w:r>
    </w:p>
    <w:p>
      <w:pPr>
        <w:spacing w:after="0" w:line="72"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Our Broadcast Television revenue decreased for the three months ended June 30, 2012 compared to the same period in 2011 primarily due to a decrease in content licensing revenue resulting from the impact of licensing agreements for our prior season and library content that were entered into in the prior year period.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Broadcast Television revenue increased for the six months ended June 30, 2012 compared to the same period in 2011 primarily due to an increase in advertising revenue. The increase in advertising revenue was primarily due to $259 million associated with the broadcast of the 2012 Super Bowl, as well as increases in the price of advertising units sold</w:t>
      </w:r>
      <w:r>
        <w:rPr>
          <w:rFonts w:ascii="Arial" w:cs="Arial" w:eastAsia="Arial" w:hAnsi="Arial"/>
          <w:sz w:val="18"/>
          <w:szCs w:val="18"/>
          <w:i w:val="1"/>
          <w:iCs w:val="1"/>
          <w:color w:val="auto"/>
        </w:rPr>
        <w: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 Segment—Operating Costs and Expenses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operating costs and expenses decreased for the three months ended June 30, 2012 compared to the same period in 2011 primarily due to a decrease in the amortization of television costs associated with the corresponding decrease in content licensing revenue.</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operating costs and expenses increased for the six months ended June 30, 2012 compared to the same period in 2011 primarily due to higher programming and production expenses associated with our broadcast of the 2012 Super Bowl.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Segment—Actual and Pro Forma Results of Operations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color w:val="auto"/>
                <w:w w:val="92"/>
              </w:rPr>
              <w:t>Actual</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31"/>
        </w:trPr>
        <w:tc>
          <w:tcPr>
            <w:tcW w:w="7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gridSpan w:val="3"/>
          </w:tcPr>
          <w:p>
            <w:pPr>
              <w:jc w:val="center"/>
              <w:ind w:right="72"/>
              <w:spacing w:after="0" w:line="131" w:lineRule="exact"/>
              <w:rPr>
                <w:sz w:val="20"/>
                <w:szCs w:val="20"/>
                <w:color w:val="auto"/>
              </w:rPr>
            </w:pPr>
            <w:r>
              <w:rPr>
                <w:rFonts w:ascii="Arial" w:cs="Arial" w:eastAsia="Arial" w:hAnsi="Arial"/>
                <w:sz w:val="14"/>
                <w:szCs w:val="14"/>
                <w:color w:val="auto"/>
                <w:w w:val="87"/>
              </w:rPr>
              <w:t>Three Months</w:t>
            </w: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7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center"/>
              <w:ind w:left="341"/>
              <w:spacing w:after="0" w:line="149" w:lineRule="exact"/>
              <w:rPr>
                <w:sz w:val="20"/>
                <w:szCs w:val="20"/>
                <w:color w:val="auto"/>
              </w:rPr>
            </w:pPr>
            <w:r>
              <w:rPr>
                <w:rFonts w:ascii="Arial" w:cs="Arial" w:eastAsia="Arial" w:hAnsi="Arial"/>
                <w:sz w:val="14"/>
                <w:szCs w:val="14"/>
                <w:color w:val="auto"/>
                <w:w w:val="83"/>
              </w:rPr>
              <w:t>Ended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Increase/</w:t>
            </w:r>
          </w:p>
        </w:tc>
        <w:tc>
          <w:tcPr>
            <w:tcW w:w="640" w:type="dxa"/>
            <w:vAlign w:val="bottom"/>
          </w:tcPr>
          <w:p>
            <w:pPr>
              <w:spacing w:after="0"/>
              <w:rPr>
                <w:sz w:val="12"/>
                <w:szCs w:val="12"/>
                <w:color w:val="auto"/>
              </w:rPr>
            </w:pPr>
          </w:p>
        </w:tc>
      </w:tr>
      <w:tr>
        <w:trPr>
          <w:trHeight w:val="172"/>
        </w:trPr>
        <w:tc>
          <w:tcPr>
            <w:tcW w:w="75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left="241"/>
              <w:spacing w:after="0"/>
              <w:rPr>
                <w:sz w:val="20"/>
                <w:szCs w:val="20"/>
                <w:color w:val="auto"/>
              </w:rPr>
            </w:pPr>
            <w:r>
              <w:rPr>
                <w:rFonts w:ascii="Arial" w:cs="Arial" w:eastAsia="Arial" w:hAnsi="Arial"/>
                <w:sz w:val="14"/>
                <w:szCs w:val="14"/>
                <w:color w:val="auto"/>
                <w:w w:val="84"/>
              </w:rPr>
              <w:t>June 30</w:t>
            </w: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Borders>
              <w:bottom w:val="single" w:sz="8" w:color="auto"/>
            </w:tcBorders>
            <w:gridSpan w:val="2"/>
          </w:tcPr>
          <w:p>
            <w:pPr>
              <w:jc w:val="right"/>
              <w:ind w:right="515"/>
              <w:spacing w:after="0"/>
              <w:rPr>
                <w:sz w:val="20"/>
                <w:szCs w:val="20"/>
                <w:color w:val="auto"/>
              </w:rPr>
            </w:pPr>
            <w:r>
              <w:rPr>
                <w:rFonts w:ascii="Arial" w:cs="Arial" w:eastAsia="Arial" w:hAnsi="Arial"/>
                <w:sz w:val="14"/>
                <w:szCs w:val="14"/>
                <w:color w:val="auto"/>
              </w:rPr>
              <w:t>(Decrease)</w:t>
            </w:r>
          </w:p>
        </w:tc>
      </w:tr>
      <w:tr>
        <w:trPr>
          <w:trHeight w:val="143"/>
        </w:trPr>
        <w:tc>
          <w:tcPr>
            <w:tcW w:w="75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41"/>
              <w:spacing w:after="0" w:line="143" w:lineRule="exact"/>
              <w:rPr>
                <w:sz w:val="20"/>
                <w:szCs w:val="20"/>
                <w:color w:val="auto"/>
              </w:rPr>
            </w:pPr>
            <w:r>
              <w:rPr>
                <w:rFonts w:ascii="Arial" w:cs="Arial" w:eastAsia="Arial" w:hAnsi="Arial"/>
                <w:sz w:val="14"/>
                <w:szCs w:val="14"/>
                <w:color w:val="auto"/>
                <w:w w:val="83"/>
              </w:rPr>
              <w:t>2012</w:t>
            </w:r>
          </w:p>
        </w:tc>
        <w:tc>
          <w:tcPr>
            <w:tcW w:w="5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1"/>
                <w:szCs w:val="11"/>
                <w:color w:val="auto"/>
              </w:rPr>
              <w:t xml:space="preserve">2011 </w:t>
            </w:r>
            <w:r>
              <w:rPr>
                <w:rFonts w:ascii="Arial" w:cs="Arial" w:eastAsia="Arial" w:hAnsi="Arial"/>
                <w:sz w:val="16"/>
                <w:szCs w:val="16"/>
                <w:color w:val="auto"/>
                <w:vertAlign w:val="superscript"/>
              </w:rPr>
              <w:t>(a)</w:t>
            </w:r>
          </w:p>
        </w:tc>
        <w:tc>
          <w:tcPr>
            <w:tcW w:w="340" w:type="dxa"/>
            <w:vAlign w:val="bottom"/>
            <w:tcBorders>
              <w:bottom w:val="single" w:sz="8" w:color="E5E5E5"/>
            </w:tcBorders>
          </w:tcPr>
          <w:p>
            <w:pPr>
              <w:spacing w:after="0"/>
              <w:rPr>
                <w:sz w:val="12"/>
                <w:szCs w:val="12"/>
                <w:color w:val="auto"/>
              </w:rPr>
            </w:pPr>
          </w:p>
        </w:tc>
        <w:tc>
          <w:tcPr>
            <w:tcW w:w="1180" w:type="dxa"/>
            <w:vAlign w:val="bottom"/>
            <w:tcBorders>
              <w:bottom w:val="single" w:sz="8" w:color="auto"/>
            </w:tcBorders>
          </w:tcPr>
          <w:p>
            <w:pPr>
              <w:jc w:val="right"/>
              <w:ind w:right="538"/>
              <w:spacing w:after="0" w:line="143"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335"/>
              <w:spacing w:after="0" w:line="143" w:lineRule="exact"/>
              <w:rPr>
                <w:sz w:val="20"/>
                <w:szCs w:val="20"/>
                <w:color w:val="auto"/>
              </w:rPr>
            </w:pPr>
            <w:r>
              <w:rPr>
                <w:rFonts w:ascii="Arial" w:cs="Arial" w:eastAsia="Arial" w:hAnsi="Arial"/>
                <w:sz w:val="14"/>
                <w:szCs w:val="14"/>
                <w:color w:val="auto"/>
              </w:rPr>
              <w:t>%</w:t>
            </w:r>
          </w:p>
        </w:tc>
      </w:tr>
      <w:tr>
        <w:trPr>
          <w:trHeight w:val="210"/>
        </w:trPr>
        <w:tc>
          <w:tcPr>
            <w:tcW w:w="75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1"/>
              <w:spacing w:after="0"/>
              <w:rPr>
                <w:sz w:val="20"/>
                <w:szCs w:val="20"/>
                <w:color w:val="auto"/>
              </w:rPr>
            </w:pPr>
            <w:r>
              <w:rPr>
                <w:rFonts w:ascii="Arial" w:cs="Arial" w:eastAsia="Arial" w:hAnsi="Arial"/>
                <w:sz w:val="18"/>
                <w:szCs w:val="18"/>
                <w:color w:val="auto"/>
              </w:rPr>
              <w:t>465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501</w:t>
            </w:r>
          </w:p>
        </w:tc>
        <w:tc>
          <w:tcPr>
            <w:tcW w:w="340" w:type="dxa"/>
            <w:vAlign w:val="bottom"/>
          </w:tcPr>
          <w:p>
            <w:pPr>
              <w:spacing w:after="0"/>
              <w:rPr>
                <w:sz w:val="18"/>
                <w:szCs w:val="18"/>
                <w:color w:val="auto"/>
              </w:rPr>
            </w:pPr>
          </w:p>
        </w:tc>
        <w:tc>
          <w:tcPr>
            <w:tcW w:w="1180" w:type="dxa"/>
            <w:vAlign w:val="bottom"/>
          </w:tcPr>
          <w:p>
            <w:pPr>
              <w:jc w:val="right"/>
              <w:ind w:right="318"/>
              <w:spacing w:after="0"/>
              <w:rPr>
                <w:sz w:val="20"/>
                <w:szCs w:val="20"/>
                <w:color w:val="auto"/>
              </w:rPr>
            </w:pPr>
            <w:r>
              <w:rPr>
                <w:rFonts w:ascii="Arial" w:cs="Arial" w:eastAsia="Arial" w:hAnsi="Arial"/>
                <w:sz w:val="18"/>
                <w:szCs w:val="18"/>
                <w:color w:val="auto"/>
              </w:rPr>
              <w:t>$ (36)</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5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21"/>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312</w:t>
            </w:r>
          </w:p>
        </w:tc>
        <w:tc>
          <w:tcPr>
            <w:tcW w:w="34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378"/>
              <w:spacing w:after="0"/>
              <w:rPr>
                <w:sz w:val="20"/>
                <w:szCs w:val="20"/>
                <w:color w:val="auto"/>
              </w:rPr>
            </w:pPr>
            <w:r>
              <w:rPr>
                <w:rFonts w:ascii="Arial" w:cs="Arial" w:eastAsia="Arial" w:hAnsi="Arial"/>
                <w:sz w:val="18"/>
                <w:szCs w:val="18"/>
                <w:color w:val="auto"/>
              </w:rPr>
              <w:t>46</w:t>
            </w:r>
          </w:p>
        </w:tc>
        <w:tc>
          <w:tcPr>
            <w:tcW w:w="6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14.6</w:t>
            </w: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400" w:type="dxa"/>
            <w:vAlign w:val="bottom"/>
          </w:tcPr>
          <w:p>
            <w:pPr>
              <w:spacing w:after="0"/>
              <w:rPr>
                <w:sz w:val="18"/>
                <w:szCs w:val="18"/>
                <w:color w:val="auto"/>
              </w:rPr>
            </w:pPr>
          </w:p>
        </w:tc>
        <w:tc>
          <w:tcPr>
            <w:tcW w:w="800" w:type="dxa"/>
            <w:vAlign w:val="bottom"/>
          </w:tcPr>
          <w:p>
            <w:pPr>
              <w:jc w:val="right"/>
              <w:ind w:right="32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313</w:t>
            </w:r>
          </w:p>
        </w:tc>
        <w:tc>
          <w:tcPr>
            <w:tcW w:w="340" w:type="dxa"/>
            <w:vAlign w:val="bottom"/>
          </w:tcPr>
          <w:p>
            <w:pPr>
              <w:spacing w:after="0"/>
              <w:rPr>
                <w:sz w:val="18"/>
                <w:szCs w:val="18"/>
                <w:color w:val="auto"/>
              </w:rPr>
            </w:pPr>
          </w:p>
        </w:tc>
        <w:tc>
          <w:tcPr>
            <w:tcW w:w="1180" w:type="dxa"/>
            <w:vAlign w:val="bottom"/>
          </w:tcPr>
          <w:p>
            <w:pPr>
              <w:jc w:val="right"/>
              <w:ind w:right="378"/>
              <w:spacing w:after="0"/>
              <w:rPr>
                <w:sz w:val="20"/>
                <w:szCs w:val="20"/>
                <w:color w:val="auto"/>
              </w:rPr>
            </w:pPr>
            <w:r>
              <w:rPr>
                <w:rFonts w:ascii="Arial" w:cs="Arial" w:eastAsia="Arial" w:hAnsi="Arial"/>
                <w:sz w:val="18"/>
                <w:szCs w:val="18"/>
                <w:color w:val="auto"/>
              </w:rPr>
              <w:t>4</w:t>
            </w:r>
          </w:p>
        </w:tc>
        <w:tc>
          <w:tcPr>
            <w:tcW w:w="640" w:type="dxa"/>
            <w:vAlign w:val="bottom"/>
          </w:tcPr>
          <w:p>
            <w:pPr>
              <w:jc w:val="right"/>
              <w:ind w:right="175"/>
              <w:spacing w:after="0"/>
              <w:rPr>
                <w:sz w:val="20"/>
                <w:szCs w:val="20"/>
                <w:color w:val="auto"/>
              </w:rPr>
            </w:pPr>
            <w:r>
              <w:rPr>
                <w:rFonts w:ascii="Arial" w:cs="Arial" w:eastAsia="Arial" w:hAnsi="Arial"/>
                <w:sz w:val="18"/>
                <w:szCs w:val="18"/>
                <w:color w:val="auto"/>
              </w:rPr>
              <w:t>1.3</w:t>
            </w:r>
          </w:p>
        </w:tc>
      </w:tr>
      <w:tr>
        <w:trPr>
          <w:trHeight w:val="216"/>
        </w:trPr>
        <w:tc>
          <w:tcPr>
            <w:tcW w:w="75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2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Borders>
              <w:bottom w:val="single" w:sz="8" w:color="E5E5E5"/>
            </w:tcBorders>
            <w:shd w:val="clear" w:color="auto" w:fill="E5E5E5"/>
          </w:tcPr>
          <w:p>
            <w:pPr>
              <w:spacing w:after="0"/>
              <w:rPr>
                <w:sz w:val="18"/>
                <w:szCs w:val="18"/>
                <w:color w:val="auto"/>
              </w:rPr>
            </w:pPr>
          </w:p>
        </w:tc>
        <w:tc>
          <w:tcPr>
            <w:tcW w:w="1180" w:type="dxa"/>
            <w:vAlign w:val="bottom"/>
            <w:tcBorders>
              <w:bottom w:val="single" w:sz="8" w:color="auto"/>
            </w:tcBorders>
            <w:shd w:val="clear" w:color="auto" w:fill="E5E5E5"/>
          </w:tcPr>
          <w:p>
            <w:pPr>
              <w:jc w:val="right"/>
              <w:ind w:right="318"/>
              <w:spacing w:after="0"/>
              <w:rPr>
                <w:sz w:val="20"/>
                <w:szCs w:val="20"/>
                <w:color w:val="auto"/>
              </w:rPr>
            </w:pPr>
            <w:r>
              <w:rPr>
                <w:rFonts w:ascii="Arial" w:cs="Arial" w:eastAsia="Arial" w:hAnsi="Arial"/>
                <w:sz w:val="18"/>
                <w:szCs w:val="18"/>
                <w:color w:val="auto"/>
              </w:rPr>
              <w:t>(37)</w:t>
            </w:r>
          </w:p>
        </w:tc>
        <w:tc>
          <w:tcPr>
            <w:tcW w:w="6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89"/>
              </w:rPr>
              <w:t>(28.7)</w:t>
            </w:r>
          </w:p>
        </w:tc>
      </w:tr>
      <w:tr>
        <w:trPr>
          <w:trHeight w:val="210"/>
        </w:trPr>
        <w:tc>
          <w:tcPr>
            <w:tcW w:w="75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tcPr>
          <w:p>
            <w:pPr>
              <w:spacing w:after="0"/>
              <w:rPr>
                <w:sz w:val="18"/>
                <w:szCs w:val="18"/>
                <w:color w:val="auto"/>
              </w:rPr>
            </w:pPr>
          </w:p>
        </w:tc>
        <w:tc>
          <w:tcPr>
            <w:tcW w:w="800" w:type="dxa"/>
            <w:vAlign w:val="bottom"/>
          </w:tcPr>
          <w:p>
            <w:pPr>
              <w:jc w:val="right"/>
              <w:ind w:right="321"/>
              <w:spacing w:after="0"/>
              <w:rPr>
                <w:sz w:val="20"/>
                <w:szCs w:val="20"/>
                <w:color w:val="auto"/>
              </w:rPr>
            </w:pPr>
            <w:r>
              <w:rPr>
                <w:rFonts w:ascii="Arial" w:cs="Arial" w:eastAsia="Arial" w:hAnsi="Arial"/>
                <w:sz w:val="18"/>
                <w:szCs w:val="18"/>
                <w:color w:val="auto"/>
                <w:w w:val="84"/>
              </w:rPr>
              <w:t>1,231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1,254</w:t>
            </w:r>
          </w:p>
        </w:tc>
        <w:tc>
          <w:tcPr>
            <w:tcW w:w="340" w:type="dxa"/>
            <w:vAlign w:val="bottom"/>
          </w:tcPr>
          <w:p>
            <w:pPr>
              <w:spacing w:after="0"/>
              <w:rPr>
                <w:sz w:val="18"/>
                <w:szCs w:val="18"/>
                <w:color w:val="auto"/>
              </w:rPr>
            </w:pPr>
          </w:p>
        </w:tc>
        <w:tc>
          <w:tcPr>
            <w:tcW w:w="1180" w:type="dxa"/>
            <w:vAlign w:val="bottom"/>
          </w:tcPr>
          <w:p>
            <w:pPr>
              <w:jc w:val="right"/>
              <w:ind w:right="318"/>
              <w:spacing w:after="0"/>
              <w:rPr>
                <w:sz w:val="20"/>
                <w:szCs w:val="20"/>
                <w:color w:val="auto"/>
              </w:rPr>
            </w:pPr>
            <w:r>
              <w:rPr>
                <w:rFonts w:ascii="Arial" w:cs="Arial" w:eastAsia="Arial" w:hAnsi="Arial"/>
                <w:sz w:val="18"/>
                <w:szCs w:val="18"/>
                <w:color w:val="auto"/>
              </w:rPr>
              <w:t>(23)</w:t>
            </w:r>
          </w:p>
        </w:tc>
        <w:tc>
          <w:tcPr>
            <w:tcW w:w="640" w:type="dxa"/>
            <w:vAlign w:val="bottom"/>
          </w:tcPr>
          <w:p>
            <w:pPr>
              <w:jc w:val="right"/>
              <w:ind w:right="115"/>
              <w:spacing w:after="0"/>
              <w:rPr>
                <w:sz w:val="20"/>
                <w:szCs w:val="20"/>
                <w:color w:val="auto"/>
              </w:rPr>
            </w:pPr>
            <w:r>
              <w:rPr>
                <w:rFonts w:ascii="Arial" w:cs="Arial" w:eastAsia="Arial" w:hAnsi="Arial"/>
                <w:sz w:val="18"/>
                <w:szCs w:val="18"/>
                <w:color w:val="auto"/>
              </w:rPr>
              <w:t>(1.8)</w:t>
            </w:r>
          </w:p>
        </w:tc>
      </w:tr>
      <w:tr>
        <w:trPr>
          <w:trHeight w:val="216"/>
        </w:trPr>
        <w:tc>
          <w:tcPr>
            <w:tcW w:w="7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21"/>
              <w:spacing w:after="0"/>
              <w:rPr>
                <w:sz w:val="20"/>
                <w:szCs w:val="20"/>
                <w:color w:val="auto"/>
              </w:rPr>
            </w:pPr>
            <w:r>
              <w:rPr>
                <w:rFonts w:ascii="Arial" w:cs="Arial" w:eastAsia="Arial" w:hAnsi="Arial"/>
                <w:sz w:val="18"/>
                <w:szCs w:val="18"/>
                <w:color w:val="auto"/>
                <w:w w:val="84"/>
              </w:rPr>
              <w:t>1,314</w:t>
            </w:r>
          </w:p>
        </w:tc>
        <w:tc>
          <w:tcPr>
            <w:tcW w:w="1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4"/>
              </w:rPr>
              <w:t>1,227</w:t>
            </w:r>
          </w:p>
        </w:tc>
        <w:tc>
          <w:tcPr>
            <w:tcW w:w="340" w:type="dxa"/>
            <w:vAlign w:val="bottom"/>
            <w:tcBorders>
              <w:bottom w:val="single" w:sz="8" w:color="E5E5E5"/>
            </w:tcBorders>
            <w:shd w:val="clear" w:color="auto" w:fill="E5E5E5"/>
          </w:tcPr>
          <w:p>
            <w:pPr>
              <w:spacing w:after="0"/>
              <w:rPr>
                <w:sz w:val="18"/>
                <w:szCs w:val="18"/>
                <w:color w:val="auto"/>
              </w:rPr>
            </w:pPr>
          </w:p>
        </w:tc>
        <w:tc>
          <w:tcPr>
            <w:tcW w:w="1180" w:type="dxa"/>
            <w:vAlign w:val="bottom"/>
            <w:tcBorders>
              <w:bottom w:val="single" w:sz="8" w:color="auto"/>
            </w:tcBorders>
            <w:shd w:val="clear" w:color="auto" w:fill="E5E5E5"/>
          </w:tcPr>
          <w:p>
            <w:pPr>
              <w:jc w:val="right"/>
              <w:ind w:right="378"/>
              <w:spacing w:after="0"/>
              <w:rPr>
                <w:sz w:val="20"/>
                <w:szCs w:val="20"/>
                <w:color w:val="auto"/>
              </w:rPr>
            </w:pPr>
            <w:r>
              <w:rPr>
                <w:rFonts w:ascii="Arial" w:cs="Arial" w:eastAsia="Arial" w:hAnsi="Arial"/>
                <w:sz w:val="18"/>
                <w:szCs w:val="18"/>
                <w:color w:val="auto"/>
              </w:rPr>
              <w:t>87</w:t>
            </w:r>
          </w:p>
        </w:tc>
        <w:tc>
          <w:tcPr>
            <w:tcW w:w="64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7.1</w:t>
            </w:r>
          </w:p>
        </w:tc>
      </w:tr>
      <w:tr>
        <w:trPr>
          <w:trHeight w:val="217"/>
        </w:trPr>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(loss) before depreciation and amortization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8"/>
                <w:szCs w:val="18"/>
                <w:b w:val="1"/>
                <w:bCs w:val="1"/>
                <w:color w:val="auto"/>
              </w:rPr>
              <w:t>(83)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340" w:type="dxa"/>
            <w:vAlign w:val="bottom"/>
          </w:tcPr>
          <w:p>
            <w:pPr>
              <w:spacing w:after="0"/>
              <w:rPr>
                <w:sz w:val="18"/>
                <w:szCs w:val="18"/>
                <w:color w:val="auto"/>
              </w:rPr>
            </w:pPr>
          </w:p>
        </w:tc>
        <w:tc>
          <w:tcPr>
            <w:tcW w:w="118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b w:val="1"/>
                <w:bCs w:val="1"/>
                <w:color w:val="auto"/>
              </w:rPr>
              <w:t>$(110)</w:t>
            </w: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NM</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2012</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vMerge w:val="restart"/>
          </w:tcPr>
          <w:p>
            <w:pPr>
              <w:jc w:val="right"/>
              <w:ind w:right="495"/>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4"/>
              </w:rPr>
              <w:t>Pro Forma</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color w:val="auto"/>
                <w:w w:val="92"/>
              </w:rPr>
              <w:t>Actual</w:t>
            </w:r>
          </w:p>
        </w:tc>
        <w:tc>
          <w:tcPr>
            <w:tcW w:w="360" w:type="dxa"/>
            <w:vAlign w:val="bottom"/>
          </w:tcPr>
          <w:p>
            <w:pPr>
              <w:spacing w:after="0"/>
              <w:rPr>
                <w:sz w:val="15"/>
                <w:szCs w:val="15"/>
                <w:color w:val="auto"/>
              </w:rPr>
            </w:pPr>
          </w:p>
        </w:tc>
        <w:tc>
          <w:tcPr>
            <w:tcW w:w="900" w:type="dxa"/>
            <w:vAlign w:val="bottom"/>
          </w:tcPr>
          <w:p>
            <w:pPr>
              <w:jc w:val="center"/>
              <w:ind w:right="220"/>
              <w:spacing w:after="0"/>
              <w:rPr>
                <w:sz w:val="20"/>
                <w:szCs w:val="20"/>
                <w:color w:val="auto"/>
              </w:rPr>
            </w:pPr>
            <w:r>
              <w:rPr>
                <w:rFonts w:ascii="Arial" w:cs="Arial" w:eastAsia="Arial" w:hAnsi="Arial"/>
                <w:sz w:val="14"/>
                <w:szCs w:val="14"/>
                <w:color w:val="auto"/>
                <w:w w:val="92"/>
              </w:rPr>
              <w:t>Actual</w:t>
            </w:r>
          </w:p>
        </w:tc>
        <w:tc>
          <w:tcPr>
            <w:tcW w:w="260" w:type="dxa"/>
            <w:vAlign w:val="bottom"/>
          </w:tcPr>
          <w:p>
            <w:pPr>
              <w:spacing w:after="0"/>
              <w:rPr>
                <w:sz w:val="15"/>
                <w:szCs w:val="15"/>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color w:val="auto"/>
                <w:w w:val="87"/>
              </w:rPr>
              <w:t>Pro Forma</w:t>
            </w: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color w:val="auto"/>
                <w:w w:val="87"/>
              </w:rPr>
              <w:t>Combined</w:t>
            </w:r>
          </w:p>
        </w:tc>
        <w:tc>
          <w:tcPr>
            <w:tcW w:w="380" w:type="dxa"/>
            <w:vAlign w:val="bottom"/>
          </w:tcPr>
          <w:p>
            <w:pPr>
              <w:spacing w:after="0"/>
              <w:rPr>
                <w:sz w:val="15"/>
                <w:szCs w:val="15"/>
                <w:color w:val="auto"/>
              </w:rPr>
            </w:pPr>
          </w:p>
        </w:tc>
        <w:tc>
          <w:tcPr>
            <w:tcW w:w="1300" w:type="dxa"/>
            <w:vAlign w:val="bottom"/>
            <w:gridSpan w:val="2"/>
          </w:tcPr>
          <w:p>
            <w:pPr>
              <w:jc w:val="right"/>
              <w:ind w:right="435"/>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117"/>
              <w:spacing w:after="0" w:line="131" w:lineRule="exact"/>
              <w:rPr>
                <w:sz w:val="20"/>
                <w:szCs w:val="20"/>
                <w:color w:val="auto"/>
              </w:rPr>
            </w:pPr>
            <w:r>
              <w:rPr>
                <w:rFonts w:ascii="Arial" w:cs="Arial" w:eastAsia="Arial" w:hAnsi="Arial"/>
                <w:sz w:val="14"/>
                <w:szCs w:val="14"/>
                <w:color w:val="auto"/>
                <w:w w:val="92"/>
              </w:rPr>
              <w:t>Six</w:t>
            </w:r>
          </w:p>
        </w:tc>
        <w:tc>
          <w:tcPr>
            <w:tcW w:w="320" w:type="dxa"/>
            <w:vAlign w:val="bottom"/>
          </w:tcPr>
          <w:p>
            <w:pPr>
              <w:spacing w:after="0"/>
              <w:rPr>
                <w:sz w:val="11"/>
                <w:szCs w:val="11"/>
                <w:color w:val="auto"/>
              </w:rPr>
            </w:pPr>
          </w:p>
        </w:tc>
        <w:tc>
          <w:tcPr>
            <w:tcW w:w="126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7"/>
              </w:rPr>
              <w:t>For the period</w:t>
            </w: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17"/>
              <w:spacing w:after="0" w:line="131" w:lineRule="exact"/>
              <w:rPr>
                <w:sz w:val="20"/>
                <w:szCs w:val="20"/>
                <w:color w:val="auto"/>
              </w:rPr>
            </w:pPr>
            <w:r>
              <w:rPr>
                <w:rFonts w:ascii="Arial" w:cs="Arial" w:eastAsia="Arial" w:hAnsi="Arial"/>
                <w:sz w:val="14"/>
                <w:szCs w:val="14"/>
                <w:color w:val="auto"/>
                <w:w w:val="92"/>
              </w:rPr>
              <w:t>Six</w:t>
            </w:r>
          </w:p>
        </w:tc>
        <w:tc>
          <w:tcPr>
            <w:tcW w:w="3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1"/>
              </w:rPr>
              <w:t>Months</w:t>
            </w:r>
          </w:p>
        </w:tc>
        <w:tc>
          <w:tcPr>
            <w:tcW w:w="360" w:type="dxa"/>
            <w:vAlign w:val="bottom"/>
          </w:tcPr>
          <w:p>
            <w:pPr>
              <w:spacing w:after="0"/>
              <w:rPr>
                <w:sz w:val="12"/>
                <w:szCs w:val="12"/>
                <w:color w:val="auto"/>
              </w:rPr>
            </w:pPr>
          </w:p>
        </w:tc>
        <w:tc>
          <w:tcPr>
            <w:tcW w:w="900" w:type="dxa"/>
            <w:vAlign w:val="bottom"/>
          </w:tcPr>
          <w:p>
            <w:pPr>
              <w:jc w:val="center"/>
              <w:ind w:right="220"/>
              <w:spacing w:after="0" w:line="149" w:lineRule="exact"/>
              <w:rPr>
                <w:sz w:val="20"/>
                <w:szCs w:val="20"/>
                <w:color w:val="auto"/>
              </w:rPr>
            </w:pPr>
            <w:r>
              <w:rPr>
                <w:rFonts w:ascii="Arial" w:cs="Arial" w:eastAsia="Arial" w:hAnsi="Arial"/>
                <w:sz w:val="14"/>
                <w:szCs w:val="14"/>
                <w:color w:val="auto"/>
                <w:w w:val="86"/>
              </w:rPr>
              <w:t>January 29</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7"/>
              </w:rPr>
              <w:t>Months</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920" w:type="dxa"/>
            <w:vAlign w:val="bottom"/>
          </w:tcPr>
          <w:p>
            <w:pPr>
              <w:spacing w:after="0"/>
              <w:rPr>
                <w:sz w:val="11"/>
                <w:szCs w:val="11"/>
                <w:color w:val="auto"/>
              </w:rPr>
            </w:pPr>
          </w:p>
        </w:tc>
        <w:tc>
          <w:tcPr>
            <w:tcW w:w="1200" w:type="dxa"/>
            <w:vAlign w:val="bottom"/>
            <w:gridSpan w:val="3"/>
          </w:tcPr>
          <w:p>
            <w:pPr>
              <w:jc w:val="center"/>
              <w:ind w:right="140"/>
              <w:spacing w:after="0" w:line="133" w:lineRule="exact"/>
              <w:rPr>
                <w:sz w:val="20"/>
                <w:szCs w:val="20"/>
                <w:color w:val="auto"/>
              </w:rPr>
            </w:pPr>
            <w:r>
              <w:rPr>
                <w:rFonts w:ascii="Arial" w:cs="Arial" w:eastAsia="Arial" w:hAnsi="Arial"/>
                <w:sz w:val="14"/>
                <w:szCs w:val="14"/>
                <w:color w:val="auto"/>
                <w:w w:val="83"/>
              </w:rPr>
              <w:t>Ended</w:t>
            </w:r>
          </w:p>
        </w:tc>
        <w:tc>
          <w:tcPr>
            <w:tcW w:w="360" w:type="dxa"/>
            <w:vAlign w:val="bottom"/>
          </w:tcPr>
          <w:p>
            <w:pPr>
              <w:spacing w:after="0"/>
              <w:rPr>
                <w:sz w:val="11"/>
                <w:szCs w:val="11"/>
                <w:color w:val="auto"/>
              </w:rPr>
            </w:pPr>
          </w:p>
        </w:tc>
        <w:tc>
          <w:tcPr>
            <w:tcW w:w="900" w:type="dxa"/>
            <w:vAlign w:val="bottom"/>
          </w:tcPr>
          <w:p>
            <w:pPr>
              <w:jc w:val="center"/>
              <w:ind w:right="200"/>
              <w:spacing w:after="0" w:line="133" w:lineRule="exact"/>
              <w:rPr>
                <w:sz w:val="20"/>
                <w:szCs w:val="20"/>
                <w:color w:val="auto"/>
              </w:rPr>
            </w:pPr>
            <w:r>
              <w:rPr>
                <w:rFonts w:ascii="Arial" w:cs="Arial" w:eastAsia="Arial" w:hAnsi="Arial"/>
                <w:sz w:val="14"/>
                <w:szCs w:val="14"/>
                <w:color w:val="auto"/>
                <w:w w:val="88"/>
              </w:rPr>
              <w:t>through</w:t>
            </w:r>
          </w:p>
        </w:tc>
        <w:tc>
          <w:tcPr>
            <w:tcW w:w="1200" w:type="dxa"/>
            <w:vAlign w:val="bottom"/>
            <w:gridSpan w:val="2"/>
          </w:tcPr>
          <w:p>
            <w:pPr>
              <w:ind w:left="160"/>
              <w:spacing w:after="0" w:line="133" w:lineRule="exact"/>
              <w:rPr>
                <w:sz w:val="20"/>
                <w:szCs w:val="20"/>
                <w:color w:val="auto"/>
              </w:rPr>
            </w:pPr>
            <w:r>
              <w:rPr>
                <w:rFonts w:ascii="Arial" w:cs="Arial" w:eastAsia="Arial" w:hAnsi="Arial"/>
                <w:sz w:val="14"/>
                <w:szCs w:val="14"/>
                <w:color w:val="auto"/>
              </w:rPr>
              <w:t>NBCUniversal</w:t>
            </w:r>
          </w:p>
        </w:tc>
        <w:tc>
          <w:tcPr>
            <w:tcW w:w="260" w:type="dxa"/>
            <w:vAlign w:val="bottom"/>
          </w:tcPr>
          <w:p>
            <w:pPr>
              <w:spacing w:after="0"/>
              <w:rPr>
                <w:sz w:val="11"/>
                <w:szCs w:val="11"/>
                <w:color w:val="auto"/>
              </w:rPr>
            </w:pPr>
          </w:p>
        </w:tc>
        <w:tc>
          <w:tcPr>
            <w:tcW w:w="900" w:type="dxa"/>
            <w:vAlign w:val="bottom"/>
            <w:gridSpan w:val="2"/>
          </w:tcPr>
          <w:p>
            <w:pPr>
              <w:jc w:val="center"/>
              <w:ind w:right="520"/>
              <w:spacing w:after="0" w:line="133" w:lineRule="exact"/>
              <w:rPr>
                <w:sz w:val="20"/>
                <w:szCs w:val="20"/>
                <w:color w:val="auto"/>
              </w:rPr>
            </w:pPr>
            <w:r>
              <w:rPr>
                <w:rFonts w:ascii="Arial" w:cs="Arial" w:eastAsia="Arial" w:hAnsi="Arial"/>
                <w:sz w:val="14"/>
                <w:szCs w:val="14"/>
                <w:color w:val="auto"/>
                <w:w w:val="83"/>
              </w:rPr>
              <w:t>Ended</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20"/>
                <w:szCs w:val="20"/>
                <w:color w:val="auto"/>
              </w:rPr>
            </w:pPr>
            <w:r>
              <w:rPr>
                <w:rFonts w:ascii="Arial" w:cs="Arial" w:eastAsia="Arial" w:hAnsi="Arial"/>
                <w:sz w:val="14"/>
                <w:szCs w:val="14"/>
                <w:color w:val="auto"/>
              </w:rPr>
              <w:t>(in millions)</w:t>
            </w: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color w:val="auto"/>
                <w:w w:val="84"/>
              </w:rPr>
              <w:t>June 30</w:t>
            </w:r>
          </w:p>
        </w:tc>
        <w:tc>
          <w:tcPr>
            <w:tcW w:w="360" w:type="dxa"/>
            <w:vAlign w:val="bottom"/>
          </w:tcPr>
          <w:p>
            <w:pPr>
              <w:spacing w:after="0"/>
              <w:rPr>
                <w:sz w:val="16"/>
                <w:szCs w:val="16"/>
                <w:color w:val="auto"/>
              </w:rPr>
            </w:pPr>
          </w:p>
        </w:tc>
        <w:tc>
          <w:tcPr>
            <w:tcW w:w="900" w:type="dxa"/>
            <w:vAlign w:val="bottom"/>
          </w:tcPr>
          <w:p>
            <w:pPr>
              <w:jc w:val="center"/>
              <w:ind w:right="200"/>
              <w:spacing w:after="0" w:line="189" w:lineRule="exact"/>
              <w:rPr>
                <w:sz w:val="20"/>
                <w:szCs w:val="20"/>
                <w:color w:val="auto"/>
              </w:rPr>
            </w:pPr>
            <w:r>
              <w:rPr>
                <w:rFonts w:ascii="Arial" w:cs="Arial" w:eastAsia="Arial" w:hAnsi="Arial"/>
                <w:sz w:val="13"/>
                <w:szCs w:val="13"/>
                <w:color w:val="auto"/>
                <w:w w:val="85"/>
              </w:rPr>
              <w:t>June 30</w:t>
            </w:r>
            <w:r>
              <w:rPr>
                <w:rFonts w:ascii="Arial" w:cs="Arial" w:eastAsia="Arial" w:hAnsi="Arial"/>
                <w:sz w:val="21"/>
                <w:szCs w:val="21"/>
                <w:color w:val="auto"/>
                <w:w w:val="85"/>
                <w:vertAlign w:val="superscript"/>
              </w:rPr>
              <w:t>(a)</w:t>
            </w:r>
          </w:p>
        </w:tc>
        <w:tc>
          <w:tcPr>
            <w:tcW w:w="1200" w:type="dxa"/>
            <w:vAlign w:val="bottom"/>
            <w:gridSpan w:val="2"/>
          </w:tcPr>
          <w:p>
            <w:pPr>
              <w:jc w:val="right"/>
              <w:ind w:right="177"/>
              <w:spacing w:after="0" w:line="189" w:lineRule="exact"/>
              <w:rPr>
                <w:sz w:val="20"/>
                <w:szCs w:val="20"/>
                <w:color w:val="auto"/>
              </w:rPr>
            </w:pPr>
            <w:r>
              <w:rPr>
                <w:rFonts w:ascii="Arial" w:cs="Arial" w:eastAsia="Arial" w:hAnsi="Arial"/>
                <w:sz w:val="13"/>
                <w:szCs w:val="13"/>
                <w:color w:val="auto"/>
              </w:rPr>
              <w:t>Businesses</w:t>
            </w:r>
            <w:r>
              <w:rPr>
                <w:rFonts w:ascii="Arial" w:cs="Arial" w:eastAsia="Arial" w:hAnsi="Arial"/>
                <w:sz w:val="21"/>
                <w:szCs w:val="21"/>
                <w:color w:val="auto"/>
                <w:vertAlign w:val="superscript"/>
              </w:rPr>
              <w:t>(b)</w:t>
            </w: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color w:val="auto"/>
                <w:w w:val="84"/>
              </w:rPr>
              <w:t>June 30</w:t>
            </w:r>
          </w:p>
        </w:tc>
        <w:tc>
          <w:tcPr>
            <w:tcW w:w="380" w:type="dxa"/>
            <w:vAlign w:val="bottom"/>
          </w:tcPr>
          <w:p>
            <w:pPr>
              <w:spacing w:after="0"/>
              <w:rPr>
                <w:sz w:val="16"/>
                <w:szCs w:val="16"/>
                <w:color w:val="auto"/>
              </w:rPr>
            </w:pPr>
          </w:p>
        </w:tc>
        <w:tc>
          <w:tcPr>
            <w:tcW w:w="520" w:type="dxa"/>
            <w:vAlign w:val="bottom"/>
          </w:tcPr>
          <w:p>
            <w:pPr>
              <w:jc w:val="right"/>
              <w:ind w:right="31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E5E5E5"/>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E5E5E5"/>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766</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0"/>
              <w:spacing w:after="0"/>
              <w:rPr>
                <w:sz w:val="20"/>
                <w:szCs w:val="20"/>
                <w:color w:val="auto"/>
              </w:rPr>
            </w:pPr>
            <w:r>
              <w:rPr>
                <w:rFonts w:ascii="Arial" w:cs="Arial" w:eastAsia="Arial" w:hAnsi="Arial"/>
                <w:sz w:val="18"/>
                <w:szCs w:val="18"/>
                <w:color w:val="auto"/>
              </w:rPr>
              <w:t>620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7"/>
              <w:spacing w:after="0"/>
              <w:rPr>
                <w:sz w:val="20"/>
                <w:szCs w:val="20"/>
                <w:color w:val="auto"/>
              </w:rPr>
            </w:pPr>
            <w:r>
              <w:rPr>
                <w:rFonts w:ascii="Arial" w:cs="Arial" w:eastAsia="Arial" w:hAnsi="Arial"/>
                <w:sz w:val="18"/>
                <w:szCs w:val="18"/>
                <w:color w:val="auto"/>
              </w:rPr>
              <w:t>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678</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78"/>
              <w:spacing w:after="0"/>
              <w:rPr>
                <w:sz w:val="20"/>
                <w:szCs w:val="20"/>
                <w:color w:val="auto"/>
              </w:rPr>
            </w:pPr>
            <w:r>
              <w:rPr>
                <w:rFonts w:ascii="Arial" w:cs="Arial" w:eastAsia="Arial" w:hAnsi="Arial"/>
                <w:sz w:val="18"/>
                <w:szCs w:val="18"/>
                <w:color w:val="auto"/>
              </w:rPr>
              <w:t>88</w:t>
            </w: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759</w:t>
            </w:r>
          </w:p>
        </w:tc>
        <w:tc>
          <w:tcPr>
            <w:tcW w:w="3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530</w:t>
            </w:r>
          </w:p>
        </w:tc>
        <w:tc>
          <w:tcPr>
            <w:tcW w:w="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701</w:t>
            </w:r>
          </w:p>
        </w:tc>
        <w:tc>
          <w:tcPr>
            <w:tcW w:w="3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58</w:t>
            </w:r>
          </w:p>
        </w:tc>
        <w:tc>
          <w:tcPr>
            <w:tcW w:w="78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380" w:type="dxa"/>
            <w:vAlign w:val="bottom"/>
          </w:tcPr>
          <w:p>
            <w:pPr>
              <w:spacing w:after="0"/>
              <w:rPr>
                <w:sz w:val="18"/>
                <w:szCs w:val="18"/>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697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40"/>
              <w:spacing w:after="0"/>
              <w:rPr>
                <w:sz w:val="20"/>
                <w:szCs w:val="20"/>
                <w:color w:val="auto"/>
              </w:rPr>
            </w:pPr>
            <w:r>
              <w:rPr>
                <w:rFonts w:ascii="Arial" w:cs="Arial" w:eastAsia="Arial" w:hAnsi="Arial"/>
                <w:sz w:val="18"/>
                <w:szCs w:val="18"/>
                <w:color w:val="auto"/>
              </w:rPr>
              <w:t>520</w:t>
            </w:r>
          </w:p>
        </w:tc>
        <w:tc>
          <w:tcPr>
            <w:tcW w:w="260" w:type="dxa"/>
            <w:vAlign w:val="bottom"/>
          </w:tcPr>
          <w:p>
            <w:pPr>
              <w:spacing w:after="0"/>
              <w:rPr>
                <w:sz w:val="18"/>
                <w:szCs w:val="18"/>
                <w:color w:val="auto"/>
              </w:rPr>
            </w:pPr>
          </w:p>
        </w:tc>
        <w:tc>
          <w:tcPr>
            <w:tcW w:w="940" w:type="dxa"/>
            <w:vAlign w:val="bottom"/>
          </w:tcPr>
          <w:p>
            <w:pPr>
              <w:jc w:val="right"/>
              <w:ind w:right="137"/>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616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ind w:right="178"/>
              <w:spacing w:after="0"/>
              <w:rPr>
                <w:sz w:val="20"/>
                <w:szCs w:val="20"/>
                <w:color w:val="auto"/>
              </w:rPr>
            </w:pPr>
            <w:r>
              <w:rPr>
                <w:rFonts w:ascii="Arial" w:cs="Arial" w:eastAsia="Arial" w:hAnsi="Arial"/>
                <w:sz w:val="18"/>
                <w:szCs w:val="18"/>
                <w:color w:val="auto"/>
              </w:rPr>
              <w:t>81</w:t>
            </w: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201</w:t>
            </w:r>
          </w:p>
        </w:tc>
        <w:tc>
          <w:tcPr>
            <w:tcW w:w="320" w:type="dxa"/>
            <w:vAlign w:val="bottom"/>
            <w:tcBorders>
              <w:bottom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206</w:t>
            </w:r>
          </w:p>
        </w:tc>
        <w:tc>
          <w:tcPr>
            <w:tcW w:w="26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234</w:t>
            </w:r>
          </w:p>
        </w:tc>
        <w:tc>
          <w:tcPr>
            <w:tcW w:w="320" w:type="dxa"/>
            <w:vAlign w:val="bottom"/>
            <w:tcBorders>
              <w:bottom w:val="single" w:sz="8" w:color="E5E5E5"/>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w w:val="93"/>
              </w:rPr>
              <w:t>(33)</w:t>
            </w:r>
          </w:p>
        </w:tc>
        <w:tc>
          <w:tcPr>
            <w:tcW w:w="78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Pr>
          <w:p>
            <w:pPr>
              <w:spacing w:after="0"/>
              <w:rPr>
                <w:sz w:val="18"/>
                <w:szCs w:val="18"/>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color w:val="auto"/>
                <w:w w:val="84"/>
              </w:rPr>
              <w:t>2,423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40"/>
              <w:spacing w:after="0"/>
              <w:rPr>
                <w:sz w:val="20"/>
                <w:szCs w:val="20"/>
                <w:color w:val="auto"/>
              </w:rPr>
            </w:pPr>
            <w:r>
              <w:rPr>
                <w:rFonts w:ascii="Arial" w:cs="Arial" w:eastAsia="Arial" w:hAnsi="Arial"/>
                <w:sz w:val="18"/>
                <w:szCs w:val="18"/>
                <w:color w:val="auto"/>
              </w:rPr>
              <w:t>1,876</w:t>
            </w:r>
          </w:p>
        </w:tc>
        <w:tc>
          <w:tcPr>
            <w:tcW w:w="260" w:type="dxa"/>
            <w:vAlign w:val="bottom"/>
          </w:tcPr>
          <w:p>
            <w:pPr>
              <w:spacing w:after="0"/>
              <w:rPr>
                <w:sz w:val="18"/>
                <w:szCs w:val="18"/>
                <w:color w:val="auto"/>
              </w:rPr>
            </w:pPr>
          </w:p>
        </w:tc>
        <w:tc>
          <w:tcPr>
            <w:tcW w:w="940" w:type="dxa"/>
            <w:vAlign w:val="bottom"/>
          </w:tcPr>
          <w:p>
            <w:pPr>
              <w:jc w:val="right"/>
              <w:ind w:right="137"/>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2,229</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ind w:right="178"/>
              <w:spacing w:after="0"/>
              <w:rPr>
                <w:sz w:val="20"/>
                <w:szCs w:val="20"/>
                <w:color w:val="auto"/>
              </w:rPr>
            </w:pPr>
            <w:r>
              <w:rPr>
                <w:rFonts w:ascii="Arial" w:cs="Arial" w:eastAsia="Arial" w:hAnsi="Arial"/>
                <w:sz w:val="18"/>
                <w:szCs w:val="18"/>
                <w:color w:val="auto"/>
                <w:w w:val="79"/>
              </w:rPr>
              <w:t>194</w:t>
            </w: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3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w w:val="84"/>
              </w:rPr>
              <w:t>2,500</w:t>
            </w:r>
          </w:p>
        </w:tc>
        <w:tc>
          <w:tcPr>
            <w:tcW w:w="320" w:type="dxa"/>
            <w:vAlign w:val="bottom"/>
            <w:tcBorders>
              <w:bottom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1,992</w:t>
            </w:r>
          </w:p>
        </w:tc>
        <w:tc>
          <w:tcPr>
            <w:tcW w:w="26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356</w:t>
            </w:r>
          </w:p>
        </w:tc>
        <w:tc>
          <w:tcPr>
            <w:tcW w:w="2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2,348</w:t>
            </w:r>
          </w:p>
        </w:tc>
        <w:tc>
          <w:tcPr>
            <w:tcW w:w="320" w:type="dxa"/>
            <w:vAlign w:val="bottom"/>
            <w:tcBorders>
              <w:bottom w:val="single" w:sz="8" w:color="E5E5E5"/>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w w:val="79"/>
              </w:rPr>
              <w:t>152</w:t>
            </w:r>
          </w:p>
        </w:tc>
        <w:tc>
          <w:tcPr>
            <w:tcW w:w="78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7"/>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Operating income (loss) before depreciation and amortization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3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(116)</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32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42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Actual amounts include the results of operations for the NBCUniversal acquired businesses for the three months ended June 30, 2011 and for the period January 29, 2011 through June 30, 2011.</w:t>
      </w:r>
    </w:p>
    <w:p>
      <w:pPr>
        <w:spacing w:after="0" w:line="78"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for the period January 1, 2011 through January 28, 2011 and other pro forma adjustments that include the effects of acquisition accounting.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 Segment—Revenue</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Our Filmed Entertainment revenue decreased for the three months ended June 30, 2012 compared to the same period in 2011 primarily due to a decrease in theatrical revenue resulting from the performance of our 2012 releases, including </w:t>
      </w:r>
      <w:r>
        <w:rPr>
          <w:rFonts w:ascii="Arial" w:cs="Arial" w:eastAsia="Arial" w:hAnsi="Arial"/>
          <w:sz w:val="16"/>
          <w:szCs w:val="16"/>
          <w:i w:val="1"/>
          <w:iCs w:val="1"/>
          <w:color w:val="auto"/>
        </w:rPr>
        <w:t>Battleship</w:t>
      </w:r>
      <w:r>
        <w:rPr>
          <w:rFonts w:ascii="Arial" w:cs="Arial" w:eastAsia="Arial" w:hAnsi="Arial"/>
          <w:sz w:val="16"/>
          <w:szCs w:val="16"/>
          <w:color w:val="auto"/>
        </w:rPr>
        <w:t xml:space="preserve">, compared to the prior year, which included </w:t>
      </w:r>
      <w:r>
        <w:rPr>
          <w:rFonts w:ascii="Arial" w:cs="Arial" w:eastAsia="Arial" w:hAnsi="Arial"/>
          <w:sz w:val="16"/>
          <w:szCs w:val="16"/>
          <w:i w:val="1"/>
          <w:iCs w:val="1"/>
          <w:color w:val="auto"/>
        </w:rPr>
        <w:t>Fast Five</w:t>
      </w:r>
      <w:r>
        <w:rPr>
          <w:rFonts w:ascii="Arial" w:cs="Arial" w:eastAsia="Arial" w:hAnsi="Arial"/>
          <w:sz w:val="16"/>
          <w:szCs w:val="16"/>
          <w:color w:val="auto"/>
        </w:rPr>
        <w:t xml:space="preserve"> and </w:t>
      </w:r>
      <w:r>
        <w:rPr>
          <w:rFonts w:ascii="Arial" w:cs="Arial" w:eastAsia="Arial" w:hAnsi="Arial"/>
          <w:sz w:val="16"/>
          <w:szCs w:val="16"/>
          <w:i w:val="1"/>
          <w:iCs w:val="1"/>
          <w:color w:val="auto"/>
        </w:rPr>
        <w:t>Bridesmaids</w:t>
      </w:r>
      <w:r>
        <w:rPr>
          <w:rFonts w:ascii="Arial" w:cs="Arial" w:eastAsia="Arial" w:hAnsi="Arial"/>
          <w:sz w:val="16"/>
          <w:szCs w:val="16"/>
          <w:color w:val="auto"/>
        </w:rPr>
        <w:t>, and lower revenue from our stage plays business, which were partially offset by an increase in content licensing revenue.</w:t>
      </w:r>
    </w:p>
    <w:p>
      <w:pPr>
        <w:spacing w:after="0" w:line="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Filmed Entertainment revenue increased for the six months ended June 30, 2012 compared to the same period in 2011 primarily due to increases in theatrical and home entertainment revenue. The increase in theatrical revenue was primarily due to the performance of </w:t>
      </w:r>
      <w:r>
        <w:rPr>
          <w:rFonts w:ascii="Arial" w:cs="Arial" w:eastAsia="Arial" w:hAnsi="Arial"/>
          <w:sz w:val="18"/>
          <w:szCs w:val="18"/>
          <w:i w:val="1"/>
          <w:iCs w:val="1"/>
          <w:color w:val="auto"/>
        </w:rPr>
        <w:t>Dr. Seuss’ The Lorax</w:t>
      </w:r>
      <w:r>
        <w:rPr>
          <w:rFonts w:ascii="Arial" w:cs="Arial" w:eastAsia="Arial" w:hAnsi="Arial"/>
          <w:sz w:val="18"/>
          <w:szCs w:val="18"/>
          <w:color w:val="auto"/>
        </w:rPr>
        <w:t xml:space="preserve"> and </w:t>
      </w:r>
      <w:r>
        <w:rPr>
          <w:rFonts w:ascii="Arial" w:cs="Arial" w:eastAsia="Arial" w:hAnsi="Arial"/>
          <w:sz w:val="18"/>
          <w:szCs w:val="18"/>
          <w:i w:val="1"/>
          <w:iCs w:val="1"/>
          <w:color w:val="auto"/>
        </w:rPr>
        <w:t>Safe House,</w:t>
      </w:r>
      <w:r>
        <w:rPr>
          <w:rFonts w:ascii="Arial" w:cs="Arial" w:eastAsia="Arial" w:hAnsi="Arial"/>
          <w:sz w:val="18"/>
          <w:szCs w:val="18"/>
          <w:color w:val="auto"/>
        </w:rPr>
        <w:t xml:space="preserve"> which were released in the first quarter of 2012. The increase in home entertainment revenue was primarily due to an increase in the number of titles released in 2012, which included </w:t>
      </w:r>
      <w:r>
        <w:rPr>
          <w:rFonts w:ascii="Arial" w:cs="Arial" w:eastAsia="Arial" w:hAnsi="Arial"/>
          <w:sz w:val="18"/>
          <w:szCs w:val="18"/>
          <w:i w:val="1"/>
          <w:iCs w:val="1"/>
          <w:color w:val="auto"/>
        </w:rPr>
        <w:t>Hop, Tower Heist</w:t>
      </w:r>
      <w:r>
        <w:rPr>
          <w:rFonts w:ascii="Arial" w:cs="Arial" w:eastAsia="Arial" w:hAnsi="Arial"/>
          <w:sz w:val="18"/>
          <w:szCs w:val="18"/>
          <w:color w:val="auto"/>
        </w:rPr>
        <w:t xml:space="preserve"> and </w:t>
      </w:r>
      <w:r>
        <w:rPr>
          <w:rFonts w:ascii="Arial" w:cs="Arial" w:eastAsia="Arial" w:hAnsi="Arial"/>
          <w:sz w:val="18"/>
          <w:szCs w:val="18"/>
          <w:i w:val="1"/>
          <w:iCs w:val="1"/>
          <w:color w:val="auto"/>
        </w:rPr>
        <w:t>Safe House</w:t>
      </w:r>
      <w:r>
        <w:rPr>
          <w:rFonts w:ascii="Arial" w:cs="Arial" w:eastAsia="Arial" w:hAnsi="Arial"/>
          <w:sz w:val="18"/>
          <w:szCs w:val="18"/>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 Segment—Operating Costs and Expenses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operating costs and expenses increased for the three months ended June 30, 2012 compared to the same period in 2011 primarily due to higher marketing costs associated with promoting our theatrical releases in the second quarter of 2012 and increases in the amortization of film costs associated with our 2012 slate, including the impact from the underperformance of </w:t>
      </w:r>
      <w:r>
        <w:rPr>
          <w:rFonts w:ascii="Arial" w:cs="Arial" w:eastAsia="Arial" w:hAnsi="Arial"/>
          <w:sz w:val="18"/>
          <w:szCs w:val="18"/>
          <w:i w:val="1"/>
          <w:iCs w:val="1"/>
          <w:color w:val="auto"/>
        </w:rPr>
        <w:t>Battleship</w:t>
      </w:r>
      <w:r>
        <w:rPr>
          <w:rFonts w:ascii="Arial" w:cs="Arial" w:eastAsia="Arial" w:hAnsi="Arial"/>
          <w:sz w:val="18"/>
          <w:szCs w:val="18"/>
          <w:color w:val="auto"/>
        </w:rPr>
        <w:t>.</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operating costs and expenses increased for the six months ended June 30, 2012 compared to the same period in 2011 primarily due to higher amortization of film costs resulting from the corresponding increase in theatrical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58" w:lineRule="auto"/>
        <w:rPr>
          <w:sz w:val="20"/>
          <w:szCs w:val="20"/>
          <w:color w:val="auto"/>
        </w:rPr>
      </w:pPr>
      <w:r>
        <w:rPr>
          <w:rFonts w:ascii="Arial" w:cs="Arial" w:eastAsia="Arial" w:hAnsi="Arial"/>
          <w:sz w:val="18"/>
          <w:szCs w:val="18"/>
          <w:color w:val="auto"/>
        </w:rPr>
        <w:t xml:space="preserve">revenue and the underperformance of </w:t>
      </w:r>
      <w:r>
        <w:rPr>
          <w:rFonts w:ascii="Arial" w:cs="Arial" w:eastAsia="Arial" w:hAnsi="Arial"/>
          <w:sz w:val="18"/>
          <w:szCs w:val="18"/>
          <w:i w:val="1"/>
          <w:iCs w:val="1"/>
          <w:color w:val="auto"/>
        </w:rPr>
        <w:t>Battleship</w:t>
      </w:r>
      <w:r>
        <w:rPr>
          <w:rFonts w:ascii="Arial" w:cs="Arial" w:eastAsia="Arial" w:hAnsi="Arial"/>
          <w:sz w:val="18"/>
          <w:szCs w:val="18"/>
          <w:color w:val="auto"/>
        </w:rPr>
        <w:t xml:space="preserve">, as well as an increase in marketing costs associated with our 2012 theatrical and home entertainment releases. </w:t>
      </w:r>
      <w:r>
        <w:rPr>
          <w:rFonts w:ascii="Arial" w:cs="Arial" w:eastAsia="Arial" w:hAnsi="Arial"/>
          <w:sz w:val="18"/>
          <w:szCs w:val="18"/>
          <w:b w:val="1"/>
          <w:bCs w:val="1"/>
          <w:color w:val="auto"/>
        </w:rPr>
        <w:t>Theme Parks Segment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Actual and Pro Forma Results of Operations</w:t>
      </w: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gridSpan w:val="5"/>
          </w:tcPr>
          <w:p>
            <w:pPr>
              <w:ind w:left="20"/>
              <w:spacing w:after="0"/>
              <w:rPr>
                <w:sz w:val="20"/>
                <w:szCs w:val="20"/>
                <w:color w:val="auto"/>
              </w:rPr>
            </w:pPr>
            <w:r>
              <w:rPr>
                <w:rFonts w:ascii="Arial" w:cs="Arial" w:eastAsia="Arial" w:hAnsi="Arial"/>
                <w:sz w:val="14"/>
                <w:szCs w:val="14"/>
                <w:color w:val="auto"/>
              </w:rPr>
              <w:t>Actual</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1"/>
        </w:trPr>
        <w:tc>
          <w:tcPr>
            <w:tcW w:w="5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center"/>
              <w:ind w:right="400"/>
              <w:spacing w:after="0" w:line="131" w:lineRule="exact"/>
              <w:rPr>
                <w:sz w:val="20"/>
                <w:szCs w:val="20"/>
                <w:color w:val="auto"/>
              </w:rPr>
            </w:pPr>
            <w:r>
              <w:rPr>
                <w:rFonts w:ascii="Arial" w:cs="Arial" w:eastAsia="Arial" w:hAnsi="Arial"/>
                <w:sz w:val="14"/>
                <w:szCs w:val="14"/>
                <w:color w:val="auto"/>
                <w:w w:val="87"/>
              </w:rPr>
              <w:t>Three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5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6"/>
          </w:tcPr>
          <w:p>
            <w:pPr>
              <w:jc w:val="center"/>
              <w:ind w:right="100"/>
              <w:spacing w:after="0" w:line="149" w:lineRule="exact"/>
              <w:rPr>
                <w:sz w:val="20"/>
                <w:szCs w:val="20"/>
                <w:color w:val="auto"/>
              </w:rPr>
            </w:pPr>
            <w:r>
              <w:rPr>
                <w:rFonts w:ascii="Arial" w:cs="Arial" w:eastAsia="Arial" w:hAnsi="Arial"/>
                <w:sz w:val="14"/>
                <w:szCs w:val="14"/>
                <w:color w:val="auto"/>
                <w:w w:val="91"/>
              </w:rPr>
              <w:t>Months</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5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gridSpan w:val="5"/>
          </w:tcPr>
          <w:p>
            <w:pPr>
              <w:ind w:left="20"/>
              <w:spacing w:after="0" w:line="149" w:lineRule="exact"/>
              <w:rPr>
                <w:sz w:val="20"/>
                <w:szCs w:val="20"/>
                <w:color w:val="auto"/>
              </w:rPr>
            </w:pPr>
            <w:r>
              <w:rPr>
                <w:rFonts w:ascii="Arial" w:cs="Arial" w:eastAsia="Arial" w:hAnsi="Arial"/>
                <w:sz w:val="14"/>
                <w:szCs w:val="14"/>
                <w:color w:val="auto"/>
              </w:rPr>
              <w:t>Ended</w:t>
            </w:r>
          </w:p>
        </w:tc>
        <w:tc>
          <w:tcPr>
            <w:tcW w:w="240" w:type="dxa"/>
            <w:vAlign w:val="bottom"/>
          </w:tcPr>
          <w:p>
            <w:pPr>
              <w:spacing w:after="0"/>
              <w:rPr>
                <w:sz w:val="12"/>
                <w:szCs w:val="12"/>
                <w:color w:val="auto"/>
              </w:rPr>
            </w:pPr>
          </w:p>
        </w:tc>
        <w:tc>
          <w:tcPr>
            <w:tcW w:w="1420" w:type="dxa"/>
            <w:vAlign w:val="bottom"/>
            <w:gridSpan w:val="2"/>
          </w:tcPr>
          <w:p>
            <w:pPr>
              <w:jc w:val="center"/>
              <w:ind w:right="57"/>
              <w:spacing w:after="0" w:line="149" w:lineRule="exact"/>
              <w:rPr>
                <w:sz w:val="20"/>
                <w:szCs w:val="20"/>
                <w:color w:val="auto"/>
              </w:rPr>
            </w:pPr>
            <w:r>
              <w:rPr>
                <w:rFonts w:ascii="Arial" w:cs="Arial" w:eastAsia="Arial" w:hAnsi="Arial"/>
                <w:sz w:val="14"/>
                <w:szCs w:val="14"/>
                <w:color w:val="auto"/>
                <w:w w:val="83"/>
              </w:rPr>
              <w:t>Increase/</w:t>
            </w:r>
          </w:p>
        </w:tc>
      </w:tr>
      <w:tr>
        <w:trPr>
          <w:trHeight w:val="172"/>
        </w:trPr>
        <w:tc>
          <w:tcPr>
            <w:tcW w:w="5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6"/>
          </w:tcPr>
          <w:p>
            <w:pPr>
              <w:jc w:val="center"/>
              <w:ind w:right="100"/>
              <w:spacing w:after="0"/>
              <w:rPr>
                <w:sz w:val="20"/>
                <w:szCs w:val="20"/>
                <w:color w:val="auto"/>
              </w:rPr>
            </w:pPr>
            <w:r>
              <w:rPr>
                <w:rFonts w:ascii="Arial" w:cs="Arial" w:eastAsia="Arial" w:hAnsi="Arial"/>
                <w:sz w:val="14"/>
                <w:szCs w:val="14"/>
                <w:color w:val="auto"/>
                <w:w w:val="84"/>
              </w:rPr>
              <w:t>June 30</w:t>
            </w:r>
          </w:p>
        </w:tc>
        <w:tc>
          <w:tcPr>
            <w:tcW w:w="240" w:type="dxa"/>
            <w:vAlign w:val="bottom"/>
          </w:tcPr>
          <w:p>
            <w:pPr>
              <w:spacing w:after="0"/>
              <w:rPr>
                <w:sz w:val="14"/>
                <w:szCs w:val="14"/>
                <w:color w:val="auto"/>
              </w:rPr>
            </w:pPr>
          </w:p>
        </w:tc>
        <w:tc>
          <w:tcPr>
            <w:tcW w:w="1420" w:type="dxa"/>
            <w:vAlign w:val="bottom"/>
            <w:gridSpan w:val="2"/>
          </w:tcPr>
          <w:p>
            <w:pPr>
              <w:jc w:val="center"/>
              <w:ind w:right="77"/>
              <w:spacing w:after="0"/>
              <w:rPr>
                <w:sz w:val="20"/>
                <w:szCs w:val="20"/>
                <w:color w:val="auto"/>
              </w:rPr>
            </w:pPr>
            <w:r>
              <w:rPr>
                <w:rFonts w:ascii="Arial" w:cs="Arial" w:eastAsia="Arial" w:hAnsi="Arial"/>
                <w:sz w:val="14"/>
                <w:szCs w:val="14"/>
                <w:color w:val="auto"/>
                <w:w w:val="83"/>
              </w:rPr>
              <w:t>(Decrease)</w:t>
            </w:r>
          </w:p>
        </w:tc>
      </w:tr>
      <w:tr>
        <w:trPr>
          <w:trHeight w:val="143"/>
        </w:trPr>
        <w:tc>
          <w:tcPr>
            <w:tcW w:w="51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2012</w:t>
            </w: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ind w:left="240"/>
              <w:spacing w:after="0" w:line="142" w:lineRule="exact"/>
              <w:rPr>
                <w:sz w:val="20"/>
                <w:szCs w:val="20"/>
                <w:color w:val="auto"/>
              </w:rPr>
            </w:pPr>
            <w:r>
              <w:rPr>
                <w:rFonts w:ascii="Arial" w:cs="Arial" w:eastAsia="Arial" w:hAnsi="Arial"/>
                <w:sz w:val="11"/>
                <w:szCs w:val="11"/>
                <w:color w:val="auto"/>
              </w:rPr>
              <w:t>2011</w:t>
            </w:r>
            <w:r>
              <w:rPr>
                <w:rFonts w:ascii="Arial" w:cs="Arial" w:eastAsia="Arial" w:hAnsi="Arial"/>
                <w:sz w:val="16"/>
                <w:szCs w:val="16"/>
                <w:color w:val="auto"/>
                <w:vertAlign w:val="superscript"/>
              </w:rPr>
              <w:t>(a)</w:t>
            </w:r>
          </w:p>
        </w:tc>
        <w:tc>
          <w:tcPr>
            <w:tcW w:w="200" w:type="dxa"/>
            <w:vAlign w:val="bottom"/>
            <w:tcBorders>
              <w:bottom w:val="single" w:sz="8" w:color="E5E5E5"/>
            </w:tcBorders>
          </w:tcPr>
          <w:p>
            <w:pPr>
              <w:spacing w:after="0"/>
              <w:rPr>
                <w:sz w:val="12"/>
                <w:szCs w:val="12"/>
                <w:color w:val="auto"/>
              </w:rPr>
            </w:pPr>
          </w:p>
        </w:tc>
        <w:tc>
          <w:tcPr>
            <w:tcW w:w="160" w:type="dxa"/>
            <w:vAlign w:val="bottom"/>
            <w:tcBorders>
              <w:bottom w:val="single" w:sz="8" w:color="E5E5E5"/>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81"/>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ind w:left="300"/>
              <w:spacing w:after="0" w:line="143" w:lineRule="exact"/>
              <w:rPr>
                <w:sz w:val="20"/>
                <w:szCs w:val="20"/>
                <w:color w:val="auto"/>
              </w:rPr>
            </w:pPr>
            <w:r>
              <w:rPr>
                <w:rFonts w:ascii="Arial" w:cs="Arial" w:eastAsia="Arial" w:hAnsi="Arial"/>
                <w:sz w:val="14"/>
                <w:szCs w:val="14"/>
                <w:color w:val="auto"/>
              </w:rPr>
              <w:t>%</w:t>
            </w:r>
          </w:p>
        </w:tc>
      </w:tr>
      <w:tr>
        <w:trPr>
          <w:trHeight w:val="210"/>
        </w:trPr>
        <w:tc>
          <w:tcPr>
            <w:tcW w:w="51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E5E5E5"/>
          </w:tcPr>
          <w:p>
            <w:pPr>
              <w:spacing w:after="0"/>
              <w:rPr>
                <w:sz w:val="18"/>
                <w:szCs w:val="18"/>
                <w:color w:val="auto"/>
              </w:rPr>
            </w:pPr>
          </w:p>
        </w:tc>
        <w:tc>
          <w:tcPr>
            <w:tcW w:w="6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$ 521</w:t>
            </w: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1"/>
              <w:spacing w:after="0"/>
              <w:rPr>
                <w:sz w:val="20"/>
                <w:szCs w:val="20"/>
                <w:color w:val="auto"/>
              </w:rPr>
            </w:pPr>
            <w:r>
              <w:rPr>
                <w:rFonts w:ascii="Arial" w:cs="Arial" w:eastAsia="Arial" w:hAnsi="Arial"/>
                <w:sz w:val="18"/>
                <w:szCs w:val="18"/>
                <w:color w:val="auto"/>
              </w:rPr>
              <w:t>$ 18</w:t>
            </w:r>
          </w:p>
        </w:tc>
        <w:tc>
          <w:tcPr>
            <w:tcW w:w="7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3.4%</w:t>
            </w:r>
          </w:p>
        </w:tc>
      </w:t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296</w:t>
            </w:r>
          </w:p>
        </w:tc>
        <w:tc>
          <w:tcPr>
            <w:tcW w:w="200" w:type="dxa"/>
            <w:vAlign w:val="bottom"/>
            <w:tcBorders>
              <w:bottom w:val="single" w:sz="8" w:color="E5E5E5"/>
            </w:tcBorders>
          </w:tcPr>
          <w:p>
            <w:pPr>
              <w:spacing w:after="0"/>
              <w:rPr>
                <w:sz w:val="18"/>
                <w:szCs w:val="18"/>
                <w:color w:val="auto"/>
              </w:rPr>
            </w:pPr>
          </w:p>
        </w:tc>
        <w:tc>
          <w:tcPr>
            <w:tcW w:w="160" w:type="dxa"/>
            <w:vAlign w:val="bottom"/>
            <w:tcBorders>
              <w:bottom w:val="single" w:sz="8" w:color="E5E5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color w:val="auto"/>
              </w:rPr>
              <w:t>8</w:t>
            </w: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2.7</w:t>
            </w:r>
          </w:p>
        </w:tc>
      </w:tr>
      <w:tr>
        <w:trPr>
          <w:trHeight w:val="217"/>
        </w:trPr>
        <w:tc>
          <w:tcPr>
            <w:tcW w:w="5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76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$235</w:t>
            </w:r>
          </w:p>
        </w:tc>
        <w:tc>
          <w:tcPr>
            <w:tcW w:w="1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$ 225</w:t>
            </w:r>
          </w:p>
        </w:tc>
        <w:tc>
          <w:tcPr>
            <w:tcW w:w="200" w:type="dxa"/>
            <w:vAlign w:val="bottom"/>
            <w:tcBorders>
              <w:bottom w:val="single" w:sz="8" w:color="E5E5E5"/>
            </w:tcBorders>
            <w:shd w:val="clear" w:color="auto" w:fill="E5E5E5"/>
          </w:tcPr>
          <w:p>
            <w:pPr>
              <w:spacing w:after="0"/>
              <w:rPr>
                <w:sz w:val="18"/>
                <w:szCs w:val="18"/>
                <w:color w:val="auto"/>
              </w:rPr>
            </w:pPr>
          </w:p>
        </w:tc>
        <w:tc>
          <w:tcPr>
            <w:tcW w:w="160" w:type="dxa"/>
            <w:vAlign w:val="bottom"/>
            <w:tcBorders>
              <w:bottom w:val="single" w:sz="8" w:color="E5E5E5"/>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1"/>
              <w:spacing w:after="0"/>
              <w:rPr>
                <w:sz w:val="20"/>
                <w:szCs w:val="20"/>
                <w:color w:val="auto"/>
              </w:rPr>
            </w:pPr>
            <w:r>
              <w:rPr>
                <w:rFonts w:ascii="Arial" w:cs="Arial" w:eastAsia="Arial" w:hAnsi="Arial"/>
                <w:sz w:val="18"/>
                <w:szCs w:val="18"/>
                <w:b w:val="1"/>
                <w:bCs w:val="1"/>
                <w:color w:val="auto"/>
              </w:rPr>
              <w:t>$ 10</w:t>
            </w:r>
          </w:p>
        </w:tc>
        <w:tc>
          <w:tcPr>
            <w:tcW w:w="7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4.2%</w:t>
            </w:r>
          </w:p>
        </w:tc>
      </w:tr>
      <w:tr>
        <w:trPr>
          <w:trHeight w:val="216"/>
        </w:trPr>
        <w:tc>
          <w:tcPr>
            <w:tcW w:w="5140" w:type="dxa"/>
            <w:vAlign w:val="bottom"/>
          </w:tcPr>
          <w:p>
            <w:pPr>
              <w:spacing w:after="0"/>
              <w:rPr>
                <w:sz w:val="18"/>
                <w:szCs w:val="18"/>
                <w:color w:val="auto"/>
              </w:rPr>
            </w:pPr>
          </w:p>
        </w:tc>
        <w:tc>
          <w:tcPr>
            <w:tcW w:w="760" w:type="dxa"/>
            <w:vAlign w:val="bottom"/>
            <w:tcBorders>
              <w:bottom w:val="single" w:sz="8" w:color="auto"/>
            </w:tcBorders>
          </w:tcPr>
          <w:p>
            <w:pPr>
              <w:jc w:val="center"/>
              <w:ind w:left="146"/>
              <w:spacing w:after="0"/>
              <w:rPr>
                <w:sz w:val="20"/>
                <w:szCs w:val="20"/>
                <w:color w:val="auto"/>
              </w:rPr>
            </w:pPr>
            <w:r>
              <w:rPr>
                <w:rFonts w:ascii="Arial" w:cs="Arial" w:eastAsia="Arial" w:hAnsi="Arial"/>
                <w:sz w:val="14"/>
                <w:szCs w:val="14"/>
                <w:color w:val="auto"/>
                <w:w w:val="83"/>
              </w:rPr>
              <w:t>2012</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372"/>
              <w:spacing w:after="0"/>
              <w:rPr>
                <w:sz w:val="20"/>
                <w:szCs w:val="20"/>
                <w:color w:val="auto"/>
              </w:rPr>
            </w:pPr>
            <w:r>
              <w:rPr>
                <w:rFonts w:ascii="Arial" w:cs="Arial" w:eastAsia="Arial" w:hAnsi="Arial"/>
                <w:sz w:val="14"/>
                <w:szCs w:val="14"/>
                <w:color w:val="auto"/>
                <w:w w:val="89"/>
              </w:rPr>
              <w:t>2011</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31"/>
        </w:trPr>
        <w:tc>
          <w:tcPr>
            <w:tcW w:w="5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93"/>
              </w:rPr>
              <w:t>Pro Forma</w:t>
            </w:r>
          </w:p>
        </w:tc>
        <w:tc>
          <w:tcPr>
            <w:tcW w:w="500" w:type="dxa"/>
            <w:vAlign w:val="bottom"/>
            <w:gridSpan w:val="3"/>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3"/>
        </w:trPr>
        <w:tc>
          <w:tcPr>
            <w:tcW w:w="514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Actual</w:t>
            </w:r>
          </w:p>
        </w:tc>
        <w:tc>
          <w:tcPr>
            <w:tcW w:w="380" w:type="dxa"/>
            <w:vAlign w:val="bottom"/>
          </w:tcPr>
          <w:p>
            <w:pPr>
              <w:spacing w:after="0"/>
              <w:rPr>
                <w:sz w:val="15"/>
                <w:szCs w:val="15"/>
                <w:color w:val="auto"/>
              </w:rPr>
            </w:pPr>
          </w:p>
        </w:tc>
        <w:tc>
          <w:tcPr>
            <w:tcW w:w="680" w:type="dxa"/>
            <w:vAlign w:val="bottom"/>
          </w:tcPr>
          <w:p>
            <w:pPr>
              <w:jc w:val="center"/>
              <w:ind w:right="164"/>
              <w:spacing w:after="0"/>
              <w:rPr>
                <w:sz w:val="20"/>
                <w:szCs w:val="20"/>
                <w:color w:val="auto"/>
              </w:rPr>
            </w:pPr>
            <w:r>
              <w:rPr>
                <w:rFonts w:ascii="Arial" w:cs="Arial" w:eastAsia="Arial" w:hAnsi="Arial"/>
                <w:sz w:val="14"/>
                <w:szCs w:val="14"/>
                <w:color w:val="auto"/>
                <w:w w:val="92"/>
              </w:rPr>
              <w:t>Actual</w:t>
            </w:r>
          </w:p>
        </w:tc>
        <w:tc>
          <w:tcPr>
            <w:tcW w:w="280" w:type="dxa"/>
            <w:vAlign w:val="bottom"/>
          </w:tcPr>
          <w:p>
            <w:pPr>
              <w:spacing w:after="0"/>
              <w:rPr>
                <w:sz w:val="15"/>
                <w:szCs w:val="15"/>
                <w:color w:val="auto"/>
              </w:rPr>
            </w:pPr>
          </w:p>
        </w:tc>
        <w:tc>
          <w:tcPr>
            <w:tcW w:w="1040" w:type="dxa"/>
            <w:vAlign w:val="bottom"/>
            <w:gridSpan w:val="2"/>
          </w:tcPr>
          <w:p>
            <w:pPr>
              <w:jc w:val="center"/>
              <w:ind w:right="352"/>
              <w:spacing w:after="0"/>
              <w:rPr>
                <w:sz w:val="20"/>
                <w:szCs w:val="20"/>
                <w:color w:val="auto"/>
              </w:rPr>
            </w:pPr>
            <w:r>
              <w:rPr>
                <w:rFonts w:ascii="Arial" w:cs="Arial" w:eastAsia="Arial" w:hAnsi="Arial"/>
                <w:sz w:val="14"/>
                <w:szCs w:val="14"/>
                <w:color w:val="auto"/>
                <w:w w:val="87"/>
              </w:rPr>
              <w:t>Pro Forma</w:t>
            </w:r>
          </w:p>
        </w:tc>
        <w:tc>
          <w:tcPr>
            <w:tcW w:w="1160" w:type="dxa"/>
            <w:vAlign w:val="bottom"/>
            <w:gridSpan w:val="5"/>
          </w:tcPr>
          <w:p>
            <w:pPr>
              <w:ind w:left="40"/>
              <w:spacing w:after="0"/>
              <w:rPr>
                <w:sz w:val="20"/>
                <w:szCs w:val="20"/>
                <w:color w:val="auto"/>
              </w:rPr>
            </w:pPr>
            <w:r>
              <w:rPr>
                <w:rFonts w:ascii="Arial" w:cs="Arial" w:eastAsia="Arial" w:hAnsi="Arial"/>
                <w:sz w:val="14"/>
                <w:szCs w:val="14"/>
                <w:color w:val="auto"/>
              </w:rPr>
              <w:t>Combined</w:t>
            </w:r>
          </w:p>
        </w:tc>
        <w:tc>
          <w:tcPr>
            <w:tcW w:w="240" w:type="dxa"/>
            <w:vAlign w:val="bottom"/>
          </w:tcPr>
          <w:p>
            <w:pPr>
              <w:spacing w:after="0"/>
              <w:rPr>
                <w:sz w:val="15"/>
                <w:szCs w:val="15"/>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Increase/(Decrease)</w:t>
            </w:r>
          </w:p>
        </w:tc>
      </w:tr>
      <w:tr>
        <w:trPr>
          <w:trHeight w:val="131"/>
        </w:trPr>
        <w:tc>
          <w:tcPr>
            <w:tcW w:w="5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184"/>
              <w:spacing w:after="0" w:line="131" w:lineRule="exact"/>
              <w:rPr>
                <w:sz w:val="20"/>
                <w:szCs w:val="20"/>
                <w:color w:val="auto"/>
              </w:rPr>
            </w:pPr>
            <w:r>
              <w:rPr>
                <w:rFonts w:ascii="Arial" w:cs="Arial" w:eastAsia="Arial" w:hAnsi="Arial"/>
                <w:sz w:val="14"/>
                <w:szCs w:val="14"/>
                <w:color w:val="auto"/>
                <w:w w:val="85"/>
              </w:rPr>
              <w:t>For the</w:t>
            </w:r>
          </w:p>
        </w:tc>
        <w:tc>
          <w:tcPr>
            <w:tcW w:w="2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49"/>
        </w:trPr>
        <w:tc>
          <w:tcPr>
            <w:tcW w:w="514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Six</w:t>
            </w:r>
          </w:p>
        </w:tc>
        <w:tc>
          <w:tcPr>
            <w:tcW w:w="380" w:type="dxa"/>
            <w:vAlign w:val="bottom"/>
          </w:tcPr>
          <w:p>
            <w:pPr>
              <w:spacing w:after="0"/>
              <w:rPr>
                <w:sz w:val="12"/>
                <w:szCs w:val="12"/>
                <w:color w:val="auto"/>
              </w:rPr>
            </w:pPr>
          </w:p>
        </w:tc>
        <w:tc>
          <w:tcPr>
            <w:tcW w:w="680" w:type="dxa"/>
            <w:vAlign w:val="bottom"/>
          </w:tcPr>
          <w:p>
            <w:pPr>
              <w:jc w:val="center"/>
              <w:ind w:right="184"/>
              <w:spacing w:after="0" w:line="149" w:lineRule="exact"/>
              <w:rPr>
                <w:sz w:val="20"/>
                <w:szCs w:val="20"/>
                <w:color w:val="auto"/>
              </w:rPr>
            </w:pPr>
            <w:r>
              <w:rPr>
                <w:rFonts w:ascii="Arial" w:cs="Arial" w:eastAsia="Arial" w:hAnsi="Arial"/>
                <w:sz w:val="14"/>
                <w:szCs w:val="14"/>
                <w:color w:val="auto"/>
                <w:w w:val="87"/>
              </w:rPr>
              <w:t>period</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660"/>
              <w:spacing w:after="0" w:line="149" w:lineRule="exact"/>
              <w:rPr>
                <w:sz w:val="20"/>
                <w:szCs w:val="20"/>
                <w:color w:val="auto"/>
              </w:rPr>
            </w:pPr>
            <w:r>
              <w:rPr>
                <w:rFonts w:ascii="Arial" w:cs="Arial" w:eastAsia="Arial" w:hAnsi="Arial"/>
                <w:sz w:val="14"/>
                <w:szCs w:val="14"/>
                <w:color w:val="auto"/>
                <w:w w:val="92"/>
              </w:rPr>
              <w:t>Six</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514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Months</w:t>
            </w:r>
          </w:p>
        </w:tc>
        <w:tc>
          <w:tcPr>
            <w:tcW w:w="1060" w:type="dxa"/>
            <w:vAlign w:val="bottom"/>
            <w:gridSpan w:val="2"/>
          </w:tcPr>
          <w:p>
            <w:pPr>
              <w:jc w:val="center"/>
              <w:ind w:left="43"/>
              <w:spacing w:after="0" w:line="149" w:lineRule="exact"/>
              <w:rPr>
                <w:sz w:val="20"/>
                <w:szCs w:val="20"/>
                <w:color w:val="auto"/>
              </w:rPr>
            </w:pPr>
            <w:r>
              <w:rPr>
                <w:rFonts w:ascii="Arial" w:cs="Arial" w:eastAsia="Arial" w:hAnsi="Arial"/>
                <w:sz w:val="14"/>
                <w:szCs w:val="14"/>
                <w:color w:val="auto"/>
                <w:w w:val="83"/>
              </w:rPr>
              <w:t>January 29</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gridSpan w:val="5"/>
          </w:tcPr>
          <w:p>
            <w:pPr>
              <w:jc w:val="center"/>
              <w:ind w:right="540"/>
              <w:spacing w:after="0" w:line="149" w:lineRule="exact"/>
              <w:rPr>
                <w:sz w:val="20"/>
                <w:szCs w:val="20"/>
                <w:color w:val="auto"/>
              </w:rPr>
            </w:pPr>
            <w:r>
              <w:rPr>
                <w:rFonts w:ascii="Arial" w:cs="Arial" w:eastAsia="Arial" w:hAnsi="Arial"/>
                <w:sz w:val="14"/>
                <w:szCs w:val="14"/>
                <w:color w:val="auto"/>
                <w:w w:val="91"/>
              </w:rPr>
              <w:t>Months</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2"/>
        </w:trPr>
        <w:tc>
          <w:tcPr>
            <w:tcW w:w="5140" w:type="dxa"/>
            <w:vAlign w:val="bottom"/>
          </w:tcPr>
          <w:p>
            <w:pPr>
              <w:spacing w:after="0"/>
              <w:rPr>
                <w:sz w:val="11"/>
                <w:szCs w:val="11"/>
                <w:color w:val="auto"/>
              </w:rPr>
            </w:pPr>
          </w:p>
        </w:tc>
        <w:tc>
          <w:tcPr>
            <w:tcW w:w="1080" w:type="dxa"/>
            <w:vAlign w:val="bottom"/>
            <w:gridSpan w:val="2"/>
          </w:tcPr>
          <w:p>
            <w:pPr>
              <w:jc w:val="center"/>
              <w:ind w:right="100"/>
              <w:spacing w:after="0" w:line="133" w:lineRule="exact"/>
              <w:rPr>
                <w:sz w:val="20"/>
                <w:szCs w:val="20"/>
                <w:color w:val="auto"/>
              </w:rPr>
            </w:pPr>
            <w:r>
              <w:rPr>
                <w:rFonts w:ascii="Arial" w:cs="Arial" w:eastAsia="Arial" w:hAnsi="Arial"/>
                <w:sz w:val="14"/>
                <w:szCs w:val="14"/>
                <w:color w:val="auto"/>
                <w:w w:val="83"/>
              </w:rPr>
              <w:t>Ended</w:t>
            </w:r>
          </w:p>
        </w:tc>
        <w:tc>
          <w:tcPr>
            <w:tcW w:w="380" w:type="dxa"/>
            <w:vAlign w:val="bottom"/>
          </w:tcPr>
          <w:p>
            <w:pPr>
              <w:spacing w:after="0"/>
              <w:rPr>
                <w:sz w:val="11"/>
                <w:szCs w:val="11"/>
                <w:color w:val="auto"/>
              </w:rPr>
            </w:pPr>
          </w:p>
        </w:tc>
        <w:tc>
          <w:tcPr>
            <w:tcW w:w="680" w:type="dxa"/>
            <w:vAlign w:val="bottom"/>
          </w:tcPr>
          <w:p>
            <w:pPr>
              <w:jc w:val="center"/>
              <w:ind w:right="184"/>
              <w:spacing w:after="0" w:line="133" w:lineRule="exact"/>
              <w:rPr>
                <w:sz w:val="20"/>
                <w:szCs w:val="20"/>
                <w:color w:val="auto"/>
              </w:rPr>
            </w:pPr>
            <w:r>
              <w:rPr>
                <w:rFonts w:ascii="Arial" w:cs="Arial" w:eastAsia="Arial" w:hAnsi="Arial"/>
                <w:sz w:val="14"/>
                <w:szCs w:val="14"/>
                <w:color w:val="auto"/>
                <w:w w:val="88"/>
              </w:rPr>
              <w:t>through</w:t>
            </w:r>
          </w:p>
        </w:tc>
        <w:tc>
          <w:tcPr>
            <w:tcW w:w="1320" w:type="dxa"/>
            <w:vAlign w:val="bottom"/>
            <w:gridSpan w:val="3"/>
          </w:tcPr>
          <w:p>
            <w:pPr>
              <w:jc w:val="center"/>
              <w:ind w:right="92"/>
              <w:spacing w:after="0" w:line="133" w:lineRule="exact"/>
              <w:rPr>
                <w:sz w:val="20"/>
                <w:szCs w:val="20"/>
                <w:color w:val="auto"/>
              </w:rPr>
            </w:pPr>
            <w:r>
              <w:rPr>
                <w:rFonts w:ascii="Arial" w:cs="Arial" w:eastAsia="Arial" w:hAnsi="Arial"/>
                <w:sz w:val="14"/>
                <w:szCs w:val="14"/>
                <w:color w:val="auto"/>
                <w:w w:val="90"/>
              </w:rPr>
              <w:t>NBCUniversal</w:t>
            </w:r>
          </w:p>
        </w:tc>
        <w:tc>
          <w:tcPr>
            <w:tcW w:w="120" w:type="dxa"/>
            <w:vAlign w:val="bottom"/>
          </w:tcPr>
          <w:p>
            <w:pPr>
              <w:spacing w:after="0"/>
              <w:rPr>
                <w:sz w:val="11"/>
                <w:szCs w:val="11"/>
                <w:color w:val="auto"/>
              </w:rPr>
            </w:pPr>
          </w:p>
        </w:tc>
        <w:tc>
          <w:tcPr>
            <w:tcW w:w="1040" w:type="dxa"/>
            <w:vAlign w:val="bottom"/>
            <w:gridSpan w:val="4"/>
          </w:tcPr>
          <w:p>
            <w:pPr>
              <w:jc w:val="center"/>
              <w:ind w:right="660"/>
              <w:spacing w:after="0" w:line="133" w:lineRule="exact"/>
              <w:rPr>
                <w:sz w:val="20"/>
                <w:szCs w:val="20"/>
                <w:color w:val="auto"/>
              </w:rPr>
            </w:pPr>
            <w:r>
              <w:rPr>
                <w:rFonts w:ascii="Arial" w:cs="Arial" w:eastAsia="Arial" w:hAnsi="Arial"/>
                <w:sz w:val="14"/>
                <w:szCs w:val="14"/>
                <w:color w:val="auto"/>
                <w:w w:val="83"/>
              </w:rPr>
              <w:t>Ended</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89"/>
        </w:trPr>
        <w:tc>
          <w:tcPr>
            <w:tcW w:w="5140" w:type="dxa"/>
            <w:vAlign w:val="bottom"/>
          </w:tcPr>
          <w:p>
            <w:pPr>
              <w:spacing w:after="0"/>
              <w:rPr>
                <w:sz w:val="20"/>
                <w:szCs w:val="20"/>
                <w:color w:val="auto"/>
              </w:rPr>
            </w:pPr>
            <w:r>
              <w:rPr>
                <w:rFonts w:ascii="Arial" w:cs="Arial" w:eastAsia="Arial" w:hAnsi="Arial"/>
                <w:sz w:val="14"/>
                <w:szCs w:val="14"/>
                <w:color w:val="auto"/>
              </w:rPr>
              <w:t>(in millions)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4"/>
              </w:rPr>
              <w:t>June 30</w:t>
            </w:r>
          </w:p>
        </w:tc>
        <w:tc>
          <w:tcPr>
            <w:tcW w:w="1060" w:type="dxa"/>
            <w:vAlign w:val="bottom"/>
            <w:gridSpan w:val="2"/>
          </w:tcPr>
          <w:p>
            <w:pPr>
              <w:jc w:val="center"/>
              <w:ind w:left="43"/>
              <w:spacing w:after="0" w:line="189" w:lineRule="exact"/>
              <w:rPr>
                <w:sz w:val="20"/>
                <w:szCs w:val="20"/>
                <w:color w:val="auto"/>
              </w:rPr>
            </w:pPr>
            <w:r>
              <w:rPr>
                <w:rFonts w:ascii="Arial" w:cs="Arial" w:eastAsia="Arial" w:hAnsi="Arial"/>
                <w:sz w:val="13"/>
                <w:szCs w:val="13"/>
                <w:color w:val="auto"/>
                <w:w w:val="85"/>
              </w:rPr>
              <w:t>June 30</w:t>
            </w:r>
            <w:r>
              <w:rPr>
                <w:rFonts w:ascii="Arial" w:cs="Arial" w:eastAsia="Arial" w:hAnsi="Arial"/>
                <w:sz w:val="21"/>
                <w:szCs w:val="21"/>
                <w:color w:val="auto"/>
                <w:w w:val="85"/>
                <w:vertAlign w:val="superscript"/>
              </w:rPr>
              <w:t>(a)</w:t>
            </w:r>
          </w:p>
        </w:tc>
        <w:tc>
          <w:tcPr>
            <w:tcW w:w="1320" w:type="dxa"/>
            <w:vAlign w:val="bottom"/>
            <w:gridSpan w:val="3"/>
          </w:tcPr>
          <w:p>
            <w:pPr>
              <w:jc w:val="center"/>
              <w:ind w:right="72"/>
              <w:spacing w:after="0" w:line="189" w:lineRule="exact"/>
              <w:rPr>
                <w:sz w:val="20"/>
                <w:szCs w:val="20"/>
                <w:color w:val="auto"/>
              </w:rPr>
            </w:pPr>
            <w:r>
              <w:rPr>
                <w:rFonts w:ascii="Arial" w:cs="Arial" w:eastAsia="Arial" w:hAnsi="Arial"/>
                <w:sz w:val="13"/>
                <w:szCs w:val="13"/>
                <w:color w:val="auto"/>
                <w:w w:val="88"/>
              </w:rPr>
              <w:t>Businesses</w:t>
            </w:r>
            <w:r>
              <w:rPr>
                <w:rFonts w:ascii="Arial" w:cs="Arial" w:eastAsia="Arial" w:hAnsi="Arial"/>
                <w:sz w:val="21"/>
                <w:szCs w:val="21"/>
                <w:color w:val="auto"/>
                <w:w w:val="88"/>
                <w:vertAlign w:val="superscript"/>
              </w:rPr>
              <w:t>(b)</w:t>
            </w:r>
          </w:p>
        </w:tc>
        <w:tc>
          <w:tcPr>
            <w:tcW w:w="1160" w:type="dxa"/>
            <w:vAlign w:val="bottom"/>
            <w:gridSpan w:val="5"/>
          </w:tcPr>
          <w:p>
            <w:pPr>
              <w:jc w:val="center"/>
              <w:ind w:right="540"/>
              <w:spacing w:after="0"/>
              <w:rPr>
                <w:sz w:val="20"/>
                <w:szCs w:val="20"/>
                <w:color w:val="auto"/>
              </w:rPr>
            </w:pPr>
            <w:r>
              <w:rPr>
                <w:rFonts w:ascii="Arial" w:cs="Arial" w:eastAsia="Arial" w:hAnsi="Arial"/>
                <w:sz w:val="14"/>
                <w:szCs w:val="14"/>
                <w:color w:val="auto"/>
                <w:w w:val="84"/>
              </w:rPr>
              <w:t>June 30</w:t>
            </w:r>
          </w:p>
        </w:tc>
        <w:tc>
          <w:tcPr>
            <w:tcW w:w="240" w:type="dxa"/>
            <w:vAlign w:val="bottom"/>
          </w:tcPr>
          <w:p>
            <w:pPr>
              <w:spacing w:after="0"/>
              <w:rPr>
                <w:sz w:val="16"/>
                <w:szCs w:val="16"/>
                <w:color w:val="auto"/>
              </w:rPr>
            </w:pPr>
          </w:p>
        </w:tc>
        <w:tc>
          <w:tcPr>
            <w:tcW w:w="640" w:type="dxa"/>
            <w:vAlign w:val="bottom"/>
          </w:tcPr>
          <w:p>
            <w:pPr>
              <w:jc w:val="right"/>
              <w:ind w:right="421"/>
              <w:spacing w:after="0"/>
              <w:rPr>
                <w:sz w:val="20"/>
                <w:szCs w:val="20"/>
                <w:color w:val="auto"/>
              </w:rPr>
            </w:pPr>
            <w:r>
              <w:rPr>
                <w:rFonts w:ascii="Arial" w:cs="Arial" w:eastAsia="Arial" w:hAnsi="Arial"/>
                <w:sz w:val="14"/>
                <w:szCs w:val="14"/>
                <w:color w:val="auto"/>
              </w:rPr>
              <w:t>$</w:t>
            </w:r>
          </w:p>
        </w:tc>
        <w:tc>
          <w:tcPr>
            <w:tcW w:w="780" w:type="dxa"/>
            <w:vAlign w:val="bottom"/>
          </w:tcPr>
          <w:p>
            <w:pPr>
              <w:ind w:left="240"/>
              <w:spacing w:after="0"/>
              <w:rPr>
                <w:sz w:val="20"/>
                <w:szCs w:val="20"/>
                <w:color w:val="auto"/>
              </w:rPr>
            </w:pPr>
            <w:r>
              <w:rPr>
                <w:rFonts w:ascii="Arial" w:cs="Arial" w:eastAsia="Arial" w:hAnsi="Arial"/>
                <w:sz w:val="14"/>
                <w:szCs w:val="14"/>
                <w:color w:val="auto"/>
              </w:rPr>
              <w:t>%</w:t>
            </w:r>
          </w:p>
        </w:tc>
      </w:tr>
      <w:tr>
        <w:trPr>
          <w:trHeight w:val="210"/>
        </w:trPr>
        <w:tc>
          <w:tcPr>
            <w:tcW w:w="51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$ 951</w:t>
            </w:r>
          </w:p>
        </w:tc>
        <w:tc>
          <w:tcPr>
            <w:tcW w:w="320" w:type="dxa"/>
            <w:vAlign w:val="bottom"/>
            <w:tcBorders>
              <w:top w:val="single" w:sz="8" w:color="E5E5E5"/>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84"/>
              <w:spacing w:after="0"/>
              <w:rPr>
                <w:sz w:val="20"/>
                <w:szCs w:val="20"/>
                <w:color w:val="auto"/>
              </w:rPr>
            </w:pPr>
            <w:r>
              <w:rPr>
                <w:rFonts w:ascii="Arial" w:cs="Arial" w:eastAsia="Arial" w:hAnsi="Arial"/>
                <w:sz w:val="18"/>
                <w:szCs w:val="18"/>
                <w:color w:val="auto"/>
              </w:rPr>
              <w:t>796</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shd w:val="clear" w:color="auto" w:fill="E5E5E5"/>
          </w:tcPr>
          <w:p>
            <w:pPr>
              <w:jc w:val="right"/>
              <w:ind w:right="252"/>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auto"/>
            </w:tcBorders>
            <w:shd w:val="clear" w:color="auto" w:fill="E5E5E5"/>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99"/>
              </w:rPr>
              <w:t>911</w:t>
            </w:r>
          </w:p>
        </w:tc>
        <w:tc>
          <w:tcPr>
            <w:tcW w:w="140" w:type="dxa"/>
            <w:vAlign w:val="bottom"/>
            <w:tcBorders>
              <w:top w:val="single" w:sz="8" w:color="E5E5E5"/>
            </w:tcBorders>
            <w:shd w:val="clear" w:color="auto" w:fill="E5E5E5"/>
          </w:tcPr>
          <w:p>
            <w:pPr>
              <w:spacing w:after="0"/>
              <w:rPr>
                <w:sz w:val="18"/>
                <w:szCs w:val="18"/>
                <w:color w:val="auto"/>
              </w:rPr>
            </w:pPr>
          </w:p>
        </w:tc>
        <w:tc>
          <w:tcPr>
            <w:tcW w:w="200" w:type="dxa"/>
            <w:vAlign w:val="bottom"/>
            <w:tcBorders>
              <w:top w:val="single" w:sz="8" w:color="E5E5E5"/>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241"/>
              <w:spacing w:after="0"/>
              <w:rPr>
                <w:sz w:val="20"/>
                <w:szCs w:val="20"/>
                <w:color w:val="auto"/>
              </w:rPr>
            </w:pPr>
            <w:r>
              <w:rPr>
                <w:rFonts w:ascii="Arial" w:cs="Arial" w:eastAsia="Arial" w:hAnsi="Arial"/>
                <w:sz w:val="18"/>
                <w:szCs w:val="18"/>
                <w:color w:val="auto"/>
              </w:rPr>
              <w:t>40</w:t>
            </w:r>
          </w:p>
        </w:tc>
        <w:tc>
          <w:tcPr>
            <w:tcW w:w="78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4.4%</w:t>
            </w:r>
          </w:p>
        </w:tc>
      </w:t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32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4"/>
              <w:spacing w:after="0"/>
              <w:rPr>
                <w:sz w:val="20"/>
                <w:szCs w:val="20"/>
                <w:color w:val="auto"/>
              </w:rPr>
            </w:pPr>
            <w:r>
              <w:rPr>
                <w:rFonts w:ascii="Arial" w:cs="Arial" w:eastAsia="Arial" w:hAnsi="Arial"/>
                <w:sz w:val="18"/>
                <w:szCs w:val="18"/>
                <w:color w:val="auto"/>
              </w:rPr>
              <w:t>474</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9"/>
              </w:rPr>
              <w:t>552</w:t>
            </w:r>
          </w:p>
        </w:tc>
        <w:tc>
          <w:tcPr>
            <w:tcW w:w="140" w:type="dxa"/>
            <w:vAlign w:val="bottom"/>
            <w:tcBorders>
              <w:bottom w:val="single" w:sz="8" w:color="E5E5E5"/>
            </w:tcBorders>
          </w:tcPr>
          <w:p>
            <w:pPr>
              <w:spacing w:after="0"/>
              <w:rPr>
                <w:sz w:val="18"/>
                <w:szCs w:val="18"/>
                <w:color w:val="auto"/>
              </w:rPr>
            </w:pPr>
          </w:p>
        </w:tc>
        <w:tc>
          <w:tcPr>
            <w:tcW w:w="20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color w:val="auto"/>
              </w:rPr>
              <w:t>7</w:t>
            </w: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1.3</w:t>
            </w:r>
          </w:p>
        </w:tc>
      </w:tr>
      <w:tr>
        <w:trPr>
          <w:trHeight w:val="217"/>
        </w:trPr>
        <w:tc>
          <w:tcPr>
            <w:tcW w:w="5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$ 392</w:t>
            </w:r>
          </w:p>
        </w:tc>
        <w:tc>
          <w:tcPr>
            <w:tcW w:w="320" w:type="dxa"/>
            <w:vAlign w:val="bottom"/>
            <w:tcBorders>
              <w:bottom w:val="single" w:sz="8" w:color="E5E5E5"/>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84"/>
              <w:spacing w:after="0"/>
              <w:rPr>
                <w:sz w:val="20"/>
                <w:szCs w:val="20"/>
                <w:color w:val="auto"/>
              </w:rPr>
            </w:pPr>
            <w:r>
              <w:rPr>
                <w:rFonts w:ascii="Arial" w:cs="Arial" w:eastAsia="Arial" w:hAnsi="Arial"/>
                <w:sz w:val="18"/>
                <w:szCs w:val="18"/>
                <w:b w:val="1"/>
                <w:bCs w:val="1"/>
                <w:color w:val="auto"/>
              </w:rPr>
              <w:t>322</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gridSpan w:val="2"/>
            <w:shd w:val="clear" w:color="auto" w:fill="E5E5E5"/>
          </w:tcPr>
          <w:p>
            <w:pPr>
              <w:jc w:val="right"/>
              <w:ind w:right="252"/>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99"/>
              </w:rPr>
              <w:t>359</w:t>
            </w:r>
          </w:p>
        </w:tc>
        <w:tc>
          <w:tcPr>
            <w:tcW w:w="140" w:type="dxa"/>
            <w:vAlign w:val="bottom"/>
            <w:tcBorders>
              <w:bottom w:val="single" w:sz="8" w:color="E5E5E5"/>
            </w:tcBorders>
            <w:shd w:val="clear" w:color="auto" w:fill="E5E5E5"/>
          </w:tcPr>
          <w:p>
            <w:pPr>
              <w:spacing w:after="0"/>
              <w:rPr>
                <w:sz w:val="18"/>
                <w:szCs w:val="18"/>
                <w:color w:val="auto"/>
              </w:rPr>
            </w:pPr>
          </w:p>
        </w:tc>
        <w:tc>
          <w:tcPr>
            <w:tcW w:w="200" w:type="dxa"/>
            <w:vAlign w:val="bottom"/>
            <w:tcBorders>
              <w:bottom w:val="single" w:sz="8" w:color="E5E5E5"/>
            </w:tcBorders>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241"/>
              <w:spacing w:after="0"/>
              <w:rPr>
                <w:sz w:val="20"/>
                <w:szCs w:val="20"/>
                <w:color w:val="auto"/>
              </w:rPr>
            </w:pPr>
            <w:r>
              <w:rPr>
                <w:rFonts w:ascii="Arial" w:cs="Arial" w:eastAsia="Arial" w:hAnsi="Arial"/>
                <w:sz w:val="18"/>
                <w:szCs w:val="18"/>
                <w:b w:val="1"/>
                <w:bCs w:val="1"/>
                <w:color w:val="auto"/>
              </w:rPr>
              <w:t>33</w:t>
            </w:r>
          </w:p>
        </w:tc>
        <w:tc>
          <w:tcPr>
            <w:tcW w:w="7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9.0%</w:t>
            </w:r>
          </w:p>
        </w:tc>
      </w:tr>
    </w:tbl>
    <w:p>
      <w:pPr>
        <w:spacing w:after="0" w:line="57" w:lineRule="exact"/>
        <w:rPr>
          <w:sz w:val="20"/>
          <w:szCs w:val="20"/>
          <w:color w:val="auto"/>
        </w:rPr>
      </w:pPr>
    </w:p>
    <w:p>
      <w:pPr>
        <w:jc w:val="both"/>
        <w:ind w:left="340" w:hanging="332"/>
        <w:spacing w:after="0" w:line="233"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NBCUniversal acquired businesses and Universal Orlando for the three months ended June 30, 2011 and for the period January 29, 2011 through June 30, 2011. The results of operations for Universal Orlando for the period January 29, 2011 through June 30, 2011 are included in segment results above but are not included in total NBCUniversal and our consolidated results because Universal Orlando was recorded as an equity method investment during that period.</w:t>
      </w:r>
    </w:p>
    <w:p>
      <w:pPr>
        <w:spacing w:after="0" w:line="44"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and Universal Orlando for the period January 1, 2011 through January 28, 2011 and other pro forma adjustments that include the effects of acquisition accounting.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 Segment—Revenue</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Theme Parks segment revenue increased for the three and six months ended June 30, 2012 compared to the same periods in 2011 primarily due to increases in per capita spending and higher guest attendance at our Universal theme parks.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 Segment—Operating Costs and Expenses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Theme Parks segment operating costs and expenses increased for the three and six months ended June 30, 2012 compared to the same periods in 2011 primarily due to additional costs associated with higher guest attendance at our Universal theme parks.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Headquarters and other operating costs and expenses increased for the three months ended June 30, 2012 compared to the same period in 2011 primarily due to increases in personnel and administrative costs.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Headquarters and other operating costs and expenses decreased for the six months ended June 30, 2012 compared to the same period in 2011 primarily due to transaction-related costs associated with the NBCUniversal transaction, including severance and other compensation-related costs, included in the prior year period.</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Eliminations include the results of operations for Universal Orlando for the period January 29, 2011 through June 30, 2011. Our Theme Parks segment had included the results of operations of Universal Orlando for these periods because these amounts had reflected our segment performance measure. These amounts were not included when we measured total NBCUniversal and our consolidated results of operations because we recorded Universal Orlando as an equity method investment for the period January 29, 2011 through June 30, 2011.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3"/>
          </w:tcPr>
          <w:p>
            <w:pPr>
              <w:jc w:val="right"/>
              <w:ind w:right="436"/>
              <w:spacing w:after="0"/>
              <w:rPr>
                <w:sz w:val="20"/>
                <w:szCs w:val="20"/>
                <w:color w:val="auto"/>
              </w:rPr>
            </w:pPr>
            <w:r>
              <w:rPr>
                <w:rFonts w:ascii="Arial" w:cs="Arial" w:eastAsia="Arial" w:hAnsi="Arial"/>
                <w:sz w:val="14"/>
                <w:szCs w:val="14"/>
                <w:color w:val="auto"/>
                <w:w w:val="94"/>
              </w:rPr>
              <w:t>Three Months Ended</w:t>
            </w:r>
          </w:p>
        </w:tc>
        <w:tc>
          <w:tcPr>
            <w:tcW w:w="1980" w:type="dxa"/>
            <w:vAlign w:val="bottom"/>
            <w:gridSpan w:val="2"/>
          </w:tcPr>
          <w:p>
            <w:pPr>
              <w:jc w:val="right"/>
              <w:ind w:right="336"/>
              <w:spacing w:after="0"/>
              <w:rPr>
                <w:sz w:val="20"/>
                <w:szCs w:val="20"/>
                <w:color w:val="auto"/>
              </w:rPr>
            </w:pPr>
            <w:r>
              <w:rPr>
                <w:rFonts w:ascii="Arial" w:cs="Arial" w:eastAsia="Arial" w:hAnsi="Arial"/>
                <w:sz w:val="14"/>
                <w:szCs w:val="14"/>
                <w:color w:val="auto"/>
              </w:rPr>
              <w:t>Six Months Ended</w:t>
            </w:r>
          </w:p>
        </w:tc>
      </w:tr>
      <w:tr>
        <w:trPr>
          <w:trHeight w:val="172"/>
        </w:trPr>
        <w:tc>
          <w:tcPr>
            <w:tcW w:w="7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4"/>
                <w:szCs w:val="14"/>
                <w:color w:val="auto"/>
              </w:rPr>
            </w:pPr>
          </w:p>
        </w:tc>
      </w:tr>
      <w:tr>
        <w:trPr>
          <w:trHeight w:val="143"/>
        </w:trPr>
        <w:tc>
          <w:tcPr>
            <w:tcW w:w="71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line="143" w:lineRule="exact"/>
              <w:rPr>
                <w:sz w:val="20"/>
                <w:szCs w:val="20"/>
                <w:color w:val="auto"/>
              </w:rPr>
            </w:pPr>
            <w:r>
              <w:rPr>
                <w:rFonts w:ascii="Arial" w:cs="Arial" w:eastAsia="Arial" w:hAnsi="Arial"/>
                <w:sz w:val="14"/>
                <w:szCs w:val="14"/>
                <w:color w:val="auto"/>
                <w:w w:val="83"/>
              </w:rPr>
              <w:t>2012</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6"/>
              <w:spacing w:after="0" w:line="143" w:lineRule="exact"/>
              <w:rPr>
                <w:sz w:val="20"/>
                <w:szCs w:val="20"/>
                <w:color w:val="auto"/>
              </w:rPr>
            </w:pPr>
            <w:r>
              <w:rPr>
                <w:rFonts w:ascii="Arial" w:cs="Arial" w:eastAsia="Arial" w:hAnsi="Arial"/>
                <w:sz w:val="14"/>
                <w:szCs w:val="14"/>
                <w:color w:val="auto"/>
                <w:w w:val="89"/>
              </w:rPr>
              <w:t>2011</w:t>
            </w:r>
          </w:p>
        </w:tc>
        <w:tc>
          <w:tcPr>
            <w:tcW w:w="1300" w:type="dxa"/>
            <w:vAlign w:val="bottom"/>
            <w:tcBorders>
              <w:bottom w:val="single" w:sz="8" w:color="auto"/>
            </w:tcBorders>
          </w:tcPr>
          <w:p>
            <w:pPr>
              <w:jc w:val="right"/>
              <w:ind w:right="580"/>
              <w:spacing w:after="0" w:line="143" w:lineRule="exact"/>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jc w:val="right"/>
              <w:ind w:right="176"/>
              <w:spacing w:after="0" w:line="143" w:lineRule="exact"/>
              <w:rPr>
                <w:sz w:val="20"/>
                <w:szCs w:val="20"/>
                <w:color w:val="auto"/>
              </w:rPr>
            </w:pPr>
            <w:r>
              <w:rPr>
                <w:rFonts w:ascii="Arial" w:cs="Arial" w:eastAsia="Arial" w:hAnsi="Arial"/>
                <w:sz w:val="14"/>
                <w:szCs w:val="14"/>
                <w:color w:val="auto"/>
              </w:rPr>
              <w:t>2011</w:t>
            </w:r>
          </w:p>
        </w:tc>
      </w:tr>
      <w:tr>
        <w:trPr>
          <w:trHeight w:val="210"/>
        </w:trPr>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60"/>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(621)</w:t>
            </w:r>
          </w:p>
        </w:tc>
        <w:tc>
          <w:tcPr>
            <w:tcW w:w="1300" w:type="dxa"/>
            <w:vAlign w:val="bottom"/>
            <w:shd w:val="clear" w:color="auto" w:fill="E5E5E5"/>
          </w:tcPr>
          <w:p>
            <w:pPr>
              <w:jc w:val="right"/>
              <w:ind w:right="360"/>
              <w:spacing w:after="0"/>
              <w:rPr>
                <w:sz w:val="20"/>
                <w:szCs w:val="20"/>
                <w:color w:val="auto"/>
              </w:rPr>
            </w:pPr>
            <w:r>
              <w:rPr>
                <w:rFonts w:ascii="Arial" w:cs="Arial" w:eastAsia="Arial" w:hAnsi="Arial"/>
                <w:sz w:val="18"/>
                <w:szCs w:val="18"/>
                <w:color w:val="auto"/>
              </w:rPr>
              <w:t>$(1,265)</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2"/>
              </w:rPr>
              <w:t>$(1,226)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540" w:type="dxa"/>
            <w:vAlign w:val="bottom"/>
          </w:tcPr>
          <w:p>
            <w:pPr>
              <w:spacing w:after="0"/>
              <w:rPr>
                <w:sz w:val="18"/>
                <w:szCs w:val="18"/>
                <w:color w:val="auto"/>
              </w:rPr>
            </w:pPr>
          </w:p>
        </w:tc>
        <w:tc>
          <w:tcPr>
            <w:tcW w:w="920" w:type="dxa"/>
            <w:vAlign w:val="bottom"/>
          </w:tcPr>
          <w:p>
            <w:pPr>
              <w:jc w:val="right"/>
              <w:ind w:right="4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8"/>
                <w:szCs w:val="18"/>
                <w:color w:val="auto"/>
              </w:rPr>
              <w:t>61</w:t>
            </w:r>
          </w:p>
        </w:tc>
        <w:tc>
          <w:tcPr>
            <w:tcW w:w="1300" w:type="dxa"/>
            <w:vAlign w:val="bottom"/>
          </w:tcPr>
          <w:p>
            <w:pPr>
              <w:jc w:val="right"/>
              <w:ind w:right="420"/>
              <w:spacing w:after="0"/>
              <w:rPr>
                <w:sz w:val="20"/>
                <w:szCs w:val="20"/>
                <w:color w:val="auto"/>
              </w:rPr>
            </w:pPr>
            <w:r>
              <w:rPr>
                <w:rFonts w:ascii="Arial" w:cs="Arial" w:eastAsia="Arial" w:hAnsi="Arial"/>
                <w:sz w:val="18"/>
                <w:szCs w:val="18"/>
                <w:color w:val="auto"/>
              </w:rPr>
              <w:t>100</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150</w:t>
            </w:r>
          </w:p>
        </w:tc>
      </w:tr>
      <w:tr>
        <w:trPr>
          <w:trHeight w:val="216"/>
        </w:trPr>
        <w:tc>
          <w:tcPr>
            <w:tcW w:w="712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42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37</w:t>
            </w:r>
          </w:p>
        </w:tc>
        <w:tc>
          <w:tcPr>
            <w:tcW w:w="1300" w:type="dxa"/>
            <w:vAlign w:val="bottom"/>
            <w:shd w:val="clear" w:color="auto" w:fill="E5E5E5"/>
          </w:tcPr>
          <w:p>
            <w:pPr>
              <w:jc w:val="right"/>
              <w:ind w:right="420"/>
              <w:spacing w:after="0"/>
              <w:rPr>
                <w:sz w:val="20"/>
                <w:szCs w:val="20"/>
                <w:color w:val="auto"/>
              </w:rPr>
            </w:pPr>
            <w:r>
              <w:rPr>
                <w:rFonts w:ascii="Arial" w:cs="Arial" w:eastAsia="Arial" w:hAnsi="Arial"/>
                <w:sz w:val="18"/>
                <w:szCs w:val="18"/>
                <w:color w:val="auto"/>
              </w:rPr>
              <w:t>32</w:t>
            </w:r>
          </w:p>
        </w:tc>
        <w:tc>
          <w:tcPr>
            <w:tcW w:w="6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(34)</w:t>
            </w:r>
          </w:p>
        </w:tc>
        <w:tc>
          <w:tcPr>
            <w:tcW w:w="1300" w:type="dxa"/>
            <w:vAlign w:val="bottom"/>
            <w:tcBorders>
              <w:bottom w:val="single" w:sz="8" w:color="auto"/>
            </w:tcBorders>
          </w:tcPr>
          <w:p>
            <w:pPr>
              <w:jc w:val="right"/>
              <w:ind w:right="360"/>
              <w:spacing w:after="0"/>
              <w:rPr>
                <w:sz w:val="20"/>
                <w:szCs w:val="20"/>
                <w:color w:val="auto"/>
              </w:rPr>
            </w:pPr>
            <w:r>
              <w:rPr>
                <w:rFonts w:ascii="Arial" w:cs="Arial" w:eastAsia="Arial" w:hAnsi="Arial"/>
                <w:sz w:val="18"/>
                <w:szCs w:val="18"/>
                <w:color w:val="auto"/>
              </w:rPr>
              <w:t>(63)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17"/>
        </w:trPr>
        <w:tc>
          <w:tcPr>
            <w:tcW w:w="7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(635)</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(557)</w:t>
            </w:r>
          </w:p>
        </w:tc>
        <w:tc>
          <w:tcPr>
            <w:tcW w:w="1300" w:type="dxa"/>
            <w:vAlign w:val="bottom"/>
            <w:tcBorders>
              <w:bottom w:val="single" w:sz="8" w:color="auto"/>
            </w:tcBorders>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$(1,196)</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2"/>
              </w:rPr>
              <w:t>$(1,146)</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remained flat for the three months ended June 30, 2012 compared to the same period in 2011. Interest expense increased for the six months ended June 30, 2012 compared to the same period in 2011 primarily due to interest expense related to the consolidation of NBCUniversal and Universal Orlando, which was partially offset by a decrease in our outstanding debt.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components of investment income (loss), net for the three and six months ended June 30, 2012 and 2011 are presented in a table in Note 4 to our condensed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Income tax expense for the three and six months ended June 30, 2012 and 2011 reflects an effective income tax rate that differs from the federal statutory rate primarily due to state income taxes, interest on uncertain tax positions, the partnership structure of NBCUniversal, foreign income taxes and, in 2011, the $137 million net impact of certain changes in state tax laws. We expect our 2012 annual effective tax rate to be in the lower end of the range of 35% to 40%.</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Net (Income) Loss Attributable to Noncontrolling Interests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changes in net (income) loss attributable to noncontrolling interests for the three and six months ended June 30, 2012 compared to the same periods in 2011 were primarily due to GE’s allocated share of the changes in earnings of NBCUniversal.</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as well as potential future redemptions of GE’s noncontrolling equity interest in NBCUniversal, through our cash flows from operating activities, existing cash, cash equivalents and investments, available borrowings under our existing credit facilities, and our ability to obtain future external financing.</w:t>
      </w:r>
    </w:p>
    <w:p>
      <w:pPr>
        <w:spacing w:after="0" w:line="4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anticipate that we will continue to use a substantial portion of our cash flows to meet our debt repayment obligations, to fund our capital expenditures, to invest in business opportunities and to return capital to shareholders. The cash flows generated from our Cable Communications segment and other businesses are used to invest in their respective core businesses and to return capital to shareholders. The cash flows generated from NBCUniversal are used to invest in its core businesses and to fund potential future redemptions of GE’s noncontrolling interest in NBCUniversal.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180" w:type="dxa"/>
            <w:vAlign w:val="bottom"/>
            <w:gridSpan w:val="2"/>
          </w:tcPr>
          <w:p>
            <w:pPr>
              <w:jc w:val="right"/>
              <w:ind w:right="335"/>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2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5"/>
              <w:spacing w:after="0" w:line="159" w:lineRule="exact"/>
              <w:rPr>
                <w:sz w:val="20"/>
                <w:szCs w:val="20"/>
                <w:color w:val="auto"/>
              </w:rPr>
            </w:pPr>
            <w:r>
              <w:rPr>
                <w:rFonts w:ascii="Arial" w:cs="Arial" w:eastAsia="Arial" w:hAnsi="Arial"/>
                <w:sz w:val="14"/>
                <w:szCs w:val="14"/>
                <w:color w:val="auto"/>
                <w:w w:val="80"/>
              </w:rPr>
              <w:t>June 30</w:t>
            </w:r>
          </w:p>
        </w:tc>
        <w:tc>
          <w:tcPr>
            <w:tcW w:w="0" w:type="dxa"/>
            <w:vAlign w:val="bottom"/>
          </w:tcPr>
          <w:p>
            <w:pPr>
              <w:spacing w:after="0"/>
              <w:rPr>
                <w:sz w:val="1"/>
                <w:szCs w:val="1"/>
                <w:color w:val="auto"/>
              </w:rPr>
            </w:pPr>
          </w:p>
        </w:tc>
      </w:tr>
      <w:tr>
        <w:trPr>
          <w:trHeight w:val="142"/>
        </w:trPr>
        <w:tc>
          <w:tcPr>
            <w:tcW w:w="924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2012</w:t>
            </w:r>
          </w:p>
        </w:tc>
        <w:tc>
          <w:tcPr>
            <w:tcW w:w="11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92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$ 5,837</w:t>
            </w:r>
          </w:p>
        </w:tc>
        <w:tc>
          <w:tcPr>
            <w:tcW w:w="11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$ 5,162</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10"/>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9,692</w:t>
            </w:r>
          </w:p>
        </w:tc>
        <w:tc>
          <w:tcPr>
            <w:tcW w:w="11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8,867</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0"/>
        </w:trPr>
        <w:tc>
          <w:tcPr>
            <w:tcW w:w="924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9,922</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(1,158)</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(1,022)</w:t>
            </w:r>
          </w:p>
        </w:tc>
        <w:tc>
          <w:tcPr>
            <w:tcW w:w="114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investments and other</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152</w:t>
            </w:r>
          </w:p>
        </w:tc>
        <w:tc>
          <w:tcPr>
            <w:tcW w:w="11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benefits under share-based compensation</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7"/>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$ 7,815</w:t>
            </w:r>
          </w:p>
        </w:tc>
        <w:tc>
          <w:tcPr>
            <w:tcW w:w="11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$ 6,956</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changes in operating assets and liabilities for the six months ended June 30, 2012 compared to the same period in 2011 primarily relate to the timing of payments of operating items, including payroll and participations and residuals, and a decrease in film and television costs.</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decrease in interest payments for the six months ended June 30, 2012 compared to the same period in 2011 was primarily due to the repayment and redemption of certain of our debt obligations.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income tax payments for the six months ended June 30, 2012 compared to the same period in 2011 was primarily due to federal tax payments made in 2012 that related to 2011 and the net impact in 2011 of the economic stimulus legislation.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for the six months ended June 30, 2012 consisted primarily of capital expenditures and cash paid for intangible assets.</w:t>
      </w:r>
    </w:p>
    <w:p>
      <w:pPr>
        <w:spacing w:after="0" w:line="10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second half of 2012, NBCUniversal expects to receive $3 billion in cash proceeds related to the redemption of NBCUniversal’s 15.8% equity interest in A&amp;E Television Networks. Under certain limited circumstances, the proceeds will be paid in cash and in the form of a senior note issued by A&amp;E Television Networks. A portion of the proceeds will be used to meet our and GE’s obligation to pay taxes associated with the transaction. NBCUniversal will not receive dividends from A&amp;E Television Networks following the close of the transaction. During the six months ended June 30, 2012 and 2011, NBCUniversal received $102 million and $90 million, respectively, in dividends from A&amp;E Television Networks, which were included in net cash provided by operating activities.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cash used in financing activities for the six months ended June 30, 2012 consisted primarily of repayments of debt, repurchases of our common stock, dividend payments and repayments of our short-term borrowings.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July 2012, we repaid $202 million principal amount of our 10.625% senior subordinated debentures due 2012 and redeemed $575 million principal amount of our 6.625% senior notes due 2056.</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2012, we issued $1 billion aggregate principal amount of 3.125% senior notes due 2022 and $1.25 billion aggregate principal amount of 4.650% senior notes due 2042. A portion of the proceeds from this offering were used to fund the repayment of the 10.625% senior subordinated debentures and the redemption of the 6.625% senior notes in July 2012.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maintain significant availability under our lines of credit and our commercial paper programs to meet our short-term liquidity requirements. In June 2012, Comcast and Comcast Cable Communications, LLC entered into a new $6.25 billion revolving credit facility due June 2017 with a syndicate of banks that may be used for general corporate purposes. The new revolving credit facility replaced our prior $6.8 billion revolving credit facility, which was terminated in connection with the execution of the new revolving credit facility. The interest rate on the new facility consists of a base rate plus a borrowing margin that is determined based on Comcast’s credit rating. As of June 30, 2012, the borrowing margin for LIBOR-based borrowings was 1.125%. The terms of the new revolving credit facility’s financial covenants and guarantees are substantially the same as those under the prior revolving credit facility. As of June 30, 2012, $5.8 billion was available under the new revolving credit facility and $1.4 billion was available under NBCUniversal’s revolving credit facility.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February 2012, our Board of Directors approved a $6.5 billion share repurchase authorization that does not have an expiration date. Under this authorization, we may repurchase shares in the open market or in private transactions. We intend to repurchase $3.0 billion during 2012, subject to market conditions. During the six months ended June 30, 2012, we repurchased 52 million shares of our Class A Special common stock for $1.5 billion.</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2012, our Board of Directors approved an increase to our dividend of 44% to $0.65 per share on an annualized basis. In February and May 2012, our Board of Directors approved a quarterly dividend of $0.1625 per share as part of our planned annual dividend of $0.65. We expect to continue to pay quarterly dividends, although each dividend is subject to approval by our Board of Directors.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22"/>
              <w:spacing w:after="0"/>
              <w:rPr>
                <w:sz w:val="20"/>
                <w:szCs w:val="20"/>
                <w:color w:val="auto"/>
              </w:rPr>
            </w:pPr>
            <w:r>
              <w:rPr>
                <w:rFonts w:ascii="Arial" w:cs="Arial" w:eastAsia="Arial" w:hAnsi="Arial"/>
                <w:sz w:val="14"/>
                <w:szCs w:val="14"/>
                <w:color w:val="auto"/>
              </w:rPr>
              <w:t>Month of</w:t>
            </w:r>
          </w:p>
        </w:tc>
      </w:tr>
      <w:tr>
        <w:trPr>
          <w:trHeight w:val="159"/>
        </w:trPr>
        <w:tc>
          <w:tcPr>
            <w:tcW w:w="62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320" w:type="dxa"/>
            <w:vAlign w:val="bottom"/>
            <w:tcBorders>
              <w:bottom w:val="single" w:sz="8" w:color="auto"/>
            </w:tcBorders>
            <w:gridSpan w:val="2"/>
          </w:tcPr>
          <w:p>
            <w:pPr>
              <w:ind w:left="3620"/>
              <w:spacing w:after="0" w:line="159" w:lineRule="exact"/>
              <w:rPr>
                <w:sz w:val="20"/>
                <w:szCs w:val="20"/>
                <w:color w:val="auto"/>
              </w:rPr>
            </w:pPr>
            <w:r>
              <w:rPr>
                <w:rFonts w:ascii="Arial" w:cs="Arial" w:eastAsia="Arial" w:hAnsi="Arial"/>
                <w:sz w:val="14"/>
                <w:szCs w:val="14"/>
                <w:color w:val="auto"/>
              </w:rPr>
              <w:t>Amount</w:t>
            </w:r>
          </w:p>
        </w:tc>
        <w:tc>
          <w:tcPr>
            <w:tcW w:w="860" w:type="dxa"/>
            <w:vAlign w:val="bottom"/>
            <w:tcBorders>
              <w:bottom w:val="single" w:sz="8" w:color="auto"/>
            </w:tcBorders>
          </w:tcPr>
          <w:p>
            <w:pPr>
              <w:jc w:val="right"/>
              <w:ind w:right="42"/>
              <w:spacing w:after="0" w:line="159" w:lineRule="exact"/>
              <w:rPr>
                <w:sz w:val="20"/>
                <w:szCs w:val="20"/>
                <w:color w:val="auto"/>
              </w:rPr>
            </w:pPr>
            <w:r>
              <w:rPr>
                <w:rFonts w:ascii="Arial" w:cs="Arial" w:eastAsia="Arial" w:hAnsi="Arial"/>
                <w:sz w:val="14"/>
                <w:szCs w:val="14"/>
                <w:color w:val="auto"/>
              </w:rPr>
              <w:t>Payment</w:t>
            </w:r>
          </w:p>
        </w:tc>
      </w:tr>
      <w:tr>
        <w:trPr>
          <w:trHeight w:val="210"/>
        </w:trPr>
        <w:tc>
          <w:tcPr>
            <w:tcW w:w="6240" w:type="dxa"/>
            <w:vAlign w:val="bottom"/>
            <w:shd w:val="clear" w:color="auto" w:fill="E5E5E5"/>
          </w:tcPr>
          <w:p>
            <w:pPr>
              <w:spacing w:after="0"/>
              <w:rPr>
                <w:sz w:val="20"/>
                <w:szCs w:val="20"/>
                <w:color w:val="auto"/>
              </w:rPr>
            </w:pPr>
            <w:r>
              <w:rPr>
                <w:rFonts w:ascii="Arial" w:cs="Arial" w:eastAsia="Arial" w:hAnsi="Arial"/>
                <w:sz w:val="18"/>
                <w:szCs w:val="18"/>
                <w:color w:val="auto"/>
              </w:rPr>
              <w:t>Three months ended March 31, 2012</w:t>
            </w:r>
          </w:p>
        </w:tc>
        <w:tc>
          <w:tcPr>
            <w:tcW w:w="3760" w:type="dxa"/>
            <w:vAlign w:val="bottom"/>
            <w:shd w:val="clear" w:color="auto" w:fill="E5E5E5"/>
          </w:tcPr>
          <w:p>
            <w:pPr>
              <w:ind w:left="3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9"/>
              </w:rPr>
              <w:t>439</w:t>
            </w:r>
          </w:p>
        </w:tc>
        <w:tc>
          <w:tcPr>
            <w:tcW w:w="860" w:type="dxa"/>
            <w:vAlign w:val="bottom"/>
            <w:shd w:val="clear" w:color="auto" w:fill="E5E5E5"/>
          </w:tcPr>
          <w:p>
            <w:pPr>
              <w:jc w:val="right"/>
              <w:ind w:right="22"/>
              <w:spacing w:after="0"/>
              <w:rPr>
                <w:sz w:val="20"/>
                <w:szCs w:val="20"/>
                <w:color w:val="auto"/>
              </w:rPr>
            </w:pPr>
            <w:r>
              <w:rPr>
                <w:rFonts w:ascii="Arial" w:cs="Arial" w:eastAsia="Arial" w:hAnsi="Arial"/>
                <w:sz w:val="18"/>
                <w:szCs w:val="18"/>
                <w:color w:val="auto"/>
              </w:rPr>
              <w:t>April</w:t>
            </w:r>
          </w:p>
        </w:tc>
      </w:tr>
      <w:tr>
        <w:trPr>
          <w:trHeight w:val="216"/>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Three months ended June 30, 2012</w:t>
            </w:r>
          </w:p>
        </w:tc>
        <w:tc>
          <w:tcPr>
            <w:tcW w:w="3760" w:type="dxa"/>
            <w:vAlign w:val="bottom"/>
            <w:tcBorders>
              <w:bottom w:val="single" w:sz="8" w:color="auto"/>
            </w:tcBorders>
          </w:tcPr>
          <w:p>
            <w:pPr>
              <w:ind w:left="36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435</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July</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2011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2011 Annual Report on Form 10-K and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Exchange Act Rules 13a-15(e) and 15d-15(e) under the Securities Exchange Act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19" w:lineRule="auto"/>
        <w:rPr>
          <w:sz w:val="20"/>
          <w:szCs w:val="20"/>
          <w:color w:val="auto"/>
        </w:rPr>
      </w:pPr>
      <w:r>
        <w:rPr>
          <w:rFonts w:ascii="Arial" w:cs="Arial" w:eastAsia="Arial" w:hAnsi="Arial"/>
          <w:sz w:val="16"/>
          <w:szCs w:val="16"/>
          <w:color w:val="auto"/>
        </w:rPr>
        <w:t>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Refer to Note 14 to our condensed consolidated financial statements included in this Quarterly Report on Form 10-Q for a discussion of recent developments related to our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2011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summarizes our Class A Special common stock repurchases under our Board-authorized share repurchase program during the three months ended June 30, 2012.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of Equity Securities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center"/>
              <w:ind w:right="263"/>
              <w:spacing w:after="0"/>
              <w:rPr>
                <w:sz w:val="20"/>
                <w:szCs w:val="20"/>
                <w:color w:val="auto"/>
              </w:rPr>
            </w:pPr>
            <w:r>
              <w:rPr>
                <w:rFonts w:ascii="Arial" w:cs="Arial" w:eastAsia="Arial" w:hAnsi="Arial"/>
                <w:sz w:val="14"/>
                <w:szCs w:val="14"/>
                <w:color w:val="auto"/>
                <w:w w:val="89"/>
              </w:rPr>
              <w:t>Total Dollar</w:t>
            </w:r>
          </w:p>
        </w:tc>
        <w:tc>
          <w:tcPr>
            <w:tcW w:w="1460" w:type="dxa"/>
            <w:vAlign w:val="bottom"/>
          </w:tcPr>
          <w:p>
            <w:pPr>
              <w:jc w:val="center"/>
              <w:ind w:left="124"/>
              <w:spacing w:after="0"/>
              <w:rPr>
                <w:sz w:val="20"/>
                <w:szCs w:val="20"/>
                <w:color w:val="auto"/>
              </w:rPr>
            </w:pPr>
            <w:r>
              <w:rPr>
                <w:rFonts w:ascii="Arial" w:cs="Arial" w:eastAsia="Arial" w:hAnsi="Arial"/>
                <w:sz w:val="14"/>
                <w:szCs w:val="14"/>
                <w:color w:val="auto"/>
                <w:w w:val="92"/>
              </w:rPr>
              <w:t>Maximum Dollar</w:t>
            </w:r>
          </w:p>
        </w:tc>
      </w:tr>
      <w:tr>
        <w:trPr>
          <w:trHeight w:val="149"/>
        </w:trPr>
        <w:tc>
          <w:tcPr>
            <w:tcW w:w="2820" w:type="dxa"/>
            <w:vAlign w:val="bottom"/>
          </w:tcPr>
          <w:p>
            <w:pPr>
              <w:spacing w:after="0"/>
              <w:rPr>
                <w:sz w:val="12"/>
                <w:szCs w:val="12"/>
                <w:color w:val="auto"/>
              </w:rPr>
            </w:pPr>
          </w:p>
        </w:tc>
        <w:tc>
          <w:tcPr>
            <w:tcW w:w="2700" w:type="dxa"/>
            <w:vAlign w:val="bottom"/>
          </w:tcPr>
          <w:p>
            <w:pPr>
              <w:jc w:val="center"/>
              <w:ind w:left="1222"/>
              <w:spacing w:after="0" w:line="149" w:lineRule="exact"/>
              <w:rPr>
                <w:sz w:val="20"/>
                <w:szCs w:val="20"/>
                <w:color w:val="auto"/>
              </w:rPr>
            </w:pPr>
            <w:r>
              <w:rPr>
                <w:rFonts w:ascii="Arial" w:cs="Arial" w:eastAsia="Arial" w:hAnsi="Arial"/>
                <w:sz w:val="14"/>
                <w:szCs w:val="14"/>
                <w:color w:val="auto"/>
                <w:w w:val="89"/>
              </w:rPr>
              <w:t>Total</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 Number of</w:t>
            </w:r>
          </w:p>
        </w:tc>
        <w:tc>
          <w:tcPr>
            <w:tcW w:w="360" w:type="dxa"/>
            <w:vAlign w:val="bottom"/>
          </w:tcPr>
          <w:p>
            <w:pPr>
              <w:spacing w:after="0"/>
              <w:rPr>
                <w:sz w:val="12"/>
                <w:szCs w:val="12"/>
                <w:color w:val="auto"/>
              </w:rPr>
            </w:pPr>
          </w:p>
        </w:tc>
        <w:tc>
          <w:tcPr>
            <w:tcW w:w="1140" w:type="dxa"/>
            <w:vAlign w:val="bottom"/>
          </w:tcPr>
          <w:p>
            <w:pPr>
              <w:jc w:val="center"/>
              <w:ind w:right="263"/>
              <w:spacing w:after="0" w:line="149" w:lineRule="exact"/>
              <w:rPr>
                <w:sz w:val="20"/>
                <w:szCs w:val="20"/>
                <w:color w:val="auto"/>
              </w:rPr>
            </w:pPr>
            <w:r>
              <w:rPr>
                <w:rFonts w:ascii="Arial" w:cs="Arial" w:eastAsia="Arial" w:hAnsi="Arial"/>
                <w:sz w:val="14"/>
                <w:szCs w:val="14"/>
                <w:color w:val="auto"/>
                <w:w w:val="91"/>
              </w:rPr>
              <w:t>Amount</w:t>
            </w:r>
          </w:p>
        </w:tc>
        <w:tc>
          <w:tcPr>
            <w:tcW w:w="1460" w:type="dxa"/>
            <w:vAlign w:val="bottom"/>
          </w:tcPr>
          <w:p>
            <w:pPr>
              <w:jc w:val="center"/>
              <w:ind w:left="144"/>
              <w:spacing w:after="0" w:line="149" w:lineRule="exact"/>
              <w:rPr>
                <w:sz w:val="20"/>
                <w:szCs w:val="20"/>
                <w:color w:val="auto"/>
              </w:rPr>
            </w:pPr>
            <w:r>
              <w:rPr>
                <w:rFonts w:ascii="Arial" w:cs="Arial" w:eastAsia="Arial" w:hAnsi="Arial"/>
                <w:sz w:val="14"/>
                <w:szCs w:val="14"/>
                <w:color w:val="auto"/>
                <w:w w:val="85"/>
              </w:rPr>
              <w:t>Value of Shares That</w:t>
            </w:r>
          </w:p>
        </w:tc>
      </w:tr>
      <w:tr>
        <w:trPr>
          <w:trHeight w:val="149"/>
        </w:trPr>
        <w:tc>
          <w:tcPr>
            <w:tcW w:w="2820" w:type="dxa"/>
            <w:vAlign w:val="bottom"/>
          </w:tcPr>
          <w:p>
            <w:pPr>
              <w:spacing w:after="0"/>
              <w:rPr>
                <w:sz w:val="12"/>
                <w:szCs w:val="12"/>
                <w:color w:val="auto"/>
              </w:rPr>
            </w:pPr>
          </w:p>
        </w:tc>
        <w:tc>
          <w:tcPr>
            <w:tcW w:w="2700" w:type="dxa"/>
            <w:vAlign w:val="bottom"/>
          </w:tcPr>
          <w:p>
            <w:pPr>
              <w:jc w:val="center"/>
              <w:ind w:left="1222"/>
              <w:spacing w:after="0" w:line="149" w:lineRule="exact"/>
              <w:rPr>
                <w:sz w:val="20"/>
                <w:szCs w:val="20"/>
                <w:color w:val="auto"/>
              </w:rPr>
            </w:pPr>
            <w:r>
              <w:rPr>
                <w:rFonts w:ascii="Arial" w:cs="Arial" w:eastAsia="Arial" w:hAnsi="Arial"/>
                <w:sz w:val="14"/>
                <w:szCs w:val="14"/>
                <w:color w:val="auto"/>
                <w:w w:val="91"/>
              </w:rPr>
              <w:t>Number of</w:t>
            </w:r>
          </w:p>
        </w:tc>
        <w:tc>
          <w:tcPr>
            <w:tcW w:w="340" w:type="dxa"/>
            <w:vAlign w:val="bottom"/>
          </w:tcPr>
          <w:p>
            <w:pPr>
              <w:spacing w:after="0"/>
              <w:rPr>
                <w:sz w:val="12"/>
                <w:szCs w:val="12"/>
                <w:color w:val="auto"/>
              </w:rPr>
            </w:pPr>
          </w:p>
        </w:tc>
        <w:tc>
          <w:tcPr>
            <w:tcW w:w="680" w:type="dxa"/>
            <w:vAlign w:val="bottom"/>
          </w:tcPr>
          <w:p>
            <w:pPr>
              <w:jc w:val="center"/>
              <w:ind w:right="281"/>
              <w:spacing w:after="0" w:line="149" w:lineRule="exact"/>
              <w:rPr>
                <w:sz w:val="20"/>
                <w:szCs w:val="20"/>
                <w:color w:val="auto"/>
              </w:rPr>
            </w:pPr>
            <w:r>
              <w:rPr>
                <w:rFonts w:ascii="Arial" w:cs="Arial" w:eastAsia="Arial" w:hAnsi="Arial"/>
                <w:sz w:val="14"/>
                <w:szCs w:val="14"/>
                <w:color w:val="auto"/>
                <w:w w:val="87"/>
              </w:rPr>
              <w:t>Price</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83"/>
              </w:rPr>
              <w:t>Shares Purchased</w:t>
            </w:r>
          </w:p>
        </w:tc>
        <w:tc>
          <w:tcPr>
            <w:tcW w:w="360" w:type="dxa"/>
            <w:vAlign w:val="bottom"/>
          </w:tcPr>
          <w:p>
            <w:pPr>
              <w:spacing w:after="0"/>
              <w:rPr>
                <w:sz w:val="12"/>
                <w:szCs w:val="12"/>
                <w:color w:val="auto"/>
              </w:rPr>
            </w:pPr>
          </w:p>
        </w:tc>
        <w:tc>
          <w:tcPr>
            <w:tcW w:w="1140" w:type="dxa"/>
            <w:vAlign w:val="bottom"/>
          </w:tcPr>
          <w:p>
            <w:pPr>
              <w:jc w:val="center"/>
              <w:ind w:right="263"/>
              <w:spacing w:after="0" w:line="149" w:lineRule="exact"/>
              <w:rPr>
                <w:sz w:val="20"/>
                <w:szCs w:val="20"/>
                <w:color w:val="auto"/>
              </w:rPr>
            </w:pPr>
            <w:r>
              <w:rPr>
                <w:rFonts w:ascii="Arial" w:cs="Arial" w:eastAsia="Arial" w:hAnsi="Arial"/>
                <w:sz w:val="14"/>
                <w:szCs w:val="14"/>
                <w:color w:val="auto"/>
                <w:w w:val="83"/>
              </w:rPr>
              <w:t>Purchased</w:t>
            </w:r>
          </w:p>
        </w:tc>
        <w:tc>
          <w:tcPr>
            <w:tcW w:w="1460" w:type="dxa"/>
            <w:vAlign w:val="bottom"/>
          </w:tcPr>
          <w:p>
            <w:pPr>
              <w:jc w:val="center"/>
              <w:ind w:left="144"/>
              <w:spacing w:after="0" w:line="149" w:lineRule="exact"/>
              <w:rPr>
                <w:sz w:val="20"/>
                <w:szCs w:val="20"/>
                <w:color w:val="auto"/>
              </w:rPr>
            </w:pPr>
            <w:r>
              <w:rPr>
                <w:rFonts w:ascii="Arial" w:cs="Arial" w:eastAsia="Arial" w:hAnsi="Arial"/>
                <w:sz w:val="14"/>
                <w:szCs w:val="14"/>
                <w:color w:val="auto"/>
                <w:w w:val="88"/>
              </w:rPr>
              <w:t>May Yet Be</w:t>
            </w:r>
          </w:p>
        </w:tc>
      </w:tr>
      <w:tr>
        <w:trPr>
          <w:trHeight w:val="132"/>
        </w:trPr>
        <w:tc>
          <w:tcPr>
            <w:tcW w:w="2820" w:type="dxa"/>
            <w:vAlign w:val="bottom"/>
          </w:tcPr>
          <w:p>
            <w:pPr>
              <w:spacing w:after="0"/>
              <w:rPr>
                <w:sz w:val="11"/>
                <w:szCs w:val="11"/>
                <w:color w:val="auto"/>
              </w:rPr>
            </w:pPr>
          </w:p>
        </w:tc>
        <w:tc>
          <w:tcPr>
            <w:tcW w:w="2700" w:type="dxa"/>
            <w:vAlign w:val="bottom"/>
          </w:tcPr>
          <w:p>
            <w:pPr>
              <w:jc w:val="center"/>
              <w:ind w:left="1222"/>
              <w:spacing w:after="0" w:line="133" w:lineRule="exact"/>
              <w:rPr>
                <w:sz w:val="20"/>
                <w:szCs w:val="20"/>
                <w:color w:val="auto"/>
              </w:rPr>
            </w:pPr>
            <w:r>
              <w:rPr>
                <w:rFonts w:ascii="Arial" w:cs="Arial" w:eastAsia="Arial" w:hAnsi="Arial"/>
                <w:sz w:val="14"/>
                <w:szCs w:val="14"/>
                <w:color w:val="auto"/>
                <w:w w:val="81"/>
              </w:rPr>
              <w:t>Shares</w:t>
            </w:r>
          </w:p>
        </w:tc>
        <w:tc>
          <w:tcPr>
            <w:tcW w:w="340" w:type="dxa"/>
            <w:vAlign w:val="bottom"/>
          </w:tcPr>
          <w:p>
            <w:pPr>
              <w:spacing w:after="0"/>
              <w:rPr>
                <w:sz w:val="11"/>
                <w:szCs w:val="11"/>
                <w:color w:val="auto"/>
              </w:rPr>
            </w:pPr>
          </w:p>
        </w:tc>
        <w:tc>
          <w:tcPr>
            <w:tcW w:w="680" w:type="dxa"/>
            <w:vAlign w:val="bottom"/>
          </w:tcPr>
          <w:p>
            <w:pPr>
              <w:jc w:val="center"/>
              <w:ind w:right="261"/>
              <w:spacing w:after="0" w:line="133" w:lineRule="exact"/>
              <w:rPr>
                <w:sz w:val="20"/>
                <w:szCs w:val="20"/>
                <w:color w:val="auto"/>
              </w:rPr>
            </w:pPr>
            <w:r>
              <w:rPr>
                <w:rFonts w:ascii="Arial" w:cs="Arial" w:eastAsia="Arial" w:hAnsi="Arial"/>
                <w:sz w:val="14"/>
                <w:szCs w:val="14"/>
                <w:color w:val="auto"/>
                <w:w w:val="82"/>
              </w:rPr>
              <w:t>Per</w:t>
            </w:r>
          </w:p>
        </w:tc>
        <w:tc>
          <w:tcPr>
            <w:tcW w:w="1920" w:type="dxa"/>
            <w:vAlign w:val="bottom"/>
          </w:tcPr>
          <w:p>
            <w:pPr>
              <w:jc w:val="center"/>
              <w:spacing w:after="0" w:line="133" w:lineRule="exact"/>
              <w:rPr>
                <w:sz w:val="20"/>
                <w:szCs w:val="20"/>
                <w:color w:val="auto"/>
              </w:rPr>
            </w:pPr>
            <w:r>
              <w:rPr>
                <w:rFonts w:ascii="Arial" w:cs="Arial" w:eastAsia="Arial" w:hAnsi="Arial"/>
                <w:sz w:val="14"/>
                <w:szCs w:val="14"/>
                <w:color w:val="auto"/>
                <w:w w:val="89"/>
              </w:rPr>
              <w:t>as Part of Publicly</w:t>
            </w:r>
          </w:p>
        </w:tc>
        <w:tc>
          <w:tcPr>
            <w:tcW w:w="360" w:type="dxa"/>
            <w:vAlign w:val="bottom"/>
          </w:tcPr>
          <w:p>
            <w:pPr>
              <w:spacing w:after="0"/>
              <w:rPr>
                <w:sz w:val="11"/>
                <w:szCs w:val="11"/>
                <w:color w:val="auto"/>
              </w:rPr>
            </w:pPr>
          </w:p>
        </w:tc>
        <w:tc>
          <w:tcPr>
            <w:tcW w:w="1140" w:type="dxa"/>
            <w:vAlign w:val="bottom"/>
          </w:tcPr>
          <w:p>
            <w:pPr>
              <w:jc w:val="center"/>
              <w:ind w:right="263"/>
              <w:spacing w:after="0" w:line="133" w:lineRule="exact"/>
              <w:rPr>
                <w:sz w:val="20"/>
                <w:szCs w:val="20"/>
                <w:color w:val="auto"/>
              </w:rPr>
            </w:pPr>
            <w:r>
              <w:rPr>
                <w:rFonts w:ascii="Arial" w:cs="Arial" w:eastAsia="Arial" w:hAnsi="Arial"/>
                <w:sz w:val="14"/>
                <w:szCs w:val="14"/>
                <w:color w:val="auto"/>
                <w:w w:val="84"/>
              </w:rPr>
              <w:t>Under the</w:t>
            </w:r>
          </w:p>
        </w:tc>
        <w:tc>
          <w:tcPr>
            <w:tcW w:w="1460" w:type="dxa"/>
            <w:vAlign w:val="bottom"/>
          </w:tcPr>
          <w:p>
            <w:pPr>
              <w:jc w:val="center"/>
              <w:ind w:left="144"/>
              <w:spacing w:after="0" w:line="133" w:lineRule="exact"/>
              <w:rPr>
                <w:sz w:val="20"/>
                <w:szCs w:val="20"/>
                <w:color w:val="auto"/>
              </w:rPr>
            </w:pPr>
            <w:r>
              <w:rPr>
                <w:rFonts w:ascii="Arial" w:cs="Arial" w:eastAsia="Arial" w:hAnsi="Arial"/>
                <w:sz w:val="14"/>
                <w:szCs w:val="14"/>
                <w:color w:val="auto"/>
                <w:w w:val="84"/>
              </w:rPr>
              <w:t>Purchased Under the</w:t>
            </w:r>
          </w:p>
        </w:tc>
      </w:tr>
      <w:tr>
        <w:trPr>
          <w:trHeight w:val="176"/>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700" w:type="dxa"/>
            <w:vAlign w:val="bottom"/>
            <w:tcBorders>
              <w:bottom w:val="single" w:sz="8" w:color="auto"/>
            </w:tcBorders>
          </w:tcPr>
          <w:p>
            <w:pPr>
              <w:jc w:val="center"/>
              <w:ind w:left="1222"/>
              <w:spacing w:after="0"/>
              <w:rPr>
                <w:sz w:val="20"/>
                <w:szCs w:val="20"/>
                <w:color w:val="auto"/>
              </w:rPr>
            </w:pPr>
            <w:r>
              <w:rPr>
                <w:rFonts w:ascii="Arial" w:cs="Arial" w:eastAsia="Arial" w:hAnsi="Arial"/>
                <w:sz w:val="14"/>
                <w:szCs w:val="14"/>
                <w:color w:val="auto"/>
                <w:w w:val="83"/>
              </w:rPr>
              <w:t>Purchased</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color w:val="auto"/>
                <w:w w:val="80"/>
              </w:rPr>
              <w:t>Share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Announced Authorization</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color w:val="auto"/>
                <w:w w:val="92"/>
              </w:rPr>
              <w:t>Authorization</w:t>
            </w:r>
          </w:p>
        </w:tc>
        <w:tc>
          <w:tcPr>
            <w:tcW w:w="1460" w:type="dxa"/>
            <w:vAlign w:val="bottom"/>
            <w:tcBorders>
              <w:bottom w:val="single" w:sz="8" w:color="auto"/>
            </w:tcBorders>
          </w:tcPr>
          <w:p>
            <w:pPr>
              <w:jc w:val="center"/>
              <w:ind w:left="144"/>
              <w:spacing w:after="0" w:line="176" w:lineRule="exact"/>
              <w:rPr>
                <w:sz w:val="20"/>
                <w:szCs w:val="20"/>
                <w:color w:val="auto"/>
              </w:rPr>
            </w:pPr>
            <w:r>
              <w:rPr>
                <w:rFonts w:ascii="Arial" w:cs="Arial" w:eastAsia="Arial" w:hAnsi="Arial"/>
                <w:sz w:val="13"/>
                <w:szCs w:val="13"/>
                <w:color w:val="auto"/>
                <w:w w:val="95"/>
              </w:rPr>
              <w:t>Authorization</w:t>
            </w:r>
            <w:r>
              <w:rPr>
                <w:rFonts w:ascii="Arial" w:cs="Arial" w:eastAsia="Arial" w:hAnsi="Arial"/>
                <w:sz w:val="20"/>
                <w:szCs w:val="20"/>
                <w:color w:val="auto"/>
                <w:w w:val="95"/>
                <w:vertAlign w:val="superscript"/>
              </w:rPr>
              <w:t>(a)</w:t>
            </w:r>
          </w:p>
        </w:tc>
      </w:tr>
      <w:tr>
        <w:trPr>
          <w:trHeight w:val="210"/>
        </w:trPr>
        <w:tc>
          <w:tcPr>
            <w:tcW w:w="2820" w:type="dxa"/>
            <w:vAlign w:val="bottom"/>
            <w:shd w:val="clear" w:color="auto" w:fill="E5E5E5"/>
          </w:tcPr>
          <w:p>
            <w:pPr>
              <w:spacing w:after="0"/>
              <w:rPr>
                <w:sz w:val="20"/>
                <w:szCs w:val="20"/>
                <w:color w:val="auto"/>
              </w:rPr>
            </w:pPr>
            <w:r>
              <w:rPr>
                <w:rFonts w:ascii="Arial" w:cs="Arial" w:eastAsia="Arial" w:hAnsi="Arial"/>
                <w:sz w:val="18"/>
                <w:szCs w:val="18"/>
                <w:color w:val="auto"/>
              </w:rPr>
              <w:t>April 1-30, 2012</w:t>
            </w:r>
          </w:p>
        </w:tc>
        <w:tc>
          <w:tcPr>
            <w:tcW w:w="2700" w:type="dxa"/>
            <w:vAlign w:val="bottom"/>
            <w:shd w:val="clear" w:color="auto" w:fill="E5E5E5"/>
          </w:tcPr>
          <w:p>
            <w:pPr>
              <w:jc w:val="right"/>
              <w:ind w:right="20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w:t>
            </w:r>
          </w:p>
        </w:tc>
        <w:tc>
          <w:tcPr>
            <w:tcW w:w="1920" w:type="dxa"/>
            <w:vAlign w:val="bottom"/>
            <w:shd w:val="clear" w:color="auto" w:fill="E5E5E5"/>
          </w:tcPr>
          <w:p>
            <w:pPr>
              <w:jc w:val="right"/>
              <w:ind w:right="18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83"/>
              <w:spacing w:after="0"/>
              <w:rPr>
                <w:sz w:val="20"/>
                <w:szCs w:val="20"/>
                <w:color w:val="auto"/>
              </w:rPr>
            </w:pPr>
            <w:r>
              <w:rPr>
                <w:rFonts w:ascii="Arial" w:cs="Arial" w:eastAsia="Arial" w:hAnsi="Arial"/>
                <w:sz w:val="18"/>
                <w:szCs w:val="18"/>
                <w:color w:val="auto"/>
              </w:rPr>
              <w:t>—</w:t>
            </w:r>
          </w:p>
        </w:tc>
        <w:tc>
          <w:tcPr>
            <w:tcW w:w="1460" w:type="dxa"/>
            <w:vAlign w:val="bottom"/>
            <w:shd w:val="clear" w:color="auto" w:fill="E5E5E5"/>
          </w:tcPr>
          <w:p>
            <w:pPr>
              <w:jc w:val="center"/>
              <w:ind w:left="144"/>
              <w:spacing w:after="0"/>
              <w:rPr>
                <w:sz w:val="20"/>
                <w:szCs w:val="20"/>
                <w:color w:val="auto"/>
              </w:rPr>
            </w:pPr>
            <w:r>
              <w:rPr>
                <w:rFonts w:ascii="Arial" w:cs="Arial" w:eastAsia="Arial" w:hAnsi="Arial"/>
                <w:sz w:val="18"/>
                <w:szCs w:val="18"/>
                <w:color w:val="auto"/>
                <w:w w:val="86"/>
              </w:rPr>
              <w:t>$ 5,750,000,000</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May 1-31, 2012</w:t>
            </w:r>
          </w:p>
        </w:tc>
        <w:tc>
          <w:tcPr>
            <w:tcW w:w="2700" w:type="dxa"/>
            <w:vAlign w:val="bottom"/>
          </w:tcPr>
          <w:p>
            <w:pPr>
              <w:jc w:val="right"/>
              <w:ind w:right="202"/>
              <w:spacing w:after="0"/>
              <w:rPr>
                <w:sz w:val="20"/>
                <w:szCs w:val="20"/>
                <w:color w:val="auto"/>
              </w:rPr>
            </w:pPr>
            <w:r>
              <w:rPr>
                <w:rFonts w:ascii="Arial" w:cs="Arial" w:eastAsia="Arial" w:hAnsi="Arial"/>
                <w:sz w:val="18"/>
                <w:szCs w:val="18"/>
                <w:color w:val="auto"/>
              </w:rPr>
              <w:t>12,902,467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81"/>
              <w:spacing w:after="0"/>
              <w:rPr>
                <w:sz w:val="20"/>
                <w:szCs w:val="20"/>
                <w:color w:val="auto"/>
              </w:rPr>
            </w:pPr>
            <w:r>
              <w:rPr>
                <w:rFonts w:ascii="Arial" w:cs="Arial" w:eastAsia="Arial" w:hAnsi="Arial"/>
                <w:sz w:val="18"/>
                <w:szCs w:val="18"/>
                <w:color w:val="auto"/>
                <w:w w:val="88"/>
              </w:rPr>
              <w:t>29.06</w:t>
            </w:r>
          </w:p>
        </w:tc>
        <w:tc>
          <w:tcPr>
            <w:tcW w:w="1920" w:type="dxa"/>
            <w:vAlign w:val="bottom"/>
          </w:tcPr>
          <w:p>
            <w:pPr>
              <w:jc w:val="right"/>
              <w:ind w:right="182"/>
              <w:spacing w:after="0"/>
              <w:rPr>
                <w:sz w:val="20"/>
                <w:szCs w:val="20"/>
                <w:color w:val="auto"/>
              </w:rPr>
            </w:pPr>
            <w:r>
              <w:rPr>
                <w:rFonts w:ascii="Arial" w:cs="Arial" w:eastAsia="Arial" w:hAnsi="Arial"/>
                <w:sz w:val="18"/>
                <w:szCs w:val="18"/>
                <w:color w:val="auto"/>
              </w:rPr>
              <w:t>12,902,467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3"/>
              <w:spacing w:after="0"/>
              <w:rPr>
                <w:sz w:val="20"/>
                <w:szCs w:val="20"/>
                <w:color w:val="auto"/>
              </w:rPr>
            </w:pPr>
            <w:r>
              <w:rPr>
                <w:rFonts w:ascii="Arial" w:cs="Arial" w:eastAsia="Arial" w:hAnsi="Arial"/>
                <w:sz w:val="18"/>
                <w:szCs w:val="18"/>
                <w:color w:val="auto"/>
                <w:w w:val="85"/>
              </w:rPr>
              <w:t>375,000,000</w:t>
            </w:r>
          </w:p>
        </w:tc>
        <w:tc>
          <w:tcPr>
            <w:tcW w:w="1460" w:type="dxa"/>
            <w:vAlign w:val="bottom"/>
          </w:tcPr>
          <w:p>
            <w:pPr>
              <w:jc w:val="center"/>
              <w:ind w:left="144"/>
              <w:spacing w:after="0"/>
              <w:rPr>
                <w:sz w:val="20"/>
                <w:szCs w:val="20"/>
                <w:color w:val="auto"/>
              </w:rPr>
            </w:pPr>
            <w:r>
              <w:rPr>
                <w:rFonts w:ascii="Arial" w:cs="Arial" w:eastAsia="Arial" w:hAnsi="Arial"/>
                <w:sz w:val="18"/>
                <w:szCs w:val="18"/>
                <w:color w:val="auto"/>
                <w:w w:val="86"/>
              </w:rPr>
              <w:t>$ 5,375,000,000</w:t>
            </w:r>
          </w:p>
        </w:tc>
      </w:tr>
      <w:tr>
        <w:trPr>
          <w:trHeight w:val="216"/>
        </w:trPr>
        <w:tc>
          <w:tcPr>
            <w:tcW w:w="2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June 1-30, 2012</w:t>
            </w:r>
          </w:p>
        </w:tc>
        <w:tc>
          <w:tcPr>
            <w:tcW w:w="2700" w:type="dxa"/>
            <w:vAlign w:val="bottom"/>
            <w:tcBorders>
              <w:bottom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13,389,469</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w w:val="88"/>
              </w:rPr>
              <w:t>29.23</w:t>
            </w:r>
          </w:p>
        </w:tc>
        <w:tc>
          <w:tcPr>
            <w:tcW w:w="1920" w:type="dxa"/>
            <w:vAlign w:val="bottom"/>
            <w:tcBorders>
              <w:bottom w:val="single" w:sz="8" w:color="auto"/>
            </w:tcBorders>
            <w:shd w:val="clear" w:color="auto" w:fill="E5E5E5"/>
          </w:tcPr>
          <w:p>
            <w:pPr>
              <w:jc w:val="right"/>
              <w:ind w:right="182"/>
              <w:spacing w:after="0"/>
              <w:rPr>
                <w:sz w:val="20"/>
                <w:szCs w:val="20"/>
                <w:color w:val="auto"/>
              </w:rPr>
            </w:pPr>
            <w:r>
              <w:rPr>
                <w:rFonts w:ascii="Arial" w:cs="Arial" w:eastAsia="Arial" w:hAnsi="Arial"/>
                <w:sz w:val="18"/>
                <w:szCs w:val="18"/>
                <w:color w:val="auto"/>
              </w:rPr>
              <w:t>12,852,266</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5E5"/>
          </w:tcPr>
          <w:p>
            <w:pPr>
              <w:jc w:val="right"/>
              <w:ind w:right="183"/>
              <w:spacing w:after="0"/>
              <w:rPr>
                <w:sz w:val="20"/>
                <w:szCs w:val="20"/>
                <w:color w:val="auto"/>
              </w:rPr>
            </w:pPr>
            <w:r>
              <w:rPr>
                <w:rFonts w:ascii="Arial" w:cs="Arial" w:eastAsia="Arial" w:hAnsi="Arial"/>
                <w:sz w:val="18"/>
                <w:szCs w:val="18"/>
                <w:color w:val="auto"/>
                <w:w w:val="85"/>
              </w:rPr>
              <w:t>375,000,000</w:t>
            </w:r>
          </w:p>
        </w:tc>
        <w:tc>
          <w:tcPr>
            <w:tcW w:w="1460" w:type="dxa"/>
            <w:vAlign w:val="bottom"/>
            <w:tcBorders>
              <w:bottom w:val="single" w:sz="8" w:color="auto"/>
            </w:tcBorders>
            <w:shd w:val="clear" w:color="auto" w:fill="E5E5E5"/>
          </w:tcPr>
          <w:p>
            <w:pPr>
              <w:jc w:val="center"/>
              <w:ind w:left="144"/>
              <w:spacing w:after="0"/>
              <w:rPr>
                <w:sz w:val="20"/>
                <w:szCs w:val="20"/>
                <w:color w:val="auto"/>
              </w:rPr>
            </w:pPr>
            <w:r>
              <w:rPr>
                <w:rFonts w:ascii="Arial" w:cs="Arial" w:eastAsia="Arial" w:hAnsi="Arial"/>
                <w:sz w:val="18"/>
                <w:szCs w:val="18"/>
                <w:color w:val="auto"/>
                <w:w w:val="86"/>
              </w:rPr>
              <w:t>$ 5,000,000,000</w:t>
            </w:r>
          </w:p>
        </w:tc>
      </w:tr>
      <w:tr>
        <w:trPr>
          <w:trHeight w:val="217"/>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70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b w:val="1"/>
                <w:bCs w:val="1"/>
                <w:color w:val="auto"/>
              </w:rPr>
              <w:t>26,291,936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w w:val="88"/>
              </w:rPr>
              <w:t>29.15</w:t>
            </w:r>
          </w:p>
        </w:tc>
        <w:tc>
          <w:tcPr>
            <w:tcW w:w="1920" w:type="dxa"/>
            <w:vAlign w:val="bottom"/>
            <w:tcBorders>
              <w:bottom w:val="single" w:sz="8" w:color="auto"/>
            </w:tcBorders>
          </w:tcPr>
          <w:p>
            <w:pPr>
              <w:jc w:val="right"/>
              <w:ind w:right="182"/>
              <w:spacing w:after="0"/>
              <w:rPr>
                <w:sz w:val="20"/>
                <w:szCs w:val="20"/>
                <w:color w:val="auto"/>
              </w:rPr>
            </w:pPr>
            <w:r>
              <w:rPr>
                <w:rFonts w:ascii="Arial" w:cs="Arial" w:eastAsia="Arial" w:hAnsi="Arial"/>
                <w:sz w:val="18"/>
                <w:szCs w:val="18"/>
                <w:b w:val="1"/>
                <w:bCs w:val="1"/>
                <w:color w:val="auto"/>
              </w:rPr>
              <w:t>25,754,733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b w:val="1"/>
                <w:bCs w:val="1"/>
                <w:color w:val="auto"/>
                <w:w w:val="85"/>
              </w:rPr>
              <w:t>750,000,000</w:t>
            </w:r>
          </w:p>
        </w:tc>
        <w:tc>
          <w:tcPr>
            <w:tcW w:w="1460" w:type="dxa"/>
            <w:vAlign w:val="bottom"/>
            <w:tcBorders>
              <w:bottom w:val="single" w:sz="8" w:color="auto"/>
            </w:tcBorders>
          </w:tcPr>
          <w:p>
            <w:pPr>
              <w:jc w:val="center"/>
              <w:ind w:left="144"/>
              <w:spacing w:after="0"/>
              <w:rPr>
                <w:sz w:val="20"/>
                <w:szCs w:val="20"/>
                <w:color w:val="auto"/>
              </w:rPr>
            </w:pPr>
            <w:r>
              <w:rPr>
                <w:rFonts w:ascii="Arial" w:cs="Arial" w:eastAsia="Arial" w:hAnsi="Arial"/>
                <w:sz w:val="18"/>
                <w:szCs w:val="18"/>
                <w:b w:val="1"/>
                <w:bCs w:val="1"/>
                <w:color w:val="auto"/>
                <w:w w:val="86"/>
              </w:rPr>
              <w:t>$ 5,000,000,000</w:t>
            </w:r>
          </w:p>
        </w:tc>
      </w:tr>
    </w:tbl>
    <w:p>
      <w:pPr>
        <w:spacing w:after="0" w:line="57" w:lineRule="exact"/>
        <w:rPr>
          <w:sz w:val="20"/>
          <w:szCs w:val="20"/>
          <w:color w:val="auto"/>
        </w:rPr>
      </w:pPr>
    </w:p>
    <w:p>
      <w:pPr>
        <w:ind w:left="340" w:right="20" w:hanging="332"/>
        <w:spacing w:after="0" w:line="239"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February 2012, our Board of Directors approved a $6.5 billion share repurchase authorization that does not have an expiration date. Under this authorization, we may repurchase shares in the open market or in private transactions. We intend to repurchase $3.0 billion during 2012, subject to market conditions.</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Class A Special common stock shares repurchased during the three months ended June 30, 2012 includes 537,203 shares received in the administration of employee share-based compensation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p>
      <w:pPr>
        <w:jc w:val="both"/>
        <w:ind w:left="700" w:hanging="688"/>
        <w:spacing w:after="0" w:line="253"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Credit Agreement dated as of June 6, 2012 among Comcast Corporation, Comcast Cable Communications, LLC, the Financial Institutions party thereto, JPMorgan Chase Bank, N.A., as Administrative Agent and Issuing Lender, Citibank, N.A., as Syndication Agent, and Morgan Stanley Mufg Loan Partners, LLC and Wells Fargo Bank, National Association, as Co-Documentation Agents.</w:t>
      </w: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Comcast Corporation 2005 Deferred Compensation Plan, as amended and restated effective May 30, 2012.</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Comcast Corporation 2002 Restricted Stock Plan, as amended and restated effective May 30, 2012.</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Comcast Corporation 2002 Non-Employee Director Compensation Plan, as amended and restated effective May 30, 2012.</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Comcast Corporation 2002 Employee Stock Purchase Plan (incorporated by reference to Appendix A to our Definitive Proxy Statement on Schedule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14A filed on April 20, 2012).</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Comcast-NBCUniversal 2011 Employee Stock Purchase Plan (incorporated by reference to Appendix B to our Definitive Proxy Statement on Schedule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14A filed on April 20, 2012).</w:t>
      </w:r>
    </w:p>
    <w:p>
      <w:pPr>
        <w:spacing w:after="0" w:line="9" w:lineRule="exact"/>
        <w:rPr>
          <w:sz w:val="20"/>
          <w:szCs w:val="20"/>
          <w:color w:val="auto"/>
        </w:rPr>
      </w:pPr>
    </w:p>
    <w:p>
      <w:pPr>
        <w:ind w:left="700" w:hanging="69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9" w:lineRule="exact"/>
        <w:rPr>
          <w:rFonts w:ascii="Arial" w:cs="Arial" w:eastAsia="Arial" w:hAnsi="Arial"/>
          <w:sz w:val="18"/>
          <w:szCs w:val="18"/>
          <w:color w:val="auto"/>
        </w:rPr>
      </w:pPr>
    </w:p>
    <w:p>
      <w:pPr>
        <w:ind w:left="700" w:hanging="69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9" w:lineRule="exact"/>
        <w:rPr>
          <w:sz w:val="20"/>
          <w:szCs w:val="20"/>
          <w:color w:val="auto"/>
        </w:rPr>
      </w:pPr>
    </w:p>
    <w:p>
      <w:pPr>
        <w:jc w:val="both"/>
        <w:ind w:left="700" w:hanging="692"/>
        <w:spacing w:after="0" w:line="253"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quarter ended June 30, 2012, filed with the Securities and Exchange Commission on August 1, 2012,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Constitutes a management contract or compensatory plan or arrangement.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 2012</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148590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COMCAST CABLE COMMUNICATIONS, LLC</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The Financial Institutions Party Hereto</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Issuing Lender</w:t>
      </w:r>
    </w:p>
    <w:p>
      <w:pPr>
        <w:spacing w:after="0" w:line="16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CITIBANK, N.A.,</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as Syndication Agent</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MORGAN STANLEY MUFG LOAN PARTNERS, LLC and</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Co-Documentation Agents</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June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156845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 MORGAN SECURITIES LLC,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MORGAN STANLEY MUFG LOAN PARTNERS, LLC and</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Joint Lead Arrangers and Joint Bookrunners</w:t>
      </w:r>
    </w:p>
    <w:p>
      <w:pPr>
        <w:sectPr>
          <w:pgSz w:w="11900" w:h="16838" w:orient="portrait"/>
          <w:cols w:equalWidth="0" w:num="1">
            <w:col w:w="10220"/>
          </w:cols>
          <w:pgMar w:left="1440" w:top="12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8060" w:type="dxa"/>
            <w:vAlign w:val="bottom"/>
          </w:tcPr>
          <w:p>
            <w:pPr>
              <w:ind w:left="400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366"/>
        </w:trPr>
        <w:tc>
          <w:tcPr>
            <w:tcW w:w="7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840" w:type="dxa"/>
            <w:vAlign w:val="bottom"/>
            <w:gridSpan w:val="2"/>
          </w:tcPr>
          <w:p>
            <w:pPr>
              <w:spacing w:after="0"/>
              <w:rPr>
                <w:sz w:val="20"/>
                <w:szCs w:val="20"/>
                <w:color w:val="auto"/>
              </w:rPr>
            </w:pPr>
            <w:r>
              <w:rPr>
                <w:rFonts w:ascii="Arial" w:cs="Arial" w:eastAsia="Arial" w:hAnsi="Arial"/>
                <w:sz w:val="18"/>
                <w:szCs w:val="18"/>
                <w:color w:val="auto"/>
              </w:rPr>
              <w:t>SECTION 1 DEFINITIONS AND ACCOUNTING TERMS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806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8060" w:type="dxa"/>
            <w:vAlign w:val="bottom"/>
          </w:tcPr>
          <w:p>
            <w:pPr>
              <w:ind w:left="100"/>
              <w:spacing w:after="0"/>
              <w:rPr>
                <w:sz w:val="20"/>
                <w:szCs w:val="20"/>
                <w:color w:val="auto"/>
              </w:rPr>
            </w:pPr>
            <w:r>
              <w:rPr>
                <w:rFonts w:ascii="Arial" w:cs="Arial" w:eastAsia="Arial" w:hAnsi="Arial"/>
                <w:sz w:val="18"/>
                <w:szCs w:val="18"/>
                <w:color w:val="auto"/>
              </w:rPr>
              <w:t>Use of Certain Terms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8060" w:type="dxa"/>
            <w:vAlign w:val="bottom"/>
          </w:tcPr>
          <w:p>
            <w:pPr>
              <w:ind w:left="100"/>
              <w:spacing w:after="0"/>
              <w:rPr>
                <w:sz w:val="20"/>
                <w:szCs w:val="20"/>
                <w:color w:val="auto"/>
              </w:rPr>
            </w:pPr>
            <w:r>
              <w:rPr>
                <w:rFonts w:ascii="Arial" w:cs="Arial" w:eastAsia="Arial" w:hAnsi="Arial"/>
                <w:sz w:val="18"/>
                <w:szCs w:val="18"/>
                <w:color w:val="auto"/>
              </w:rPr>
              <w:t>Accounting Terms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8060" w:type="dxa"/>
            <w:vAlign w:val="bottom"/>
          </w:tcPr>
          <w:p>
            <w:pPr>
              <w:ind w:left="100"/>
              <w:spacing w:after="0"/>
              <w:rPr>
                <w:sz w:val="20"/>
                <w:szCs w:val="20"/>
                <w:color w:val="auto"/>
              </w:rPr>
            </w:pPr>
            <w:r>
              <w:rPr>
                <w:rFonts w:ascii="Arial" w:cs="Arial" w:eastAsia="Arial" w:hAnsi="Arial"/>
                <w:sz w:val="18"/>
                <w:szCs w:val="18"/>
                <w:color w:val="auto"/>
              </w:rPr>
              <w:t>Rounding</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8060" w:type="dxa"/>
            <w:vAlign w:val="bottom"/>
          </w:tcPr>
          <w:p>
            <w:pPr>
              <w:ind w:left="100"/>
              <w:spacing w:after="0"/>
              <w:rPr>
                <w:sz w:val="20"/>
                <w:szCs w:val="20"/>
                <w:color w:val="auto"/>
              </w:rPr>
            </w:pPr>
            <w:r>
              <w:rPr>
                <w:rFonts w:ascii="Arial" w:cs="Arial" w:eastAsia="Arial" w:hAnsi="Arial"/>
                <w:sz w:val="18"/>
                <w:szCs w:val="18"/>
                <w:color w:val="auto"/>
              </w:rPr>
              <w:t>Exhibits and Schedules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8060" w:type="dxa"/>
            <w:vAlign w:val="bottom"/>
          </w:tcPr>
          <w:p>
            <w:pPr>
              <w:ind w:left="100"/>
              <w:spacing w:after="0"/>
              <w:rPr>
                <w:sz w:val="20"/>
                <w:szCs w:val="20"/>
                <w:color w:val="auto"/>
              </w:rPr>
            </w:pPr>
            <w:r>
              <w:rPr>
                <w:rFonts w:ascii="Arial" w:cs="Arial" w:eastAsia="Arial" w:hAnsi="Arial"/>
                <w:sz w:val="18"/>
                <w:szCs w:val="18"/>
                <w:color w:val="auto"/>
              </w:rPr>
              <w:t>References to Agreements and Laws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8060" w:type="dxa"/>
            <w:vAlign w:val="bottom"/>
          </w:tcPr>
          <w:p>
            <w:pPr>
              <w:ind w:left="100"/>
              <w:spacing w:after="0"/>
              <w:rPr>
                <w:sz w:val="20"/>
                <w:szCs w:val="20"/>
                <w:color w:val="auto"/>
              </w:rPr>
            </w:pPr>
            <w:r>
              <w:rPr>
                <w:rFonts w:ascii="Arial" w:cs="Arial" w:eastAsia="Arial" w:hAnsi="Arial"/>
                <w:sz w:val="18"/>
                <w:szCs w:val="18"/>
                <w:color w:val="auto"/>
              </w:rPr>
              <w:t>Pro Forma Calculations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SECTION 2 THE REVOLVING COMMITMENTS AND EXTENSIONS OF CREDIT</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2.01</w:t>
            </w:r>
          </w:p>
        </w:tc>
        <w:tc>
          <w:tcPr>
            <w:tcW w:w="8060" w:type="dxa"/>
            <w:vAlign w:val="bottom"/>
          </w:tcPr>
          <w:p>
            <w:pPr>
              <w:ind w:left="100"/>
              <w:spacing w:after="0"/>
              <w:rPr>
                <w:sz w:val="20"/>
                <w:szCs w:val="20"/>
                <w:color w:val="auto"/>
              </w:rPr>
            </w:pPr>
            <w:r>
              <w:rPr>
                <w:rFonts w:ascii="Arial" w:cs="Arial" w:eastAsia="Arial" w:hAnsi="Arial"/>
                <w:sz w:val="18"/>
                <w:szCs w:val="18"/>
                <w:color w:val="auto"/>
              </w:rPr>
              <w:t>Amount and Terms of Revolving Commitments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8060" w:type="dxa"/>
            <w:vAlign w:val="bottom"/>
          </w:tcPr>
          <w:p>
            <w:pPr>
              <w:ind w:left="100"/>
              <w:spacing w:after="0"/>
              <w:rPr>
                <w:sz w:val="20"/>
                <w:szCs w:val="20"/>
                <w:color w:val="auto"/>
              </w:rPr>
            </w:pPr>
            <w:r>
              <w:rPr>
                <w:rFonts w:ascii="Arial" w:cs="Arial" w:eastAsia="Arial" w:hAnsi="Arial"/>
                <w:sz w:val="18"/>
                <w:szCs w:val="18"/>
                <w:color w:val="auto"/>
              </w:rPr>
              <w:t>Procedure for Revolving Loan Borrowings</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8060" w:type="dxa"/>
            <w:vAlign w:val="bottom"/>
          </w:tcPr>
          <w:p>
            <w:pPr>
              <w:ind w:left="100"/>
              <w:spacing w:after="0"/>
              <w:rPr>
                <w:sz w:val="20"/>
                <w:szCs w:val="20"/>
                <w:color w:val="auto"/>
              </w:rPr>
            </w:pPr>
            <w:r>
              <w:rPr>
                <w:rFonts w:ascii="Arial" w:cs="Arial" w:eastAsia="Arial" w:hAnsi="Arial"/>
                <w:sz w:val="18"/>
                <w:szCs w:val="18"/>
                <w:color w:val="auto"/>
              </w:rPr>
              <w:t>Letters of Credit</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8060" w:type="dxa"/>
            <w:vAlign w:val="bottom"/>
          </w:tcPr>
          <w:p>
            <w:pPr>
              <w:ind w:left="100"/>
              <w:spacing w:after="0"/>
              <w:rPr>
                <w:sz w:val="20"/>
                <w:szCs w:val="20"/>
                <w:color w:val="auto"/>
              </w:rPr>
            </w:pPr>
            <w:r>
              <w:rPr>
                <w:rFonts w:ascii="Arial" w:cs="Arial" w:eastAsia="Arial" w:hAnsi="Arial"/>
                <w:sz w:val="18"/>
                <w:szCs w:val="18"/>
                <w:color w:val="auto"/>
              </w:rPr>
              <w:t>Competitive Bid Procedure</w:t>
            </w:r>
          </w:p>
        </w:tc>
        <w:tc>
          <w:tcPr>
            <w:tcW w:w="2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2.05</w:t>
            </w:r>
          </w:p>
        </w:tc>
        <w:tc>
          <w:tcPr>
            <w:tcW w:w="8060" w:type="dxa"/>
            <w:vAlign w:val="bottom"/>
          </w:tcPr>
          <w:p>
            <w:pPr>
              <w:ind w:left="100"/>
              <w:spacing w:after="0"/>
              <w:rPr>
                <w:sz w:val="20"/>
                <w:szCs w:val="20"/>
                <w:color w:val="auto"/>
              </w:rPr>
            </w:pPr>
            <w:r>
              <w:rPr>
                <w:rFonts w:ascii="Arial" w:cs="Arial" w:eastAsia="Arial" w:hAnsi="Arial"/>
                <w:sz w:val="18"/>
                <w:szCs w:val="18"/>
                <w:color w:val="auto"/>
              </w:rPr>
              <w:t>Reduction or Termination of Revolving Commitments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2.06</w:t>
            </w:r>
          </w:p>
        </w:tc>
        <w:tc>
          <w:tcPr>
            <w:tcW w:w="80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2.07</w:t>
            </w:r>
          </w:p>
        </w:tc>
        <w:tc>
          <w:tcPr>
            <w:tcW w:w="80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80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2.09</w:t>
            </w:r>
          </w:p>
        </w:tc>
        <w:tc>
          <w:tcPr>
            <w:tcW w:w="8060" w:type="dxa"/>
            <w:vAlign w:val="bottom"/>
          </w:tcPr>
          <w:p>
            <w:pPr>
              <w:ind w:left="100"/>
              <w:spacing w:after="0"/>
              <w:rPr>
                <w:sz w:val="20"/>
                <w:szCs w:val="20"/>
                <w:color w:val="auto"/>
              </w:rPr>
            </w:pPr>
            <w:r>
              <w:rPr>
                <w:rFonts w:ascii="Arial" w:cs="Arial" w:eastAsia="Arial" w:hAnsi="Arial"/>
                <w:sz w:val="18"/>
                <w:szCs w:val="18"/>
                <w:color w:val="auto"/>
              </w:rPr>
              <w:t>Prepayments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2.10</w:t>
            </w:r>
          </w:p>
        </w:tc>
        <w:tc>
          <w:tcPr>
            <w:tcW w:w="8060" w:type="dxa"/>
            <w:vAlign w:val="bottom"/>
          </w:tcPr>
          <w:p>
            <w:pPr>
              <w:ind w:left="100"/>
              <w:spacing w:after="0"/>
              <w:rPr>
                <w:sz w:val="20"/>
                <w:szCs w:val="20"/>
                <w:color w:val="auto"/>
              </w:rPr>
            </w:pPr>
            <w:r>
              <w:rPr>
                <w:rFonts w:ascii="Arial" w:cs="Arial" w:eastAsia="Arial" w:hAnsi="Arial"/>
                <w:sz w:val="18"/>
                <w:szCs w:val="18"/>
                <w:color w:val="auto"/>
              </w:rPr>
              <w:t>Documentation of Loans</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8060" w:type="dxa"/>
            <w:vAlign w:val="bottom"/>
          </w:tcPr>
          <w:p>
            <w:pPr>
              <w:ind w:left="100"/>
              <w:spacing w:after="0"/>
              <w:rPr>
                <w:sz w:val="20"/>
                <w:szCs w:val="20"/>
                <w:color w:val="auto"/>
              </w:rPr>
            </w:pPr>
            <w:r>
              <w:rPr>
                <w:rFonts w:ascii="Arial" w:cs="Arial" w:eastAsia="Arial" w:hAnsi="Arial"/>
                <w:sz w:val="18"/>
                <w:szCs w:val="18"/>
                <w:color w:val="auto"/>
              </w:rPr>
              <w:t>Continuation and Conversion Option</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8060" w:type="dxa"/>
            <w:vAlign w:val="bottom"/>
          </w:tcPr>
          <w:p>
            <w:pPr>
              <w:ind w:left="100"/>
              <w:spacing w:after="0"/>
              <w:rPr>
                <w:sz w:val="20"/>
                <w:szCs w:val="20"/>
                <w:color w:val="auto"/>
              </w:rPr>
            </w:pPr>
            <w:r>
              <w:rPr>
                <w:rFonts w:ascii="Arial" w:cs="Arial" w:eastAsia="Arial" w:hAnsi="Arial"/>
                <w:sz w:val="18"/>
                <w:szCs w:val="18"/>
                <w:color w:val="auto"/>
              </w:rPr>
              <w:t>Interest</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2.13</w:t>
            </w:r>
          </w:p>
        </w:tc>
        <w:tc>
          <w:tcPr>
            <w:tcW w:w="8060" w:type="dxa"/>
            <w:vAlign w:val="bottom"/>
          </w:tcPr>
          <w:p>
            <w:pPr>
              <w:ind w:left="100"/>
              <w:spacing w:after="0"/>
              <w:rPr>
                <w:sz w:val="20"/>
                <w:szCs w:val="20"/>
                <w:color w:val="auto"/>
              </w:rPr>
            </w:pPr>
            <w:r>
              <w:rPr>
                <w:rFonts w:ascii="Arial" w:cs="Arial" w:eastAsia="Arial" w:hAnsi="Arial"/>
                <w:sz w:val="18"/>
                <w:szCs w:val="18"/>
                <w:color w:val="auto"/>
              </w:rPr>
              <w:t>Fees</w:t>
            </w: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8060" w:type="dxa"/>
            <w:vAlign w:val="bottom"/>
          </w:tcPr>
          <w:p>
            <w:pPr>
              <w:ind w:left="100"/>
              <w:spacing w:after="0"/>
              <w:rPr>
                <w:sz w:val="20"/>
                <w:szCs w:val="20"/>
                <w:color w:val="auto"/>
              </w:rPr>
            </w:pPr>
            <w:r>
              <w:rPr>
                <w:rFonts w:ascii="Arial" w:cs="Arial" w:eastAsia="Arial" w:hAnsi="Arial"/>
                <w:sz w:val="18"/>
                <w:szCs w:val="18"/>
                <w:color w:val="auto"/>
              </w:rPr>
              <w:t>Computation of Interest and Fees</w:t>
            </w: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8060" w:type="dxa"/>
            <w:vAlign w:val="bottom"/>
          </w:tcPr>
          <w:p>
            <w:pPr>
              <w:ind w:left="100"/>
              <w:spacing w:after="0"/>
              <w:rPr>
                <w:sz w:val="20"/>
                <w:szCs w:val="20"/>
                <w:color w:val="auto"/>
              </w:rPr>
            </w:pPr>
            <w:r>
              <w:rPr>
                <w:rFonts w:ascii="Arial" w:cs="Arial" w:eastAsia="Arial" w:hAnsi="Arial"/>
                <w:sz w:val="18"/>
                <w:szCs w:val="18"/>
                <w:color w:val="auto"/>
              </w:rPr>
              <w:t>Making 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2.16</w:t>
            </w:r>
          </w:p>
        </w:tc>
        <w:tc>
          <w:tcPr>
            <w:tcW w:w="8060" w:type="dxa"/>
            <w:vAlign w:val="bottom"/>
          </w:tcPr>
          <w:p>
            <w:pPr>
              <w:ind w:left="100"/>
              <w:spacing w:after="0"/>
              <w:rPr>
                <w:sz w:val="20"/>
                <w:szCs w:val="20"/>
                <w:color w:val="auto"/>
              </w:rPr>
            </w:pPr>
            <w:r>
              <w:rPr>
                <w:rFonts w:ascii="Arial" w:cs="Arial" w:eastAsia="Arial" w:hAnsi="Arial"/>
                <w:sz w:val="18"/>
                <w:szCs w:val="18"/>
                <w:color w:val="auto"/>
              </w:rPr>
              <w:t>Funding Sources</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8060" w:type="dxa"/>
            <w:vAlign w:val="bottom"/>
          </w:tcPr>
          <w:p>
            <w:pPr>
              <w:ind w:left="100"/>
              <w:spacing w:after="0"/>
              <w:rPr>
                <w:sz w:val="20"/>
                <w:szCs w:val="20"/>
                <w:color w:val="auto"/>
              </w:rPr>
            </w:pPr>
            <w:r>
              <w:rPr>
                <w:rFonts w:ascii="Arial" w:cs="Arial" w:eastAsia="Arial" w:hAnsi="Arial"/>
                <w:sz w:val="18"/>
                <w:szCs w:val="18"/>
                <w:color w:val="auto"/>
              </w:rPr>
              <w:t>Defaulting Lenders</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8060" w:type="dxa"/>
            <w:vAlign w:val="bottom"/>
          </w:tcPr>
          <w:p>
            <w:pPr>
              <w:ind w:left="100"/>
              <w:spacing w:after="0"/>
              <w:rPr>
                <w:sz w:val="20"/>
                <w:szCs w:val="20"/>
                <w:color w:val="auto"/>
              </w:rPr>
            </w:pPr>
            <w:r>
              <w:rPr>
                <w:rFonts w:ascii="Arial" w:cs="Arial" w:eastAsia="Arial" w:hAnsi="Arial"/>
                <w:sz w:val="18"/>
                <w:szCs w:val="18"/>
                <w:color w:val="auto"/>
              </w:rPr>
              <w:t>Currency Equivalents</w:t>
            </w:r>
          </w:p>
        </w:tc>
        <w:tc>
          <w:tcPr>
            <w:tcW w:w="2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SECTION 3 TAXES, YIELD PROTECTION AND ILLEGALITY</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3.01</w:t>
            </w:r>
          </w:p>
        </w:tc>
        <w:tc>
          <w:tcPr>
            <w:tcW w:w="8060" w:type="dxa"/>
            <w:vAlign w:val="bottom"/>
          </w:tcPr>
          <w:p>
            <w:pPr>
              <w:ind w:left="10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8060" w:type="dxa"/>
            <w:vAlign w:val="bottom"/>
          </w:tcPr>
          <w:p>
            <w:pPr>
              <w:ind w:left="100"/>
              <w:spacing w:after="0"/>
              <w:rPr>
                <w:sz w:val="20"/>
                <w:szCs w:val="20"/>
                <w:color w:val="auto"/>
              </w:rPr>
            </w:pPr>
            <w:r>
              <w:rPr>
                <w:rFonts w:ascii="Arial" w:cs="Arial" w:eastAsia="Arial" w:hAnsi="Arial"/>
                <w:sz w:val="18"/>
                <w:szCs w:val="18"/>
                <w:color w:val="auto"/>
              </w:rPr>
              <w:t>Illegality</w:t>
            </w:r>
          </w:p>
        </w:tc>
        <w:tc>
          <w:tcPr>
            <w:tcW w:w="2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3.03</w:t>
            </w:r>
          </w:p>
        </w:tc>
        <w:tc>
          <w:tcPr>
            <w:tcW w:w="8060" w:type="dxa"/>
            <w:vAlign w:val="bottom"/>
          </w:tcPr>
          <w:p>
            <w:pPr>
              <w:ind w:left="100"/>
              <w:spacing w:after="0"/>
              <w:rPr>
                <w:sz w:val="20"/>
                <w:szCs w:val="20"/>
                <w:color w:val="auto"/>
              </w:rPr>
            </w:pPr>
            <w:r>
              <w:rPr>
                <w:rFonts w:ascii="Arial" w:cs="Arial" w:eastAsia="Arial" w:hAnsi="Arial"/>
                <w:sz w:val="18"/>
                <w:szCs w:val="18"/>
                <w:color w:val="auto"/>
              </w:rPr>
              <w:t>Inability to Determine Eurodollar Rates</w:t>
            </w:r>
          </w:p>
        </w:tc>
        <w:tc>
          <w:tcPr>
            <w:tcW w:w="2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3.04</w:t>
            </w:r>
          </w:p>
        </w:tc>
        <w:tc>
          <w:tcPr>
            <w:tcW w:w="8060" w:type="dxa"/>
            <w:vAlign w:val="bottom"/>
          </w:tcPr>
          <w:p>
            <w:pPr>
              <w:ind w:left="100"/>
              <w:spacing w:after="0"/>
              <w:rPr>
                <w:sz w:val="20"/>
                <w:szCs w:val="20"/>
                <w:color w:val="auto"/>
              </w:rPr>
            </w:pPr>
            <w:r>
              <w:rPr>
                <w:rFonts w:ascii="Arial" w:cs="Arial" w:eastAsia="Arial" w:hAnsi="Arial"/>
                <w:sz w:val="18"/>
                <w:szCs w:val="18"/>
                <w:color w:val="auto"/>
              </w:rPr>
              <w:t>Increased Cost and Reduced Return; Capital Adequacy</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65"/>
        </w:trPr>
        <w:tc>
          <w:tcPr>
            <w:tcW w:w="780" w:type="dxa"/>
            <w:vAlign w:val="bottom"/>
          </w:tcPr>
          <w:p>
            <w:pPr>
              <w:spacing w:after="0"/>
              <w:rPr>
                <w:sz w:val="24"/>
                <w:szCs w:val="24"/>
                <w:color w:val="auto"/>
              </w:rPr>
            </w:pPr>
          </w:p>
        </w:tc>
        <w:tc>
          <w:tcPr>
            <w:tcW w:w="8060" w:type="dxa"/>
            <w:vAlign w:val="bottom"/>
          </w:tcPr>
          <w:p>
            <w:pPr>
              <w:ind w:left="4900"/>
              <w:spacing w:after="0"/>
              <w:rPr>
                <w:sz w:val="20"/>
                <w:szCs w:val="20"/>
                <w:color w:val="auto"/>
              </w:rPr>
            </w:pPr>
            <w:r>
              <w:rPr>
                <w:rFonts w:ascii="Arial" w:cs="Arial" w:eastAsia="Arial" w:hAnsi="Arial"/>
                <w:sz w:val="18"/>
                <w:szCs w:val="18"/>
                <w:color w:val="auto"/>
              </w:rPr>
              <w:t>i</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7" w:name="page48"/>
    <w:bookmarkEnd w:id="47"/>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5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3.05</w:t>
            </w:r>
          </w:p>
        </w:tc>
        <w:tc>
          <w:tcPr>
            <w:tcW w:w="4760" w:type="dxa"/>
            <w:vAlign w:val="bottom"/>
          </w:tcPr>
          <w:p>
            <w:pPr>
              <w:ind w:left="100"/>
              <w:spacing w:after="0"/>
              <w:rPr>
                <w:sz w:val="20"/>
                <w:szCs w:val="20"/>
                <w:color w:val="auto"/>
              </w:rPr>
            </w:pPr>
            <w:r>
              <w:rPr>
                <w:rFonts w:ascii="Arial" w:cs="Arial" w:eastAsia="Arial" w:hAnsi="Arial"/>
                <w:sz w:val="18"/>
                <w:szCs w:val="18"/>
                <w:color w:val="auto"/>
              </w:rPr>
              <w:t>Breakfunding Costs</w:t>
            </w:r>
          </w:p>
        </w:tc>
        <w:tc>
          <w:tcPr>
            <w:tcW w:w="5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3.06</w:t>
            </w:r>
          </w:p>
        </w:tc>
        <w:tc>
          <w:tcPr>
            <w:tcW w:w="4760" w:type="dxa"/>
            <w:vAlign w:val="bottom"/>
          </w:tcPr>
          <w:p>
            <w:pPr>
              <w:ind w:left="100"/>
              <w:spacing w:after="0"/>
              <w:rPr>
                <w:sz w:val="20"/>
                <w:szCs w:val="20"/>
                <w:color w:val="auto"/>
              </w:rPr>
            </w:pPr>
            <w:r>
              <w:rPr>
                <w:rFonts w:ascii="Arial" w:cs="Arial" w:eastAsia="Arial" w:hAnsi="Arial"/>
                <w:sz w:val="18"/>
                <w:szCs w:val="18"/>
                <w:color w:val="auto"/>
              </w:rPr>
              <w:t>Matters Applicable to all Requests for Compensation</w:t>
            </w:r>
          </w:p>
        </w:tc>
        <w:tc>
          <w:tcPr>
            <w:tcW w:w="5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3.07</w:t>
            </w:r>
          </w:p>
        </w:tc>
        <w:tc>
          <w:tcPr>
            <w:tcW w:w="4760" w:type="dxa"/>
            <w:vAlign w:val="bottom"/>
          </w:tcPr>
          <w:p>
            <w:pPr>
              <w:ind w:left="100"/>
              <w:spacing w:after="0"/>
              <w:rPr>
                <w:sz w:val="20"/>
                <w:szCs w:val="20"/>
                <w:color w:val="auto"/>
              </w:rPr>
            </w:pPr>
            <w:r>
              <w:rPr>
                <w:rFonts w:ascii="Arial" w:cs="Arial" w:eastAsia="Arial" w:hAnsi="Arial"/>
                <w:sz w:val="18"/>
                <w:szCs w:val="18"/>
                <w:color w:val="auto"/>
              </w:rPr>
              <w:t>Survival</w:t>
            </w:r>
          </w:p>
        </w:tc>
        <w:tc>
          <w:tcPr>
            <w:tcW w:w="5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color w:val="auto"/>
                <w:w w:val="94"/>
              </w:rPr>
              <w:t>SECTION 4 CONDITIONS PRECEDENT TO EXTENSIONS OF CREDIT</w:t>
            </w:r>
          </w:p>
        </w:tc>
        <w:tc>
          <w:tcPr>
            <w:tcW w:w="5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4.01</w:t>
            </w:r>
          </w:p>
        </w:tc>
        <w:tc>
          <w:tcPr>
            <w:tcW w:w="4760" w:type="dxa"/>
            <w:vAlign w:val="bottom"/>
          </w:tcPr>
          <w:p>
            <w:pPr>
              <w:ind w:left="100"/>
              <w:spacing w:after="0"/>
              <w:rPr>
                <w:sz w:val="20"/>
                <w:szCs w:val="20"/>
                <w:color w:val="auto"/>
              </w:rPr>
            </w:pPr>
            <w:r>
              <w:rPr>
                <w:rFonts w:ascii="Arial" w:cs="Arial" w:eastAsia="Arial" w:hAnsi="Arial"/>
                <w:sz w:val="18"/>
                <w:szCs w:val="18"/>
                <w:color w:val="auto"/>
              </w:rPr>
              <w:t>Conditions Precedent to Effective Date</w:t>
            </w:r>
          </w:p>
        </w:tc>
        <w:tc>
          <w:tcPr>
            <w:tcW w:w="5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4.02</w:t>
            </w:r>
          </w:p>
        </w:tc>
        <w:tc>
          <w:tcPr>
            <w:tcW w:w="4760" w:type="dxa"/>
            <w:vAlign w:val="bottom"/>
          </w:tcPr>
          <w:p>
            <w:pPr>
              <w:ind w:left="100"/>
              <w:spacing w:after="0"/>
              <w:rPr>
                <w:sz w:val="20"/>
                <w:szCs w:val="20"/>
                <w:color w:val="auto"/>
              </w:rPr>
            </w:pPr>
            <w:r>
              <w:rPr>
                <w:rFonts w:ascii="Arial" w:cs="Arial" w:eastAsia="Arial" w:hAnsi="Arial"/>
                <w:sz w:val="18"/>
                <w:szCs w:val="18"/>
                <w:color w:val="auto"/>
              </w:rPr>
              <w:t>Conditions to all Extensions of Credit</w:t>
            </w:r>
          </w:p>
        </w:tc>
        <w:tc>
          <w:tcPr>
            <w:tcW w:w="5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color w:val="auto"/>
              </w:rPr>
              <w:t>SECTION 5 REPRESENTATIONS AND WARRANTIES</w:t>
            </w:r>
          </w:p>
        </w:tc>
        <w:tc>
          <w:tcPr>
            <w:tcW w:w="5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5.01</w:t>
            </w:r>
          </w:p>
        </w:tc>
        <w:tc>
          <w:tcPr>
            <w:tcW w:w="4760" w:type="dxa"/>
            <w:vAlign w:val="bottom"/>
          </w:tcPr>
          <w:p>
            <w:pPr>
              <w:ind w:left="100"/>
              <w:spacing w:after="0"/>
              <w:rPr>
                <w:sz w:val="20"/>
                <w:szCs w:val="20"/>
                <w:color w:val="auto"/>
              </w:rPr>
            </w:pPr>
            <w:r>
              <w:rPr>
                <w:rFonts w:ascii="Arial" w:cs="Arial" w:eastAsia="Arial" w:hAnsi="Arial"/>
                <w:sz w:val="18"/>
                <w:szCs w:val="18"/>
                <w:color w:val="auto"/>
                <w:w w:val="99"/>
              </w:rPr>
              <w:t>Existence and Qualification; Power; Compliance with Laws</w:t>
            </w:r>
          </w:p>
        </w:tc>
        <w:tc>
          <w:tcPr>
            <w:tcW w:w="5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5.02</w:t>
            </w:r>
          </w:p>
        </w:tc>
        <w:tc>
          <w:tcPr>
            <w:tcW w:w="4760" w:type="dxa"/>
            <w:vAlign w:val="bottom"/>
          </w:tcPr>
          <w:p>
            <w:pPr>
              <w:ind w:left="100"/>
              <w:spacing w:after="0"/>
              <w:rPr>
                <w:sz w:val="20"/>
                <w:szCs w:val="20"/>
                <w:color w:val="auto"/>
              </w:rPr>
            </w:pPr>
            <w:r>
              <w:rPr>
                <w:rFonts w:ascii="Arial" w:cs="Arial" w:eastAsia="Arial" w:hAnsi="Arial"/>
                <w:sz w:val="18"/>
                <w:szCs w:val="18"/>
                <w:color w:val="auto"/>
              </w:rPr>
              <w:t>Power; Authorization; Enforceable Obligations</w:t>
            </w:r>
          </w:p>
        </w:tc>
        <w:tc>
          <w:tcPr>
            <w:tcW w:w="5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5.03</w:t>
            </w:r>
          </w:p>
        </w:tc>
        <w:tc>
          <w:tcPr>
            <w:tcW w:w="4760" w:type="dxa"/>
            <w:vAlign w:val="bottom"/>
          </w:tcPr>
          <w:p>
            <w:pPr>
              <w:ind w:left="100"/>
              <w:spacing w:after="0"/>
              <w:rPr>
                <w:sz w:val="20"/>
                <w:szCs w:val="20"/>
                <w:color w:val="auto"/>
              </w:rPr>
            </w:pPr>
            <w:r>
              <w:rPr>
                <w:rFonts w:ascii="Arial" w:cs="Arial" w:eastAsia="Arial" w:hAnsi="Arial"/>
                <w:sz w:val="18"/>
                <w:szCs w:val="18"/>
                <w:color w:val="auto"/>
              </w:rPr>
              <w:t>No Legal Bar</w:t>
            </w:r>
          </w:p>
        </w:tc>
        <w:tc>
          <w:tcPr>
            <w:tcW w:w="5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5.04</w:t>
            </w:r>
          </w:p>
        </w:tc>
        <w:tc>
          <w:tcPr>
            <w:tcW w:w="4760" w:type="dxa"/>
            <w:vAlign w:val="bottom"/>
          </w:tcPr>
          <w:p>
            <w:pPr>
              <w:ind w:left="100"/>
              <w:spacing w:after="0"/>
              <w:rPr>
                <w:sz w:val="20"/>
                <w:szCs w:val="20"/>
                <w:color w:val="auto"/>
              </w:rPr>
            </w:pPr>
            <w:r>
              <w:rPr>
                <w:rFonts w:ascii="Arial" w:cs="Arial" w:eastAsia="Arial" w:hAnsi="Arial"/>
                <w:sz w:val="18"/>
                <w:szCs w:val="18"/>
                <w:color w:val="auto"/>
              </w:rPr>
              <w:t>Financial Statements; No Material Adverse Effect</w:t>
            </w:r>
          </w:p>
        </w:tc>
        <w:tc>
          <w:tcPr>
            <w:tcW w:w="5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5.05</w:t>
            </w:r>
          </w:p>
        </w:tc>
        <w:tc>
          <w:tcPr>
            <w:tcW w:w="4760" w:type="dxa"/>
            <w:vAlign w:val="bottom"/>
          </w:tcPr>
          <w:p>
            <w:pPr>
              <w:ind w:left="100"/>
              <w:spacing w:after="0"/>
              <w:rPr>
                <w:sz w:val="20"/>
                <w:szCs w:val="20"/>
                <w:color w:val="auto"/>
              </w:rPr>
            </w:pPr>
            <w:r>
              <w:rPr>
                <w:rFonts w:ascii="Arial" w:cs="Arial" w:eastAsia="Arial" w:hAnsi="Arial"/>
                <w:sz w:val="18"/>
                <w:szCs w:val="18"/>
                <w:color w:val="auto"/>
              </w:rPr>
              <w:t>Litigation</w:t>
            </w:r>
          </w:p>
        </w:tc>
        <w:tc>
          <w:tcPr>
            <w:tcW w:w="5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5.06</w:t>
            </w:r>
          </w:p>
        </w:tc>
        <w:tc>
          <w:tcPr>
            <w:tcW w:w="4760" w:type="dxa"/>
            <w:vAlign w:val="bottom"/>
          </w:tcPr>
          <w:p>
            <w:pPr>
              <w:ind w:left="100"/>
              <w:spacing w:after="0"/>
              <w:rPr>
                <w:sz w:val="20"/>
                <w:szCs w:val="20"/>
                <w:color w:val="auto"/>
              </w:rPr>
            </w:pPr>
            <w:r>
              <w:rPr>
                <w:rFonts w:ascii="Arial" w:cs="Arial" w:eastAsia="Arial" w:hAnsi="Arial"/>
                <w:sz w:val="18"/>
                <w:szCs w:val="18"/>
                <w:color w:val="auto"/>
              </w:rPr>
              <w:t>No Default</w:t>
            </w:r>
          </w:p>
        </w:tc>
        <w:tc>
          <w:tcPr>
            <w:tcW w:w="5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5.07</w:t>
            </w:r>
          </w:p>
        </w:tc>
        <w:tc>
          <w:tcPr>
            <w:tcW w:w="4760" w:type="dxa"/>
            <w:vAlign w:val="bottom"/>
          </w:tcPr>
          <w:p>
            <w:pPr>
              <w:ind w:left="100"/>
              <w:spacing w:after="0"/>
              <w:rPr>
                <w:sz w:val="20"/>
                <w:szCs w:val="20"/>
                <w:color w:val="auto"/>
              </w:rPr>
            </w:pPr>
            <w:r>
              <w:rPr>
                <w:rFonts w:ascii="Arial" w:cs="Arial" w:eastAsia="Arial" w:hAnsi="Arial"/>
                <w:sz w:val="18"/>
                <w:szCs w:val="18"/>
                <w:color w:val="auto"/>
              </w:rPr>
              <w:t>Authorizations</w:t>
            </w:r>
          </w:p>
        </w:tc>
        <w:tc>
          <w:tcPr>
            <w:tcW w:w="5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5.08</w:t>
            </w:r>
          </w:p>
        </w:tc>
        <w:tc>
          <w:tcPr>
            <w:tcW w:w="4760" w:type="dxa"/>
            <w:vAlign w:val="bottom"/>
          </w:tcPr>
          <w:p>
            <w:pPr>
              <w:ind w:left="100"/>
              <w:spacing w:after="0"/>
              <w:rPr>
                <w:sz w:val="20"/>
                <w:szCs w:val="20"/>
                <w:color w:val="auto"/>
              </w:rPr>
            </w:pPr>
            <w:r>
              <w:rPr>
                <w:rFonts w:ascii="Arial" w:cs="Arial" w:eastAsia="Arial" w:hAnsi="Arial"/>
                <w:sz w:val="18"/>
                <w:szCs w:val="18"/>
                <w:color w:val="auto"/>
              </w:rPr>
              <w:t>Taxes</w:t>
            </w:r>
          </w:p>
        </w:tc>
        <w:tc>
          <w:tcPr>
            <w:tcW w:w="5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5.09</w:t>
            </w:r>
          </w:p>
        </w:tc>
        <w:tc>
          <w:tcPr>
            <w:tcW w:w="4760" w:type="dxa"/>
            <w:vAlign w:val="bottom"/>
          </w:tcPr>
          <w:p>
            <w:pPr>
              <w:ind w:left="100"/>
              <w:spacing w:after="0"/>
              <w:rPr>
                <w:sz w:val="20"/>
                <w:szCs w:val="20"/>
                <w:color w:val="auto"/>
              </w:rPr>
            </w:pPr>
            <w:r>
              <w:rPr>
                <w:rFonts w:ascii="Arial" w:cs="Arial" w:eastAsia="Arial" w:hAnsi="Arial"/>
                <w:sz w:val="18"/>
                <w:szCs w:val="18"/>
                <w:color w:val="auto"/>
              </w:rPr>
              <w:t>Margin Regulations; Investment Company Act</w:t>
            </w:r>
          </w:p>
        </w:tc>
        <w:tc>
          <w:tcPr>
            <w:tcW w:w="5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5.10</w:t>
            </w:r>
          </w:p>
        </w:tc>
        <w:tc>
          <w:tcPr>
            <w:tcW w:w="4760" w:type="dxa"/>
            <w:vAlign w:val="bottom"/>
          </w:tcPr>
          <w:p>
            <w:pPr>
              <w:ind w:left="100"/>
              <w:spacing w:after="0"/>
              <w:rPr>
                <w:sz w:val="20"/>
                <w:szCs w:val="20"/>
                <w:color w:val="auto"/>
              </w:rPr>
            </w:pPr>
            <w:r>
              <w:rPr>
                <w:rFonts w:ascii="Arial" w:cs="Arial" w:eastAsia="Arial" w:hAnsi="Arial"/>
                <w:sz w:val="18"/>
                <w:szCs w:val="18"/>
                <w:color w:val="auto"/>
              </w:rPr>
              <w:t>ERISA Compliance</w:t>
            </w:r>
          </w:p>
        </w:tc>
        <w:tc>
          <w:tcPr>
            <w:tcW w:w="5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5.11</w:t>
            </w:r>
          </w:p>
        </w:tc>
        <w:tc>
          <w:tcPr>
            <w:tcW w:w="4760" w:type="dxa"/>
            <w:vAlign w:val="bottom"/>
          </w:tcPr>
          <w:p>
            <w:pPr>
              <w:ind w:left="100"/>
              <w:spacing w:after="0"/>
              <w:rPr>
                <w:sz w:val="20"/>
                <w:szCs w:val="20"/>
                <w:color w:val="auto"/>
              </w:rPr>
            </w:pPr>
            <w:r>
              <w:rPr>
                <w:rFonts w:ascii="Arial" w:cs="Arial" w:eastAsia="Arial" w:hAnsi="Arial"/>
                <w:sz w:val="18"/>
                <w:szCs w:val="18"/>
                <w:color w:val="auto"/>
              </w:rPr>
              <w:t>Assets; Liens</w:t>
            </w:r>
          </w:p>
        </w:tc>
        <w:tc>
          <w:tcPr>
            <w:tcW w:w="5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5.12</w:t>
            </w:r>
          </w:p>
        </w:tc>
        <w:tc>
          <w:tcPr>
            <w:tcW w:w="4760" w:type="dxa"/>
            <w:vAlign w:val="bottom"/>
          </w:tcPr>
          <w:p>
            <w:pPr>
              <w:ind w:left="100"/>
              <w:spacing w:after="0"/>
              <w:rPr>
                <w:sz w:val="20"/>
                <w:szCs w:val="20"/>
                <w:color w:val="auto"/>
              </w:rPr>
            </w:pPr>
            <w:r>
              <w:rPr>
                <w:rFonts w:ascii="Arial" w:cs="Arial" w:eastAsia="Arial" w:hAnsi="Arial"/>
                <w:sz w:val="18"/>
                <w:szCs w:val="18"/>
                <w:color w:val="auto"/>
              </w:rPr>
              <w:t>Environmental Compliance</w:t>
            </w:r>
          </w:p>
        </w:tc>
        <w:tc>
          <w:tcPr>
            <w:tcW w:w="5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5.13</w:t>
            </w:r>
          </w:p>
        </w:tc>
        <w:tc>
          <w:tcPr>
            <w:tcW w:w="476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5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5.14</w:t>
            </w:r>
          </w:p>
        </w:tc>
        <w:tc>
          <w:tcPr>
            <w:tcW w:w="4760" w:type="dxa"/>
            <w:vAlign w:val="bottom"/>
          </w:tcPr>
          <w:p>
            <w:pPr>
              <w:ind w:left="100"/>
              <w:spacing w:after="0"/>
              <w:rPr>
                <w:sz w:val="20"/>
                <w:szCs w:val="20"/>
                <w:color w:val="auto"/>
              </w:rPr>
            </w:pPr>
            <w:r>
              <w:rPr>
                <w:rFonts w:ascii="Arial" w:cs="Arial" w:eastAsia="Arial" w:hAnsi="Arial"/>
                <w:sz w:val="18"/>
                <w:szCs w:val="18"/>
                <w:color w:val="auto"/>
              </w:rPr>
              <w:t>Disclosure</w:t>
            </w:r>
          </w:p>
        </w:tc>
        <w:tc>
          <w:tcPr>
            <w:tcW w:w="5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c>
          <w:tcPr>
            <w:tcW w:w="5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6.01</w:t>
            </w:r>
          </w:p>
        </w:tc>
        <w:tc>
          <w:tcPr>
            <w:tcW w:w="476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5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6.02</w:t>
            </w:r>
          </w:p>
        </w:tc>
        <w:tc>
          <w:tcPr>
            <w:tcW w:w="4760" w:type="dxa"/>
            <w:vAlign w:val="bottom"/>
          </w:tcPr>
          <w:p>
            <w:pPr>
              <w:ind w:left="100"/>
              <w:spacing w:after="0"/>
              <w:rPr>
                <w:sz w:val="20"/>
                <w:szCs w:val="20"/>
                <w:color w:val="auto"/>
              </w:rPr>
            </w:pPr>
            <w:r>
              <w:rPr>
                <w:rFonts w:ascii="Arial" w:cs="Arial" w:eastAsia="Arial" w:hAnsi="Arial"/>
                <w:sz w:val="18"/>
                <w:szCs w:val="18"/>
                <w:color w:val="auto"/>
              </w:rPr>
              <w:t>Certificates, Notices and Other Information</w:t>
            </w:r>
          </w:p>
        </w:tc>
        <w:tc>
          <w:tcPr>
            <w:tcW w:w="5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6.03</w:t>
            </w:r>
          </w:p>
        </w:tc>
        <w:tc>
          <w:tcPr>
            <w:tcW w:w="4760" w:type="dxa"/>
            <w:vAlign w:val="bottom"/>
          </w:tcPr>
          <w:p>
            <w:pPr>
              <w:ind w:left="100"/>
              <w:spacing w:after="0"/>
              <w:rPr>
                <w:sz w:val="20"/>
                <w:szCs w:val="20"/>
                <w:color w:val="auto"/>
              </w:rPr>
            </w:pPr>
            <w:r>
              <w:rPr>
                <w:rFonts w:ascii="Arial" w:cs="Arial" w:eastAsia="Arial" w:hAnsi="Arial"/>
                <w:sz w:val="18"/>
                <w:szCs w:val="18"/>
                <w:color w:val="auto"/>
              </w:rPr>
              <w:t>Payment of Taxes</w:t>
            </w:r>
          </w:p>
        </w:tc>
        <w:tc>
          <w:tcPr>
            <w:tcW w:w="5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6.04</w:t>
            </w:r>
          </w:p>
        </w:tc>
        <w:tc>
          <w:tcPr>
            <w:tcW w:w="4760" w:type="dxa"/>
            <w:vAlign w:val="bottom"/>
          </w:tcPr>
          <w:p>
            <w:pPr>
              <w:ind w:left="100"/>
              <w:spacing w:after="0"/>
              <w:rPr>
                <w:sz w:val="20"/>
                <w:szCs w:val="20"/>
                <w:color w:val="auto"/>
              </w:rPr>
            </w:pPr>
            <w:r>
              <w:rPr>
                <w:rFonts w:ascii="Arial" w:cs="Arial" w:eastAsia="Arial" w:hAnsi="Arial"/>
                <w:sz w:val="18"/>
                <w:szCs w:val="18"/>
                <w:color w:val="auto"/>
              </w:rPr>
              <w:t>Preservation of Existence</w:t>
            </w:r>
          </w:p>
        </w:tc>
        <w:tc>
          <w:tcPr>
            <w:tcW w:w="5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6.05</w:t>
            </w:r>
          </w:p>
        </w:tc>
        <w:tc>
          <w:tcPr>
            <w:tcW w:w="4760" w:type="dxa"/>
            <w:vAlign w:val="bottom"/>
          </w:tcPr>
          <w:p>
            <w:pPr>
              <w:ind w:left="100"/>
              <w:spacing w:after="0"/>
              <w:rPr>
                <w:sz w:val="20"/>
                <w:szCs w:val="20"/>
                <w:color w:val="auto"/>
              </w:rPr>
            </w:pPr>
            <w:r>
              <w:rPr>
                <w:rFonts w:ascii="Arial" w:cs="Arial" w:eastAsia="Arial" w:hAnsi="Arial"/>
                <w:sz w:val="18"/>
                <w:szCs w:val="18"/>
                <w:color w:val="auto"/>
              </w:rPr>
              <w:t>Maintenance of Properties</w:t>
            </w:r>
          </w:p>
        </w:tc>
        <w:tc>
          <w:tcPr>
            <w:tcW w:w="5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6.06</w:t>
            </w:r>
          </w:p>
        </w:tc>
        <w:tc>
          <w:tcPr>
            <w:tcW w:w="4760" w:type="dxa"/>
            <w:vAlign w:val="bottom"/>
          </w:tcPr>
          <w:p>
            <w:pPr>
              <w:ind w:left="100"/>
              <w:spacing w:after="0"/>
              <w:rPr>
                <w:sz w:val="20"/>
                <w:szCs w:val="20"/>
                <w:color w:val="auto"/>
              </w:rPr>
            </w:pPr>
            <w:r>
              <w:rPr>
                <w:rFonts w:ascii="Arial" w:cs="Arial" w:eastAsia="Arial" w:hAnsi="Arial"/>
                <w:sz w:val="18"/>
                <w:szCs w:val="18"/>
                <w:color w:val="auto"/>
              </w:rPr>
              <w:t>Maintenance of Insurance</w:t>
            </w:r>
          </w:p>
        </w:tc>
        <w:tc>
          <w:tcPr>
            <w:tcW w:w="5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6.07</w:t>
            </w:r>
          </w:p>
        </w:tc>
        <w:tc>
          <w:tcPr>
            <w:tcW w:w="4760" w:type="dxa"/>
            <w:vAlign w:val="bottom"/>
          </w:tcPr>
          <w:p>
            <w:pPr>
              <w:ind w:left="100"/>
              <w:spacing w:after="0"/>
              <w:rPr>
                <w:sz w:val="20"/>
                <w:szCs w:val="20"/>
                <w:color w:val="auto"/>
              </w:rPr>
            </w:pPr>
            <w:r>
              <w:rPr>
                <w:rFonts w:ascii="Arial" w:cs="Arial" w:eastAsia="Arial" w:hAnsi="Arial"/>
                <w:sz w:val="18"/>
                <w:szCs w:val="18"/>
                <w:color w:val="auto"/>
              </w:rPr>
              <w:t>Compliance With Laws</w:t>
            </w:r>
          </w:p>
        </w:tc>
        <w:tc>
          <w:tcPr>
            <w:tcW w:w="5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6.08</w:t>
            </w:r>
          </w:p>
        </w:tc>
        <w:tc>
          <w:tcPr>
            <w:tcW w:w="4760" w:type="dxa"/>
            <w:vAlign w:val="bottom"/>
          </w:tcPr>
          <w:p>
            <w:pPr>
              <w:ind w:left="100"/>
              <w:spacing w:after="0"/>
              <w:rPr>
                <w:sz w:val="20"/>
                <w:szCs w:val="20"/>
                <w:color w:val="auto"/>
              </w:rPr>
            </w:pPr>
            <w:r>
              <w:rPr>
                <w:rFonts w:ascii="Arial" w:cs="Arial" w:eastAsia="Arial" w:hAnsi="Arial"/>
                <w:sz w:val="18"/>
                <w:szCs w:val="18"/>
                <w:color w:val="auto"/>
              </w:rPr>
              <w:t>Inspection Rights</w:t>
            </w:r>
          </w:p>
        </w:tc>
        <w:tc>
          <w:tcPr>
            <w:tcW w:w="5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6.09</w:t>
            </w:r>
          </w:p>
        </w:tc>
        <w:tc>
          <w:tcPr>
            <w:tcW w:w="4760" w:type="dxa"/>
            <w:vAlign w:val="bottom"/>
          </w:tcPr>
          <w:p>
            <w:pPr>
              <w:ind w:left="100"/>
              <w:spacing w:after="0"/>
              <w:rPr>
                <w:sz w:val="20"/>
                <w:szCs w:val="20"/>
                <w:color w:val="auto"/>
              </w:rPr>
            </w:pPr>
            <w:r>
              <w:rPr>
                <w:rFonts w:ascii="Arial" w:cs="Arial" w:eastAsia="Arial" w:hAnsi="Arial"/>
                <w:sz w:val="18"/>
                <w:szCs w:val="18"/>
                <w:color w:val="auto"/>
              </w:rPr>
              <w:t>Keeping of Records and Books of Account</w:t>
            </w:r>
          </w:p>
        </w:tc>
        <w:tc>
          <w:tcPr>
            <w:tcW w:w="5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6.10</w:t>
            </w:r>
          </w:p>
        </w:tc>
        <w:tc>
          <w:tcPr>
            <w:tcW w:w="4760" w:type="dxa"/>
            <w:vAlign w:val="bottom"/>
          </w:tcPr>
          <w:p>
            <w:pPr>
              <w:ind w:left="100"/>
              <w:spacing w:after="0"/>
              <w:rPr>
                <w:sz w:val="20"/>
                <w:szCs w:val="20"/>
                <w:color w:val="auto"/>
              </w:rPr>
            </w:pPr>
            <w:r>
              <w:rPr>
                <w:rFonts w:ascii="Arial" w:cs="Arial" w:eastAsia="Arial" w:hAnsi="Arial"/>
                <w:sz w:val="18"/>
                <w:szCs w:val="18"/>
                <w:color w:val="auto"/>
              </w:rPr>
              <w:t>Compliance with ERISA</w:t>
            </w:r>
          </w:p>
        </w:tc>
        <w:tc>
          <w:tcPr>
            <w:tcW w:w="5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6.11</w:t>
            </w:r>
          </w:p>
        </w:tc>
        <w:tc>
          <w:tcPr>
            <w:tcW w:w="4760" w:type="dxa"/>
            <w:vAlign w:val="bottom"/>
          </w:tcPr>
          <w:p>
            <w:pPr>
              <w:ind w:left="100"/>
              <w:spacing w:after="0"/>
              <w:rPr>
                <w:sz w:val="20"/>
                <w:szCs w:val="20"/>
                <w:color w:val="auto"/>
              </w:rPr>
            </w:pPr>
            <w:r>
              <w:rPr>
                <w:rFonts w:ascii="Arial" w:cs="Arial" w:eastAsia="Arial" w:hAnsi="Arial"/>
                <w:sz w:val="18"/>
                <w:szCs w:val="18"/>
                <w:color w:val="auto"/>
              </w:rPr>
              <w:t>Compliance With Agreements</w:t>
            </w:r>
          </w:p>
        </w:tc>
        <w:tc>
          <w:tcPr>
            <w:tcW w:w="5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6.12</w:t>
            </w:r>
          </w:p>
        </w:tc>
        <w:tc>
          <w:tcPr>
            <w:tcW w:w="476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5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65"/>
        </w:trPr>
        <w:tc>
          <w:tcPr>
            <w:tcW w:w="7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780" w:type="dxa"/>
            <w:vAlign w:val="bottom"/>
          </w:tcPr>
          <w:p>
            <w:pPr>
              <w:jc w:val="right"/>
              <w:ind w:right="5473"/>
              <w:spacing w:after="0"/>
              <w:rPr>
                <w:sz w:val="20"/>
                <w:szCs w:val="20"/>
                <w:color w:val="auto"/>
              </w:rPr>
            </w:pPr>
            <w:r>
              <w:rPr>
                <w:rFonts w:ascii="Arial" w:cs="Arial" w:eastAsia="Arial" w:hAnsi="Arial"/>
                <w:sz w:val="18"/>
                <w:szCs w:val="18"/>
                <w:color w:val="auto"/>
              </w:rPr>
              <w:t>ii</w:t>
            </w:r>
          </w:p>
        </w:tc>
      </w:tr>
    </w:tbl>
    <w:p>
      <w:pPr>
        <w:jc w:val="right"/>
        <w:ind w:right="5473"/>
        <w:spacing w:after="0"/>
        <w:rPr>
          <w:sz w:val="20"/>
          <w:szCs w:val="20"/>
          <w:color w:val="auto"/>
        </w:rPr>
        <w:sectPr>
          <w:pgSz w:w="11900" w:h="16838" w:orient="portrait"/>
          <w:cols w:equalWidth="0" w:num="1">
            <w:col w:w="11320"/>
          </w:cols>
          <w:pgMar w:left="240" w:top="275"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8" w:name="page49"/>
    <w:bookmarkEnd w:id="48"/>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5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6.13</w:t>
            </w:r>
          </w:p>
        </w:tc>
        <w:tc>
          <w:tcPr>
            <w:tcW w:w="4800" w:type="dxa"/>
            <w:vAlign w:val="bottom"/>
          </w:tcPr>
          <w:p>
            <w:pPr>
              <w:ind w:left="100"/>
              <w:spacing w:after="0"/>
              <w:rPr>
                <w:sz w:val="20"/>
                <w:szCs w:val="20"/>
                <w:color w:val="auto"/>
              </w:rPr>
            </w:pPr>
            <w:r>
              <w:rPr>
                <w:rFonts w:ascii="Arial" w:cs="Arial" w:eastAsia="Arial" w:hAnsi="Arial"/>
                <w:sz w:val="18"/>
                <w:szCs w:val="18"/>
                <w:color w:val="auto"/>
              </w:rPr>
              <w:t>Designation of Unrestricted Subsidiaries</w:t>
            </w:r>
          </w:p>
        </w:tc>
        <w:tc>
          <w:tcPr>
            <w:tcW w:w="5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c>
          <w:tcPr>
            <w:tcW w:w="5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7.01</w:t>
            </w:r>
          </w:p>
        </w:tc>
        <w:tc>
          <w:tcPr>
            <w:tcW w:w="4800" w:type="dxa"/>
            <w:vAlign w:val="bottom"/>
          </w:tcPr>
          <w:p>
            <w:pPr>
              <w:ind w:left="100"/>
              <w:spacing w:after="0"/>
              <w:rPr>
                <w:sz w:val="20"/>
                <w:szCs w:val="20"/>
                <w:color w:val="auto"/>
              </w:rPr>
            </w:pPr>
            <w:r>
              <w:rPr>
                <w:rFonts w:ascii="Arial" w:cs="Arial" w:eastAsia="Arial" w:hAnsi="Arial"/>
                <w:sz w:val="18"/>
                <w:szCs w:val="18"/>
                <w:color w:val="auto"/>
              </w:rPr>
              <w:t>Liens</w:t>
            </w:r>
          </w:p>
        </w:tc>
        <w:tc>
          <w:tcPr>
            <w:tcW w:w="5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7.02</w:t>
            </w:r>
          </w:p>
        </w:tc>
        <w:tc>
          <w:tcPr>
            <w:tcW w:w="4800" w:type="dxa"/>
            <w:vAlign w:val="bottom"/>
          </w:tcPr>
          <w:p>
            <w:pPr>
              <w:ind w:left="100"/>
              <w:spacing w:after="0"/>
              <w:rPr>
                <w:sz w:val="20"/>
                <w:szCs w:val="20"/>
                <w:color w:val="auto"/>
              </w:rPr>
            </w:pPr>
            <w:r>
              <w:rPr>
                <w:rFonts w:ascii="Arial" w:cs="Arial" w:eastAsia="Arial" w:hAnsi="Arial"/>
                <w:sz w:val="18"/>
                <w:szCs w:val="18"/>
                <w:color w:val="auto"/>
              </w:rPr>
              <w:t>Subsidiary Indebtedness</w:t>
            </w:r>
          </w:p>
        </w:tc>
        <w:tc>
          <w:tcPr>
            <w:tcW w:w="5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7.03</w:t>
            </w:r>
          </w:p>
        </w:tc>
        <w:tc>
          <w:tcPr>
            <w:tcW w:w="4800" w:type="dxa"/>
            <w:vAlign w:val="bottom"/>
          </w:tcPr>
          <w:p>
            <w:pPr>
              <w:ind w:left="100"/>
              <w:spacing w:after="0"/>
              <w:rPr>
                <w:sz w:val="20"/>
                <w:szCs w:val="20"/>
                <w:color w:val="auto"/>
              </w:rPr>
            </w:pPr>
            <w:r>
              <w:rPr>
                <w:rFonts w:ascii="Arial" w:cs="Arial" w:eastAsia="Arial" w:hAnsi="Arial"/>
                <w:sz w:val="18"/>
                <w:szCs w:val="18"/>
                <w:color w:val="auto"/>
              </w:rPr>
              <w:t>Fundamental Changes</w:t>
            </w:r>
          </w:p>
        </w:tc>
        <w:tc>
          <w:tcPr>
            <w:tcW w:w="5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7.04</w:t>
            </w:r>
          </w:p>
        </w:tc>
        <w:tc>
          <w:tcPr>
            <w:tcW w:w="4800" w:type="dxa"/>
            <w:vAlign w:val="bottom"/>
          </w:tcPr>
          <w:p>
            <w:pPr>
              <w:ind w:left="100"/>
              <w:spacing w:after="0"/>
              <w:rPr>
                <w:sz w:val="20"/>
                <w:szCs w:val="20"/>
                <w:color w:val="auto"/>
              </w:rPr>
            </w:pPr>
            <w:r>
              <w:rPr>
                <w:rFonts w:ascii="Arial" w:cs="Arial" w:eastAsia="Arial" w:hAnsi="Arial"/>
                <w:sz w:val="18"/>
                <w:szCs w:val="18"/>
                <w:color w:val="auto"/>
              </w:rPr>
              <w:t>ERISA</w:t>
            </w:r>
          </w:p>
        </w:tc>
        <w:tc>
          <w:tcPr>
            <w:tcW w:w="5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7.05</w:t>
            </w:r>
          </w:p>
        </w:tc>
        <w:tc>
          <w:tcPr>
            <w:tcW w:w="4800" w:type="dxa"/>
            <w:vAlign w:val="bottom"/>
          </w:tcPr>
          <w:p>
            <w:pPr>
              <w:ind w:left="100"/>
              <w:spacing w:after="0"/>
              <w:rPr>
                <w:sz w:val="20"/>
                <w:szCs w:val="20"/>
                <w:color w:val="auto"/>
              </w:rPr>
            </w:pPr>
            <w:r>
              <w:rPr>
                <w:rFonts w:ascii="Arial" w:cs="Arial" w:eastAsia="Arial" w:hAnsi="Arial"/>
                <w:sz w:val="18"/>
                <w:szCs w:val="18"/>
                <w:color w:val="auto"/>
              </w:rPr>
              <w:t>Limitations on Upstreaming</w:t>
            </w:r>
          </w:p>
        </w:tc>
        <w:tc>
          <w:tcPr>
            <w:tcW w:w="5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7.06</w:t>
            </w:r>
          </w:p>
        </w:tc>
        <w:tc>
          <w:tcPr>
            <w:tcW w:w="4800" w:type="dxa"/>
            <w:vAlign w:val="bottom"/>
          </w:tcPr>
          <w:p>
            <w:pPr>
              <w:ind w:left="100"/>
              <w:spacing w:after="0"/>
              <w:rPr>
                <w:sz w:val="20"/>
                <w:szCs w:val="20"/>
                <w:color w:val="auto"/>
              </w:rPr>
            </w:pPr>
            <w:r>
              <w:rPr>
                <w:rFonts w:ascii="Arial" w:cs="Arial" w:eastAsia="Arial" w:hAnsi="Arial"/>
                <w:sz w:val="18"/>
                <w:szCs w:val="18"/>
                <w:color w:val="auto"/>
              </w:rPr>
              <w:t>Margin Regulations</w:t>
            </w:r>
          </w:p>
        </w:tc>
        <w:tc>
          <w:tcPr>
            <w:tcW w:w="5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7.07</w:t>
            </w:r>
          </w:p>
        </w:tc>
        <w:tc>
          <w:tcPr>
            <w:tcW w:w="4800" w:type="dxa"/>
            <w:vAlign w:val="bottom"/>
          </w:tcPr>
          <w:p>
            <w:pPr>
              <w:ind w:left="100"/>
              <w:spacing w:after="0"/>
              <w:rPr>
                <w:sz w:val="20"/>
                <w:szCs w:val="20"/>
                <w:color w:val="auto"/>
              </w:rPr>
            </w:pPr>
            <w:r>
              <w:rPr>
                <w:rFonts w:ascii="Arial" w:cs="Arial" w:eastAsia="Arial" w:hAnsi="Arial"/>
                <w:sz w:val="18"/>
                <w:szCs w:val="18"/>
                <w:color w:val="auto"/>
              </w:rPr>
              <w:t>Financial Covenant</w:t>
            </w:r>
          </w:p>
        </w:tc>
        <w:tc>
          <w:tcPr>
            <w:tcW w:w="5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color w:val="auto"/>
              </w:rPr>
              <w:t>SECTION 8 EVENTS OF DEFAULT AND REMEDIES</w:t>
            </w:r>
          </w:p>
        </w:tc>
        <w:tc>
          <w:tcPr>
            <w:tcW w:w="5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8.01</w:t>
            </w:r>
          </w:p>
        </w:tc>
        <w:tc>
          <w:tcPr>
            <w:tcW w:w="480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5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8.02</w:t>
            </w:r>
          </w:p>
        </w:tc>
        <w:tc>
          <w:tcPr>
            <w:tcW w:w="4800" w:type="dxa"/>
            <w:vAlign w:val="bottom"/>
          </w:tcPr>
          <w:p>
            <w:pPr>
              <w:ind w:left="100"/>
              <w:spacing w:after="0"/>
              <w:rPr>
                <w:sz w:val="20"/>
                <w:szCs w:val="20"/>
                <w:color w:val="auto"/>
              </w:rPr>
            </w:pPr>
            <w:r>
              <w:rPr>
                <w:rFonts w:ascii="Arial" w:cs="Arial" w:eastAsia="Arial" w:hAnsi="Arial"/>
                <w:sz w:val="18"/>
                <w:szCs w:val="18"/>
                <w:color w:val="auto"/>
              </w:rPr>
              <w:t>Remedies Upon Event of Default</w:t>
            </w:r>
          </w:p>
        </w:tc>
        <w:tc>
          <w:tcPr>
            <w:tcW w:w="5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color w:val="auto"/>
              </w:rPr>
              <w:t>SECTION 9 THE AGENTS</w:t>
            </w:r>
          </w:p>
        </w:tc>
        <w:tc>
          <w:tcPr>
            <w:tcW w:w="5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9.01</w:t>
            </w:r>
          </w:p>
        </w:tc>
        <w:tc>
          <w:tcPr>
            <w:tcW w:w="4800" w:type="dxa"/>
            <w:vAlign w:val="bottom"/>
          </w:tcPr>
          <w:p>
            <w:pPr>
              <w:ind w:left="100"/>
              <w:spacing w:after="0"/>
              <w:rPr>
                <w:sz w:val="20"/>
                <w:szCs w:val="20"/>
                <w:color w:val="auto"/>
              </w:rPr>
            </w:pPr>
            <w:r>
              <w:rPr>
                <w:rFonts w:ascii="Arial" w:cs="Arial" w:eastAsia="Arial" w:hAnsi="Arial"/>
                <w:sz w:val="18"/>
                <w:szCs w:val="18"/>
                <w:color w:val="auto"/>
              </w:rPr>
              <w:t>Appointment</w:t>
            </w:r>
          </w:p>
        </w:tc>
        <w:tc>
          <w:tcPr>
            <w:tcW w:w="5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9.02</w:t>
            </w:r>
          </w:p>
        </w:tc>
        <w:tc>
          <w:tcPr>
            <w:tcW w:w="4800" w:type="dxa"/>
            <w:vAlign w:val="bottom"/>
          </w:tcPr>
          <w:p>
            <w:pPr>
              <w:ind w:left="100"/>
              <w:spacing w:after="0"/>
              <w:rPr>
                <w:sz w:val="20"/>
                <w:szCs w:val="20"/>
                <w:color w:val="auto"/>
              </w:rPr>
            </w:pPr>
            <w:r>
              <w:rPr>
                <w:rFonts w:ascii="Arial" w:cs="Arial" w:eastAsia="Arial" w:hAnsi="Arial"/>
                <w:sz w:val="18"/>
                <w:szCs w:val="18"/>
                <w:color w:val="auto"/>
              </w:rPr>
              <w:t>Delegation of Duties</w:t>
            </w:r>
          </w:p>
        </w:tc>
        <w:tc>
          <w:tcPr>
            <w:tcW w:w="5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9.03</w:t>
            </w:r>
          </w:p>
        </w:tc>
        <w:tc>
          <w:tcPr>
            <w:tcW w:w="4800" w:type="dxa"/>
            <w:vAlign w:val="bottom"/>
          </w:tcPr>
          <w:p>
            <w:pPr>
              <w:ind w:left="100"/>
              <w:spacing w:after="0"/>
              <w:rPr>
                <w:sz w:val="20"/>
                <w:szCs w:val="20"/>
                <w:color w:val="auto"/>
              </w:rPr>
            </w:pPr>
            <w:r>
              <w:rPr>
                <w:rFonts w:ascii="Arial" w:cs="Arial" w:eastAsia="Arial" w:hAnsi="Arial"/>
                <w:sz w:val="18"/>
                <w:szCs w:val="18"/>
                <w:color w:val="auto"/>
              </w:rPr>
              <w:t>Exculpatory Provisions</w:t>
            </w:r>
          </w:p>
        </w:tc>
        <w:tc>
          <w:tcPr>
            <w:tcW w:w="5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9.04</w:t>
            </w:r>
          </w:p>
        </w:tc>
        <w:tc>
          <w:tcPr>
            <w:tcW w:w="4800" w:type="dxa"/>
            <w:vAlign w:val="bottom"/>
          </w:tcPr>
          <w:p>
            <w:pPr>
              <w:ind w:left="100"/>
              <w:spacing w:after="0"/>
              <w:rPr>
                <w:sz w:val="20"/>
                <w:szCs w:val="20"/>
                <w:color w:val="auto"/>
              </w:rPr>
            </w:pPr>
            <w:r>
              <w:rPr>
                <w:rFonts w:ascii="Arial" w:cs="Arial" w:eastAsia="Arial" w:hAnsi="Arial"/>
                <w:sz w:val="18"/>
                <w:szCs w:val="18"/>
                <w:color w:val="auto"/>
              </w:rPr>
              <w:t>Reliance by Administrative Agent</w:t>
            </w:r>
          </w:p>
        </w:tc>
        <w:tc>
          <w:tcPr>
            <w:tcW w:w="5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9.05</w:t>
            </w:r>
          </w:p>
        </w:tc>
        <w:tc>
          <w:tcPr>
            <w:tcW w:w="4800" w:type="dxa"/>
            <w:vAlign w:val="bottom"/>
          </w:tcPr>
          <w:p>
            <w:pPr>
              <w:ind w:left="100"/>
              <w:spacing w:after="0"/>
              <w:rPr>
                <w:sz w:val="20"/>
                <w:szCs w:val="20"/>
                <w:color w:val="auto"/>
              </w:rPr>
            </w:pPr>
            <w:r>
              <w:rPr>
                <w:rFonts w:ascii="Arial" w:cs="Arial" w:eastAsia="Arial" w:hAnsi="Arial"/>
                <w:sz w:val="18"/>
                <w:szCs w:val="18"/>
                <w:color w:val="auto"/>
              </w:rPr>
              <w:t>Notice of Default</w:t>
            </w:r>
          </w:p>
        </w:tc>
        <w:tc>
          <w:tcPr>
            <w:tcW w:w="5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9.06</w:t>
            </w:r>
          </w:p>
        </w:tc>
        <w:tc>
          <w:tcPr>
            <w:tcW w:w="4800" w:type="dxa"/>
            <w:vAlign w:val="bottom"/>
          </w:tcPr>
          <w:p>
            <w:pPr>
              <w:ind w:left="100"/>
              <w:spacing w:after="0"/>
              <w:rPr>
                <w:sz w:val="20"/>
                <w:szCs w:val="20"/>
                <w:color w:val="auto"/>
              </w:rPr>
            </w:pPr>
            <w:r>
              <w:rPr>
                <w:rFonts w:ascii="Arial" w:cs="Arial" w:eastAsia="Arial" w:hAnsi="Arial"/>
                <w:sz w:val="18"/>
                <w:szCs w:val="18"/>
                <w:color w:val="auto"/>
              </w:rPr>
              <w:t>Non-Reliance on Agents and Other Lenders</w:t>
            </w:r>
          </w:p>
        </w:tc>
        <w:tc>
          <w:tcPr>
            <w:tcW w:w="5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9.07</w:t>
            </w:r>
          </w:p>
        </w:tc>
        <w:tc>
          <w:tcPr>
            <w:tcW w:w="480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5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9.08</w:t>
            </w:r>
          </w:p>
        </w:tc>
        <w:tc>
          <w:tcPr>
            <w:tcW w:w="4800" w:type="dxa"/>
            <w:vAlign w:val="bottom"/>
          </w:tcPr>
          <w:p>
            <w:pPr>
              <w:ind w:left="100"/>
              <w:spacing w:after="0"/>
              <w:rPr>
                <w:sz w:val="20"/>
                <w:szCs w:val="20"/>
                <w:color w:val="auto"/>
              </w:rPr>
            </w:pPr>
            <w:r>
              <w:rPr>
                <w:rFonts w:ascii="Arial" w:cs="Arial" w:eastAsia="Arial" w:hAnsi="Arial"/>
                <w:sz w:val="18"/>
                <w:szCs w:val="18"/>
                <w:color w:val="auto"/>
              </w:rPr>
              <w:t>Agent in Its Individual Capacity</w:t>
            </w:r>
          </w:p>
        </w:tc>
        <w:tc>
          <w:tcPr>
            <w:tcW w:w="5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9.09</w:t>
            </w:r>
          </w:p>
        </w:tc>
        <w:tc>
          <w:tcPr>
            <w:tcW w:w="4800" w:type="dxa"/>
            <w:vAlign w:val="bottom"/>
          </w:tcPr>
          <w:p>
            <w:pPr>
              <w:ind w:left="100"/>
              <w:spacing w:after="0"/>
              <w:rPr>
                <w:sz w:val="20"/>
                <w:szCs w:val="20"/>
                <w:color w:val="auto"/>
              </w:rPr>
            </w:pPr>
            <w:r>
              <w:rPr>
                <w:rFonts w:ascii="Arial" w:cs="Arial" w:eastAsia="Arial" w:hAnsi="Arial"/>
                <w:sz w:val="18"/>
                <w:szCs w:val="18"/>
                <w:color w:val="auto"/>
              </w:rPr>
              <w:t>Successor Administrative Agent</w:t>
            </w:r>
          </w:p>
        </w:tc>
        <w:tc>
          <w:tcPr>
            <w:tcW w:w="5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9.10</w:t>
            </w:r>
          </w:p>
        </w:tc>
        <w:tc>
          <w:tcPr>
            <w:tcW w:w="4800" w:type="dxa"/>
            <w:vAlign w:val="bottom"/>
          </w:tcPr>
          <w:p>
            <w:pPr>
              <w:ind w:left="100"/>
              <w:spacing w:after="0"/>
              <w:rPr>
                <w:sz w:val="20"/>
                <w:szCs w:val="20"/>
                <w:color w:val="auto"/>
              </w:rPr>
            </w:pPr>
            <w:r>
              <w:rPr>
                <w:rFonts w:ascii="Arial" w:cs="Arial" w:eastAsia="Arial" w:hAnsi="Arial"/>
                <w:sz w:val="18"/>
                <w:szCs w:val="18"/>
                <w:color w:val="auto"/>
              </w:rPr>
              <w:t>Co-Documentation Agents and Syndication Agent</w:t>
            </w:r>
          </w:p>
        </w:tc>
        <w:tc>
          <w:tcPr>
            <w:tcW w:w="5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5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10.01</w:t>
            </w:r>
          </w:p>
        </w:tc>
        <w:tc>
          <w:tcPr>
            <w:tcW w:w="4800" w:type="dxa"/>
            <w:vAlign w:val="bottom"/>
          </w:tcPr>
          <w:p>
            <w:pPr>
              <w:ind w:left="100"/>
              <w:spacing w:after="0"/>
              <w:rPr>
                <w:sz w:val="20"/>
                <w:szCs w:val="20"/>
                <w:color w:val="auto"/>
              </w:rPr>
            </w:pPr>
            <w:r>
              <w:rPr>
                <w:rFonts w:ascii="Arial" w:cs="Arial" w:eastAsia="Arial" w:hAnsi="Arial"/>
                <w:sz w:val="18"/>
                <w:szCs w:val="18"/>
                <w:color w:val="auto"/>
              </w:rPr>
              <w:t>Amendments; Consents</w:t>
            </w:r>
          </w:p>
        </w:tc>
        <w:tc>
          <w:tcPr>
            <w:tcW w:w="5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10.02</w:t>
            </w:r>
          </w:p>
        </w:tc>
        <w:tc>
          <w:tcPr>
            <w:tcW w:w="4800" w:type="dxa"/>
            <w:vAlign w:val="bottom"/>
          </w:tcPr>
          <w:p>
            <w:pPr>
              <w:ind w:left="100"/>
              <w:spacing w:after="0"/>
              <w:rPr>
                <w:sz w:val="20"/>
                <w:szCs w:val="20"/>
                <w:color w:val="auto"/>
              </w:rPr>
            </w:pPr>
            <w:r>
              <w:rPr>
                <w:rFonts w:ascii="Arial" w:cs="Arial" w:eastAsia="Arial" w:hAnsi="Arial"/>
                <w:sz w:val="18"/>
                <w:szCs w:val="18"/>
                <w:color w:val="auto"/>
                <w:w w:val="90"/>
              </w:rPr>
              <w:t>Requisite Notice; Effectiveness of Signatures and Electronic Mail</w:t>
            </w:r>
          </w:p>
        </w:tc>
        <w:tc>
          <w:tcPr>
            <w:tcW w:w="5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10.03</w:t>
            </w:r>
          </w:p>
        </w:tc>
        <w:tc>
          <w:tcPr>
            <w:tcW w:w="4800" w:type="dxa"/>
            <w:vAlign w:val="bottom"/>
          </w:tcPr>
          <w:p>
            <w:pPr>
              <w:ind w:left="100"/>
              <w:spacing w:after="0"/>
              <w:rPr>
                <w:sz w:val="20"/>
                <w:szCs w:val="20"/>
                <w:color w:val="auto"/>
              </w:rPr>
            </w:pPr>
            <w:r>
              <w:rPr>
                <w:rFonts w:ascii="Arial" w:cs="Arial" w:eastAsia="Arial" w:hAnsi="Arial"/>
                <w:sz w:val="18"/>
                <w:szCs w:val="18"/>
                <w:color w:val="auto"/>
              </w:rPr>
              <w:t>Attorney Costs and Expenses</w:t>
            </w:r>
          </w:p>
        </w:tc>
        <w:tc>
          <w:tcPr>
            <w:tcW w:w="5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10.04</w:t>
            </w:r>
          </w:p>
        </w:tc>
        <w:tc>
          <w:tcPr>
            <w:tcW w:w="4800" w:type="dxa"/>
            <w:vAlign w:val="bottom"/>
          </w:tcPr>
          <w:p>
            <w:pPr>
              <w:ind w:left="100"/>
              <w:spacing w:after="0"/>
              <w:rPr>
                <w:sz w:val="20"/>
                <w:szCs w:val="20"/>
                <w:color w:val="auto"/>
              </w:rPr>
            </w:pPr>
            <w:r>
              <w:rPr>
                <w:rFonts w:ascii="Arial" w:cs="Arial" w:eastAsia="Arial" w:hAnsi="Arial"/>
                <w:sz w:val="18"/>
                <w:szCs w:val="18"/>
                <w:color w:val="auto"/>
              </w:rPr>
              <w:t>Binding Effect; Assignment</w:t>
            </w:r>
          </w:p>
        </w:tc>
        <w:tc>
          <w:tcPr>
            <w:tcW w:w="5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10.05</w:t>
            </w:r>
          </w:p>
        </w:tc>
        <w:tc>
          <w:tcPr>
            <w:tcW w:w="4800" w:type="dxa"/>
            <w:vAlign w:val="bottom"/>
          </w:tcPr>
          <w:p>
            <w:pPr>
              <w:ind w:left="100"/>
              <w:spacing w:after="0"/>
              <w:rPr>
                <w:sz w:val="20"/>
                <w:szCs w:val="20"/>
                <w:color w:val="auto"/>
              </w:rPr>
            </w:pPr>
            <w:r>
              <w:rPr>
                <w:rFonts w:ascii="Arial" w:cs="Arial" w:eastAsia="Arial" w:hAnsi="Arial"/>
                <w:sz w:val="18"/>
                <w:szCs w:val="18"/>
                <w:color w:val="auto"/>
              </w:rPr>
              <w:t>Set-off</w:t>
            </w:r>
          </w:p>
        </w:tc>
        <w:tc>
          <w:tcPr>
            <w:tcW w:w="57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10.06</w:t>
            </w:r>
          </w:p>
        </w:tc>
        <w:tc>
          <w:tcPr>
            <w:tcW w:w="4800" w:type="dxa"/>
            <w:vAlign w:val="bottom"/>
          </w:tcPr>
          <w:p>
            <w:pPr>
              <w:ind w:left="100"/>
              <w:spacing w:after="0"/>
              <w:rPr>
                <w:sz w:val="20"/>
                <w:szCs w:val="20"/>
                <w:color w:val="auto"/>
              </w:rPr>
            </w:pPr>
            <w:r>
              <w:rPr>
                <w:rFonts w:ascii="Arial" w:cs="Arial" w:eastAsia="Arial" w:hAnsi="Arial"/>
                <w:sz w:val="18"/>
                <w:szCs w:val="18"/>
                <w:color w:val="auto"/>
              </w:rPr>
              <w:t>Sharing of Payments</w:t>
            </w:r>
          </w:p>
        </w:tc>
        <w:tc>
          <w:tcPr>
            <w:tcW w:w="57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10.07</w:t>
            </w:r>
          </w:p>
        </w:tc>
        <w:tc>
          <w:tcPr>
            <w:tcW w:w="4800" w:type="dxa"/>
            <w:vAlign w:val="bottom"/>
          </w:tcPr>
          <w:p>
            <w:pPr>
              <w:ind w:left="100"/>
              <w:spacing w:after="0"/>
              <w:rPr>
                <w:sz w:val="20"/>
                <w:szCs w:val="20"/>
                <w:color w:val="auto"/>
              </w:rPr>
            </w:pPr>
            <w:r>
              <w:rPr>
                <w:rFonts w:ascii="Arial" w:cs="Arial" w:eastAsia="Arial" w:hAnsi="Arial"/>
                <w:sz w:val="18"/>
                <w:szCs w:val="18"/>
                <w:color w:val="auto"/>
              </w:rPr>
              <w:t>No Waiver; Cumulative Remedies</w:t>
            </w:r>
          </w:p>
        </w:tc>
        <w:tc>
          <w:tcPr>
            <w:tcW w:w="5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10.08</w:t>
            </w:r>
          </w:p>
        </w:tc>
        <w:tc>
          <w:tcPr>
            <w:tcW w:w="4800" w:type="dxa"/>
            <w:vAlign w:val="bottom"/>
          </w:tcPr>
          <w:p>
            <w:pPr>
              <w:ind w:left="100"/>
              <w:spacing w:after="0"/>
              <w:rPr>
                <w:sz w:val="20"/>
                <w:szCs w:val="20"/>
                <w:color w:val="auto"/>
              </w:rPr>
            </w:pPr>
            <w:r>
              <w:rPr>
                <w:rFonts w:ascii="Arial" w:cs="Arial" w:eastAsia="Arial" w:hAnsi="Arial"/>
                <w:sz w:val="18"/>
                <w:szCs w:val="18"/>
                <w:color w:val="auto"/>
              </w:rPr>
              <w:t>Usury</w:t>
            </w:r>
          </w:p>
        </w:tc>
        <w:tc>
          <w:tcPr>
            <w:tcW w:w="5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10.09</w:t>
            </w:r>
          </w:p>
        </w:tc>
        <w:tc>
          <w:tcPr>
            <w:tcW w:w="480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5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10.10</w:t>
            </w:r>
          </w:p>
        </w:tc>
        <w:tc>
          <w:tcPr>
            <w:tcW w:w="4800" w:type="dxa"/>
            <w:vAlign w:val="bottom"/>
          </w:tcPr>
          <w:p>
            <w:pPr>
              <w:ind w:left="100"/>
              <w:spacing w:after="0"/>
              <w:rPr>
                <w:sz w:val="20"/>
                <w:szCs w:val="20"/>
                <w:color w:val="auto"/>
              </w:rPr>
            </w:pPr>
            <w:r>
              <w:rPr>
                <w:rFonts w:ascii="Arial" w:cs="Arial" w:eastAsia="Arial" w:hAnsi="Arial"/>
                <w:sz w:val="18"/>
                <w:szCs w:val="18"/>
                <w:color w:val="auto"/>
              </w:rPr>
              <w:t>Integration</w:t>
            </w:r>
          </w:p>
        </w:tc>
        <w:tc>
          <w:tcPr>
            <w:tcW w:w="57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65"/>
        </w:trPr>
        <w:tc>
          <w:tcPr>
            <w:tcW w:w="7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740" w:type="dxa"/>
            <w:vAlign w:val="bottom"/>
          </w:tcPr>
          <w:p>
            <w:pPr>
              <w:jc w:val="right"/>
              <w:ind w:right="5453"/>
              <w:spacing w:after="0"/>
              <w:rPr>
                <w:sz w:val="20"/>
                <w:szCs w:val="20"/>
                <w:color w:val="auto"/>
              </w:rPr>
            </w:pPr>
            <w:r>
              <w:rPr>
                <w:rFonts w:ascii="Arial" w:cs="Arial" w:eastAsia="Arial" w:hAnsi="Arial"/>
                <w:sz w:val="18"/>
                <w:szCs w:val="18"/>
                <w:color w:val="auto"/>
              </w:rPr>
              <w:t>iii</w:t>
            </w:r>
          </w:p>
        </w:tc>
      </w:tr>
    </w:tbl>
    <w:p>
      <w:pPr>
        <w:jc w:val="right"/>
        <w:ind w:right="5453"/>
        <w:spacing w:after="0"/>
        <w:rPr>
          <w:sz w:val="20"/>
          <w:szCs w:val="20"/>
          <w:color w:val="auto"/>
        </w:rPr>
        <w:sectPr>
          <w:pgSz w:w="11900" w:h="16838" w:orient="portrait"/>
          <w:cols w:equalWidth="0" w:num="1">
            <w:col w:w="11320"/>
          </w:cols>
          <w:pgMar w:left="240" w:top="275"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9" w:name="page50"/>
    <w:bookmarkEnd w:id="49"/>
    <w:tbl>
      <w:tblPr>
        <w:tblLayout w:type="fixed"/>
        <w:tblInd w:w="0" w:type="dxa"/>
        <w:tblCellMar>
          <w:top w:w="0" w:type="dxa"/>
          <w:left w:w="0" w:type="dxa"/>
          <w:bottom w:w="0" w:type="dxa"/>
          <w:right w:w="0" w:type="dxa"/>
        </w:tblCellMar>
      </w:tblPr>
      <w:tr>
        <w:trPr>
          <w:trHeight w:val="174"/>
        </w:trPr>
        <w:tc>
          <w:tcPr>
            <w:tcW w:w="5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62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500" w:type="dxa"/>
            <w:vAlign w:val="bottom"/>
          </w:tcPr>
          <w:p>
            <w:pPr>
              <w:jc w:val="right"/>
              <w:ind w:right="32"/>
              <w:spacing w:after="0"/>
              <w:rPr>
                <w:sz w:val="20"/>
                <w:szCs w:val="20"/>
                <w:color w:val="auto"/>
              </w:rPr>
            </w:pPr>
            <w:r>
              <w:rPr>
                <w:rFonts w:ascii="Arial" w:cs="Arial" w:eastAsia="Arial" w:hAnsi="Arial"/>
                <w:sz w:val="18"/>
                <w:szCs w:val="18"/>
                <w:color w:val="auto"/>
                <w:w w:val="79"/>
              </w:rPr>
              <w:t>10.11</w:t>
            </w:r>
          </w:p>
        </w:tc>
        <w:tc>
          <w:tcPr>
            <w:tcW w:w="4340" w:type="dxa"/>
            <w:vAlign w:val="bottom"/>
          </w:tcPr>
          <w:p>
            <w:pPr>
              <w:ind w:left="100"/>
              <w:spacing w:after="0"/>
              <w:rPr>
                <w:sz w:val="20"/>
                <w:szCs w:val="20"/>
                <w:color w:val="auto"/>
              </w:rPr>
            </w:pPr>
            <w:r>
              <w:rPr>
                <w:rFonts w:ascii="Arial" w:cs="Arial" w:eastAsia="Arial" w:hAnsi="Arial"/>
                <w:sz w:val="18"/>
                <w:szCs w:val="18"/>
                <w:color w:val="auto"/>
              </w:rPr>
              <w:t>Nature of Lenders’ Obligations</w:t>
            </w:r>
          </w:p>
        </w:tc>
        <w:tc>
          <w:tcPr>
            <w:tcW w:w="6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500" w:type="dxa"/>
            <w:vAlign w:val="bottom"/>
          </w:tcPr>
          <w:p>
            <w:pPr>
              <w:jc w:val="right"/>
              <w:ind w:right="32"/>
              <w:spacing w:after="0"/>
              <w:rPr>
                <w:sz w:val="20"/>
                <w:szCs w:val="20"/>
                <w:color w:val="auto"/>
              </w:rPr>
            </w:pPr>
            <w:r>
              <w:rPr>
                <w:rFonts w:ascii="Arial" w:cs="Arial" w:eastAsia="Arial" w:hAnsi="Arial"/>
                <w:sz w:val="18"/>
                <w:szCs w:val="18"/>
                <w:color w:val="auto"/>
                <w:w w:val="79"/>
              </w:rPr>
              <w:t>10.12</w:t>
            </w:r>
          </w:p>
        </w:tc>
        <w:tc>
          <w:tcPr>
            <w:tcW w:w="4340" w:type="dxa"/>
            <w:vAlign w:val="bottom"/>
          </w:tcPr>
          <w:p>
            <w:pPr>
              <w:ind w:left="100"/>
              <w:spacing w:after="0"/>
              <w:rPr>
                <w:sz w:val="20"/>
                <w:szCs w:val="20"/>
                <w:color w:val="auto"/>
              </w:rPr>
            </w:pPr>
            <w:r>
              <w:rPr>
                <w:rFonts w:ascii="Arial" w:cs="Arial" w:eastAsia="Arial" w:hAnsi="Arial"/>
                <w:sz w:val="18"/>
                <w:szCs w:val="18"/>
                <w:color w:val="auto"/>
              </w:rPr>
              <w:t>Survival of Representations and Warranties</w:t>
            </w:r>
          </w:p>
        </w:tc>
        <w:tc>
          <w:tcPr>
            <w:tcW w:w="6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500" w:type="dxa"/>
            <w:vAlign w:val="bottom"/>
          </w:tcPr>
          <w:p>
            <w:pPr>
              <w:jc w:val="right"/>
              <w:ind w:right="32"/>
              <w:spacing w:after="0"/>
              <w:rPr>
                <w:sz w:val="20"/>
                <w:szCs w:val="20"/>
                <w:color w:val="auto"/>
              </w:rPr>
            </w:pPr>
            <w:r>
              <w:rPr>
                <w:rFonts w:ascii="Arial" w:cs="Arial" w:eastAsia="Arial" w:hAnsi="Arial"/>
                <w:sz w:val="18"/>
                <w:szCs w:val="18"/>
                <w:color w:val="auto"/>
                <w:w w:val="79"/>
              </w:rPr>
              <w:t>10.13</w:t>
            </w:r>
          </w:p>
        </w:tc>
        <w:tc>
          <w:tcPr>
            <w:tcW w:w="4340" w:type="dxa"/>
            <w:vAlign w:val="bottom"/>
          </w:tcPr>
          <w:p>
            <w:pPr>
              <w:ind w:left="100"/>
              <w:spacing w:after="0"/>
              <w:rPr>
                <w:sz w:val="20"/>
                <w:szCs w:val="20"/>
                <w:color w:val="auto"/>
              </w:rPr>
            </w:pPr>
            <w:r>
              <w:rPr>
                <w:rFonts w:ascii="Arial" w:cs="Arial" w:eastAsia="Arial" w:hAnsi="Arial"/>
                <w:sz w:val="18"/>
                <w:szCs w:val="18"/>
                <w:color w:val="auto"/>
              </w:rPr>
              <w:t>Indemnity by Co-Borrowers</w:t>
            </w:r>
          </w:p>
        </w:tc>
        <w:tc>
          <w:tcPr>
            <w:tcW w:w="6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500" w:type="dxa"/>
            <w:vAlign w:val="bottom"/>
          </w:tcPr>
          <w:p>
            <w:pPr>
              <w:jc w:val="right"/>
              <w:ind w:right="32"/>
              <w:spacing w:after="0"/>
              <w:rPr>
                <w:sz w:val="20"/>
                <w:szCs w:val="20"/>
                <w:color w:val="auto"/>
              </w:rPr>
            </w:pPr>
            <w:r>
              <w:rPr>
                <w:rFonts w:ascii="Arial" w:cs="Arial" w:eastAsia="Arial" w:hAnsi="Arial"/>
                <w:sz w:val="18"/>
                <w:szCs w:val="18"/>
                <w:color w:val="auto"/>
                <w:w w:val="79"/>
              </w:rPr>
              <w:t>10.14</w:t>
            </w:r>
          </w:p>
        </w:tc>
        <w:tc>
          <w:tcPr>
            <w:tcW w:w="4340" w:type="dxa"/>
            <w:vAlign w:val="bottom"/>
          </w:tcPr>
          <w:p>
            <w:pPr>
              <w:ind w:left="100"/>
              <w:spacing w:after="0"/>
              <w:rPr>
                <w:sz w:val="20"/>
                <w:szCs w:val="20"/>
                <w:color w:val="auto"/>
              </w:rPr>
            </w:pPr>
            <w:r>
              <w:rPr>
                <w:rFonts w:ascii="Arial" w:cs="Arial" w:eastAsia="Arial" w:hAnsi="Arial"/>
                <w:sz w:val="18"/>
                <w:szCs w:val="18"/>
                <w:color w:val="auto"/>
              </w:rPr>
              <w:t>Nonliability of Lenders</w:t>
            </w:r>
          </w:p>
        </w:tc>
        <w:tc>
          <w:tcPr>
            <w:tcW w:w="6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500" w:type="dxa"/>
            <w:vAlign w:val="bottom"/>
          </w:tcPr>
          <w:p>
            <w:pPr>
              <w:jc w:val="right"/>
              <w:ind w:right="32"/>
              <w:spacing w:after="0"/>
              <w:rPr>
                <w:sz w:val="20"/>
                <w:szCs w:val="20"/>
                <w:color w:val="auto"/>
              </w:rPr>
            </w:pPr>
            <w:r>
              <w:rPr>
                <w:rFonts w:ascii="Arial" w:cs="Arial" w:eastAsia="Arial" w:hAnsi="Arial"/>
                <w:sz w:val="18"/>
                <w:szCs w:val="18"/>
                <w:color w:val="auto"/>
                <w:w w:val="79"/>
              </w:rPr>
              <w:t>10.15</w:t>
            </w:r>
          </w:p>
        </w:tc>
        <w:tc>
          <w:tcPr>
            <w:tcW w:w="4340" w:type="dxa"/>
            <w:vAlign w:val="bottom"/>
          </w:tcPr>
          <w:p>
            <w:pPr>
              <w:ind w:left="100"/>
              <w:spacing w:after="0"/>
              <w:rPr>
                <w:sz w:val="20"/>
                <w:szCs w:val="20"/>
                <w:color w:val="auto"/>
              </w:rPr>
            </w:pPr>
            <w:r>
              <w:rPr>
                <w:rFonts w:ascii="Arial" w:cs="Arial" w:eastAsia="Arial" w:hAnsi="Arial"/>
                <w:sz w:val="18"/>
                <w:szCs w:val="18"/>
                <w:color w:val="auto"/>
              </w:rPr>
              <w:t>No Third Parties Benefitted</w:t>
            </w:r>
          </w:p>
        </w:tc>
        <w:tc>
          <w:tcPr>
            <w:tcW w:w="6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500" w:type="dxa"/>
            <w:vAlign w:val="bottom"/>
          </w:tcPr>
          <w:p>
            <w:pPr>
              <w:jc w:val="right"/>
              <w:ind w:right="32"/>
              <w:spacing w:after="0"/>
              <w:rPr>
                <w:sz w:val="20"/>
                <w:szCs w:val="20"/>
                <w:color w:val="auto"/>
              </w:rPr>
            </w:pPr>
            <w:r>
              <w:rPr>
                <w:rFonts w:ascii="Arial" w:cs="Arial" w:eastAsia="Arial" w:hAnsi="Arial"/>
                <w:sz w:val="18"/>
                <w:szCs w:val="18"/>
                <w:color w:val="auto"/>
                <w:w w:val="79"/>
              </w:rPr>
              <w:t>10.16</w:t>
            </w:r>
          </w:p>
        </w:tc>
        <w:tc>
          <w:tcPr>
            <w:tcW w:w="43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500" w:type="dxa"/>
            <w:vAlign w:val="bottom"/>
          </w:tcPr>
          <w:p>
            <w:pPr>
              <w:jc w:val="right"/>
              <w:ind w:right="32"/>
              <w:spacing w:after="0"/>
              <w:rPr>
                <w:sz w:val="20"/>
                <w:szCs w:val="20"/>
                <w:color w:val="auto"/>
              </w:rPr>
            </w:pPr>
            <w:r>
              <w:rPr>
                <w:rFonts w:ascii="Arial" w:cs="Arial" w:eastAsia="Arial" w:hAnsi="Arial"/>
                <w:sz w:val="18"/>
                <w:szCs w:val="18"/>
                <w:color w:val="auto"/>
                <w:w w:val="79"/>
              </w:rPr>
              <w:t>10.17</w:t>
            </w:r>
          </w:p>
        </w:tc>
        <w:tc>
          <w:tcPr>
            <w:tcW w:w="434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6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500" w:type="dxa"/>
            <w:vAlign w:val="bottom"/>
          </w:tcPr>
          <w:p>
            <w:pPr>
              <w:jc w:val="right"/>
              <w:ind w:right="32"/>
              <w:spacing w:after="0"/>
              <w:rPr>
                <w:sz w:val="20"/>
                <w:szCs w:val="20"/>
                <w:color w:val="auto"/>
              </w:rPr>
            </w:pPr>
            <w:r>
              <w:rPr>
                <w:rFonts w:ascii="Arial" w:cs="Arial" w:eastAsia="Arial" w:hAnsi="Arial"/>
                <w:sz w:val="18"/>
                <w:szCs w:val="18"/>
                <w:color w:val="auto"/>
                <w:w w:val="79"/>
              </w:rPr>
              <w:t>10.18</w:t>
            </w:r>
          </w:p>
        </w:tc>
        <w:tc>
          <w:tcPr>
            <w:tcW w:w="4340" w:type="dxa"/>
            <w:vAlign w:val="bottom"/>
          </w:tcPr>
          <w:p>
            <w:pPr>
              <w:ind w:left="100"/>
              <w:spacing w:after="0"/>
              <w:rPr>
                <w:sz w:val="20"/>
                <w:szCs w:val="20"/>
                <w:color w:val="auto"/>
              </w:rPr>
            </w:pPr>
            <w:r>
              <w:rPr>
                <w:rFonts w:ascii="Arial" w:cs="Arial" w:eastAsia="Arial" w:hAnsi="Arial"/>
                <w:sz w:val="18"/>
                <w:szCs w:val="18"/>
                <w:color w:val="auto"/>
              </w:rPr>
              <w:t>Headings</w:t>
            </w:r>
          </w:p>
        </w:tc>
        <w:tc>
          <w:tcPr>
            <w:tcW w:w="6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500" w:type="dxa"/>
            <w:vAlign w:val="bottom"/>
          </w:tcPr>
          <w:p>
            <w:pPr>
              <w:jc w:val="right"/>
              <w:ind w:right="32"/>
              <w:spacing w:after="0"/>
              <w:rPr>
                <w:sz w:val="20"/>
                <w:szCs w:val="20"/>
                <w:color w:val="auto"/>
              </w:rPr>
            </w:pPr>
            <w:r>
              <w:rPr>
                <w:rFonts w:ascii="Arial" w:cs="Arial" w:eastAsia="Arial" w:hAnsi="Arial"/>
                <w:sz w:val="18"/>
                <w:szCs w:val="18"/>
                <w:color w:val="auto"/>
                <w:w w:val="79"/>
              </w:rPr>
              <w:t>10.19</w:t>
            </w:r>
          </w:p>
        </w:tc>
        <w:tc>
          <w:tcPr>
            <w:tcW w:w="4340" w:type="dxa"/>
            <w:vAlign w:val="bottom"/>
          </w:tcPr>
          <w:p>
            <w:pPr>
              <w:ind w:left="100"/>
              <w:spacing w:after="0"/>
              <w:rPr>
                <w:sz w:val="20"/>
                <w:szCs w:val="20"/>
                <w:color w:val="auto"/>
              </w:rPr>
            </w:pPr>
            <w:r>
              <w:rPr>
                <w:rFonts w:ascii="Arial" w:cs="Arial" w:eastAsia="Arial" w:hAnsi="Arial"/>
                <w:sz w:val="18"/>
                <w:szCs w:val="18"/>
                <w:color w:val="auto"/>
              </w:rPr>
              <w:t>Time of the Essence</w:t>
            </w:r>
          </w:p>
        </w:tc>
        <w:tc>
          <w:tcPr>
            <w:tcW w:w="6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500" w:type="dxa"/>
            <w:vAlign w:val="bottom"/>
          </w:tcPr>
          <w:p>
            <w:pPr>
              <w:jc w:val="right"/>
              <w:ind w:right="32"/>
              <w:spacing w:after="0"/>
              <w:rPr>
                <w:sz w:val="20"/>
                <w:szCs w:val="20"/>
                <w:color w:val="auto"/>
              </w:rPr>
            </w:pPr>
            <w:r>
              <w:rPr>
                <w:rFonts w:ascii="Arial" w:cs="Arial" w:eastAsia="Arial" w:hAnsi="Arial"/>
                <w:sz w:val="18"/>
                <w:szCs w:val="18"/>
                <w:color w:val="auto"/>
                <w:w w:val="79"/>
              </w:rPr>
              <w:t>10.20</w:t>
            </w:r>
          </w:p>
        </w:tc>
        <w:tc>
          <w:tcPr>
            <w:tcW w:w="4340" w:type="dxa"/>
            <w:vAlign w:val="bottom"/>
          </w:tcPr>
          <w:p>
            <w:pPr>
              <w:ind w:left="100"/>
              <w:spacing w:after="0"/>
              <w:rPr>
                <w:sz w:val="20"/>
                <w:szCs w:val="20"/>
                <w:color w:val="auto"/>
              </w:rPr>
            </w:pPr>
            <w:r>
              <w:rPr>
                <w:rFonts w:ascii="Arial" w:cs="Arial" w:eastAsia="Arial" w:hAnsi="Arial"/>
                <w:sz w:val="18"/>
                <w:szCs w:val="18"/>
                <w:color w:val="auto"/>
              </w:rPr>
              <w:t>Status of Lenders</w:t>
            </w:r>
          </w:p>
        </w:tc>
        <w:tc>
          <w:tcPr>
            <w:tcW w:w="6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500" w:type="dxa"/>
            <w:vAlign w:val="bottom"/>
          </w:tcPr>
          <w:p>
            <w:pPr>
              <w:jc w:val="right"/>
              <w:ind w:right="32"/>
              <w:spacing w:after="0"/>
              <w:rPr>
                <w:sz w:val="20"/>
                <w:szCs w:val="20"/>
                <w:color w:val="auto"/>
              </w:rPr>
            </w:pPr>
            <w:r>
              <w:rPr>
                <w:rFonts w:ascii="Arial" w:cs="Arial" w:eastAsia="Arial" w:hAnsi="Arial"/>
                <w:sz w:val="18"/>
                <w:szCs w:val="18"/>
                <w:color w:val="auto"/>
                <w:w w:val="79"/>
              </w:rPr>
              <w:t>10.21</w:t>
            </w:r>
          </w:p>
        </w:tc>
        <w:tc>
          <w:tcPr>
            <w:tcW w:w="4340" w:type="dxa"/>
            <w:vAlign w:val="bottom"/>
          </w:tcPr>
          <w:p>
            <w:pPr>
              <w:ind w:left="100"/>
              <w:spacing w:after="0"/>
              <w:rPr>
                <w:sz w:val="20"/>
                <w:szCs w:val="20"/>
                <w:color w:val="auto"/>
              </w:rPr>
            </w:pPr>
            <w:r>
              <w:rPr>
                <w:rFonts w:ascii="Arial" w:cs="Arial" w:eastAsia="Arial" w:hAnsi="Arial"/>
                <w:sz w:val="18"/>
                <w:szCs w:val="18"/>
                <w:color w:val="auto"/>
              </w:rPr>
              <w:t>Removal and Replacement of Lenders</w:t>
            </w:r>
          </w:p>
        </w:tc>
        <w:tc>
          <w:tcPr>
            <w:tcW w:w="6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500" w:type="dxa"/>
            <w:vAlign w:val="bottom"/>
          </w:tcPr>
          <w:p>
            <w:pPr>
              <w:jc w:val="right"/>
              <w:ind w:right="32"/>
              <w:spacing w:after="0"/>
              <w:rPr>
                <w:sz w:val="20"/>
                <w:szCs w:val="20"/>
                <w:color w:val="auto"/>
              </w:rPr>
            </w:pPr>
            <w:r>
              <w:rPr>
                <w:rFonts w:ascii="Arial" w:cs="Arial" w:eastAsia="Arial" w:hAnsi="Arial"/>
                <w:sz w:val="18"/>
                <w:szCs w:val="18"/>
                <w:color w:val="auto"/>
                <w:w w:val="79"/>
              </w:rPr>
              <w:t>10.22</w:t>
            </w:r>
          </w:p>
        </w:tc>
        <w:tc>
          <w:tcPr>
            <w:tcW w:w="4340" w:type="dxa"/>
            <w:vAlign w:val="bottom"/>
          </w:tcPr>
          <w:p>
            <w:pPr>
              <w:ind w:left="100"/>
              <w:spacing w:after="0"/>
              <w:rPr>
                <w:sz w:val="20"/>
                <w:szCs w:val="20"/>
                <w:color w:val="auto"/>
              </w:rPr>
            </w:pPr>
            <w:r>
              <w:rPr>
                <w:rFonts w:ascii="Arial" w:cs="Arial" w:eastAsia="Arial" w:hAnsi="Arial"/>
                <w:sz w:val="18"/>
                <w:szCs w:val="18"/>
                <w:color w:val="auto"/>
              </w:rPr>
              <w:t>Governing Law; Submission to Jurisdiction; Waivers</w:t>
            </w:r>
          </w:p>
        </w:tc>
        <w:tc>
          <w:tcPr>
            <w:tcW w:w="6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500" w:type="dxa"/>
            <w:vAlign w:val="bottom"/>
          </w:tcPr>
          <w:p>
            <w:pPr>
              <w:jc w:val="right"/>
              <w:ind w:right="32"/>
              <w:spacing w:after="0"/>
              <w:rPr>
                <w:sz w:val="20"/>
                <w:szCs w:val="20"/>
                <w:color w:val="auto"/>
              </w:rPr>
            </w:pPr>
            <w:r>
              <w:rPr>
                <w:rFonts w:ascii="Arial" w:cs="Arial" w:eastAsia="Arial" w:hAnsi="Arial"/>
                <w:sz w:val="18"/>
                <w:szCs w:val="18"/>
                <w:color w:val="auto"/>
                <w:w w:val="79"/>
              </w:rPr>
              <w:t>10.23</w:t>
            </w:r>
          </w:p>
        </w:tc>
        <w:tc>
          <w:tcPr>
            <w:tcW w:w="4340" w:type="dxa"/>
            <w:vAlign w:val="bottom"/>
          </w:tcPr>
          <w:p>
            <w:pPr>
              <w:ind w:left="100"/>
              <w:spacing w:after="0"/>
              <w:rPr>
                <w:sz w:val="20"/>
                <w:szCs w:val="20"/>
                <w:color w:val="auto"/>
              </w:rPr>
            </w:pPr>
            <w:r>
              <w:rPr>
                <w:rFonts w:ascii="Arial" w:cs="Arial" w:eastAsia="Arial" w:hAnsi="Arial"/>
                <w:sz w:val="18"/>
                <w:szCs w:val="18"/>
                <w:color w:val="auto"/>
              </w:rPr>
              <w:t>Waiver of Right to Trial by Jury</w:t>
            </w:r>
          </w:p>
        </w:tc>
        <w:tc>
          <w:tcPr>
            <w:tcW w:w="6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500" w:type="dxa"/>
            <w:vAlign w:val="bottom"/>
          </w:tcPr>
          <w:p>
            <w:pPr>
              <w:jc w:val="right"/>
              <w:ind w:right="32"/>
              <w:spacing w:after="0"/>
              <w:rPr>
                <w:sz w:val="20"/>
                <w:szCs w:val="20"/>
                <w:color w:val="auto"/>
              </w:rPr>
            </w:pPr>
            <w:r>
              <w:rPr>
                <w:rFonts w:ascii="Arial" w:cs="Arial" w:eastAsia="Arial" w:hAnsi="Arial"/>
                <w:sz w:val="18"/>
                <w:szCs w:val="18"/>
                <w:color w:val="auto"/>
                <w:w w:val="79"/>
              </w:rPr>
              <w:t>10.24</w:t>
            </w:r>
          </w:p>
        </w:tc>
        <w:tc>
          <w:tcPr>
            <w:tcW w:w="4340" w:type="dxa"/>
            <w:vAlign w:val="bottom"/>
          </w:tcPr>
          <w:p>
            <w:pPr>
              <w:ind w:left="100"/>
              <w:spacing w:after="0"/>
              <w:rPr>
                <w:sz w:val="20"/>
                <w:szCs w:val="20"/>
                <w:color w:val="auto"/>
              </w:rPr>
            </w:pPr>
            <w:r>
              <w:rPr>
                <w:rFonts w:ascii="Arial" w:cs="Arial" w:eastAsia="Arial" w:hAnsi="Arial"/>
                <w:sz w:val="18"/>
                <w:szCs w:val="18"/>
                <w:color w:val="auto"/>
              </w:rPr>
              <w:t>USA PATRIOT Act</w:t>
            </w:r>
          </w:p>
        </w:tc>
        <w:tc>
          <w:tcPr>
            <w:tcW w:w="6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65"/>
        </w:trPr>
        <w:tc>
          <w:tcPr>
            <w:tcW w:w="5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200" w:type="dxa"/>
            <w:vAlign w:val="bottom"/>
          </w:tcPr>
          <w:p>
            <w:pPr>
              <w:jc w:val="right"/>
              <w:ind w:right="5453"/>
              <w:spacing w:after="0"/>
              <w:rPr>
                <w:sz w:val="20"/>
                <w:szCs w:val="20"/>
                <w:color w:val="auto"/>
              </w:rPr>
            </w:pPr>
            <w:r>
              <w:rPr>
                <w:rFonts w:ascii="Arial" w:cs="Arial" w:eastAsia="Arial" w:hAnsi="Arial"/>
                <w:sz w:val="18"/>
                <w:szCs w:val="18"/>
                <w:color w:val="auto"/>
              </w:rPr>
              <w:t>iv</w:t>
            </w:r>
          </w:p>
        </w:tc>
      </w:tr>
    </w:tbl>
    <w:p>
      <w:pPr>
        <w:jc w:val="right"/>
        <w:ind w:right="5453"/>
        <w:spacing w:after="0"/>
        <w:rPr>
          <w:sz w:val="20"/>
          <w:szCs w:val="20"/>
          <w:color w:val="auto"/>
        </w:rPr>
        <w:sectPr>
          <w:pgSz w:w="11900" w:h="16838" w:orient="portrait"/>
          <w:cols w:equalWidth="0" w:num="1">
            <w:col w:w="11040"/>
          </w:cols>
          <w:pgMar w:left="520" w:top="275"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212"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Form of Guarantee Agreement</w:t>
      </w:r>
    </w:p>
    <w:p>
      <w:pPr>
        <w:spacing w:after="0" w:line="15"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of Request for Extension of Credit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Form of Compliance Certificate</w:t>
      </w:r>
    </w:p>
    <w:p>
      <w:pPr>
        <w:spacing w:after="0" w:line="9" w:lineRule="exact"/>
        <w:rPr>
          <w:rFonts w:ascii="Arial" w:cs="Arial" w:eastAsia="Arial" w:hAnsi="Arial"/>
          <w:sz w:val="18"/>
          <w:szCs w:val="18"/>
          <w:color w:val="auto"/>
        </w:rPr>
      </w:pPr>
    </w:p>
    <w:p>
      <w:pPr>
        <w:ind w:right="6979"/>
        <w:spacing w:after="0" w:line="250" w:lineRule="auto"/>
        <w:rPr>
          <w:rFonts w:ascii="Arial" w:cs="Arial" w:eastAsia="Arial" w:hAnsi="Arial"/>
          <w:sz w:val="18"/>
          <w:szCs w:val="18"/>
          <w:color w:val="auto"/>
        </w:rPr>
      </w:pPr>
      <w:r>
        <w:rPr>
          <w:rFonts w:ascii="Arial" w:cs="Arial" w:eastAsia="Arial" w:hAnsi="Arial"/>
          <w:sz w:val="18"/>
          <w:szCs w:val="18"/>
          <w:color w:val="auto"/>
        </w:rPr>
        <w:t>D Form of Assignment and Assumption E-1 Form of New Lender Supplement</w:t>
      </w:r>
    </w:p>
    <w:p>
      <w:pPr>
        <w:spacing w:after="0"/>
        <w:rPr>
          <w:rFonts w:ascii="Arial" w:cs="Arial" w:eastAsia="Arial" w:hAnsi="Arial"/>
          <w:sz w:val="18"/>
          <w:szCs w:val="18"/>
          <w:color w:val="auto"/>
        </w:rPr>
      </w:pPr>
      <w:r>
        <w:rPr>
          <w:rFonts w:ascii="Arial" w:cs="Arial" w:eastAsia="Arial" w:hAnsi="Arial"/>
          <w:sz w:val="18"/>
          <w:szCs w:val="18"/>
          <w:color w:val="auto"/>
        </w:rPr>
        <w:t>E-2</w:t>
      </w:r>
      <w:r>
        <w:rPr>
          <w:rFonts w:ascii="Arial" w:cs="Arial" w:eastAsia="Arial" w:hAnsi="Arial"/>
          <w:sz w:val="16"/>
          <w:szCs w:val="16"/>
          <w:color w:val="auto"/>
        </w:rPr>
        <w:t>Form of Increased Revolving Commitment Activation Notice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225" w:lineRule="exact"/>
        <w:rPr>
          <w:sz w:val="20"/>
          <w:szCs w:val="20"/>
          <w:color w:val="auto"/>
        </w:rPr>
      </w:pPr>
    </w:p>
    <w:p>
      <w:pPr>
        <w:ind w:right="7859" w:firstLine="8"/>
        <w:spacing w:after="0" w:line="286" w:lineRule="auto"/>
        <w:tabs>
          <w:tab w:leader="none" w:pos="581"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Excluded Indebtedness 2.01 Revolving Commitments</w:t>
      </w:r>
    </w:p>
    <w:p>
      <w:pPr>
        <w:spacing w:after="0"/>
        <w:rPr>
          <w:rFonts w:ascii="Arial" w:cs="Arial" w:eastAsia="Arial" w:hAnsi="Arial"/>
          <w:sz w:val="16"/>
          <w:szCs w:val="16"/>
          <w:color w:val="auto"/>
        </w:rPr>
      </w:pPr>
      <w:r>
        <w:rPr>
          <w:rFonts w:ascii="Arial" w:cs="Arial" w:eastAsia="Arial" w:hAnsi="Arial"/>
          <w:sz w:val="18"/>
          <w:szCs w:val="18"/>
          <w:color w:val="auto"/>
        </w:rPr>
        <w:t>2.03   Letter of Credit Commitments; Issuers of Existing Letters of Credit</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6.13   Unrestricted Subsidiaries</w:t>
      </w:r>
    </w:p>
    <w:p>
      <w:pPr>
        <w:spacing w:after="0" w:line="15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280"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w:t>
      </w:r>
    </w:p>
    <w:p>
      <w:pPr>
        <w:spacing w:after="0" w:line="177" w:lineRule="exact"/>
        <w:rPr>
          <w:sz w:val="20"/>
          <w:szCs w:val="20"/>
          <w:color w:val="auto"/>
        </w:rPr>
      </w:pPr>
    </w:p>
    <w:p>
      <w:pPr>
        <w:ind w:right="240" w:firstLine="913"/>
        <w:spacing w:after="0" w:line="294" w:lineRule="auto"/>
        <w:rPr>
          <w:sz w:val="20"/>
          <w:szCs w:val="20"/>
          <w:color w:val="auto"/>
        </w:rPr>
      </w:pPr>
      <w:r>
        <w:rPr>
          <w:rFonts w:ascii="Arial" w:cs="Arial" w:eastAsia="Arial" w:hAnsi="Arial"/>
          <w:sz w:val="16"/>
          <w:szCs w:val="16"/>
          <w:color w:val="auto"/>
        </w:rPr>
        <w:t>This CREDIT AGREEMENT is entered into as of June 6, 2012, by and among COMCAST CORPORATION, a Pennsylvania corporation (“Borrower”), COMCAST CABLE COMMUNICATIONS, LLC, a Delaware limited liability company, as a Co-Borrower, each lender from time to time party hereto (collectively, “Lenders” and individually, a “Lender”), JPMORGAN CHASE BANK, N.A., as Administrative Agent, CITIBANK, N.A., as syndication agent (in such capacity, “Syndication Agent”), and MORGAN STANLEY MUFG LOAN PARTNERS, LLC and WELLS FARGO BANK, NATIONAL ASSOCIATION, as co-documentation agents (in such capacity, “Co-Documentation Agents”).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WHEREAS, the Co-Borrowers have requested that the Lenders, the Issuing Lenders and the Administrative Agent provide the Revolving Facility (as defined below), and the Lenders, the Issuing Lenders and the Administrative Agent are willing to do so on the terms and conditions set forth herein; and</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above premises, the parties hereto hereby agree as follows:</w:t>
      </w:r>
    </w:p>
    <w:p>
      <w:pPr>
        <w:spacing w:after="0" w:line="3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1</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DEFINITIONS AND ACCOUNTING TERMS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171"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40"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“Administrative Agent” means JPMorgan Chase Bank, N.A., in its capacity as administrative agent under any of the Loan Documents, or any successor administrative agent permitted under the Loan Documents.</w:t>
      </w:r>
    </w:p>
    <w:p>
      <w:pPr>
        <w:spacing w:after="0" w:line="132"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“Administrative Agent’s Office” means Administrative Agent’s address and, as appropriate, account set forth below its signature to this Agreement, or such other address or account as Administrative Agent hereafter may designate by written notice to Borrower and Lenders.</w:t>
      </w:r>
    </w:p>
    <w:p>
      <w:pPr>
        <w:spacing w:after="0" w:line="85"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“Administrative Questionnaire” means, with respect to each Lender, an administrative questionnaire in the form prepared by Administrative Agent and submitted to Administrative Agent (with a copy to Borrower) duly completed by such Lender.</w:t>
      </w:r>
    </w:p>
    <w:p>
      <w:pPr>
        <w:sectPr>
          <w:pgSz w:w="11900" w:h="16838" w:orient="portrait"/>
          <w:cols w:equalWidth="0" w:num="1">
            <w:col w:w="11420"/>
          </w:cols>
          <w:pgMar w:left="240" w:top="274" w:right="239" w:bottom="1440" w:gutter="0" w:footer="0" w:header="0"/>
        </w:sectPr>
      </w:pPr>
    </w:p>
    <w:bookmarkStart w:id="52" w:name="page53"/>
    <w:bookmarkEnd w:id="52"/>
    <w:p>
      <w:pPr>
        <w:ind w:right="5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“Affiliate” means, as to any Person, any other Person that, directly or indirectly, is in control of, is controlled by, or is under direct or indirect common control with, such Person.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“Agents” means the collective reference to Administrative Agent, Syndication Agent and Co-Documentation Agents.</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“Aggregate Exposure” means, with respect to any Lender at any time, an amount equal to the amount of such Lender’s Revolving Commitment then in effect or, if the Revolving Commitments have been terminated, the amount of such Lender’s Outstanding Revolving Obligations.</w:t>
      </w:r>
    </w:p>
    <w:p>
      <w:pPr>
        <w:spacing w:after="0" w:line="8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“Aggregate Exposure Percentage” means, with respect to any Lender at any time, the ratio (expressed as a percentage) of such Lender’s Aggregate Exposure at such time to the Aggregate Exposure of all Lenders at such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“Agreement” means this Credit Agreement, as amended, restated, extended, supplemented or otherwise modified in writing from time to time.</w:t>
      </w:r>
    </w:p>
    <w:p>
      <w:pPr>
        <w:spacing w:after="0" w:line="194"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“Alternative Currency” means (a) Euros, (b) Yen, (c) Sterling, (d) Canadian Dollars and (e) any currency other than Dollars, Euros, Yen, Sterling, or Canadian Dollars in which an Issuing Lender is willing to issue a Letter of Credit.</w:t>
      </w:r>
    </w:p>
    <w:p>
      <w:pPr>
        <w:spacing w:after="0" w:line="132" w:lineRule="exact"/>
        <w:rPr>
          <w:sz w:val="20"/>
          <w:szCs w:val="20"/>
          <w:color w:val="auto"/>
        </w:rPr>
      </w:pPr>
    </w:p>
    <w:p>
      <w:pPr>
        <w:ind w:left="920" w:right="80"/>
        <w:spacing w:after="0" w:line="417" w:lineRule="auto"/>
        <w:rPr>
          <w:sz w:val="20"/>
          <w:szCs w:val="20"/>
          <w:color w:val="auto"/>
        </w:rPr>
      </w:pPr>
      <w:r>
        <w:rPr>
          <w:rFonts w:ascii="Arial" w:cs="Arial" w:eastAsia="Arial" w:hAnsi="Arial"/>
          <w:sz w:val="15"/>
          <w:szCs w:val="15"/>
          <w:color w:val="auto"/>
        </w:rPr>
        <w:t>“Annualized EBITDA” means, at any date of determination, EBITDA for the two fiscal quarter periods then most recently ended times two (2). “Applicable Amount” means the rate per annum, in basis points, set forth under the relevant column heading below based upon the applicable Debt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Ratings: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80" w:type="dxa"/>
            <w:vAlign w:val="bottom"/>
          </w:tcPr>
          <w:p>
            <w:pPr>
              <w:jc w:val="center"/>
              <w:ind w:left="1978"/>
              <w:spacing w:after="0"/>
              <w:rPr>
                <w:sz w:val="20"/>
                <w:szCs w:val="20"/>
                <w:color w:val="auto"/>
              </w:rPr>
            </w:pPr>
            <w:r>
              <w:rPr>
                <w:rFonts w:ascii="Arial" w:cs="Arial" w:eastAsia="Arial" w:hAnsi="Arial"/>
                <w:sz w:val="14"/>
                <w:szCs w:val="14"/>
                <w:b w:val="1"/>
                <w:bCs w:val="1"/>
                <w:color w:val="auto"/>
                <w:w w:val="85"/>
              </w:rPr>
              <w:t>Debt Ratings</w:t>
            </w:r>
          </w:p>
        </w:tc>
        <w:tc>
          <w:tcPr>
            <w:tcW w:w="1340" w:type="dxa"/>
            <w:vAlign w:val="bottom"/>
          </w:tcPr>
          <w:p>
            <w:pPr>
              <w:jc w:val="right"/>
              <w:ind w:right="238"/>
              <w:spacing w:after="0"/>
              <w:rPr>
                <w:sz w:val="20"/>
                <w:szCs w:val="20"/>
                <w:color w:val="auto"/>
              </w:rPr>
            </w:pPr>
            <w:r>
              <w:rPr>
                <w:rFonts w:ascii="Arial" w:cs="Arial" w:eastAsia="Arial" w:hAnsi="Arial"/>
                <w:sz w:val="14"/>
                <w:szCs w:val="14"/>
                <w:b w:val="1"/>
                <w:bCs w:val="1"/>
                <w:color w:val="auto"/>
              </w:rPr>
              <w:t>Commitment</w:t>
            </w:r>
          </w:p>
        </w:tc>
        <w:tc>
          <w:tcPr>
            <w:tcW w:w="1200" w:type="dxa"/>
            <w:vAlign w:val="bottom"/>
          </w:tcPr>
          <w:p>
            <w:pPr>
              <w:spacing w:after="0"/>
              <w:rPr>
                <w:sz w:val="14"/>
                <w:szCs w:val="14"/>
                <w:color w:val="auto"/>
              </w:rPr>
            </w:pPr>
          </w:p>
        </w:tc>
        <w:tc>
          <w:tcPr>
            <w:tcW w:w="1380" w:type="dxa"/>
            <w:vAlign w:val="bottom"/>
          </w:tcPr>
          <w:p>
            <w:pPr>
              <w:jc w:val="right"/>
              <w:ind w:right="18"/>
              <w:spacing w:after="0"/>
              <w:rPr>
                <w:sz w:val="20"/>
                <w:szCs w:val="20"/>
                <w:color w:val="auto"/>
              </w:rPr>
            </w:pPr>
            <w:r>
              <w:rPr>
                <w:rFonts w:ascii="Arial" w:cs="Arial" w:eastAsia="Arial" w:hAnsi="Arial"/>
                <w:sz w:val="14"/>
                <w:szCs w:val="14"/>
                <w:b w:val="1"/>
                <w:bCs w:val="1"/>
                <w:color w:val="auto"/>
              </w:rPr>
              <w:t>Eurodollar Rate/</w:t>
            </w:r>
          </w:p>
        </w:tc>
        <w:tc>
          <w:tcPr>
            <w:tcW w:w="0" w:type="dxa"/>
            <w:vAlign w:val="bottom"/>
          </w:tcPr>
          <w:p>
            <w:pPr>
              <w:spacing w:after="0"/>
              <w:rPr>
                <w:sz w:val="1"/>
                <w:szCs w:val="1"/>
                <w:color w:val="auto"/>
              </w:rPr>
            </w:pPr>
          </w:p>
        </w:tc>
      </w:tr>
      <w:tr>
        <w:trPr>
          <w:trHeight w:val="174"/>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Pricing Level</w:t>
            </w:r>
          </w:p>
        </w:tc>
        <w:tc>
          <w:tcPr>
            <w:tcW w:w="3480" w:type="dxa"/>
            <w:vAlign w:val="bottom"/>
          </w:tcPr>
          <w:p>
            <w:pPr>
              <w:jc w:val="center"/>
              <w:ind w:left="1978"/>
              <w:spacing w:after="0"/>
              <w:rPr>
                <w:sz w:val="20"/>
                <w:szCs w:val="20"/>
                <w:color w:val="auto"/>
              </w:rPr>
            </w:pPr>
            <w:r>
              <w:rPr>
                <w:rFonts w:ascii="Arial" w:cs="Arial" w:eastAsia="Arial" w:hAnsi="Arial"/>
                <w:sz w:val="14"/>
                <w:szCs w:val="14"/>
                <w:b w:val="1"/>
                <w:bCs w:val="1"/>
                <w:color w:val="auto"/>
                <w:w w:val="91"/>
              </w:rPr>
              <w:t>S&amp;P/Moody’s</w:t>
            </w:r>
          </w:p>
        </w:tc>
        <w:tc>
          <w:tcPr>
            <w:tcW w:w="1340" w:type="dxa"/>
            <w:vAlign w:val="bottom"/>
          </w:tcPr>
          <w:p>
            <w:pPr>
              <w:jc w:val="right"/>
              <w:ind w:right="518"/>
              <w:spacing w:after="0"/>
              <w:rPr>
                <w:sz w:val="20"/>
                <w:szCs w:val="20"/>
                <w:color w:val="auto"/>
              </w:rPr>
            </w:pPr>
            <w:r>
              <w:rPr>
                <w:rFonts w:ascii="Arial" w:cs="Arial" w:eastAsia="Arial" w:hAnsi="Arial"/>
                <w:sz w:val="14"/>
                <w:szCs w:val="14"/>
                <w:b w:val="1"/>
                <w:bCs w:val="1"/>
                <w:color w:val="auto"/>
              </w:rPr>
              <w:t>Fee</w:t>
            </w:r>
          </w:p>
        </w:tc>
        <w:tc>
          <w:tcPr>
            <w:tcW w:w="1200" w:type="dxa"/>
            <w:vAlign w:val="bottom"/>
          </w:tcPr>
          <w:p>
            <w:pPr>
              <w:jc w:val="right"/>
              <w:ind w:right="236"/>
              <w:spacing w:after="0"/>
              <w:rPr>
                <w:sz w:val="20"/>
                <w:szCs w:val="20"/>
                <w:color w:val="auto"/>
              </w:rPr>
            </w:pPr>
            <w:r>
              <w:rPr>
                <w:rFonts w:ascii="Arial" w:cs="Arial" w:eastAsia="Arial" w:hAnsi="Arial"/>
                <w:sz w:val="14"/>
                <w:szCs w:val="14"/>
                <w:b w:val="1"/>
                <w:bCs w:val="1"/>
                <w:color w:val="auto"/>
              </w:rPr>
              <w:t>Base Rate</w:t>
            </w:r>
          </w:p>
        </w:tc>
        <w:tc>
          <w:tcPr>
            <w:tcW w:w="1380" w:type="dxa"/>
            <w:vAlign w:val="bottom"/>
          </w:tcPr>
          <w:p>
            <w:pPr>
              <w:jc w:val="right"/>
              <w:ind w:right="18"/>
              <w:spacing w:after="0"/>
              <w:rPr>
                <w:sz w:val="20"/>
                <w:szCs w:val="20"/>
                <w:color w:val="auto"/>
              </w:rPr>
            </w:pPr>
            <w:r>
              <w:rPr>
                <w:rFonts w:ascii="Arial" w:cs="Arial" w:eastAsia="Arial" w:hAnsi="Arial"/>
                <w:sz w:val="14"/>
                <w:szCs w:val="14"/>
                <w:b w:val="1"/>
                <w:bCs w:val="1"/>
                <w:color w:val="auto"/>
              </w:rPr>
              <w:t>Letters of Credit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48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³A/A2</w:t>
            </w:r>
          </w:p>
        </w:tc>
        <w:tc>
          <w:tcPr>
            <w:tcW w:w="13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8.0</w:t>
            </w:r>
          </w:p>
        </w:tc>
        <w:tc>
          <w:tcPr>
            <w:tcW w:w="12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0.0</w:t>
            </w:r>
          </w:p>
        </w:tc>
        <w:tc>
          <w:tcPr>
            <w:tcW w:w="13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2</w:t>
            </w:r>
          </w:p>
        </w:tc>
        <w:tc>
          <w:tcPr>
            <w:tcW w:w="3480" w:type="dxa"/>
            <w:vAlign w:val="bottom"/>
          </w:tcPr>
          <w:p>
            <w:pPr>
              <w:ind w:left="2300"/>
              <w:spacing w:after="0"/>
              <w:rPr>
                <w:sz w:val="20"/>
                <w:szCs w:val="20"/>
                <w:color w:val="auto"/>
              </w:rPr>
            </w:pPr>
            <w:r>
              <w:rPr>
                <w:rFonts w:ascii="Arial" w:cs="Arial" w:eastAsia="Arial" w:hAnsi="Arial"/>
                <w:sz w:val="18"/>
                <w:szCs w:val="18"/>
                <w:color w:val="auto"/>
              </w:rPr>
              <w:t>A-/A3</w:t>
            </w:r>
          </w:p>
        </w:tc>
        <w:tc>
          <w:tcPr>
            <w:tcW w:w="1340" w:type="dxa"/>
            <w:vAlign w:val="bottom"/>
          </w:tcPr>
          <w:p>
            <w:pPr>
              <w:jc w:val="right"/>
              <w:ind w:right="218"/>
              <w:spacing w:after="0"/>
              <w:rPr>
                <w:sz w:val="20"/>
                <w:szCs w:val="20"/>
                <w:color w:val="auto"/>
              </w:rPr>
            </w:pPr>
            <w:r>
              <w:rPr>
                <w:rFonts w:ascii="Arial" w:cs="Arial" w:eastAsia="Arial" w:hAnsi="Arial"/>
                <w:sz w:val="18"/>
                <w:szCs w:val="18"/>
                <w:color w:val="auto"/>
              </w:rPr>
              <w:t>10.0</w:t>
            </w:r>
          </w:p>
        </w:tc>
        <w:tc>
          <w:tcPr>
            <w:tcW w:w="1200" w:type="dxa"/>
            <w:vAlign w:val="bottom"/>
          </w:tcPr>
          <w:p>
            <w:pPr>
              <w:jc w:val="right"/>
              <w:ind w:right="236"/>
              <w:spacing w:after="0"/>
              <w:rPr>
                <w:sz w:val="20"/>
                <w:szCs w:val="20"/>
                <w:color w:val="auto"/>
              </w:rPr>
            </w:pPr>
            <w:r>
              <w:rPr>
                <w:rFonts w:ascii="Arial" w:cs="Arial" w:eastAsia="Arial" w:hAnsi="Arial"/>
                <w:sz w:val="18"/>
                <w:szCs w:val="18"/>
                <w:color w:val="auto"/>
              </w:rPr>
              <w:t>0.0</w:t>
            </w: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48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BBB+/Baa1</w:t>
            </w:r>
          </w:p>
        </w:tc>
        <w:tc>
          <w:tcPr>
            <w:tcW w:w="13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12.5</w:t>
            </w:r>
          </w:p>
        </w:tc>
        <w:tc>
          <w:tcPr>
            <w:tcW w:w="12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12.5</w:t>
            </w:r>
          </w:p>
        </w:tc>
        <w:tc>
          <w:tcPr>
            <w:tcW w:w="13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4</w:t>
            </w:r>
          </w:p>
        </w:tc>
        <w:tc>
          <w:tcPr>
            <w:tcW w:w="3480" w:type="dxa"/>
            <w:vAlign w:val="bottom"/>
          </w:tcPr>
          <w:p>
            <w:pPr>
              <w:ind w:left="2300"/>
              <w:spacing w:after="0"/>
              <w:rPr>
                <w:sz w:val="20"/>
                <w:szCs w:val="20"/>
                <w:color w:val="auto"/>
              </w:rPr>
            </w:pPr>
            <w:r>
              <w:rPr>
                <w:rFonts w:ascii="Arial" w:cs="Arial" w:eastAsia="Arial" w:hAnsi="Arial"/>
                <w:sz w:val="18"/>
                <w:szCs w:val="18"/>
                <w:color w:val="auto"/>
              </w:rPr>
              <w:t>BBB/Baa2</w:t>
            </w:r>
          </w:p>
        </w:tc>
        <w:tc>
          <w:tcPr>
            <w:tcW w:w="1340" w:type="dxa"/>
            <w:vAlign w:val="bottom"/>
          </w:tcPr>
          <w:p>
            <w:pPr>
              <w:jc w:val="right"/>
              <w:ind w:right="218"/>
              <w:spacing w:after="0"/>
              <w:rPr>
                <w:sz w:val="20"/>
                <w:szCs w:val="20"/>
                <w:color w:val="auto"/>
              </w:rPr>
            </w:pPr>
            <w:r>
              <w:rPr>
                <w:rFonts w:ascii="Arial" w:cs="Arial" w:eastAsia="Arial" w:hAnsi="Arial"/>
                <w:sz w:val="18"/>
                <w:szCs w:val="18"/>
                <w:color w:val="auto"/>
              </w:rPr>
              <w:t>15.0</w:t>
            </w:r>
          </w:p>
        </w:tc>
        <w:tc>
          <w:tcPr>
            <w:tcW w:w="1200" w:type="dxa"/>
            <w:vAlign w:val="bottom"/>
          </w:tcPr>
          <w:p>
            <w:pPr>
              <w:jc w:val="right"/>
              <w:ind w:right="236"/>
              <w:spacing w:after="0"/>
              <w:rPr>
                <w:sz w:val="20"/>
                <w:szCs w:val="20"/>
                <w:color w:val="auto"/>
              </w:rPr>
            </w:pPr>
            <w:r>
              <w:rPr>
                <w:rFonts w:ascii="Arial" w:cs="Arial" w:eastAsia="Arial" w:hAnsi="Arial"/>
                <w:sz w:val="18"/>
                <w:szCs w:val="18"/>
                <w:color w:val="auto"/>
              </w:rPr>
              <w:t>25.0</w:t>
            </w: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480" w:type="dxa"/>
            <w:vAlign w:val="bottom"/>
            <w:shd w:val="clear" w:color="auto" w:fill="CCEEFF"/>
          </w:tcPr>
          <w:p>
            <w:pPr>
              <w:jc w:val="center"/>
              <w:ind w:left="1958"/>
              <w:spacing w:after="0"/>
              <w:rPr>
                <w:sz w:val="20"/>
                <w:szCs w:val="20"/>
                <w:color w:val="auto"/>
              </w:rPr>
            </w:pPr>
            <w:r>
              <w:rPr>
                <w:rFonts w:ascii="Arial" w:cs="Arial" w:eastAsia="Arial" w:hAnsi="Arial"/>
                <w:sz w:val="18"/>
                <w:szCs w:val="18"/>
                <w:color w:val="auto"/>
                <w:w w:val="92"/>
              </w:rPr>
              <w:t>£BBB-/Baa3</w:t>
            </w:r>
          </w:p>
        </w:tc>
        <w:tc>
          <w:tcPr>
            <w:tcW w:w="134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20.0</w:t>
            </w:r>
          </w:p>
        </w:tc>
        <w:tc>
          <w:tcPr>
            <w:tcW w:w="12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50.0</w:t>
            </w:r>
          </w:p>
        </w:tc>
        <w:tc>
          <w:tcPr>
            <w:tcW w:w="13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 xml:space="preserve">As used in this definition, “Debt Rating” means, as of any date of determination, the rating as determined by either S&amp;P or Moody’s (collectively, the “Debt Ratings”) of Borrower’s senior unsecured non-credit-enhanced long-term Indebtedness for borrowed money (the “Subject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purposes of determining the Applicable Amount, if a Debt Rating is issued by each of S&amp;P and Moody’s, then the higher of such Debt Ratings shall apply (with Pricing Level 1 being the highest and Pricing Level 5 being the lowest), unless there is a split in Debt Ratings of more than one level, in which case the level that is one level lower than the higher Debt Rating shall apply. Initially, the Debt Ratings shall be determined from the certificate delivered pursuant to Section 4.01(a)(iv). Thereafter, the Debt Ratings shall be determined from the most recent public announcement of any changes in the Debt Ratings. Any change in the Applicable Amount shall become effective on and as of the date of any public announcement of any Debt Rating that indicates a different Applicable Amount. If</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53" w:name="page54"/>
    <w:bookmarkEnd w:id="5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rating system of S&amp;P or Moody’s shall change, Borrower and Administrative Agent shall negotiate in good faith to amend this definition to reflect such changed rating system and, pending the effectiveness of such amendment (which shall require the approval of Required Lenders), the Debt Rating shall be determined by reference to the rating most recently in effect prior to such change. If and for so long as either S&amp;P or Moody’s (but not both) has ceased to rate the Subject Debt, then (x) if such rating agency has ceased to issue debt ratings generally, or if Borrower has used commercially reasonable efforts to maintain ratings from both S&amp;P and Moody’s, the Debt Rating shall be deemed to be the Remaining Debt Rating and (y) otherwise, the Debt Rating shall be deemed to be one Pricing Level below the Remaining Debt Rating. If and for so long as both S&amp;P and Moody’s have ceased to rate the Subject Debt, then (x) if S&amp;P and Moody’s have ceased to issue debt ratings generally, the Debt Rating shall be the Debt Rating most recently in effect prior to such event and (y) otherwise, the Debt Rating will be the Debt Rating at Pricing Level 5. For the purpose of the foregoing, “Remaining Debt Rating” means, at any time that one of S&amp;P or Moody’s, but not both, is rating the Subject Debt, the rating assigned by such rating agency from time to time.</w:t>
      </w:r>
    </w:p>
    <w:p>
      <w:pPr>
        <w:spacing w:after="0" w:line="12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“Applicable Payment Date” means, (a) as to any Eurodollar Rate Loan, the last day of the relevant Interest Period, any date that such Loan is prepaid or Converted in whole or in part and the maturity date of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Eurodollar Rate Loan exceeds three months, interest shall also be paid on the Business Day which falls every three months after the beginning of such Interest Period; (b) with respect to any Fixed Rate Loan, the last day of the Interest Period applicable to the Borrowing of which such Loan is a part and, in the case of a Fixed Rate Loan with an Interest Period of more than 90 days’ duration (unless otherwise specified in the applicable Competitive Bid Request), each day prior to the last day of such Interest Period that occurs at intervals of 90 days’ duration after the first day of such Interest Period, and any other dates that are specified in the applicable Competitive Bid Request as Applicable Payment Dates with respect to such Borrowing; and (c) as to any other Obligations, the last Business Day of each calendar quarter and the maturity date of such Obligation, except as otherwise provided herein.</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“Applicable Time” means New York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“Asset Monetization Transactions” has the meaning set forth in the definition of Consolidated Total Indebtedness.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“Assignment and Assumption” means an Assignment and Assumption substantially in the form of Exhibit 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“Attorney Costs” means the reasonable fees and disbursements of a law firm or other external counsel.</w:t>
      </w:r>
    </w:p>
    <w:p>
      <w:pPr>
        <w:spacing w:after="0" w:line="171"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Indebtedness shall be the lesser of the Attributable Indebtedness determined assuming termination on the first date such lease may be terminated (in which case the Attributable Indebtedness 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4" w:name="page55"/>
    <w:bookmarkEnd w:id="54"/>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 Rate” means for any day a fluctuating rate per annum equal to the highest of (a) the Federal Funds Rate in effect for such day plus 1/2 of 1%,</w:t>
      </w:r>
    </w:p>
    <w:p>
      <w:pPr>
        <w:spacing w:after="0" w:line="38" w:lineRule="exact"/>
        <w:rPr>
          <w:sz w:val="20"/>
          <w:szCs w:val="20"/>
          <w:color w:val="auto"/>
        </w:rPr>
      </w:pPr>
    </w:p>
    <w:p>
      <w:pPr>
        <w:ind w:firstLine="8"/>
        <w:spacing w:after="0" w:line="281"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rate of interest in effect for such day as publicly announced from time to time by JPMorgan Chase as its “prime rate” in effect at its principal office in New York City (the prime rate not being intended to be the lowest rate of interest charged by JPMorgan Chase in connection with extensions of credit to debtors) and</w:t>
      </w:r>
    </w:p>
    <w:p>
      <w:pPr>
        <w:spacing w:after="0" w:line="1" w:lineRule="exact"/>
        <w:rPr>
          <w:rFonts w:ascii="Arial" w:cs="Arial" w:eastAsia="Arial" w:hAnsi="Arial"/>
          <w:sz w:val="16"/>
          <w:szCs w:val="16"/>
          <w:color w:val="auto"/>
        </w:rPr>
      </w:pPr>
    </w:p>
    <w:p>
      <w:pPr>
        <w:ind w:right="160" w:firstLine="8"/>
        <w:spacing w:after="0" w:line="255" w:lineRule="auto"/>
        <w:tabs>
          <w:tab w:leader="none" w:pos="2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Eurodollar Rate that would be calculated as of such day (or, if such day is not a Business Day, as of the next preceding Business Day) in respect of a proposed Eurodollar Loan with a one month Interest Period plus 1%. Any change in such rate announced by JPMorgan Chase shall take effect at the opening of business on the day specified in the public announcement of such change.</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 Rate Loan” means a Loan made hereunder that bears interest based upon the Base Rate.</w:t>
      </w:r>
    </w:p>
    <w:p>
      <w:pPr>
        <w:spacing w:after="0" w:line="171" w:lineRule="exact"/>
        <w:rPr>
          <w:sz w:val="20"/>
          <w:szCs w:val="20"/>
          <w:color w:val="auto"/>
        </w:rPr>
      </w:pPr>
    </w:p>
    <w:p>
      <w:pPr>
        <w:ind w:right="220" w:firstLine="913"/>
        <w:spacing w:after="0" w:line="255" w:lineRule="auto"/>
        <w:rPr>
          <w:sz w:val="20"/>
          <w:szCs w:val="20"/>
          <w:color w:val="auto"/>
        </w:rPr>
      </w:pPr>
      <w:r>
        <w:rPr>
          <w:rFonts w:ascii="Arial" w:cs="Arial" w:eastAsia="Arial" w:hAnsi="Arial"/>
          <w:sz w:val="18"/>
          <w:szCs w:val="18"/>
          <w:color w:val="auto"/>
        </w:rPr>
        <w:t>“BLR Group” means: (i) Brian L. Roberts (“BLR”);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Securities Exchange Act of 1934 and the rules of the Securities and Exchange Commission thereunder as in effect on the date hereof) of which any of the foregoing is a member.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“Borrower” has the meaning set forth in the introductory paragraph 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“Borrowing” and “Borrow” each mean a borrowing of Loans hereunder.</w:t>
      </w:r>
    </w:p>
    <w:p>
      <w:pPr>
        <w:spacing w:after="0" w:line="171"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“Business Day” means any day other than a Saturday, Sunday or other day on which commercial banks in New York, New York are authorized or required by law to close, and, if the applicable Business Day relates to a Eurodollar Rate Loan, any such day on which dealings are carried out in the applicable offshore Dollar market.</w:t>
      </w:r>
    </w:p>
    <w:p>
      <w:pPr>
        <w:spacing w:after="0" w:line="14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“Cable Subsidiary” means a Subsidiary of Borrower (a) that operates a cable communications business or (b) whose sole purpose is to directly or indirectly own or hold an investment in another Person that operates a cable communications business.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“Canadian Dollar” means lawful money of Canada.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“CCCL” means Comcast Cable Communications, LLC.</w:t>
      </w:r>
    </w:p>
    <w:p>
      <w:pPr>
        <w:spacing w:after="0" w:line="171"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“Change of Control” means the occurrence of any of the following: (a) the acquisition of ownership, directly or indirectly, beneficially or of record, by any Person or group (within the meaning of the Securities Exchange Act of 1934 and the rules of the Securities and Exchange Commission thereunder, as in effect on the date hereof), other than the BLR Group, of Equity Interests representing more than the greater of (i) 35% of the aggregate ordinary voting power represented by the issued and outstanding Equity Interests of Borrower and (ii) the percentage owned, directly or indirectly, beneficially or of record, by the BLR Group, of the aggregate ordinary voting power represented by the issued and outstanding Equity Interests of Borrower; (b) the occupation of a majority of the seats (other than vacant seats) on the board of directors of Borrower by Persons who were neither (i) nominated by the board of directors of Borrower (or by the Nominating Committee of such board) nor (ii) appointed by directors so nominated; or (c) the acquisition of direct or indirect Control of Borrower by any Person or group, other than the BLR Group. As used in this definition, “Control” means the possession, directly or indirectly,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5" w:name="page56"/>
    <w:bookmarkEnd w:id="55"/>
    <w:p>
      <w:pPr>
        <w:ind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power to direct or cause the direction of the management or policies of a Person, whether through the ability to exercise voting power, by contract or otherwise.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“Co-Borrower” means each of Borrower and CCCL.</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“Co-Documentation Agents” has the meaning set forth in the introductory paragraph 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“Competitive Bid” means an offer by a Lender to make a Competitive Loan in accordance with Section 2.04.</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“Competitive Bid Rate” means, with respect to any Competitive Bid, the Margin or the Fixed Rate, as applicable, offered by the Lender making such Competitive Bid.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“Competitive Bid Request” means a request by a Co-Borrower for Competitive Bids in accordance with Section 2.04.</w:t>
      </w:r>
    </w:p>
    <w:p>
      <w:pPr>
        <w:spacing w:after="0" w:line="171"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“Competitive Borrowing” means a Competitive Loan or group of Competitive Loans of the same type made on the same date and as to which a single Interest Period is in effect.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“Competitive Loan” means a Loan made pursuant to Section 2.04.</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“Compliance Certificate” means a certificate substantially in the form of Exhibit C, properly completed and signed by a Responsible Officer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165"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“Consolidated Total Indebtedness” means, as of any date of determination, the total Indebtedness of Borrower and its Restricted Subsidiaries, determined on a consolidated basis in accordance with GAAP, but excluding Indebtedness of Borrower and its Restricted Subsidiaries arising from (A) the asset monetization transactions set forth on Schedule A and any extensions, renewals or replacements thereof and (B) any asset monetization transactions which are recourse only to the assets so monetized and are done on substantially similar terms to the asset monetization transactions set forth on Schedule A (collectively, “Asset Monetization Transactions”).</w:t>
      </w:r>
    </w:p>
    <w:p>
      <w:pPr>
        <w:spacing w:after="0" w:line="143"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“Continuation” and “Continue” mean, with respect to any Eurodollar Rate Loan, the continuation of such Eurodollar Rate Loan as a Eurodollar Rate Loan on the last day of the Interest Period for such Loan.</w:t>
      </w:r>
    </w:p>
    <w:p>
      <w:pPr>
        <w:spacing w:after="0" w:line="132" w:lineRule="exact"/>
        <w:rPr>
          <w:sz w:val="20"/>
          <w:szCs w:val="20"/>
          <w:color w:val="auto"/>
        </w:rPr>
      </w:pPr>
    </w:p>
    <w:p>
      <w:pPr>
        <w:ind w:right="780" w:firstLine="913"/>
        <w:spacing w:after="0" w:line="268" w:lineRule="auto"/>
        <w:rPr>
          <w:sz w:val="20"/>
          <w:szCs w:val="20"/>
          <w:color w:val="auto"/>
        </w:rPr>
      </w:pPr>
      <w:r>
        <w:rPr>
          <w:rFonts w:ascii="Arial" w:cs="Arial" w:eastAsia="Arial" w:hAnsi="Arial"/>
          <w:sz w:val="18"/>
          <w:szCs w:val="18"/>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“Conversion” and “Convert” mean, with respect to any Loan, the conversion of such Loan from or into another type of Loan.</w:t>
      </w:r>
    </w:p>
    <w:p>
      <w:pPr>
        <w:spacing w:after="0" w:line="171"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affecting the rights of creditors generally.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6" w:name="page57"/>
    <w:bookmarkEnd w:id="5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“Debt Rating” has the meaning set forth in the definition of Applicable Amount.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“Declining Lender” has the meaning set forth in Section 2.01(e).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“Default” means any event that, with the giving of any notice, the passage of time, or both, would be an Event of Default.</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“Default Rate” means an interest rate equal (i) in the case of overdue principal of any Loan, 2% per annum plus the rate otherwise applicable to such Loan as provided in Section 2.12(a) or (ii) in the case of any other overdue amount, 2% per annum plus the rate applicable to Base Rate Loans, in each case to the fullest extent permitted by applicable Laws.</w:t>
      </w:r>
    </w:p>
    <w:p>
      <w:pPr>
        <w:spacing w:after="0" w:line="140" w:lineRule="exact"/>
        <w:rPr>
          <w:sz w:val="20"/>
          <w:szCs w:val="20"/>
          <w:color w:val="auto"/>
        </w:rPr>
      </w:pPr>
    </w:p>
    <w:p>
      <w:pPr>
        <w:ind w:firstLine="913"/>
        <w:spacing w:after="0" w:line="282" w:lineRule="auto"/>
        <w:rPr>
          <w:sz w:val="20"/>
          <w:szCs w:val="20"/>
          <w:color w:val="auto"/>
        </w:rPr>
      </w:pPr>
      <w:r>
        <w:rPr>
          <w:rFonts w:ascii="Arial" w:cs="Arial" w:eastAsia="Arial" w:hAnsi="Arial"/>
          <w:sz w:val="16"/>
          <w:szCs w:val="16"/>
          <w:color w:val="auto"/>
        </w:rPr>
        <w:t xml:space="preserve">“Defaulting Lender” means any Lender that has (a) failed to fund its portion of any Borrowing, or any portion of its participation in any Letter of Credit, within three Business Days of the date on which it shall have been required to fund the same (or, in the case of any Borrowing on the Effective Date, on the Effective Date), (b) notified the Borrower, Administrative Agent, any Issuing Lender or any other Lender in writing that it does not intend to comply with any of its funding obligations under this Agreement or has made a public statement to the effect that it does not intend to comply with its funding obligations under this Agreement or generally under agreements in which it commits to extend credit, (c) failed, within three Business Days after written request by Administrative Agent (which request shall, in any event, be made promptly upon request by Borrower), to confirm that it will comply with the terms of this Agreement relating to its obligations to fund prospective Loans and participations in then outstanding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Lender shall cease to be a Defaulting Lender under this clause (c) upon receipt of such confirmation by Administrative Agent, (d) otherwise failed to pay over to Administrative Agent or any other Lender any other amount required to be paid by it hereunder within three Business Days of the date when due, unless the subject of a good faith dispute, or</w:t>
      </w:r>
    </w:p>
    <w:p>
      <w:pPr>
        <w:spacing w:after="0" w:line="5" w:lineRule="exact"/>
        <w:rPr>
          <w:sz w:val="20"/>
          <w:szCs w:val="20"/>
          <w:color w:val="auto"/>
        </w:rPr>
      </w:pPr>
    </w:p>
    <w:p>
      <w:pPr>
        <w:ind w:right="60" w:firstLine="8"/>
        <w:spacing w:after="0" w:line="285" w:lineRule="auto"/>
        <w:tabs>
          <w:tab w:leader="none" w:pos="23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been (or has a parent company, including any intermediate parent company, that has been) adjudicated as, or determined by any Governmental Authority having regulatory authority over such Person or its assets to be, insolvent or (ii)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including any intermediate parent company, that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unless in the case of any Lender referred to in this clause (e) the Borrower, Administrative Agent and each Issuing Lender shall be satisfied that such Lender intends, and has all approvals required to enable it, to continue to perform its obligations as a Lender hereunder or (f) has otherwise become a “defaulting” lender generally in credit agreements to which it is a party (as reasonably determined by Administrative Agent in consultation with Borrower). For the avoidance of doubt, a Lender shall not be deemed to be a Defaulting Lender solely by virtue of the ownership or acquisition of any Equity Interest in such Lender or its parent by a Governmental Authority.</w:t>
      </w:r>
    </w:p>
    <w:p>
      <w:pPr>
        <w:spacing w:after="0" w:line="12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“Dollar” and “$” means lawful money of the United States of America.</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57" w:name="page58"/>
    <w:bookmarkEnd w:id="57"/>
    <w:p>
      <w:pPr>
        <w:ind w:right="3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“Dollar Amount” means, at any time, for any amount, (i) if denominated in Dollars, the amount thereof and (ii) if denominated in an Alternative Currency, the amount thereof converted to Dollars in accordance with Section 2.18.</w:t>
      </w:r>
    </w:p>
    <w:p>
      <w:pPr>
        <w:spacing w:after="0" w:line="132"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“EBITDA” means, with respect to any Person or any income generating assets, for any period, an amount equal to (a) the operating income of such Person or generated by such assets calculated in accordance with GAAP adjusted to exclude gains and losses from unusual or extraordinary items, plus</w:t>
      </w:r>
    </w:p>
    <w:p>
      <w:pPr>
        <w:ind w:right="140" w:firstLine="8"/>
        <w:spacing w:after="0" w:line="254"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depreciation, amortization and other non-cash charges to operating income, in each case for such period, minus (c) any cash payments made during such period in respect of any non-cash charges to operating income accrued during a prior period and added back in determining EBITDA during such prior period pursuant to clause (b) above, plus (d) corporate overhead expenses incurred by Borrower in an aggregate amount not to exceed $100,000,000 for any fiscal year of Borrower.</w:t>
      </w:r>
    </w:p>
    <w:p>
      <w:pPr>
        <w:spacing w:after="0" w:line="144"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“EDGAR” means the Electronic Data Gathering, Analysis and Retrieval computer system for the receipt, acceptance, review and dissemination of documents submitted to the U.S. Securities and Exchange Commission in electronic format.</w:t>
      </w:r>
    </w:p>
    <w:p>
      <w:pPr>
        <w:spacing w:after="0" w:line="132"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“Effective Date” means the date upon which all the conditions precedent in Section 4.01 have been satisfied or waived, which date shall be at least one Business Day after receipt by Administrative Agent of a written notice from Borrower identifying such date as the anticipated Effective Date (which written notice Administrative Agent will promptly forward to Lenders).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“Environmental Laws” means all Laws relating to environmental, health, safety and land use matters applicable to any property.</w:t>
      </w:r>
    </w:p>
    <w:p>
      <w:pPr>
        <w:spacing w:after="0" w:line="171"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“ERISA” means the Employee Retirement Income Security Act of 1974 and any regulations issued pursuant thereto, as amended from time to time.</w:t>
      </w:r>
    </w:p>
    <w:p>
      <w:pPr>
        <w:spacing w:after="0" w:line="194" w:lineRule="exact"/>
        <w:rPr>
          <w:sz w:val="20"/>
          <w:szCs w:val="20"/>
          <w:color w:val="auto"/>
        </w:rPr>
      </w:pPr>
    </w:p>
    <w:p>
      <w:pPr>
        <w:jc w:val="both"/>
        <w:ind w:right="160" w:firstLine="913"/>
        <w:spacing w:after="0" w:line="268" w:lineRule="auto"/>
        <w:rPr>
          <w:sz w:val="20"/>
          <w:szCs w:val="20"/>
          <w:color w:val="auto"/>
        </w:rPr>
      </w:pPr>
      <w:r>
        <w:rPr>
          <w:rFonts w:ascii="Arial" w:cs="Arial" w:eastAsia="Arial" w:hAnsi="Arial"/>
          <w:sz w:val="18"/>
          <w:szCs w:val="18"/>
          <w:color w:val="auto"/>
        </w:rPr>
        <w:t>“ERISA Affiliate” means any person that for purposes of Title I or Title IV of ERISA or Section 412 of the Code would be deemed at any relevant time to be a “single employer” with Borrower under Section 414(b), (c), (m) or (o) of the Code or Section 4001 of ERISA.</w:t>
      </w:r>
    </w:p>
    <w:p>
      <w:pPr>
        <w:spacing w:after="0" w:line="13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“ERISA Event” means (a) any “reportable event,” as defined in Section 4043 of ERISA or the regulations issued thereunder with respect to a Plan (other than an event for which the 30-day notice period is waived); (b) the failure of Borrower or any ERISA Affiliate to make by its due date a required installment under Section 430(j) of the Code with respect to any Plan or any failure by any Plan to satisfy the minimum funding standards (within the meaning of Section 412 of the Code or Section 302 of ERISA) applicable to such Plan, whether or not waived; (c) the filing pursuant to Section 412(c) of the Code or Section 302(c) of ERISA of an application for a waiver of the minimum funding standard with respect to any Plan; (d) the incurrence by Borrower or any ERISA Affiliates of any liability under Title IV of ERISA with respect to the termination of any Plan; (e) 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any Borrower or any ERISA Affiliate of any notice, or the receipt by any Multiemployer Plan from Borrower or any ERISA Affiliate of any notice, concerning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58" w:name="page59"/>
    <w:bookmarkEnd w:id="5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imposition of withdrawal liability or a determination that a Multiemployer Plan is, or is expected to be, insolvent or in reorganization, within the meaning of Title IV of ERISA.</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“Euro” means lawful money of the European Union.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“Eurodollar Base Rate” has the meaning set forth in the definition of Eurodollar Rate.</w:t>
      </w:r>
    </w:p>
    <w:p>
      <w:pPr>
        <w:spacing w:after="0" w:line="17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“Eurodollar Rate” means for any Interest Period with respect to any Eurodollar Rate Loan, a rate per annum determined by Administrative Agent pursuant to the following formula:</w:t>
      </w:r>
    </w:p>
    <w:p>
      <w:pPr>
        <w:spacing w:after="0" w:line="172"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Eurodollar Rate =</w:t>
      </w:r>
      <w:r>
        <w:rPr>
          <w:sz w:val="20"/>
          <w:szCs w:val="20"/>
          <w:color w:val="auto"/>
        </w:rPr>
        <w:tab/>
      </w:r>
      <w:r>
        <w:rPr>
          <w:rFonts w:ascii="Arial" w:cs="Arial" w:eastAsia="Arial" w:hAnsi="Arial"/>
          <w:sz w:val="15"/>
          <w:szCs w:val="15"/>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10795</wp:posOffset>
            </wp:positionV>
            <wp:extent cx="25387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1.00 - Eurodollar Reserve Percentage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“Eurodollar Base Rate” means, for such Interest Period:</w:t>
      </w:r>
    </w:p>
    <w:p>
      <w:pPr>
        <w:spacing w:after="0" w:line="90" w:lineRule="exact"/>
        <w:rPr>
          <w:sz w:val="20"/>
          <w:szCs w:val="20"/>
          <w:color w:val="auto"/>
        </w:rPr>
      </w:pPr>
    </w:p>
    <w:p>
      <w:pPr>
        <w:jc w:val="both"/>
        <w:ind w:left="460" w:right="260" w:firstLine="443"/>
        <w:spacing w:after="0" w:line="259" w:lineRule="auto"/>
        <w:tabs>
          <w:tab w:leader="none" w:pos="11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per annum equal to the rate determined by Administrative Agent to be the rate that appears on the Reuters Screen LIBOR01 Page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59" w:lineRule="exact"/>
        <w:rPr>
          <w:rFonts w:ascii="Arial" w:cs="Arial" w:eastAsia="Arial" w:hAnsi="Arial"/>
          <w:sz w:val="18"/>
          <w:szCs w:val="18"/>
          <w:color w:val="auto"/>
        </w:rPr>
      </w:pPr>
    </w:p>
    <w:p>
      <w:pPr>
        <w:ind w:left="460" w:right="80" w:firstLine="443"/>
        <w:spacing w:after="0" w:line="294" w:lineRule="auto"/>
        <w:tabs>
          <w:tab w:leader="none" w:pos="1147"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the event the rate referenced in the preceding subsection (a) does not appear on such page or service or such page or service shall cease to be available, the rate per annum equal to the rate reasonably determined by Administrative Agent (after consultation with Borrower) to be the offered rate on such other page or other service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34" w:lineRule="exact"/>
        <w:rPr>
          <w:rFonts w:ascii="Arial" w:cs="Arial" w:eastAsia="Arial" w:hAnsi="Arial"/>
          <w:sz w:val="16"/>
          <w:szCs w:val="16"/>
          <w:color w:val="auto"/>
        </w:rPr>
      </w:pPr>
    </w:p>
    <w:p>
      <w:pPr>
        <w:ind w:left="460" w:firstLine="443"/>
        <w:spacing w:after="0" w:line="253" w:lineRule="auto"/>
        <w:tabs>
          <w:tab w:leader="none" w:pos="11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the rates referenced in the preceding subsections (a) and (b) are not available, the rate per annum determined by Administrative Agent as the average of the rates of interest (rounded upward to the next 1/100th of 1%) at which deposits in Dollars for delivery on the first day of such Interest Period in same day funds in the approximate amount of the Eurodollar Rate Loan being made, Continued or Converted by Administrative Agent in its capacity as a Lender and with a term equivalent to such Interest Period are offered by Reference Banks to major banks in the London interbank Dollar market at their request at approximately 11:00 a.m. (London time) two Business Days prior to the first day of such Interest Period. If any Reference Bank does not quote such a rate at the request of Administrative Agent, such average rate shall be determined from the rates of the Reference Banks that quote such a rate; and</w:t>
      </w:r>
    </w:p>
    <w:p>
      <w:pPr>
        <w:spacing w:after="0" w:line="147"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“Eurodollar Reserve Percentage” means, for any day during any Interest Period, the reserve percentage (expressed as a decimal, rounded upward to the next 1/100th of 1%) in effect on such day, whether or not applicable to any Lender, under regulations issued from time to time by the Board of Governors of the Federal Reserve System for determining the maximum reserve requirement (including any emergency, supplemental or other marginal reserve requirement) for a member bank of the Federal Reserve System in respect of “Eurocurrency liabilities” (or in respect of any other category of liabilities, which includes deposits by reference to which the interest rate on Eurodollar Rate Loans is determined or any category of extensions of credit or other assets which includes loans by a non- United States office of any Lender to United States residents). The Eurodollar Rate for each outstanding Eurodollar Rate Loan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adjusted automatically as of the effective date of any change in the Eurodollar Reserve Percentage.</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determination of the Eurodollar Reserve Percentage and the Eurodollar Base Rate by Administrative Agent shall be conclusive in the absence of manifest error.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“Eurodollar Rate Loan” means a Loan bearing interest based on the Eurodollar Rate.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“Eurodollar Reserve Percentage” has the meaning set forth in the definition of Eurodollar Rate.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“Event of Default” means any of the events specified in Section 8.</w:t>
      </w:r>
    </w:p>
    <w:p>
      <w:pPr>
        <w:spacing w:after="0" w:line="171"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“Existing Credit Agreement” means the Amended and Restated Credit Agreement, dated as of January 30, 2008, among Comcast Corporation, Comcast Cable Communications, LLC (as successor to Comcast Cable Communications Holdings, Inc.), the lenders parties thereto, JPMorgan Chase Bank, N.A., as administrative agent and issuing lender, Citibank, N.A., as syndication agent, and Bank of America, N.A., Barclays Bank PLC, BNP Paribas, The Bank of Tokyo-Mitsubishi UFJ, Ltd., Deutsche Bank AG New York Branch, The Royal Bank of Scotland plc and Wachovia Bank, N.A., as co-documentation agents.</w:t>
      </w:r>
    </w:p>
    <w:p>
      <w:pPr>
        <w:spacing w:after="0" w:line="113"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“Exchange Rate” means on any day with respect to any currency other than Dollars, the rate at which such currency may be exchanged into Dollars, as set forth at approximately 11:00 a.m. (London time) on such day on the Reuters World Currency Page for such currency; in the event that such rate does not appear on any Reuters World Currency Page, the Exchange Rate shall be determined by reference to such other publicly available service for displaying exchange rates as may be agreed upon by Administrative Agent and the Borrower, or, in the absence of such agreement, such Exchange Rate shall instead be the arithmetic average of the spot rates of exchange of Administrative Agent in the market where its foreign currency exchange operations in respect of such currency are then being conducted, at or about 10:00 a.m. (New York City time) on such date for the purchase of Dollars for delivery two (2)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at any time of any such determination, for any reason, no such spot rate is being quoted, Administrative Agent may use any reasonable method it deems appropriate to determine such rate, and such determination shall be conclusive absent manifest error.</w:t>
      </w:r>
    </w:p>
    <w:p>
      <w:pPr>
        <w:spacing w:after="0" w:line="11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“Existing Letters of Credit” means the letters of credit that have been issued prior to the Effective Date pursuant to the Existing Credit Agreement or that certain continuing agreement for standby letters of credit dated as of December 2, 2011 between Borrower and JPMorgan Chase Bank, N.A. and that are outstanding on the Effective Date.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“Extended Revolving Termination Date” has the meaning set forth in Section 2.01(e).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“Extending Lender” has the meaning set forth in Section 2.01(e).</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“Extension of Credit” means (a) a Borrowing, Conversion or Continuation of Loans and (b) a Letter of Credit Action whereby a new Letter of Credit is issued or which has the effect of increasing the amount of, extending the maturity of, or making a material modification to an outstanding Letter of Credit or the reimbursement of drawings thereunder (collectively, the “Extensions of Credit”).</w:t>
      </w:r>
    </w:p>
    <w:p>
      <w:pPr>
        <w:spacing w:after="0" w:line="140" w:lineRule="exact"/>
        <w:rPr>
          <w:sz w:val="20"/>
          <w:szCs w:val="20"/>
          <w:color w:val="auto"/>
        </w:rPr>
      </w:pPr>
    </w:p>
    <w:p>
      <w:pPr>
        <w:ind w:right="940" w:firstLine="913"/>
        <w:spacing w:after="0" w:line="332" w:lineRule="auto"/>
        <w:rPr>
          <w:sz w:val="20"/>
          <w:szCs w:val="20"/>
          <w:color w:val="auto"/>
        </w:rPr>
      </w:pPr>
      <w:r>
        <w:rPr>
          <w:rFonts w:ascii="Arial" w:cs="Arial" w:eastAsia="Arial" w:hAnsi="Arial"/>
          <w:sz w:val="16"/>
          <w:szCs w:val="16"/>
          <w:color w:val="auto"/>
        </w:rPr>
        <w:t>“FATCA” means Sections 1471 through 1474 of the Code, as of the date of this Agreement (or any amended or successor version that is substantively comparable and not materially more onerous to comply with) and any current or future regulations or official interpretations thereof.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60" w:name="page61"/>
    <w:bookmarkEnd w:id="60"/>
    <w:p>
      <w:pPr>
        <w:ind w:right="2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“Federal Funds Rate” means, for any day, the rate per annum (rounded upwards to the nearest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charged to JPMorgan Chase on such day on such transactions as determined by Administrative Agent (which determination shall be conclusive in the absence of manifest error).</w:t>
      </w:r>
    </w:p>
    <w:p>
      <w:pPr>
        <w:spacing w:after="0" w:line="12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“Fixed Rate” means, with respect to any Competitive Loan (other than a Competitive Loan that is a Eurodollar Rate Loan), the fixed rate of interest per annum specified by the Lender making such Competitive Loan in its related Competitive Bid.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“Fixed Rate Loan” means a Competitive Loan bearing interest at a Fixed Rate.</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“GAAP” means generally accepted accounting principles applied on a consistent basis (but subject to changes approved by Borrower’s independent certified public accountants).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“Governmental Authority” means (a) any international, foreign, federal, state, county or municipal government, or political subdivision thereof,</w:t>
      </w:r>
    </w:p>
    <w:p>
      <w:pPr>
        <w:spacing w:after="0" w:line="38" w:lineRule="exact"/>
        <w:rPr>
          <w:sz w:val="20"/>
          <w:szCs w:val="20"/>
          <w:color w:val="auto"/>
        </w:rPr>
      </w:pPr>
    </w:p>
    <w:p>
      <w:pPr>
        <w:ind w:firstLine="8"/>
        <w:spacing w:after="0" w:line="255"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governmental or quasi-governmental agency, authority, board, bureau, commission, department, instrumentality, central bank or public body, including the Federal Communications Commission, (c) any state public utilities commission or other authority and any federal, state, county, or municipal licensing or franchising authority or (d) any court or administrative tribunal.</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“Guarantee Agreement” means the Guarantee Agreement to be executed and delivered by each Guarantor, substantially in the form of Exhibit A.</w:t>
      </w:r>
    </w:p>
    <w:p>
      <w:pPr>
        <w:spacing w:after="0" w:line="194"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“Guarantors” means Comcast MO of Delaware, LLC, Comcast MO Group, Inc., Comcast Cable Holdings, LLC, CCCL, Borrower and each Restricted Subsidiary that becomes a party to the Guarantee Agreement pursuant to Section 7.02(c).</w:t>
      </w:r>
    </w:p>
    <w:p>
      <w:pPr>
        <w:spacing w:after="0" w:line="132" w:lineRule="exact"/>
        <w:rPr>
          <w:sz w:val="20"/>
          <w:szCs w:val="20"/>
          <w:color w:val="auto"/>
        </w:rPr>
      </w:pPr>
    </w:p>
    <w:p>
      <w:pPr>
        <w:ind w:right="80" w:firstLine="913"/>
        <w:spacing w:after="0" w:line="312" w:lineRule="auto"/>
        <w:rPr>
          <w:sz w:val="20"/>
          <w:szCs w:val="20"/>
          <w:color w:val="auto"/>
        </w:rPr>
      </w:pPr>
      <w:r>
        <w:rPr>
          <w:rFonts w:ascii="Arial" w:cs="Arial" w:eastAsia="Arial" w:hAnsi="Arial"/>
          <w:sz w:val="15"/>
          <w:szCs w:val="15"/>
          <w:color w:val="auto"/>
        </w:rPr>
        <w:t xml:space="preserve">“Guaranty Obligation”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“Increased Revolving Commitment Activation Notice” means a notice substantially in the form of Exhibit E-2.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“Increased Revolving Commitment Closing Date” means any Business Day designated as such in an Increased Revolving Commitment Activation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61" w:name="page62"/>
    <w:bookmarkEnd w:id="61"/>
    <w:p>
      <w:pPr>
        <w:ind w:firstLine="913"/>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 means, as to any Person,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w:t>
      </w:r>
    </w:p>
    <w:p>
      <w:pPr>
        <w:spacing w:after="0" w:line="1" w:lineRule="exact"/>
        <w:rPr>
          <w:sz w:val="20"/>
          <w:szCs w:val="20"/>
          <w:color w:val="auto"/>
        </w:rPr>
      </w:pPr>
    </w:p>
    <w:p>
      <w:pPr>
        <w:ind w:left="240" w:hanging="232"/>
        <w:spacing w:after="0"/>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Indebtedness of others secured by any Lien on property owned or acquired by such Person, whether or not the obligations secured thereby have been</w:t>
      </w:r>
    </w:p>
    <w:p>
      <w:pPr>
        <w:spacing w:after="0" w:line="32"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assumed, (f) all Guaranty Obligations of such Person with respect to Indebtedness of others, (g) all capital lease obligations of such Person, (h) all Attributable Indebtedness under Sale-Leaseback Transactions under which such Person is the lessee and (i) all obligations of such Person as an account party in respect of outstanding letters of credit (whether or not drawn) and bankers’ acceptances;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Indebtedness shall not include (i) trade accounts payable arising in the ordinary course of business and (ii) deferred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amount of any Indebtedness described in clause (e) above shall be the lesser of the amount of the Indebtedness or the fair market value of the property securing such Indebtedness.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“Indemnified Liabilities” has the meaning set forth in Section 10.13.</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“Indemnitees” has the meaning set forth in Section 10.13.</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“Interest Expense” means, with respect to any Person or any income generating assets, for any period, an amount equal to, without duplication,</w:t>
      </w:r>
    </w:p>
    <w:p>
      <w:pPr>
        <w:spacing w:after="0" w:line="38" w:lineRule="exact"/>
        <w:rPr>
          <w:sz w:val="20"/>
          <w:szCs w:val="20"/>
          <w:color w:val="auto"/>
        </w:rPr>
      </w:pPr>
    </w:p>
    <w:p>
      <w:pPr>
        <w:ind w:right="100" w:firstLine="8"/>
        <w:spacing w:after="0" w:line="290" w:lineRule="auto"/>
        <w:tabs>
          <w:tab w:leader="none" w:pos="23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interest on Indebtedness (other than Indebtedness arising from Asset Monetization Transactions) of such Person or properly allocable to such assets, and commitment and facility fees in respect thereof, accrued (whether or not actually paid) during such period, (b) plus the net amount accrued (whether or not actually paid) by such Person or properly allocable to such assets pursuant to any interest rate protection agreement during such period (or minus the net amount receivable (whether or not actually received) by such Person or properly allocable to such assets during such period), (c) minus the amortization of deferred financing fees recorded during such period and (d) minus the amortization of any discount or plus the amortization of any premium (determined as the difference between the present value and the face amount of the subject Indebtedness) recorded during such period.</w:t>
      </w:r>
    </w:p>
    <w:p>
      <w:pPr>
        <w:spacing w:after="0" w:line="118"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 xml:space="preserve">“Interest Period” means (a) for each Eurodollar Rate Loan, (i) initially, the period commencing on the date such Eurodollar Rate Loan is disbursed or Continued as, or Converted into, such Eurodollar Rate Loan and (ii) thereafter, the period commencing on the last day of the preceding Interest Period, and ending, in each case, on the earlier of (A) the scheduled maturity date of such Loan, or (B) one, two, three, six, or subject to availability to each Lender, nine or 12 months or periods less than one month, thereafter and (b) with respect to any Borrowing of Fixed Rate Loans, the period (which shall not be less than seven days or more than 360 days) commencing on the date of such Borrowing and ending on the date specified in the applicable Competitive Bid Request;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9" w:lineRule="exact"/>
        <w:rPr>
          <w:sz w:val="20"/>
          <w:szCs w:val="20"/>
          <w:color w:val="auto"/>
        </w:rPr>
      </w:pPr>
    </w:p>
    <w:p>
      <w:pPr>
        <w:ind w:left="460" w:right="260" w:firstLine="443"/>
        <w:spacing w:after="0" w:line="332" w:lineRule="auto"/>
        <w:tabs>
          <w:tab w:leader="none" w:pos="1108"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4" w:lineRule="exact"/>
        <w:rPr>
          <w:rFonts w:ascii="Arial" w:cs="Arial" w:eastAsia="Arial" w:hAnsi="Arial"/>
          <w:sz w:val="16"/>
          <w:szCs w:val="16"/>
          <w:color w:val="auto"/>
        </w:rPr>
      </w:pPr>
    </w:p>
    <w:p>
      <w:pPr>
        <w:ind w:left="460" w:right="80" w:firstLine="443"/>
        <w:spacing w:after="0" w:line="268" w:lineRule="auto"/>
        <w:tabs>
          <w:tab w:leader="none" w:pos="11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Interest Period which begins on the last Business Day of a calendar month (or on a day for which there is no numerically corresponding day in the calendar month at the end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Interest Period) shall end on the last Business Day of the calendar month at the end of such Interest Period; and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(iii) Unless Administrative Agent otherwise consents, there may not be more than ten (10) Interest Periods for Eurodollar Rate Loans in effect at any</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“IRS” means the United States Internal Revenue Service.</w:t>
      </w:r>
    </w:p>
    <w:p>
      <w:pPr>
        <w:spacing w:after="0" w:line="171"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“Issuing Lender” means each of JPMorgan Chase, Wells Fargo Bank, National Association and, only as to the Existing Letters of Credit, each financial institution listed as an issuer of an Existing Letter of Credit on Schedule 2.03 in its capacity as an issuer of such Letters of Credit hereunder, and any other Lender that may agree with Borrower to issue Letters of Credit hereunder, or any successor issuing lender hereunder. Any Lender that becomes an Issuing Lender after the Effective Date agrees to give Administrative Agent prompt notice thereof.</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“JPMorgan Chase” means JPMorgan Chase Bank, N.A.</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40"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“Lender” means each lender from time to time party hereto and, as the context requires, each Issuing Lender, each New Lender and each New Extending Lender, and, subject to the terms and conditions of this Agreement, their respective successors and assigns (but not any purchaser of a participation hereunder unless otherwise a party to this Agreement).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“Lender Party” means any Agent, any Issuing Lender or any Lender.</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“Letter of Credit” means any letter of credit issued or deemed to be issued hereunder, including the Existing Letters of Credit.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“Letter of Credit Action” means the issuance, supplement, amendment, renewal, extension, modification or other action relating to a Letter of Credit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“Letter of Credit Application” means an application for a Letter of Credit Action from time to time in use by an Issuing Lender.</w:t>
      </w:r>
    </w:p>
    <w:p>
      <w:pPr>
        <w:spacing w:after="0" w:line="171"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“Letter of Credit Cash Collateral Account” means a blocked deposit account at JPMorgan Chase in which the Co-Borrowers hereby grant a security interest to Administrative Agent, for the benefit of the Lenders and the Issuing Lenders (in each case with respect to each such Person’s interest in the applicable Letter of Credit), as security for Letter of Credit Usage and with respect to which the Co-Borrowers agree to execute and deliver from time to time such documentation as Administrative Agent may reasonably request to further assure and confirm such security interest.</w:t>
      </w:r>
    </w:p>
    <w:p>
      <w:pPr>
        <w:spacing w:after="0" w:line="113"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“Letter of Credit Commitment” means, for each Issuing Lender, the amount set forth under the heading “Letter of Credit Commitment” opposite such Lender’s name on Schedule 2.03 as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may be modified from time to time, and as such amount may be reduced or adjusted from time to time in accordance with the terms of this Agreement.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“Letter of Credit Expiration Date” means the date that is five Business Days prior to the Revolving Termination Date.</w:t>
      </w:r>
    </w:p>
    <w:p>
      <w:pPr>
        <w:spacing w:after="0" w:line="17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“Letter of Credit Sublimit” means, at any date of determination, an amount equal to the lesser of (a) the combined Revolving Commitments minus the aggregate amount of all outstanding Loans and (b) $1,000,000,000, as such amount may be reduced from time to time in accordance with the terms of this Agreement.</w:t>
      </w:r>
    </w:p>
    <w:p>
      <w:pPr>
        <w:spacing w:after="0" w:line="140"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“Letter of Credit Usage” means, as of any date of determination, the aggregate undrawn face or available Dollar Amount of outstanding Letters of Credit plus the aggregate Dollar Amount of all drawings under the Letters of Credit not reimbursed by the Co-Borrowers or converted into Revolving Loans.</w:t>
      </w:r>
    </w:p>
    <w:p>
      <w:pPr>
        <w:spacing w:after="0" w:line="85"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“Leverage Ratio” means, at any date of determination, the ratio of (a) Consolidated Total Indebtedness as of such date to (b) Annualized EBITDA of Borrower and its Restricted Subsidiaries, on a consolidated basis.</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“Lien” means any mortgage, pledge, hypothecation, assignment, encumbrance, lien (statutory or other), charge or other security interest (including any conditional sale or other title 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Liens shall not include ordinary and customary contractual set off rights.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“Loan” means any advance made by any Lender to a Co-Borrower as provided in Section 2 (collectively, the “Loans”).</w:t>
      </w:r>
    </w:p>
    <w:p>
      <w:pPr>
        <w:spacing w:after="0" w:line="17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“Loan Documents” means this Agreement, the Guarantee Agreement, each Note, each Letter of Credit Application, each Request for Extension of Credit, each Compliance Certificate, each fee letter and each other instrument or agreement from time to time delivered by any Loan Party pursuant to this Agreement.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“Loan Parties” means Borrower and each of its Subsidiaries that is a party to a Loan Document.</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“Margin” means, with respect to any Competitive Loan bearing interest at a rate based on the Eurodollar Rate, the marginal rate of interest, if any, to be added to or subtracted from the Eurodollar Rate to determine the rate of interest applicable to such Loan, as specified by the Lender making such Loan in its related Competitive Bid.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“Material Acquisition” means any Acquisition (the “Subject Acquisition”) (i) made at a time when the Leverage Ratio is in excess of 4.5 to 1.0 or</w:t>
      </w:r>
    </w:p>
    <w:p>
      <w:pPr>
        <w:spacing w:after="0" w:line="38" w:lineRule="exact"/>
        <w:rPr>
          <w:sz w:val="20"/>
          <w:szCs w:val="20"/>
          <w:color w:val="auto"/>
        </w:rPr>
      </w:pPr>
    </w:p>
    <w:p>
      <w:pPr>
        <w:ind w:right="180" w:firstLine="8"/>
        <w:spacing w:after="0" w:line="254" w:lineRule="auto"/>
        <w:tabs>
          <w:tab w:leader="none" w:pos="2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has an Annualized Acquisition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Acquisition Cash Flow Value” is an amount equal to (a) the Annualized EBITDA of the assets comprising the Subject Acquisition less (b) the Annualized EBITDA of any assets disposed of by Borrower or any Restricted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(other than to Borrower or any Restricted Subsidiary) in connection with the Subject Acquisition.</w:t>
      </w:r>
    </w:p>
    <w:p>
      <w:pPr>
        <w:spacing w:after="0" w:line="171"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“Material Adverse Effect” means any set of circumstances or events which (a) has or would reasonably be expected to have a material adverse effect upon the validity or enforceability against Borrower or any Guarantor of any Loan Document or (b) has had or would reasonably be expected to have a material adverse effect on the ability of Borrower and the Guarantors to perform their payment obligations under any Loan Document.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“Material Disposition” means any Disposition (the “Subject Disposition”) (i) made at a time when the Leverage Ratio is in excess of 4.5 to 1.0 or</w:t>
      </w:r>
    </w:p>
    <w:p>
      <w:pPr>
        <w:spacing w:after="0" w:line="38" w:lineRule="exact"/>
        <w:rPr>
          <w:sz w:val="20"/>
          <w:szCs w:val="20"/>
          <w:color w:val="auto"/>
        </w:rPr>
      </w:pPr>
    </w:p>
    <w:p>
      <w:pPr>
        <w:ind w:right="160" w:firstLine="8"/>
        <w:spacing w:after="0" w:line="253" w:lineRule="auto"/>
        <w:tabs>
          <w:tab w:leader="none" w:pos="2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 Subsidiary (other than from Borrower or any Restricted Subsidiary) in connection with the Subject Disposition.</w:t>
      </w:r>
    </w:p>
    <w:p>
      <w:pPr>
        <w:spacing w:after="0" w:line="145"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“Minimum Amount” means, with respect to each of the following actions, the minimum amount and any multiples in excess thereof set forth opposite such action:</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Type of Action</w:t>
            </w:r>
          </w:p>
        </w:tc>
        <w:tc>
          <w:tcPr>
            <w:tcW w:w="1940" w:type="dxa"/>
            <w:vAlign w:val="bottom"/>
            <w:gridSpan w:val="2"/>
          </w:tcPr>
          <w:p>
            <w:pPr>
              <w:ind w:left="440"/>
              <w:spacing w:after="0"/>
              <w:rPr>
                <w:sz w:val="20"/>
                <w:szCs w:val="20"/>
                <w:color w:val="auto"/>
              </w:rPr>
            </w:pPr>
            <w:r>
              <w:rPr>
                <w:rFonts w:ascii="Arial" w:cs="Arial" w:eastAsia="Arial" w:hAnsi="Arial"/>
                <w:sz w:val="14"/>
                <w:szCs w:val="14"/>
                <w:b w:val="1"/>
                <w:bCs w:val="1"/>
                <w:color w:val="auto"/>
              </w:rPr>
              <w:t>Minimum Amount</w:t>
            </w:r>
          </w:p>
        </w:tc>
        <w:tc>
          <w:tcPr>
            <w:tcW w:w="2080" w:type="dxa"/>
            <w:vAlign w:val="bottom"/>
            <w:gridSpan w:val="2"/>
          </w:tcPr>
          <w:p>
            <w:pPr>
              <w:ind w:left="440"/>
              <w:spacing w:after="0"/>
              <w:rPr>
                <w:sz w:val="20"/>
                <w:szCs w:val="20"/>
                <w:color w:val="auto"/>
              </w:rPr>
            </w:pPr>
            <w:r>
              <w:rPr>
                <w:rFonts w:ascii="Arial" w:cs="Arial" w:eastAsia="Arial" w:hAnsi="Arial"/>
                <w:sz w:val="14"/>
                <w:szCs w:val="14"/>
                <w:b w:val="1"/>
                <w:bCs w:val="1"/>
                <w:color w:val="auto"/>
                <w:w w:val="90"/>
              </w:rPr>
              <w:t>Multiples in excess thereof</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w w:val="97"/>
              </w:rPr>
              <w:t>Borrowing or prepayment of, or Conversion into, Base Rate</w:t>
            </w:r>
          </w:p>
        </w:tc>
        <w:tc>
          <w:tcPr>
            <w:tcW w:w="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7"/>
              </w:rPr>
              <w:t>10,000,000</w:t>
            </w:r>
          </w:p>
        </w:tc>
        <w:tc>
          <w:tcPr>
            <w:tcW w:w="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Borrowing, prepayment or Continuation of, or Conversion</w:t>
            </w:r>
          </w:p>
        </w:tc>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into, Eurodollar Rate Loans</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2"/>
              <w:spacing w:after="0"/>
              <w:rPr>
                <w:sz w:val="20"/>
                <w:szCs w:val="20"/>
                <w:color w:val="auto"/>
              </w:rPr>
            </w:pPr>
            <w:r>
              <w:rPr>
                <w:rFonts w:ascii="Arial" w:cs="Arial" w:eastAsia="Arial" w:hAnsi="Arial"/>
                <w:sz w:val="18"/>
                <w:szCs w:val="18"/>
                <w:color w:val="auto"/>
                <w:w w:val="97"/>
              </w:rPr>
              <w:t>10,000,000</w:t>
            </w:r>
          </w:p>
        </w:tc>
        <w:tc>
          <w:tcPr>
            <w:tcW w:w="900" w:type="dxa"/>
            <w:vAlign w:val="bottom"/>
          </w:tcPr>
          <w:p>
            <w:pPr>
              <w:ind w:left="4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Borrowing of Competitive Loans</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7"/>
              </w:rPr>
              <w:t>10,000,000</w:t>
            </w:r>
          </w:p>
        </w:tc>
        <w:tc>
          <w:tcPr>
            <w:tcW w:w="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Letter of Credit Action</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5,000</w:t>
            </w:r>
          </w:p>
        </w:tc>
        <w:tc>
          <w:tcPr>
            <w:tcW w:w="90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Reduction in Revolving Commitments</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7"/>
              </w:rPr>
              <w:t>25,000,000</w:t>
            </w:r>
          </w:p>
        </w:tc>
        <w:tc>
          <w:tcPr>
            <w:tcW w:w="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Assignments</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5,000,000</w:t>
            </w:r>
          </w:p>
        </w:tc>
        <w:tc>
          <w:tcPr>
            <w:tcW w:w="90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“Multiemployer Plan” means any employee benefit plan of the type described in Section 4001(a)(3) of ERISA.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Extending Lender” has the meaning set forth in Section 2.01(e).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Lender”: has the meaning set forth in Section 2.01(c).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Lender Supplement”: has the meaning set forth in Section 2.01(c).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“Non-Excluded Taxes” has the meaning set forth in Section 3.01(a).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65" w:name="page66"/>
    <w:bookmarkEnd w:id="6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means the collective reference to any promissory note evidencing Loans.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“Noticed Anniversary Date” has the meaning set forth in Section 2.01(e).</w:t>
      </w:r>
    </w:p>
    <w:p>
      <w:pPr>
        <w:spacing w:after="0" w:line="171"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“Obligations” means all advances to, and debts, liabilities, and obligations of, the Co-Borrowers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a Co-Borrower.</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Taxes” has the meaning set forth in Section 3.01(b).</w:t>
      </w:r>
    </w:p>
    <w:p>
      <w:pPr>
        <w:spacing w:after="0" w:line="171"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“Outstanding Revolving Obligations” means, as of any date, and giving effect to making any Extension of Credit requested on such date and all payments, repayments and prepayments made on such date, (a) when reference is made to all Lenders, the sum of (i) the aggregate outstanding principal amount of all Revolving Loans and (ii) all Letter of Credit Usage, and (b) when reference is made to one Lender, the sum of (i) the aggregate outstanding principal amount of all Revolving Loans made by such Lender and (ii) such Lender’s ratable participation in all Letter of Credit Usage.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“Participant Register” has the meaning set forth in Section 10.04(d).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“PBGC” means the Pension Benefit Guaranty Corporation or any successor thereto established under ERISA.</w:t>
      </w:r>
    </w:p>
    <w:p>
      <w:pPr>
        <w:spacing w:after="0" w:line="171"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“Reference Banks” means JPMorgan Chase and Citibank, N.A.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“Reference Statements” means the financial statements described in Section 4.01(d).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“Refund Repayment Requirement” has the meaning set forth in Section 3.01(e).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“Register” has the meaning set forth in Section 2.10(b).</w:t>
      </w:r>
    </w:p>
    <w:p>
      <w:pPr>
        <w:spacing w:after="0" w:line="17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“Request for Extension of Credit” means, unless otherwise specified herein, (a) with respect to a Borrowing, Conversion or Continuation of Loans (other than Competitive Loans), a written request substantially in the form of Exhibit B, (b) with respect to a Letter of Credit Action, a Letter of Credit Application, duly completed and signed by a Responsible Officer of the relevant Co-Borrower and delivered by Requisite Notice and (c) with respect to a Borrowing of Competitive Loans, a Competitive Bid Request, duly completed and signed by a Responsible Officer of the relevant Co-Borrower and delivered by Requisite Notice.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66" w:name="page67"/>
    <w:bookmarkEnd w:id="66"/>
    <w:p>
      <w:pPr>
        <w:ind w:firstLine="913"/>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Lenders” means, as of any date of determination, Lenders (excluding any Lender that is a Defaulting Lender, until all matters that caused such Lender to be a Defaulting Lender have been remedied) holding more than 50% of: (a) the combined Revolving Commitments (excluding the Revolving Commitment of any Lender that is a Defaulting Lender, until all matters that caused such Lender to be a Defaulting Lender have been remedied) then in effect and (b) if the Revolving Commitments have then been terminated and there are Outstanding Revolving Obligations, the Outstanding Revolving Obligations.</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“Requisite Notice” means a notice delivered in accordance with Section 10.02.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“Requisite Time” means, with respect to any of the actions listed below, the time and date set forth below opposite such action: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20"/>
                <w:szCs w:val="20"/>
                <w:color w:val="auto"/>
              </w:rPr>
            </w:pPr>
            <w:r>
              <w:rPr>
                <w:rFonts w:ascii="Arial" w:cs="Arial" w:eastAsia="Arial" w:hAnsi="Arial"/>
                <w:sz w:val="14"/>
                <w:szCs w:val="14"/>
                <w:b w:val="1"/>
                <w:bCs w:val="1"/>
                <w:color w:val="auto"/>
              </w:rPr>
              <w:t>Type of Action</w:t>
            </w:r>
          </w:p>
        </w:tc>
        <w:tc>
          <w:tcPr>
            <w:tcW w:w="1620" w:type="dxa"/>
            <w:vAlign w:val="bottom"/>
          </w:tcPr>
          <w:p>
            <w:pPr>
              <w:jc w:val="right"/>
              <w:ind w:right="174"/>
              <w:spacing w:after="0"/>
              <w:rPr>
                <w:sz w:val="20"/>
                <w:szCs w:val="20"/>
                <w:color w:val="auto"/>
              </w:rPr>
            </w:pPr>
            <w:r>
              <w:rPr>
                <w:rFonts w:ascii="Arial" w:cs="Arial" w:eastAsia="Arial" w:hAnsi="Arial"/>
                <w:sz w:val="14"/>
                <w:szCs w:val="14"/>
                <w:b w:val="1"/>
                <w:bCs w:val="1"/>
                <w:color w:val="auto"/>
              </w:rPr>
              <w:t>Applicable Time</w:t>
            </w:r>
          </w:p>
        </w:tc>
        <w:tc>
          <w:tcPr>
            <w:tcW w:w="4500" w:type="dxa"/>
            <w:vAlign w:val="bottom"/>
            <w:gridSpan w:val="2"/>
          </w:tcPr>
          <w:p>
            <w:pPr>
              <w:ind w:left="180"/>
              <w:spacing w:after="0"/>
              <w:rPr>
                <w:sz w:val="20"/>
                <w:szCs w:val="20"/>
                <w:color w:val="auto"/>
              </w:rPr>
            </w:pPr>
            <w:r>
              <w:rPr>
                <w:rFonts w:ascii="Arial" w:cs="Arial" w:eastAsia="Arial" w:hAnsi="Arial"/>
                <w:sz w:val="14"/>
                <w:szCs w:val="14"/>
                <w:b w:val="1"/>
                <w:bCs w:val="1"/>
                <w:color w:val="auto"/>
              </w:rPr>
              <w:t>Date of Action</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Delivery of Request for Extension of Credit for, or notice for:</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Borrowing or prepayment of Base Rate Loans</w:t>
            </w:r>
          </w:p>
        </w:tc>
        <w:tc>
          <w:tcPr>
            <w:tcW w:w="1620" w:type="dxa"/>
            <w:vAlign w:val="bottom"/>
          </w:tcPr>
          <w:p>
            <w:pPr>
              <w:jc w:val="right"/>
              <w:ind w:right="74"/>
              <w:spacing w:after="0"/>
              <w:rPr>
                <w:sz w:val="20"/>
                <w:szCs w:val="20"/>
                <w:color w:val="auto"/>
              </w:rPr>
            </w:pPr>
            <w:r>
              <w:rPr>
                <w:rFonts w:ascii="Arial" w:cs="Arial" w:eastAsia="Arial" w:hAnsi="Arial"/>
                <w:sz w:val="18"/>
                <w:szCs w:val="18"/>
                <w:color w:val="auto"/>
              </w:rPr>
              <w:t>11:00 a.m.</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w w:val="87"/>
              </w:rPr>
              <w:t>Same Business Day as such Loans Borrowing or prepayment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Conversion into Base Rate Loans</w:t>
            </w:r>
          </w:p>
        </w:tc>
        <w:tc>
          <w:tcPr>
            <w:tcW w:w="1620" w:type="dxa"/>
            <w:vAlign w:val="bottom"/>
          </w:tcPr>
          <w:p>
            <w:pPr>
              <w:jc w:val="right"/>
              <w:ind w:right="74"/>
              <w:spacing w:after="0"/>
              <w:rPr>
                <w:sz w:val="20"/>
                <w:szCs w:val="20"/>
                <w:color w:val="auto"/>
              </w:rPr>
            </w:pPr>
            <w:r>
              <w:rPr>
                <w:rFonts w:ascii="Arial" w:cs="Arial" w:eastAsia="Arial" w:hAnsi="Arial"/>
                <w:sz w:val="18"/>
                <w:szCs w:val="18"/>
                <w:color w:val="auto"/>
              </w:rPr>
              <w:t>11:00 a.m.</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Same Business Day as such Conversion</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Borrowing, prepayment or Continuation of, or Conversion into,</w:t>
            </w:r>
          </w:p>
        </w:tc>
        <w:tc>
          <w:tcPr>
            <w:tcW w:w="1620" w:type="dxa"/>
            <w:vAlign w:val="bottom"/>
          </w:tcPr>
          <w:p>
            <w:pPr>
              <w:jc w:val="right"/>
              <w:ind w:right="74"/>
              <w:spacing w:after="0"/>
              <w:rPr>
                <w:sz w:val="20"/>
                <w:szCs w:val="20"/>
                <w:color w:val="auto"/>
              </w:rPr>
            </w:pPr>
            <w:r>
              <w:rPr>
                <w:rFonts w:ascii="Arial" w:cs="Arial" w:eastAsia="Arial" w:hAnsi="Arial"/>
                <w:sz w:val="18"/>
                <w:szCs w:val="18"/>
                <w:color w:val="auto"/>
              </w:rPr>
              <w:t>11:00 a.m.</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3</w:t>
            </w:r>
          </w:p>
        </w:tc>
        <w:tc>
          <w:tcPr>
            <w:tcW w:w="4220" w:type="dxa"/>
            <w:vAlign w:val="bottom"/>
          </w:tcPr>
          <w:p>
            <w:pPr>
              <w:ind w:left="20"/>
              <w:spacing w:after="0"/>
              <w:rPr>
                <w:sz w:val="20"/>
                <w:szCs w:val="20"/>
                <w:color w:val="auto"/>
              </w:rPr>
            </w:pPr>
            <w:r>
              <w:rPr>
                <w:rFonts w:ascii="Arial" w:cs="Arial" w:eastAsia="Arial" w:hAnsi="Arial"/>
                <w:sz w:val="18"/>
                <w:szCs w:val="18"/>
                <w:color w:val="auto"/>
                <w:w w:val="99"/>
              </w:rPr>
              <w:t>Business Days prior to such Borrowing, prepayment,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Eurodollar Rate Loans (other than Competitive Loans)</w:t>
            </w:r>
          </w:p>
        </w:tc>
        <w:tc>
          <w:tcPr>
            <w:tcW w:w="1620" w:type="dxa"/>
            <w:vAlign w:val="bottom"/>
          </w:tcPr>
          <w:p>
            <w:pPr>
              <w:spacing w:after="0"/>
              <w:rPr>
                <w:sz w:val="18"/>
                <w:szCs w:val="18"/>
                <w:color w:val="auto"/>
              </w:rPr>
            </w:pP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Continuation or Conversion</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Letter of Credit Action</w:t>
            </w:r>
          </w:p>
        </w:tc>
        <w:tc>
          <w:tcPr>
            <w:tcW w:w="1620" w:type="dxa"/>
            <w:vAlign w:val="bottom"/>
          </w:tcPr>
          <w:p>
            <w:pPr>
              <w:jc w:val="right"/>
              <w:ind w:right="74"/>
              <w:spacing w:after="0"/>
              <w:rPr>
                <w:sz w:val="20"/>
                <w:szCs w:val="20"/>
                <w:color w:val="auto"/>
              </w:rPr>
            </w:pPr>
            <w:r>
              <w:rPr>
                <w:rFonts w:ascii="Arial" w:cs="Arial" w:eastAsia="Arial" w:hAnsi="Arial"/>
                <w:sz w:val="18"/>
                <w:szCs w:val="18"/>
                <w:color w:val="auto"/>
              </w:rPr>
              <w:t>11:00 a.m.</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2</w:t>
            </w:r>
          </w:p>
        </w:tc>
        <w:tc>
          <w:tcPr>
            <w:tcW w:w="4220" w:type="dxa"/>
            <w:vAlign w:val="bottom"/>
          </w:tcPr>
          <w:p>
            <w:pPr>
              <w:ind w:left="20"/>
              <w:spacing w:after="0"/>
              <w:rPr>
                <w:sz w:val="20"/>
                <w:szCs w:val="20"/>
                <w:color w:val="auto"/>
              </w:rPr>
            </w:pPr>
            <w:r>
              <w:rPr>
                <w:rFonts w:ascii="Arial" w:cs="Arial" w:eastAsia="Arial" w:hAnsi="Arial"/>
                <w:sz w:val="18"/>
                <w:szCs w:val="18"/>
                <w:color w:val="auto"/>
                <w:w w:val="87"/>
              </w:rPr>
              <w:t>Business Days prior to such action (or such lesser time as is</w:t>
            </w:r>
          </w:p>
        </w:tc>
      </w:tr>
      <w:tr>
        <w:trPr>
          <w:trHeight w:val="216"/>
        </w:trPr>
        <w:tc>
          <w:tcPr>
            <w:tcW w:w="5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acceptable to an Issuing Lender)</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w w:val="98"/>
              </w:rPr>
              <w:t>Voluntary reduction in or termination of Revolving Commitments</w:t>
            </w:r>
          </w:p>
        </w:tc>
        <w:tc>
          <w:tcPr>
            <w:tcW w:w="1620" w:type="dxa"/>
            <w:vAlign w:val="bottom"/>
          </w:tcPr>
          <w:p>
            <w:pPr>
              <w:jc w:val="right"/>
              <w:ind w:right="74"/>
              <w:spacing w:after="0"/>
              <w:rPr>
                <w:sz w:val="20"/>
                <w:szCs w:val="20"/>
                <w:color w:val="auto"/>
              </w:rPr>
            </w:pPr>
            <w:r>
              <w:rPr>
                <w:rFonts w:ascii="Arial" w:cs="Arial" w:eastAsia="Arial" w:hAnsi="Arial"/>
                <w:sz w:val="18"/>
                <w:szCs w:val="18"/>
                <w:color w:val="auto"/>
              </w:rPr>
              <w:t>11:00 a.m.</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3</w:t>
            </w:r>
          </w:p>
        </w:tc>
        <w:tc>
          <w:tcPr>
            <w:tcW w:w="4220" w:type="dxa"/>
            <w:vAlign w:val="bottom"/>
          </w:tcPr>
          <w:p>
            <w:pPr>
              <w:ind w:left="20"/>
              <w:spacing w:after="0"/>
              <w:rPr>
                <w:sz w:val="20"/>
                <w:szCs w:val="20"/>
                <w:color w:val="auto"/>
              </w:rPr>
            </w:pPr>
            <w:r>
              <w:rPr>
                <w:rFonts w:ascii="Arial" w:cs="Arial" w:eastAsia="Arial" w:hAnsi="Arial"/>
                <w:sz w:val="18"/>
                <w:szCs w:val="18"/>
                <w:color w:val="auto"/>
              </w:rPr>
              <w:t>Business Days prior to such reduction or termination</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Payments by Lenders or Co-Borrowers to Administrative Agent</w:t>
            </w:r>
          </w:p>
        </w:tc>
        <w:tc>
          <w:tcPr>
            <w:tcW w:w="1620" w:type="dxa"/>
            <w:vAlign w:val="bottom"/>
          </w:tcPr>
          <w:p>
            <w:pPr>
              <w:jc w:val="right"/>
              <w:ind w:right="74"/>
              <w:spacing w:after="0"/>
              <w:rPr>
                <w:sz w:val="20"/>
                <w:szCs w:val="20"/>
                <w:color w:val="auto"/>
              </w:rPr>
            </w:pPr>
            <w:r>
              <w:rPr>
                <w:rFonts w:ascii="Arial" w:cs="Arial" w:eastAsia="Arial" w:hAnsi="Arial"/>
                <w:sz w:val="18"/>
                <w:szCs w:val="18"/>
                <w:color w:val="auto"/>
              </w:rPr>
              <w:t>1:00 p.m.</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On the date payment is due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Borrowing of Fixed Rate Loans</w:t>
            </w:r>
          </w:p>
        </w:tc>
        <w:tc>
          <w:tcPr>
            <w:tcW w:w="1620" w:type="dxa"/>
            <w:vAlign w:val="bottom"/>
          </w:tcPr>
          <w:p>
            <w:pPr>
              <w:jc w:val="right"/>
              <w:ind w:right="74"/>
              <w:spacing w:after="0"/>
              <w:rPr>
                <w:sz w:val="20"/>
                <w:szCs w:val="20"/>
                <w:color w:val="auto"/>
              </w:rPr>
            </w:pPr>
            <w:r>
              <w:rPr>
                <w:rFonts w:ascii="Arial" w:cs="Arial" w:eastAsia="Arial" w:hAnsi="Arial"/>
                <w:sz w:val="18"/>
                <w:szCs w:val="18"/>
                <w:color w:val="auto"/>
              </w:rPr>
              <w:t>11:00 a.m.</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1</w:t>
            </w:r>
          </w:p>
        </w:tc>
        <w:tc>
          <w:tcPr>
            <w:tcW w:w="4220" w:type="dxa"/>
            <w:vAlign w:val="bottom"/>
          </w:tcPr>
          <w:p>
            <w:pPr>
              <w:ind w:left="20"/>
              <w:spacing w:after="0"/>
              <w:rPr>
                <w:sz w:val="20"/>
                <w:szCs w:val="20"/>
                <w:color w:val="auto"/>
              </w:rPr>
            </w:pPr>
            <w:r>
              <w:rPr>
                <w:rFonts w:ascii="Arial" w:cs="Arial" w:eastAsia="Arial" w:hAnsi="Arial"/>
                <w:sz w:val="18"/>
                <w:szCs w:val="18"/>
                <w:color w:val="auto"/>
              </w:rPr>
              <w:t>Business Days prior to such Borrowing</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w w:val="99"/>
              </w:rPr>
              <w:t>Borrowing of Competitive Loans that are Eurodollar Rate Loans</w:t>
            </w:r>
          </w:p>
        </w:tc>
        <w:tc>
          <w:tcPr>
            <w:tcW w:w="1620" w:type="dxa"/>
            <w:vAlign w:val="bottom"/>
          </w:tcPr>
          <w:p>
            <w:pPr>
              <w:jc w:val="right"/>
              <w:ind w:right="74"/>
              <w:spacing w:after="0"/>
              <w:rPr>
                <w:sz w:val="20"/>
                <w:szCs w:val="20"/>
                <w:color w:val="auto"/>
              </w:rPr>
            </w:pPr>
            <w:r>
              <w:rPr>
                <w:rFonts w:ascii="Arial" w:cs="Arial" w:eastAsia="Arial" w:hAnsi="Arial"/>
                <w:sz w:val="18"/>
                <w:szCs w:val="18"/>
                <w:color w:val="auto"/>
              </w:rPr>
              <w:t>11:00 a.m.</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4</w:t>
            </w:r>
          </w:p>
        </w:tc>
        <w:tc>
          <w:tcPr>
            <w:tcW w:w="4220" w:type="dxa"/>
            <w:vAlign w:val="bottom"/>
          </w:tcPr>
          <w:p>
            <w:pPr>
              <w:ind w:left="20"/>
              <w:spacing w:after="0"/>
              <w:rPr>
                <w:sz w:val="20"/>
                <w:szCs w:val="20"/>
                <w:color w:val="auto"/>
              </w:rPr>
            </w:pPr>
            <w:r>
              <w:rPr>
                <w:rFonts w:ascii="Arial" w:cs="Arial" w:eastAsia="Arial" w:hAnsi="Arial"/>
                <w:sz w:val="18"/>
                <w:szCs w:val="18"/>
                <w:color w:val="auto"/>
              </w:rPr>
              <w:t>Business Days prior to such Borrowing</w:t>
            </w:r>
          </w:p>
        </w:tc>
      </w:tr>
    </w:tbl>
    <w:p>
      <w:pPr>
        <w:spacing w:after="0" w:line="156"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“Responsible Officer” means, as to any Person, the president, any vice president, the controller, the chief financial officer, the treasurer or any assistant treasurer of such Person. Any document or certificate hereunder that is signed by a Responsible Officer of a particular Loan Party shall be conclusively presumed to have been authorized by all necessary corporate action on the part of such Loan Party and such Responsible Officer shall be conclusively presumed to have acted on behalf of such Loan Party.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“Restricted Group” means, collectively, Borrower and the Restricted Subsidiaries.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“Restricted Subsidiary” means each Subsidiary of Borrower that is not an Unrestricted Subsidiary.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80" w:right="339" w:bottom="1440" w:gutter="0" w:footer="0" w:header="0"/>
        </w:sectPr>
      </w:pPr>
    </w:p>
    <w:bookmarkStart w:id="67" w:name="page68"/>
    <w:bookmarkEnd w:id="67"/>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“Revolving Commitment” means, for each Lender, the amount set forth under the heading “Revolving Commitment” opposite such Lender’s name on Schedule 2.01 or in the Assignment and Assumption or New Lender Supplement pursuant to which such Lender became a party to this Agreement, as such amount may be reduced or adjusted from time to time in accordance with the terms of this Agreement (collectively, the “combined Revolving Commitments”). As of the Effective Date, the amount of the Revolving Commitments of all Lenders is $6,250,000,000.</w:t>
      </w:r>
    </w:p>
    <w:p>
      <w:pPr>
        <w:spacing w:after="0" w:line="113" w:lineRule="exact"/>
        <w:rPr>
          <w:sz w:val="20"/>
          <w:szCs w:val="20"/>
          <w:color w:val="auto"/>
        </w:rPr>
      </w:pPr>
    </w:p>
    <w:p>
      <w:pPr>
        <w:ind w:right="680" w:firstLine="913"/>
        <w:spacing w:after="0" w:line="268" w:lineRule="auto"/>
        <w:rPr>
          <w:sz w:val="20"/>
          <w:szCs w:val="20"/>
          <w:color w:val="auto"/>
        </w:rPr>
      </w:pPr>
      <w:r>
        <w:rPr>
          <w:rFonts w:ascii="Arial" w:cs="Arial" w:eastAsia="Arial" w:hAnsi="Arial"/>
          <w:sz w:val="18"/>
          <w:szCs w:val="18"/>
          <w:color w:val="auto"/>
        </w:rPr>
        <w:t>“Revolving Commitment Period” means the period from and including the Effective Date to the Revolving Termination Date, the Extended Revolving Termination Date or the Second Extended Revolving Termination Date, as applicable.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“Revolving Facility” means the Revolving Commitments and the Extensions of Credit made thereunder.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“Revolving Loans” has the meaning set forth in Section 2.01.</w:t>
      </w:r>
    </w:p>
    <w:p>
      <w:pPr>
        <w:spacing w:after="0" w:line="171" w:lineRule="exact"/>
        <w:rPr>
          <w:sz w:val="20"/>
          <w:szCs w:val="20"/>
          <w:color w:val="auto"/>
        </w:rPr>
      </w:pPr>
    </w:p>
    <w:p>
      <w:pPr>
        <w:ind w:right="280" w:firstLine="913"/>
        <w:spacing w:after="0" w:line="335" w:lineRule="auto"/>
        <w:rPr>
          <w:sz w:val="20"/>
          <w:szCs w:val="20"/>
          <w:color w:val="auto"/>
        </w:rPr>
      </w:pPr>
      <w:r>
        <w:rPr>
          <w:rFonts w:ascii="Arial" w:cs="Arial" w:eastAsia="Arial" w:hAnsi="Arial"/>
          <w:sz w:val="15"/>
          <w:szCs w:val="15"/>
          <w:color w:val="auto"/>
        </w:rPr>
        <w:t>“Revolving Percentage” means, as to any Lender at any time, the percentage which such Lender’s Revolving Commitment then constitutes of the combined Revolving Commitments or, at any time after the Revolving Commitments shall have expired or terminated, the percentage which the aggregate principal amount of such Lender’s Revolving Loans then outstanding constitutes of the aggregate principal amount of the Revolving Loans then outstanding.</w:t>
      </w:r>
    </w:p>
    <w:p>
      <w:pPr>
        <w:spacing w:after="0" w:line="88"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“Revolving Termination Date” means (a) the fifth anniversary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Revolving Commitments, if any, that are extended pursuant to Section 2.01(e), the Revolving Termination Date shall mean the Extended Revolving Termination Date or the Second Extended Revolving Termination Date, as applicable, or (b) such earlier date upon which the combined Revolving Commitments may be terminated in accordance with the terms of this Agreement.</w:t>
      </w:r>
    </w:p>
    <w:p>
      <w:pPr>
        <w:spacing w:after="0" w:line="143"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“S&amp;P” means Standard &amp; Poor’s Ratings Services, a division of The McGraw-Hill Companies,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40"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“Sale-Leaseback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“Second Extended Revolving Termination Date” has the meaning set forth in Section 2.01(e).</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“Significant Subsidiary” means any Restricted Subsidiary whose Annualized EBITDA was greater than 5% of the Annualized EBITDA of Borrower and its Restricted Subsidiaries, on a consolidated basis, for the period of two fiscal quarters ended on the last day of the fiscal quarter most recently ended, or whose assets comprised more than 5% of the total assets of Borrower and its Restricted Subsidiaries, on a consolidated basis, as of the last day of the fiscal quarter most recently ended.</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“Sterling” means lawful money of the United Kingdom.</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“Subsidiary” of a Person means a corporation, partnership, joint venture, limited liability company or other business entity of which a majority of the shares of securities or other interests having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68" w:name="page69"/>
    <w:bookmarkEnd w:id="68"/>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Agreement shall refer to a Subsidiary or Subsidiaries of Borrower.</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“Syndication Agent” has the meaning set forth in the introductory paragraph 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“Threshold Amount” means $250,000,000.</w:t>
      </w:r>
    </w:p>
    <w:p>
      <w:pPr>
        <w:spacing w:after="0" w:line="171"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“to the best knowledge of” means, when modifying a representation, warranty or other statement of any Person, that the fact or situation described therein is known by such Person (or, in the case of a Person other than a natural Person, known by any officer of such Person) making the representation, warranty or other statement, or, if such Person had exercised ordinary care in performing his or its required duties, would have been known by such Person (or, in the case of a Person other than a natural Person, would have been known by an officer of such Person).</w:t>
      </w:r>
    </w:p>
    <w:p>
      <w:pPr>
        <w:spacing w:after="0" w:line="11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“type” of Loan means (a) as to any Revolving Loan, its nature as a Base Rate Loan or a Eurodollar Rate Loan and (b) as to any Competitive Loan, its nature as a Eurodollar Rate Loan or a Fixed Rate Loan.</w:t>
      </w:r>
    </w:p>
    <w:p>
      <w:pPr>
        <w:spacing w:after="0" w:line="132"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“Unfunded Pension Liability” means the excess of a Plan’s accumulated benefit obligations, over the current fair market value of that Plan’s assets, determined based on assumptions compliant with Section 430 of the Code applicable to such Plan, for the applicable plan year.</w:t>
      </w:r>
    </w:p>
    <w:p>
      <w:pPr>
        <w:spacing w:after="0" w:line="85"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“Unrestricted Subsidiary” means any Subsidiary of Borrower designated as an “Unrestricted Subsidiary” from time to time in accordance with Section 6.13. Until so designated, each Subsidiary of Borrower shall be a Restricted Subsidiary.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“Yen” means lawful money of Japan.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Use of Certain Terms</w:t>
      </w:r>
      <w:r>
        <w:rPr>
          <w:rFonts w:ascii="Arial" w:cs="Arial" w:eastAsia="Arial" w:hAnsi="Arial"/>
          <w:sz w:val="18"/>
          <w:szCs w:val="18"/>
          <w:color w:val="auto"/>
        </w:rPr>
        <w:t>.</w:t>
      </w:r>
    </w:p>
    <w:p>
      <w:pPr>
        <w:spacing w:after="0" w:line="171" w:lineRule="exact"/>
        <w:rPr>
          <w:sz w:val="20"/>
          <w:szCs w:val="20"/>
          <w:color w:val="auto"/>
        </w:rPr>
      </w:pPr>
    </w:p>
    <w:p>
      <w:pPr>
        <w:ind w:right="120" w:firstLine="921"/>
        <w:spacing w:after="0" w:line="268" w:lineRule="auto"/>
        <w:tabs>
          <w:tab w:leader="none" w:pos="11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terms defined in this Agreement shall have the defined meanings when used in any certificate or other document made or delivered pursuant hereto or thereto, unless otherwise defined therein.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As used herein, unless the context requires otherwise, the masculine, feminine and neuter genders and the singular and plural include one another.</w:t>
      </w:r>
    </w:p>
    <w:p>
      <w:pPr>
        <w:spacing w:after="0" w:line="205" w:lineRule="exact"/>
        <w:rPr>
          <w:rFonts w:ascii="Arial" w:cs="Arial" w:eastAsia="Arial" w:hAnsi="Arial"/>
          <w:sz w:val="15"/>
          <w:szCs w:val="15"/>
          <w:color w:val="auto"/>
        </w:rPr>
      </w:pPr>
    </w:p>
    <w:p>
      <w:pPr>
        <w:ind w:right="80" w:firstLine="921"/>
        <w:spacing w:after="0" w:line="306" w:lineRule="auto"/>
        <w:tabs>
          <w:tab w:leader="none" w:pos="11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 “or” is disjunctive; the term “and” is conjunctive. The term “shall” is mandatory; the term “may” is permissive.</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Accounting Terms</w:t>
      </w:r>
      <w:r>
        <w:rPr>
          <w:rFonts w:ascii="Arial" w:cs="Arial" w:eastAsia="Arial" w:hAnsi="Arial"/>
          <w:sz w:val="18"/>
          <w:szCs w:val="18"/>
          <w:color w:val="auto"/>
        </w:rPr>
        <w:t>. All accounting terms not specifically or completely defined in this Agreement shall be construed in conformity with, and all financial data required to be submitted 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69" w:name="page70"/>
    <w:bookmarkEnd w:id="6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shall be prepared in conformity with, GAAP applied on a consistent basis, as in effect from time to time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determining compliance with the covenants set forth in Section 7.07, if there are changes in GAAP after December 31, 2011 that materially affect the calculation of the covenants in Section 7.07 in such a manner as to be inconsistent with the intent of this Agreement, Administrative Agent and Borrower shall negotiate in good faith to determine such adjustments to the method of calculating compliance with Section 7.07 or related definitions as to make them consistent with the intent hereof. Promptly upon Borrower and Administrative Agent reaching such agreement, Administrative Agent shall notify Lenders of such adjustments, which shall be conclusive unless Required Lenders object to such adjustments within 30 days of receipt of notice. Each Compliance Certificate shall be prepared in accordance with this Section 1.03, except for the exclusion of Unrestricted Subsidiaries from the calculations therein. Notwithstanding anything to the contrary contained herein, references herein to “Borrower and its Restricted Subsidiaries on a consolidated basis” shall be deemed to refer to Borrower and its Restricted Subsidiaries without taking into account the results or financial position of any Unrestricted Subsidiary and without taking into account any interest of Borrower or any of its Restricted Subsidiaries in any Unrestricted Subsidiary. Without limiting the foregoing, for purposes of determining compliance with any provision of this Agreement and any related definitions, the determination of whether a lease is to be treated as an operating lease or capital lease shall be made without giving effect to any change in GAAP that becomes effective on or after the date hereof that would require operating leases to be treated similarly to capital leases, including as a result of the implementation of proposed ASU Topic 840, or any successor or similar proposal.</w:t>
      </w:r>
    </w:p>
    <w:p>
      <w:pPr>
        <w:spacing w:after="0" w:line="121"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43" w:lineRule="exact"/>
        <w:rPr>
          <w:sz w:val="20"/>
          <w:szCs w:val="20"/>
          <w:color w:val="auto"/>
        </w:rPr>
      </w:pPr>
    </w:p>
    <w:p>
      <w:pPr>
        <w:ind w:right="200" w:firstLine="913"/>
        <w:spacing w:after="0" w:line="370" w:lineRule="auto"/>
        <w:rPr>
          <w:sz w:val="20"/>
          <w:szCs w:val="20"/>
          <w:color w:val="auto"/>
        </w:rPr>
      </w:pPr>
      <w:r>
        <w:rPr>
          <w:rFonts w:ascii="Arial" w:cs="Arial" w:eastAsia="Arial" w:hAnsi="Arial"/>
          <w:sz w:val="15"/>
          <w:szCs w:val="15"/>
          <w:color w:val="auto"/>
        </w:rPr>
        <w:t xml:space="preserve">1.05 </w:t>
      </w:r>
      <w:r>
        <w:rPr>
          <w:rFonts w:ascii="Arial" w:cs="Arial" w:eastAsia="Arial" w:hAnsi="Arial"/>
          <w:sz w:val="15"/>
          <w:szCs w:val="15"/>
          <w:u w:val="single" w:color="auto"/>
          <w:color w:val="auto"/>
        </w:rPr>
        <w:t>Exhibits and Schedules</w:t>
      </w:r>
      <w:r>
        <w:rPr>
          <w:rFonts w:ascii="Arial" w:cs="Arial" w:eastAsia="Arial" w:hAnsi="Arial"/>
          <w:sz w:val="15"/>
          <w:szCs w:val="15"/>
          <w:color w:val="auto"/>
        </w:rPr>
        <w:t>.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62"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References to Agreements and Laws</w:t>
      </w:r>
      <w:r>
        <w:rPr>
          <w:rFonts w:ascii="Arial" w:cs="Arial" w:eastAsia="Arial" w:hAnsi="Arial"/>
          <w:sz w:val="18"/>
          <w:szCs w:val="18"/>
          <w:color w:val="auto"/>
        </w:rPr>
        <w:t>.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43" w:lineRule="exact"/>
        <w:rPr>
          <w:sz w:val="20"/>
          <w:szCs w:val="20"/>
          <w:color w:val="auto"/>
        </w:rPr>
      </w:pPr>
    </w:p>
    <w:p>
      <w:pPr>
        <w:ind w:right="200" w:firstLine="913"/>
        <w:spacing w:after="0" w:line="289"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Pro Forma Calculations</w:t>
      </w:r>
      <w:r>
        <w:rPr>
          <w:rFonts w:ascii="Arial" w:cs="Arial" w:eastAsia="Arial" w:hAnsi="Arial"/>
          <w:sz w:val="16"/>
          <w:szCs w:val="16"/>
          <w:color w:val="auto"/>
        </w:rPr>
        <w:t>. For the purposes of calculating Annualized EBITDA of Borrower and its Restricted Subsidiaries, on a consolidated basis, for any period (a “Test Period”), (i) if at any time from the period (a “Pro Forma Period”) commencing on the first day of such Test Period and ending on the date which is ten days prior to the date of delivery of the Compliance Certificate in respect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Borrower or any Restricted Subsidiary shall have made any Material Disposition, 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70" w:name="page71"/>
    <w:bookmarkEnd w:id="7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attributable to such assets; (ii) if during such Pro Forma Period Borrower or any Restricted Subsidiary shall have made a Material Acquisition, Annualized EBITDA of Borrower and its Restricted Subsidiaries, on a consolidated basis,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Pro Forma Period any Person that subsequently became a Restricted Subsidiary or was merged with or into Borrower or any Restricted Subsidiary since the beginning of such Pro Forma Period shall have entered into any Material Disposition or Material Acquisition that would have required an adjustment pursuant to clause (i) or (ii) above if made by Borrower or a Restricted Subsidiary during such Pro Forma Period, Annualized EBITDA of Borrower and its Restricted Subsidiaries, on a 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and the amount of income or earnings related thereto, the pro forma calculations shall be determined in good faith by a Responsible Officer of Borrower. Comparable adjustments shall be made in connection with any determination of Annualized EBITDA.</w:t>
      </w:r>
    </w:p>
    <w:p>
      <w:pPr>
        <w:spacing w:after="0" w:line="28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2</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THE REVOLVING COMMITMENTS AND EXTENSIONS OF CREDIT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Amount and Terms of Revolving Commitments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91" w:lineRule="auto"/>
        <w:tabs>
          <w:tab w:leader="none" w:pos="11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in this Agreement, during the Revolving Commitment Period, each Lender severally agrees to make, Convert and Continue revolving credit loans (“Revolving Loans”) in Dollars in such amounts as a Co-Borrower may from time to time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Outstanding Revolving Obligations of each Lender shall not exceed such Lender’s Revolving Commitment at any time, and (ii) the Outstanding Revolving Obligations of all Lenders plus the aggregate principal amount of all outstanding Competitive Loans shall not exceed the combined Revolving Commitments at any time. The Revolving Facility is a revolving credit and, subject to the foregoing and the other terms and conditions hereof, each Co-Borrower may borrow, Convert, Continue, prepay and reborrow Revolving Loans as set forth herein without premium or penalty.</w:t>
      </w:r>
    </w:p>
    <w:p>
      <w:pPr>
        <w:spacing w:after="0" w:line="120" w:lineRule="exact"/>
        <w:rPr>
          <w:rFonts w:ascii="Arial" w:cs="Arial" w:eastAsia="Arial" w:hAnsi="Arial"/>
          <w:sz w:val="16"/>
          <w:szCs w:val="16"/>
          <w:color w:val="auto"/>
        </w:rPr>
      </w:pPr>
    </w:p>
    <w:p>
      <w:pPr>
        <w:ind w:right="20" w:firstLine="921"/>
        <w:spacing w:after="0" w:line="289" w:lineRule="auto"/>
        <w:tabs>
          <w:tab w:leader="none" w:pos="11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At any time after the Effective Date, the Co-Borrowers and any one or more Lenders (including any New Lender) may agree that such Lender or Lenders shall make or increase the amount of their Revolving Commitments by executing and delivering to the Administrative Agent an Increased Revolving Commitment Activation Notice specifying the amount of such increase or new Revolving Commitment and the applicable Increased Revolving Commitment Closing Date. Notwithstanding the foregoing, (i) at no time may the combined Revolving Commitments exceed $8,250,000,000, (ii) Revolving Commitments may not be made or increased after the occurrence and during the continuation of a Default or Event of Default, including after giving effect to the incremental Revolving Commitments in question, (iii) any increase effected pursuant to this Section 2.01(b) shall be in a minimum amount of at least $25,000,000 and (iv) no more than two Increased Revolving Commitment Closing Dates may be selected by the Co-Borrowers during the term of this Agreement. No Lender shall have any obligation to participate in any increase described in this Section 2.01(b) unless it agrees to do so in its sole discretion.</w:t>
      </w:r>
    </w:p>
    <w:p>
      <w:pPr>
        <w:spacing w:after="0" w:line="118" w:lineRule="exact"/>
        <w:rPr>
          <w:rFonts w:ascii="Arial" w:cs="Arial" w:eastAsia="Arial" w:hAnsi="Arial"/>
          <w:sz w:val="16"/>
          <w:szCs w:val="16"/>
          <w:color w:val="auto"/>
        </w:rPr>
      </w:pPr>
    </w:p>
    <w:p>
      <w:pPr>
        <w:ind w:firstLine="921"/>
        <w:spacing w:after="0" w:line="268" w:lineRule="auto"/>
        <w:tabs>
          <w:tab w:leader="none" w:pos="11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additional bank, financial institution or other entity (each, a “</w:t>
      </w:r>
      <w:r>
        <w:rPr>
          <w:rFonts w:ascii="Arial" w:cs="Arial" w:eastAsia="Arial" w:hAnsi="Arial"/>
          <w:sz w:val="18"/>
          <w:szCs w:val="18"/>
          <w:u w:val="single" w:color="auto"/>
          <w:color w:val="auto"/>
        </w:rPr>
        <w:t>New Lender</w:t>
      </w:r>
      <w:r>
        <w:rPr>
          <w:rFonts w:ascii="Arial" w:cs="Arial" w:eastAsia="Arial" w:hAnsi="Arial"/>
          <w:sz w:val="18"/>
          <w:szCs w:val="18"/>
          <w:color w:val="auto"/>
        </w:rPr>
        <w:t>”) that, in the case of an institution that is not an Affiliate of a then-existing Lender, with the consent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71" w:name="page72"/>
    <w:bookmarkEnd w:id="71"/>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and each Issuing Lender (which consent, in each case, shall not be unreasonably withheld), elects to become a “Lender” under this Agreement in connection with an increase described in Section 2.01(b) shall execute a New Lender Supplement (each, a “</w:t>
      </w:r>
      <w:r>
        <w:rPr>
          <w:rFonts w:ascii="Arial" w:cs="Arial" w:eastAsia="Arial" w:hAnsi="Arial"/>
          <w:sz w:val="16"/>
          <w:szCs w:val="16"/>
          <w:u w:val="single" w:color="auto"/>
          <w:color w:val="auto"/>
        </w:rPr>
        <w:t>New Lender Supplement</w:t>
      </w:r>
      <w:r>
        <w:rPr>
          <w:rFonts w:ascii="Arial" w:cs="Arial" w:eastAsia="Arial" w:hAnsi="Arial"/>
          <w:sz w:val="16"/>
          <w:szCs w:val="16"/>
          <w:color w:val="auto"/>
        </w:rPr>
        <w:t>”), substantially in the form of Exhibit E-1, whereupon such bank, financial institution or other entity shall become a Lender for all purposes and to the same extent as if originally a party hereto and shall be bound by and entitled to the benefits of this Agreement.</w:t>
      </w:r>
    </w:p>
    <w:p>
      <w:pPr>
        <w:spacing w:after="0" w:line="113" w:lineRule="exact"/>
        <w:rPr>
          <w:sz w:val="20"/>
          <w:szCs w:val="20"/>
          <w:color w:val="auto"/>
        </w:rPr>
      </w:pPr>
    </w:p>
    <w:p>
      <w:pPr>
        <w:ind w:right="140" w:firstLine="921"/>
        <w:spacing w:after="0" w:line="255" w:lineRule="auto"/>
        <w:tabs>
          <w:tab w:leader="none" w:pos="11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each Increased Revolving Commitment Closing Date on which there are Revolving Loans outstanding, each Lender (including any New Lender) that has made or increased its Revolving Commitment shall make a Revolving Loan, the proceeds of which will be used to prepay the Revolving Loans of other Lenders, so that, after giving effect thereto, the resulting Revolving Loans outstanding are allocated among the Lenders on a pro rata basis based on the respective Revolving Percentages of the Lenders after giving effect to the increase of Revolving Commitments pursuant to Section 2.01(b) on such Increased Revolving Commitment Closing Date.</w:t>
      </w:r>
    </w:p>
    <w:p>
      <w:pPr>
        <w:spacing w:after="0" w:line="142" w:lineRule="exact"/>
        <w:rPr>
          <w:rFonts w:ascii="Arial" w:cs="Arial" w:eastAsia="Arial" w:hAnsi="Arial"/>
          <w:sz w:val="18"/>
          <w:szCs w:val="18"/>
          <w:color w:val="auto"/>
        </w:rPr>
      </w:pPr>
    </w:p>
    <w:p>
      <w:pPr>
        <w:ind w:firstLine="921"/>
        <w:spacing w:after="0" w:line="284" w:lineRule="auto"/>
        <w:tabs>
          <w:tab w:leader="none" w:pos="11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Co-Borrower shall repay (i) all outstanding Revolving Loans made to it and all amounts funded by the Lenders as cash collateral pursuant to Section 2.03(d) on the Revolving Termination Date, the Extended Revolving Termination Date or the Second Extended Revolving Termination Date, as applicable, and (ii) the then unpaid principal amount of each Competitive Loan made to it on the last day of the Interest Period applicable to such Loan. The Co-Borrowers may request that the Revolving Commitments and Letter of Credit Commitments be extended for additional one-year periods by providing written notice to the Administrative Agent not more than 90 days, but not fewer than 45 days, prior to either or both of the first two anniversaries of the Effective Date (each, a “</w:t>
      </w:r>
      <w:r>
        <w:rPr>
          <w:rFonts w:ascii="Arial" w:cs="Arial" w:eastAsia="Arial" w:hAnsi="Arial"/>
          <w:sz w:val="16"/>
          <w:szCs w:val="16"/>
          <w:u w:val="single" w:color="auto"/>
          <w:color w:val="auto"/>
        </w:rPr>
        <w:t>Noticed Anniversary Date</w:t>
      </w:r>
      <w:r>
        <w:rPr>
          <w:rFonts w:ascii="Arial" w:cs="Arial" w:eastAsia="Arial" w:hAnsi="Arial"/>
          <w:sz w:val="16"/>
          <w:szCs w:val="16"/>
          <w:color w:val="auto"/>
        </w:rPr>
        <w:t>”). If a Lender agrees, in its individual and sole discretion, to extend its Revolving Commitments and/or Letter of Credit Commitments (such Lender,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it will notify the Administrative Agent in writing of its decision to do so and the maximum amount of Revolving Commitments and, if applicable, Letter of Credit Commitments it agrees to so extend no later than 20 days prior to the applicable Noticed Anniversary Date, which notice shall be irrevocable. The Administrative Agent will notify the Co-Borrowers, in writing, of the Lenders’ decisions no later than 15 days prior to such Noticed Anniversary Date. The Extending Lenders’ and the New Extending Lenders’ Revolving Commitments and Letter of Credit Commitments will be extended for an additional year from the Revolving Termination Date (the “</w:t>
      </w:r>
      <w:r>
        <w:rPr>
          <w:rFonts w:ascii="Arial" w:cs="Arial" w:eastAsia="Arial" w:hAnsi="Arial"/>
          <w:sz w:val="16"/>
          <w:szCs w:val="16"/>
          <w:u w:val="single" w:color="auto"/>
          <w:color w:val="auto"/>
        </w:rPr>
        <w:t>Extended Revolving Termination Date</w:t>
      </w:r>
      <w:r>
        <w:rPr>
          <w:rFonts w:ascii="Arial" w:cs="Arial" w:eastAsia="Arial" w:hAnsi="Arial"/>
          <w:sz w:val="16"/>
          <w:szCs w:val="16"/>
          <w:color w:val="auto"/>
        </w:rPr>
        <w:t>”) or the Extended Revolving Termination Date (the “</w:t>
      </w:r>
      <w:r>
        <w:rPr>
          <w:rFonts w:ascii="Arial" w:cs="Arial" w:eastAsia="Arial" w:hAnsi="Arial"/>
          <w:sz w:val="16"/>
          <w:szCs w:val="16"/>
          <w:u w:val="single" w:color="auto"/>
          <w:color w:val="auto"/>
        </w:rPr>
        <w:t>Second Extended Revolving Termination Date</w:t>
      </w:r>
      <w:r>
        <w:rPr>
          <w:rFonts w:ascii="Arial" w:cs="Arial" w:eastAsia="Arial" w:hAnsi="Arial"/>
          <w:sz w:val="16"/>
          <w:szCs w:val="16"/>
          <w:color w:val="auto"/>
        </w:rPr>
        <w:t xml:space="preserv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more than 50% of the aggregate Revolving Commitments outstanding on the applicable Noticed Anniversary Date are extended or otherwise committed to by Extending Lenders and any New Extending Lenders and (ii) no Default or Event of Default shall have occurred and be continuing on the applicable Noticed Anniversary Date after giving effect to the requested extension. No Lender shall be required to consent to any such extension request, and any Lender that declines or does not respond in writing to the Borrower’s request for commitment renewal (a “</w:t>
      </w:r>
      <w:r>
        <w:rPr>
          <w:rFonts w:ascii="Arial" w:cs="Arial" w:eastAsia="Arial" w:hAnsi="Arial"/>
          <w:sz w:val="16"/>
          <w:szCs w:val="16"/>
          <w:u w:val="single" w:color="auto"/>
          <w:color w:val="auto"/>
        </w:rPr>
        <w:t>Declining Lender</w:t>
      </w:r>
      <w:r>
        <w:rPr>
          <w:rFonts w:ascii="Arial" w:cs="Arial" w:eastAsia="Arial" w:hAnsi="Arial"/>
          <w:sz w:val="16"/>
          <w:szCs w:val="16"/>
          <w:color w:val="auto"/>
        </w:rPr>
        <w:t>”) will have its Revolving Commitments and Letter of Credit Commitment terminated on the then-existing Revolving Termination Date or Extended Revolving Termination Date, as applicable (without regard to any renewals by other Lenders). Borrower will have the right to remove or replace any Declining Lenders in accordance with Section 10.21.</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Procedure for Revolving Loan Borrowings</w:t>
      </w:r>
      <w:r>
        <w:rPr>
          <w:rFonts w:ascii="Arial" w:cs="Arial" w:eastAsia="Arial" w:hAnsi="Arial"/>
          <w:sz w:val="18"/>
          <w:szCs w:val="18"/>
          <w:color w:val="auto"/>
        </w:rPr>
        <w:t>.</w:t>
      </w:r>
    </w:p>
    <w:p>
      <w:pPr>
        <w:spacing w:after="0" w:line="171" w:lineRule="exact"/>
        <w:rPr>
          <w:sz w:val="20"/>
          <w:szCs w:val="20"/>
          <w:color w:val="auto"/>
        </w:rPr>
      </w:pPr>
    </w:p>
    <w:p>
      <w:pPr>
        <w:jc w:val="both"/>
        <w:ind w:right="20" w:firstLine="921"/>
        <w:spacing w:after="0" w:line="259" w:lineRule="auto"/>
        <w:tabs>
          <w:tab w:leader="none" w:pos="11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Co-Borrower may irrevocably request a Borrowing of Revolving Loans on any Business Day in a Minimum Amount therefor by delivering a Request for Extension of Credit therefor by Requisite Notice to Administrative Agent not later than the Requisite Time therefor. All Borrowings shall constitute Base Rate Loans unless properly and timely otherwise designated as set forth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prior sentence. Each Competitive Loan shall be made in accordance with the procedures set forth in Section 2.04.</w:t>
      </w:r>
    </w:p>
    <w:p>
      <w:pPr>
        <w:spacing w:after="0" w:line="171" w:lineRule="exact"/>
        <w:rPr>
          <w:sz w:val="20"/>
          <w:szCs w:val="20"/>
          <w:color w:val="auto"/>
        </w:rPr>
      </w:pPr>
    </w:p>
    <w:p>
      <w:pPr>
        <w:ind w:right="180" w:firstLine="921"/>
        <w:spacing w:after="0" w:line="298" w:lineRule="auto"/>
        <w:tabs>
          <w:tab w:leader="none" w:pos="1162"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Following receipt of a Request for Extension of Credit, Administrative Agent shall promptly notify each Lender by Requisite Notice of its Revolving Percentage thereof. Each Lender shall make the funds for its Revolving Loan available to Administrative Agent at Administrative Agent’s Office not later than the Requisite Time therefor on the Business Day specified in such Request for Extension of Credit. Upon satisfaction of the applicable conditions set forth in Section 4.02, all funds so received shall be made available to the requesting Co-Borrower in like funds received.</w:t>
      </w:r>
    </w:p>
    <w:p>
      <w:pPr>
        <w:spacing w:after="0" w:line="112" w:lineRule="exact"/>
        <w:rPr>
          <w:rFonts w:ascii="Arial" w:cs="Arial" w:eastAsia="Arial" w:hAnsi="Arial"/>
          <w:sz w:val="16"/>
          <w:szCs w:val="16"/>
          <w:color w:val="auto"/>
        </w:rPr>
      </w:pPr>
    </w:p>
    <w:p>
      <w:pPr>
        <w:jc w:val="both"/>
        <w:ind w:right="160" w:firstLine="921"/>
        <w:spacing w:after="0" w:line="256" w:lineRule="auto"/>
        <w:tabs>
          <w:tab w:leader="none" w:pos="11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failure of any Lender to make any Revolving Loan on any date shall not relieve any other Lender of any obligation to make a Revolving Loan on such date, but the Revolving Commitments and Competitive Bids of the Lenders are several and no Lender shall be responsible for the failure of any other Lender to so make its Revolving Loan. Borrower shall have the right to replace any Lender which fails to make a Revolving Loan when obligated to do so in accordance with Section 10.21.</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4" w:lineRule="auto"/>
        <w:tabs>
          <w:tab w:leader="none" w:pos="1152"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in this Agreement, during the period from and including the Effective Date to, but not including the Letter of Credit Expiration Date, each Issuing Lender shall take such Letter of Credit Actions denominated in Dollars or any Alternative Currency as each Co-Borrower may from time to time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Outstanding Revolving Obligations of each Lender shall not exceed such Lender’s Revolving Commitment at any time, (ii) the Outstanding Revolving Obligations of all Lenders plus the aggregate principal amount of all outstanding Competitive Loans shall not exceed the combined Revolving Commitments at any time, (iii) the Letter of Credit Usage shall not exceed the Letter of Credit Sublimit at any time and (iv) the Letter of Credit Usage in respect of Letters of Credit issued by each Issuing Lender shall not exceed the Letter of Credit Commitment of such Issuing Lender at any time. All Existing Letters of Credit shall be deemed to be Letters of Credit issued hereunder on the Effective Date for the account of each Co-Borrower, and the participations therein created pursuant to the Existing Credit Agreement shall be superseded by participations created by Section 2.03(b) hereof. Subject to subsection (f) below and unless consented to by the applicable Issuing Lender and Administrative Agent, and except for any Existing Letter of Credit which expires more than 12 months after the date of its issuance or last renewal, no Letter of Credit may expire more than 12 months after the date of its issuance or last renewal;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subject to clause (y), no Letter of Credit shall expire after the Business Day which is at least five days prior to the Revolving Termination Date (as it may be extended) and (y) a Letter of Credit may expire up to the date that is one year after the Revolving Termination Date (as it may be extended) with the consent of the Issuing Lender in respect thereof (which consent shall not be unreasonably withheld) so long as each Co-Borrower shall, at least 15 days prior to the Revolving Termination Date (as it may be extended) (or for any Letters of Credit issued after such date, the date of issuance) deposit cash in the Dollar Amount equal to the Letter of Credit Usage applicable to it in a Letter of Credit Cash Collateral Account. In the event that any Lender’s Commitment terminates prior to an extended Revolving Termination Date as contemplated by Section 2.01(e), the respective participations of the other Lenders in all outstanding Letters of Credit shall be redetermined on the basis of their respective Commitments after giving effect to such termination, and the participation therein of the Lender whose Commitment is terminated shall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Co-Borrowers shall, if and to the extent necessary to permit such redetermination of participations in Letters of Credit within the limits of the Commitments which are not terminated, prepay on such date all or a portion of the outstanding Revolving Loans, and such redetermination and termination of participations in outstanding Letters of Credit shall be conditioned upon their having done so. If any Letter of Credit Usage remains or is expected to remain outstanding on the Revolving Termination Date (as it may be extended), each Co-Borrower shall, at least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73" w:name="page74"/>
    <w:bookmarkEnd w:id="73"/>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 days prior to the Revolving Termination Date (as it may be extended), deposit cash in an amount equal to the Letter of Credit Usage applicable to it in a Letter of Credit Cash Collateral Account.</w:t>
      </w:r>
    </w:p>
    <w:p>
      <w:pPr>
        <w:spacing w:after="0" w:line="132" w:lineRule="exact"/>
        <w:rPr>
          <w:sz w:val="20"/>
          <w:szCs w:val="20"/>
          <w:color w:val="auto"/>
        </w:rPr>
      </w:pPr>
    </w:p>
    <w:p>
      <w:pPr>
        <w:ind w:right="140" w:firstLine="921"/>
        <w:spacing w:after="0" w:line="283" w:lineRule="auto"/>
        <w:tabs>
          <w:tab w:leader="none" w:pos="1162"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Co-Borrower may irrevocably request a Letter of Credit Action in a Minimum Amount therefor (or, if such Letter of Credit Action is in respect of a Letter of Credit denominated in an Alternative Currency, a Dollar Amount which is in a Minimum Amount therefor) by delivering a Letter of Credit Application therefor to the applicable Issuing Lender, with a copy to Administrative Agent, not later than the Requisite Time therefor. Each Letter of Credit Action shall be in a form acceptable to the applicable Issuing Lender in its sole discretion. Each such request for a Letter of Credit Action shall, if Sections</w:t>
      </w:r>
    </w:p>
    <w:p>
      <w:pPr>
        <w:spacing w:after="0" w:line="2" w:lineRule="exact"/>
        <w:rPr>
          <w:rFonts w:ascii="Arial" w:cs="Arial" w:eastAsia="Arial" w:hAnsi="Arial"/>
          <w:sz w:val="16"/>
          <w:szCs w:val="16"/>
          <w:color w:val="auto"/>
        </w:rPr>
      </w:pPr>
    </w:p>
    <w:p>
      <w:pPr>
        <w:ind w:right="40"/>
        <w:spacing w:after="0" w:line="287" w:lineRule="auto"/>
        <w:rPr>
          <w:rFonts w:ascii="Arial" w:cs="Arial" w:eastAsia="Arial" w:hAnsi="Arial"/>
          <w:sz w:val="16"/>
          <w:szCs w:val="16"/>
          <w:color w:val="auto"/>
        </w:rPr>
      </w:pPr>
      <w:r>
        <w:rPr>
          <w:rFonts w:ascii="Arial" w:cs="Arial" w:eastAsia="Arial" w:hAnsi="Arial"/>
          <w:sz w:val="16"/>
          <w:szCs w:val="16"/>
          <w:color w:val="auto"/>
        </w:rPr>
        <w:t>4.02(b) and (c) are applicable to such Letter of Credit Action, constitute a representation and warranty by the requesting Co-Borrower that the conditions set forth in Sections 4.02(b) and (c) are satisfied. Unless Administrative Agent notifies the applicable Issuing Lender that such Letter of Credit Action is not permitted hereunder, or the applicable Issuing Lender notifies Administrative Agent that it has determined that such Letter of Credit Action is contrary to any Laws or policies of such Issuing Lender, the applicable Issuing Lender shall effect such Letter of Credit Action. This Agreement shall control in the event of any conflict with any Letter of Credit Application. Upon the issuance of a Letter of Credit (or, with respect to the Existing Letters of Credit, on the Effective Date), each applicable Issuing Lender shall be deemed to have sold and transferred to each Lender, and each Lender shall be deemed to have purchased from each applicable Issuing Lender, a participation therein in an amount equal to such Lender’s Revolving Percentage times the Dollar Amount of such Letter of Credit. Each applicable Issuing Lender represents and warrants to each Lender that it has all necessary power and authority to sell and transfer such participation to each Lender, without breach of any Contractual Obligation to any other Person, and that such participation is free and clear of any adverse claim.</w:t>
      </w:r>
    </w:p>
    <w:p>
      <w:pPr>
        <w:spacing w:after="0" w:line="120" w:lineRule="exact"/>
        <w:rPr>
          <w:rFonts w:ascii="Arial" w:cs="Arial" w:eastAsia="Arial" w:hAnsi="Arial"/>
          <w:sz w:val="16"/>
          <w:szCs w:val="16"/>
          <w:color w:val="auto"/>
        </w:rPr>
      </w:pPr>
    </w:p>
    <w:p>
      <w:pPr>
        <w:ind w:firstLine="921"/>
        <w:spacing w:after="0" w:line="286" w:lineRule="auto"/>
        <w:tabs>
          <w:tab w:leader="none" w:pos="11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Each Co-Borrower shall reimburse each Issuing Lender through Administrative Agent for any payment that such Issuing Lender makes under a Letter of Credit requested by such Co-Borrower within one Business Day following demand by Administrative Agent or such Issuing Lender in Dollars or in the applicable Alternative Currency in which such payment was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conditions precedent set forth in Section 4.02 can be satisfied (except for the giving of a Request for Extension of Credit), such Co-Borrower may request a Borrowing of Base Rate Loans in the Dollar Amount necessary to reimburse such Issuing Lender for such payment pursuant to Section 2.02 (without regard to the Minimum Amount requirements thereof). If a Co-Borrower’s reimbursement of, or obligation to reimburse, any amounts in any Alternative Currency would subject Administrative Agent, the applicable Issuing Lender or any Lender to any stamp duty, ad valorem charge or similar tax that would not be payable if such reimbursement were made or required to be made in Dollars, such Co-Borrower shall pay the amount of any such tax requested by Administrative Agent, the relevant Issuing Lender or Lender. If a Co-Borrower fails to make such payment when due, then if such payment relates to a Letter of Credit denominated in an Alternative Currency, automatically and with no further action required, such Co-Borrower’s obligation to reimburse the applicable payment by the applicable Issuing Lender shall be permanently converted into an obligation to reimburse the Dollar Amount of such payment.</w:t>
      </w:r>
    </w:p>
    <w:p>
      <w:pPr>
        <w:spacing w:after="0" w:line="127" w:lineRule="exact"/>
        <w:rPr>
          <w:rFonts w:ascii="Arial" w:cs="Arial" w:eastAsia="Arial" w:hAnsi="Arial"/>
          <w:sz w:val="16"/>
          <w:szCs w:val="16"/>
          <w:color w:val="auto"/>
        </w:rPr>
      </w:pPr>
    </w:p>
    <w:p>
      <w:pPr>
        <w:ind w:right="40" w:firstLine="921"/>
        <w:spacing w:after="0" w:line="254" w:lineRule="auto"/>
        <w:tabs>
          <w:tab w:leader="none" w:pos="11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any drawing under a Letter of Credit, the applicable Issuing Lender shall notify Administrative Agent and the relevant Co-Borrower. If the relevant Co-Borrower fails to timely make the payment required pursuant to subsection (c) above or to provide cash collateral as required in subsection (a) above, such Issuing Lender shall notify Administrative Agent of such fact and the Dollar Amount of such unreimbursed payment or required cash collateral, as applicable. Administrative Agent shall promptly notify each Lender of its Revolving Percentage of such Dollar Amount by Requisite Notice. Each Lender shall make funds in an amount equal to its Revolving Percentage of such Dollar Amount available to Administrative Agent at Administrative Agent’s Office not later than the Requisite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74" w:name="page75"/>
    <w:bookmarkEnd w:id="74"/>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Time therefor on the Business Day specified by Administrative Agent. Administrative Agent shall remit the funds so received to such Issuing Lender in the case of reimbursement of a Letter of Credit drawing or to the Administrative Agent for deposit in a Letter of Credit Cash Collateral Account, as applicable. The obligation of each Lender to so reimburse such Issuing Lender and fund such Letter of Credit Cash Collateral Account shall be absolute and unconditional and shall not be affected by the occurrence of a Default or Event of Default or any other occurrence or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Issuing Lender shall not have a right to be so reimbursed in respect of a Letter of Credit if such Issuing Lender issued such Letter of Credit after being notified by Administrative Agent that such issuance was not permitted hereunder. Any such reimbursement shall not relieve or otherwise impair the obligation of each Co-Borrower to reimburse each Issuing Lender for the amount of any payment made by such Issuing Lender under any Letter of Credit, together with interest as provided herein, or to provide cash collateral.</w:t>
      </w:r>
    </w:p>
    <w:p>
      <w:pPr>
        <w:spacing w:after="0" w:line="118" w:lineRule="exact"/>
        <w:rPr>
          <w:sz w:val="20"/>
          <w:szCs w:val="20"/>
          <w:color w:val="auto"/>
        </w:rPr>
      </w:pPr>
    </w:p>
    <w:p>
      <w:pPr>
        <w:ind w:firstLine="921"/>
        <w:spacing w:after="0" w:line="286" w:lineRule="auto"/>
        <w:tabs>
          <w:tab w:leader="none" w:pos="11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If the conditions precedent set forth in Section 4.02 can be satisfied (except for the giving of a Request for Extension of Credit) on any date a Co-Borrower is obligated to, but fails to, reimburse an Issuing Lender for a drawing under a Letter of Credit or to provide cash collateral as required in subsection</w:t>
      </w:r>
    </w:p>
    <w:p>
      <w:pPr>
        <w:ind w:right="20" w:firstLine="8"/>
        <w:spacing w:after="0" w:line="308" w:lineRule="auto"/>
        <w:tabs>
          <w:tab w:leader="none" w:pos="239" w:val="left"/>
        </w:tabs>
        <w:numPr>
          <w:ilvl w:val="0"/>
          <w:numId w:val="45"/>
        </w:numPr>
        <w:rPr>
          <w:rFonts w:ascii="Arial" w:cs="Arial" w:eastAsia="Arial" w:hAnsi="Arial"/>
          <w:sz w:val="15"/>
          <w:szCs w:val="15"/>
          <w:color w:val="auto"/>
        </w:rPr>
      </w:pPr>
      <w:r>
        <w:rPr>
          <w:rFonts w:ascii="Arial" w:cs="Arial" w:eastAsia="Arial" w:hAnsi="Arial"/>
          <w:sz w:val="15"/>
          <w:szCs w:val="15"/>
          <w:color w:val="auto"/>
        </w:rPr>
        <w:t>above, the funding by Lenders pursuant to subsection (d) above shall be deemed to be a Borrowing of Base Rate Loans by such Co-Borrower (without regard to the Minimum Amount therefor). If the conditions precedent set forth in Section 4.02 (except for the giving of a Request for Extension of Credit) cannot be satisfied on the date a Co-Borrower is obligated to, but fails to, reimburse an Issuing Lender for a drawing under a Letter of Credit or to provide cash collateral in respect of a Letter of Credit, the funding by Lenders pursuant to the previous subsection shall be deemed to be a funding by each Lender of its participation in such Letter of Credit, and each Lender making such funding shall thereupon acquire a pro rata participation, to the extent of its payment, in the claim of such Issuing Lender against the relevant Co-Borrower in respect of such payment or obligation to provide cash collateral and shall share, in accordance with that pro rata participation, in any payment made by such Co-Borrower with respect to such claim. Any amounts made available by a Lender under its participation shall be payable by the relevant Co-Borrower upon demand of Administrative Agent (or, if earlier, on the Revolving Termination Date, the Extended Revolving Termination Date or the Second Extended Revolving Termination Date, as applicable), and shall bear interest at a rate per annum equal to the Default Rate.</w:t>
      </w:r>
    </w:p>
    <w:p>
      <w:pPr>
        <w:spacing w:after="0" w:line="108" w:lineRule="exact"/>
        <w:rPr>
          <w:rFonts w:ascii="Arial" w:cs="Arial" w:eastAsia="Arial" w:hAnsi="Arial"/>
          <w:sz w:val="15"/>
          <w:szCs w:val="15"/>
          <w:color w:val="auto"/>
        </w:rPr>
      </w:pPr>
    </w:p>
    <w:p>
      <w:pPr>
        <w:ind w:right="40" w:firstLine="921"/>
        <w:spacing w:after="0" w:line="288" w:lineRule="auto"/>
        <w:tabs>
          <w:tab w:leader="none" w:pos="1132" w:val="left"/>
        </w:tabs>
        <w:numPr>
          <w:ilvl w:val="1"/>
          <w:numId w:val="45"/>
        </w:numPr>
        <w:rPr>
          <w:rFonts w:ascii="Arial" w:cs="Arial" w:eastAsia="Arial" w:hAnsi="Arial"/>
          <w:sz w:val="16"/>
          <w:szCs w:val="16"/>
          <w:color w:val="auto"/>
        </w:rPr>
      </w:pPr>
      <w:r>
        <w:rPr>
          <w:rFonts w:ascii="Arial" w:cs="Arial" w:eastAsia="Arial" w:hAnsi="Arial"/>
          <w:sz w:val="16"/>
          <w:szCs w:val="16"/>
          <w:color w:val="auto"/>
        </w:rPr>
        <w:t>Each Co-Borrower may request Letters of Credit that have automatic extension or renewal provisions (“evergreen” Letters of Credit), so long as the applicable Issuing Lender consents thereto and has the right not to permit any such extension or renewal at least annually within a notice period to be agreed upon at the time each such Letter of Credit is issued. Once an evergreen Letter of Credit (including any Existing Letter of Credit) is issued, unless Administrative Agent has notified the applicable Issuing Lender that Required Lenders have elected not to permit such extension or renewal, the requesting Co-Borrower, Administrative Agent and Lenders shall be deemed to have authorized (but may not require) such Issuing Lender to permit the renewal of such evergreen Letter of Credit at any time to a date not later than five Business Days prior to the Revolving Termination Date (as it may be extended) or such later date as may be permitted pursuant to clause (y) of the second proviso of Section 2.03(a). Such Issuing Lender may elect not to permit an evergreen Letter of Credit to be extended or renewed at any time. If such Issuing Lender so elects, it will promptly give Administrative Agent notice of such election. Administrative Agent will promptly notify Lenders of the non-extension or non-renewal of any evergreen Letter of Credit.</w:t>
      </w:r>
    </w:p>
    <w:p>
      <w:pPr>
        <w:spacing w:after="0" w:line="119" w:lineRule="exact"/>
        <w:rPr>
          <w:rFonts w:ascii="Arial" w:cs="Arial" w:eastAsia="Arial" w:hAnsi="Arial"/>
          <w:sz w:val="16"/>
          <w:szCs w:val="16"/>
          <w:color w:val="auto"/>
        </w:rPr>
      </w:pPr>
    </w:p>
    <w:p>
      <w:pPr>
        <w:ind w:right="60" w:firstLine="921"/>
        <w:spacing w:after="0" w:line="259" w:lineRule="auto"/>
        <w:tabs>
          <w:tab w:leader="none" w:pos="116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obligation of each Co-Borrower to pay to each Issuing Lender the amount of any payment made by such Issuing Lender under any Letter of Credit shall be absolute, unconditional, and irrevocable. Without limiting the foregoing, the Co-Borrowers’ obligations shall not be affected by any of the following circumstances: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75" w:name="page76"/>
    <w:bookmarkEnd w:id="75"/>
    <w:p>
      <w:pPr>
        <w:ind w:left="1560" w:hanging="219"/>
        <w:spacing w:after="0"/>
        <w:tabs>
          <w:tab w:leader="none" w:pos="1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lack of validity or enforceability of such Letter of Credit, this Agreement, or any other agreement or instrument relating thereto;</w:t>
      </w:r>
    </w:p>
    <w:p>
      <w:pPr>
        <w:spacing w:after="0" w:line="113" w:lineRule="exact"/>
        <w:rPr>
          <w:rFonts w:ascii="Arial" w:cs="Arial" w:eastAsia="Arial" w:hAnsi="Arial"/>
          <w:sz w:val="16"/>
          <w:szCs w:val="16"/>
          <w:color w:val="auto"/>
        </w:rPr>
      </w:pPr>
    </w:p>
    <w:p>
      <w:pPr>
        <w:ind w:left="920" w:right="60" w:firstLine="421"/>
        <w:spacing w:after="0" w:line="268" w:lineRule="auto"/>
        <w:tabs>
          <w:tab w:leader="none" w:pos="159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amendment or waiver of or any consent to departure from such Letter of Credit, this Agreement or any other agreement or instrument relating hereto or thereto;</w:t>
      </w:r>
    </w:p>
    <w:p>
      <w:pPr>
        <w:spacing w:after="0" w:line="50" w:lineRule="exact"/>
        <w:rPr>
          <w:rFonts w:ascii="Arial" w:cs="Arial" w:eastAsia="Arial" w:hAnsi="Arial"/>
          <w:sz w:val="18"/>
          <w:szCs w:val="18"/>
          <w:color w:val="auto"/>
        </w:rPr>
      </w:pPr>
    </w:p>
    <w:p>
      <w:pPr>
        <w:ind w:left="920" w:right="80" w:firstLine="421"/>
        <w:spacing w:after="0" w:line="256" w:lineRule="auto"/>
        <w:tabs>
          <w:tab w:leader="none" w:pos="16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rights which a Co-Borrower may have at any time against such Issuing Lender, Administrative Agent or any Lender, any beneficiary of such Letter of Credit (or any persons or entities for whom any such beneficiary may be acting) or any other Person, whether in connection with such Letter of Credit, this Agreement or any other agreement or instrument relating thereto, or any unrelated transactions;</w:t>
      </w:r>
    </w:p>
    <w:p>
      <w:pPr>
        <w:spacing w:after="0" w:line="62" w:lineRule="exact"/>
        <w:rPr>
          <w:rFonts w:ascii="Arial" w:cs="Arial" w:eastAsia="Arial" w:hAnsi="Arial"/>
          <w:sz w:val="18"/>
          <w:szCs w:val="18"/>
          <w:color w:val="auto"/>
        </w:rPr>
      </w:pPr>
    </w:p>
    <w:p>
      <w:pPr>
        <w:ind w:left="920" w:right="160" w:firstLine="421"/>
        <w:spacing w:after="0" w:line="259" w:lineRule="auto"/>
        <w:tabs>
          <w:tab w:leader="none" w:pos="163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demand, statement or any other document presented under such Letter of Credit proving to be forged, fraudulent, invalid or insufficient in any respect or any statement therein being untrue or inaccurate in any respect whatsoever so long as any such document appeared to comply with the terms of such Letter of Credit;</w:t>
      </w:r>
    </w:p>
    <w:p>
      <w:pPr>
        <w:spacing w:after="0" w:line="59" w:lineRule="exact"/>
        <w:rPr>
          <w:rFonts w:ascii="Arial" w:cs="Arial" w:eastAsia="Arial" w:hAnsi="Arial"/>
          <w:sz w:val="18"/>
          <w:szCs w:val="18"/>
          <w:color w:val="auto"/>
        </w:rPr>
      </w:pPr>
    </w:p>
    <w:p>
      <w:pPr>
        <w:ind w:left="920" w:firstLine="421"/>
        <w:spacing w:after="0" w:line="255" w:lineRule="auto"/>
        <w:tabs>
          <w:tab w:leader="none" w:pos="15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payment by such Issuing Lender in good faith under such Letter of Credit against presentation of a draft or any accompanying document which does not strictly comply with the terms of such Letter of Credit, or any payment made by such Issuing Lender under such Letter of Credit to any Person purporting to be a trustee in bankruptcy, debtor-in-possession, assignee for the benefit of creditors, liquidation, receiver or other representative of or successor to any beneficiary or any transferee of such Letter of Credit, including any arising in connection with any proceeding under any Debtor Relief Laws;</w:t>
      </w:r>
    </w:p>
    <w:p>
      <w:pPr>
        <w:spacing w:after="0" w:line="61" w:lineRule="exact"/>
        <w:rPr>
          <w:rFonts w:ascii="Arial" w:cs="Arial" w:eastAsia="Arial" w:hAnsi="Arial"/>
          <w:sz w:val="18"/>
          <w:szCs w:val="18"/>
          <w:color w:val="auto"/>
        </w:rPr>
      </w:pPr>
    </w:p>
    <w:p>
      <w:pPr>
        <w:ind w:left="920" w:right="680" w:firstLine="421"/>
        <w:spacing w:after="0" w:line="268" w:lineRule="auto"/>
        <w:tabs>
          <w:tab w:leader="none" w:pos="163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error in the transmission of any message relating to such Letter of Credit not caused by such Issuing Lender, or any delay or interruption in any such message;</w:t>
      </w:r>
    </w:p>
    <w:p>
      <w:pPr>
        <w:spacing w:after="0" w:line="50" w:lineRule="exact"/>
        <w:rPr>
          <w:rFonts w:ascii="Arial" w:cs="Arial" w:eastAsia="Arial" w:hAnsi="Arial"/>
          <w:sz w:val="18"/>
          <w:szCs w:val="18"/>
          <w:color w:val="auto"/>
        </w:rPr>
      </w:pPr>
    </w:p>
    <w:p>
      <w:pPr>
        <w:ind w:left="1680" w:hanging="339"/>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error, neglect or default of any correspondent of such Issuing Lender in connection with such Letter of Credit;</w:t>
      </w:r>
    </w:p>
    <w:p>
      <w:pPr>
        <w:spacing w:after="0" w:line="90" w:lineRule="exact"/>
        <w:rPr>
          <w:rFonts w:ascii="Arial" w:cs="Arial" w:eastAsia="Arial" w:hAnsi="Arial"/>
          <w:sz w:val="18"/>
          <w:szCs w:val="18"/>
          <w:color w:val="auto"/>
        </w:rPr>
      </w:pPr>
    </w:p>
    <w:p>
      <w:pPr>
        <w:ind w:left="920" w:right="100" w:firstLine="421"/>
        <w:spacing w:after="0" w:line="268" w:lineRule="auto"/>
        <w:tabs>
          <w:tab w:leader="none" w:pos="17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consequence arising from acts of God, wars, insurrections, civil unrest, disturbances, labor disputes, emergency conditions or other causes beyond the control of such Issuing Lender;</w:t>
      </w:r>
    </w:p>
    <w:p>
      <w:pPr>
        <w:spacing w:after="0" w:line="50" w:lineRule="exact"/>
        <w:rPr>
          <w:rFonts w:ascii="Arial" w:cs="Arial" w:eastAsia="Arial" w:hAnsi="Arial"/>
          <w:sz w:val="18"/>
          <w:szCs w:val="18"/>
          <w:color w:val="auto"/>
        </w:rPr>
      </w:pPr>
    </w:p>
    <w:p>
      <w:pPr>
        <w:jc w:val="both"/>
        <w:ind w:left="920" w:right="60" w:firstLine="421"/>
        <w:spacing w:after="0" w:line="259" w:lineRule="auto"/>
        <w:tabs>
          <w:tab w:leader="none" w:pos="1637"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 long as such Issuing Lender in good faith determines that the document appears to comply with the terms of such Letter of Credit, the form, accuracy, genuineness or legal effect of any contract or document referred to in any document submitted to such Issuing Lender in connection with such Letter of Credit;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circumstances whatsoever where such Issuing Lender has acted in good faith.</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In addition, the requesting Co-Borrower will promptly examine a copy of each Letter of Credit and amendments thereto delivered to it and, in the event of any claim of noncompliance with such Co-Borrower’s instructions or other irregularity, such Co-Borrower will immediately notify the applicable Issuing Lender in writing. Such Co-Borrower shall be conclusively deemed to have waived any such claim against such Issuing Lender and its correspondents unless such notice is given as aforesaid.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76" w:name="page77"/>
    <w:bookmarkEnd w:id="76"/>
    <w:p>
      <w:pPr>
        <w:ind w:left="-20" w:firstLine="921"/>
        <w:spacing w:after="0" w:line="285" w:lineRule="auto"/>
        <w:tabs>
          <w:tab w:leader="none" w:pos="1142"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Lender and each Co-Borrower agree that, in paying any drawing under a Letter of Credit, no Issuing Lender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Issuing Lender, Administrative Agent-Related Person or any of the respective correspondents, participants or assignees of any Issuing Lender shall be liable to any Lender for any action taken or omitted in connection herewith at the request or with the approval of Lenders or Required Lenders, as applicable, any action taken or omitted in the absence of gross negligence or willful misconduct or the due execution, effectiveness, validity or enforceability of any document or instrument related to any Letter of Credit. Each Co-Borrower hereby assumes all risks of the acts or omissions of any beneficiary or transferee relative to any Issuing Lender, any Lender or any Administrative Agent-Related Person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assumption is not intended to, and shall not, preclude such Co-Borrower’s pursuing such rights and remedies as it may have against the beneficiary or transferee at law or under any other agreement. No Issuing Lender, Administrative Agent-Related Person or any of the respective correspondents, participants or assignees of any Issuing Lender shall be liable or responsible for any of the matters described in subsection (g) above in the absence of such Person’s gross negligence or willful misconduct. In furtherance and not in limitation of the foregoing, any Issuing Lender may accept documents that appear on their face to be in order, without responsibility for further investigation, regardless of any notice or information to the contrary, and such Issuing Lender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26" w:lineRule="exact"/>
        <w:rPr>
          <w:rFonts w:ascii="Arial" w:cs="Arial" w:eastAsia="Arial" w:hAnsi="Arial"/>
          <w:sz w:val="16"/>
          <w:szCs w:val="16"/>
          <w:color w:val="auto"/>
        </w:rPr>
      </w:pPr>
    </w:p>
    <w:p>
      <w:pPr>
        <w:jc w:val="both"/>
        <w:ind w:left="-20" w:right="40" w:firstLine="921"/>
        <w:spacing w:after="0" w:line="323" w:lineRule="auto"/>
        <w:tabs>
          <w:tab w:leader="none" w:pos="1103" w:val="left"/>
        </w:tabs>
        <w:numPr>
          <w:ilvl w:val="0"/>
          <w:numId w:val="47"/>
        </w:numPr>
        <w:rPr>
          <w:rFonts w:ascii="Arial" w:cs="Arial" w:eastAsia="Arial" w:hAnsi="Arial"/>
          <w:sz w:val="15"/>
          <w:szCs w:val="15"/>
          <w:color w:val="auto"/>
        </w:rPr>
      </w:pPr>
      <w:r>
        <w:rPr>
          <w:rFonts w:ascii="Arial" w:cs="Arial" w:eastAsia="Arial" w:hAnsi="Arial"/>
          <w:sz w:val="15"/>
          <w:szCs w:val="15"/>
          <w:color w:val="auto"/>
        </w:rPr>
        <w:t>Unless otherwise expressly agreed by the applicable Issuing Lender and the requesting Co-Borrower when a Letter of Credit is issued and subject to applicable Laws, performance under Letters of Credit by each Issuing Lender, its correspondents, and beneficiaries will be governed by, as applicable, the rules of the International Standby Practices 1998, or such later revision as may be published by the Institute of International Banking Law &amp; Practice, or the Uniform Customs and Practice for Documentary Credits, International Chamber of Commerce Publication No. 500, as the same may be revised from time to time.</w:t>
      </w:r>
    </w:p>
    <w:p>
      <w:pPr>
        <w:spacing w:after="0" w:line="97" w:lineRule="exact"/>
        <w:rPr>
          <w:rFonts w:ascii="Arial" w:cs="Arial" w:eastAsia="Arial" w:hAnsi="Arial"/>
          <w:sz w:val="15"/>
          <w:szCs w:val="15"/>
          <w:color w:val="auto"/>
        </w:rPr>
      </w:pPr>
    </w:p>
    <w:p>
      <w:pPr>
        <w:ind w:left="-20" w:right="20" w:firstLine="921"/>
        <w:spacing w:after="0" w:line="291" w:lineRule="auto"/>
        <w:tabs>
          <w:tab w:leader="none" w:pos="1103"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Co-Borrower shall pay to Administrative Agent on each Applicable Payment Date in arrears, for the account of each Lender in accordance with its Revolving Percentage, a Letter of Credit fee in Dollars at a rate equal to the Applicable Amount times the actual daily maximum Dollar Amount available to be drawn under each Letter of Credit requested by such Co-Borrower since the later of the Effective Date and the previous Applicable Payment Date. Borrower shall pay directly to each Issuing Lender of an Existing Letter of Credit any fees and expenses payable in respect of such Existing Letter of Credit for any period prior to the Effective Date. If there is any change in the Applicable Amount during any quarter, the actual daily Dollar Amount shall be computed and multiplied by the Applicable Amount separately for each period during such quarter that such Applicable Amount was in effect.</w:t>
      </w:r>
    </w:p>
    <w:p>
      <w:pPr>
        <w:spacing w:after="0" w:line="120" w:lineRule="exact"/>
        <w:rPr>
          <w:rFonts w:ascii="Arial" w:cs="Arial" w:eastAsia="Arial" w:hAnsi="Arial"/>
          <w:sz w:val="16"/>
          <w:szCs w:val="16"/>
          <w:color w:val="auto"/>
        </w:rPr>
      </w:pPr>
    </w:p>
    <w:p>
      <w:pPr>
        <w:ind w:left="-20" w:right="100" w:firstLine="921"/>
        <w:spacing w:after="0" w:line="294" w:lineRule="auto"/>
        <w:tabs>
          <w:tab w:leader="none" w:pos="1142"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Co-Borrower shall pay directly to each Issuing Lender, for its sole account, a fronting fee for each Letter of Credit requested by such Co-Borrower in such amount and at such times as may be set forth in a separate letter agreement between such Co-Borrower and such Issuing Lender. In addition, each Co-Borrower shall pay directly to each Issuing Lender, upon demand, for its sole account, its customary documentary and processing charges in accordance with its standard schedule, as from time to time in effect, for any Letter of Credit Action or other occurrence relating to a Letter of Credit requested by such Co-Borrower for which such charges are customarily made. Such fees and charges are nonrefundable.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280" w:right="239" w:bottom="1440" w:gutter="0" w:footer="0" w:header="0"/>
        </w:sectPr>
      </w:pPr>
    </w:p>
    <w:bookmarkStart w:id="77" w:name="page78"/>
    <w:bookmarkEnd w:id="77"/>
    <w:p>
      <w:pPr>
        <w:ind w:right="100" w:firstLine="921"/>
        <w:spacing w:after="0" w:line="256" w:lineRule="auto"/>
        <w:tabs>
          <w:tab w:leader="none" w:pos="1123"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Issuing Lender shall deliver to Administrative Agent, not later than the 20th day after each calendar quarter ending after the Effective Date, a written report, in form reasonably satisfactory to Administrative Agent, setting forth the Letters of Credit issued by such Issuing Lender and outstanding as of the last day of such calendar quarter, any Letter of Credit Actions effected during such calendar quarter, and any draws made under such Letters of Credit during such calendar quarter.</w:t>
      </w:r>
    </w:p>
    <w:p>
      <w:pPr>
        <w:spacing w:after="0" w:line="143"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u w:val="single" w:color="auto"/>
          <w:color w:val="auto"/>
        </w:rPr>
        <w:t>Competitive Bid Procedure</w:t>
      </w:r>
      <w:r>
        <w:rPr>
          <w:rFonts w:ascii="Arial" w:cs="Arial" w:eastAsia="Arial" w:hAnsi="Arial"/>
          <w:sz w:val="16"/>
          <w:szCs w:val="16"/>
          <w:color w:val="auto"/>
        </w:rPr>
        <w:t xml:space="preserve">. (a) Subject to the terms and conditions set forth herein, during the period from and including the Effective Date to, but not including, the Revolving Termination Date (as it may be extended), each Co-Borrower may request Competitive Bids and may (but shall not have any obligation to) accept Competitive Bids and borrow Competitive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Outstanding Revolving Obligations of all Lenders plus the aggregate principal amount of outstanding Competitive Loans at any time shall not exceed the combined Revolving Commitments. To request Competitive Bids, a Co-Borrower shall notify Administrative Agent of such request by telephone not later than the Requisite Time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Co-Borrower may submit up to (but not more than) two Competitive Bid Requests on the same day, but no Competitive Bid Request or Requests shall be made within five Business Days after the date of any previous Competitive Bid Request or Requests, unless any and all such previous Competitive Bid Requests shall have been withdrawn or all Competitive Bids received in response thereto rejected. Each such telephonic Competitive Bid Request shall be confirmed promptly by hand delivery or telecopy to Administrative Agent of a written Competitive Bid Request in a form approved by Administrative Agent and signed by Borrower. Each such telephonic and written Competitive Bid Request shall specify the following information:</w:t>
      </w:r>
    </w:p>
    <w:p>
      <w:pPr>
        <w:spacing w:after="0" w:line="42" w:lineRule="exact"/>
        <w:rPr>
          <w:sz w:val="20"/>
          <w:szCs w:val="20"/>
          <w:color w:val="auto"/>
        </w:rPr>
      </w:pPr>
    </w:p>
    <w:p>
      <w:pPr>
        <w:ind w:left="1560" w:hanging="219"/>
        <w:spacing w:after="0"/>
        <w:tabs>
          <w:tab w:leader="none" w:pos="1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aggregate amount of the requested Borrowing (which shall be at least the Minimum Amount therefor);</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90" w:lineRule="exact"/>
        <w:rPr>
          <w:rFonts w:ascii="Arial" w:cs="Arial" w:eastAsia="Arial" w:hAnsi="Arial"/>
          <w:sz w:val="18"/>
          <w:szCs w:val="18"/>
          <w:color w:val="auto"/>
        </w:rPr>
      </w:pPr>
    </w:p>
    <w:p>
      <w:pPr>
        <w:ind w:left="920" w:right="140" w:firstLine="421"/>
        <w:spacing w:after="0" w:line="268" w:lineRule="auto"/>
        <w:tabs>
          <w:tab w:leader="none" w:pos="16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such Borrowing is to be a Borrowing of Eurodollar Rate Loans or of Fixed Rate Loans (it being understood and agreed that each Borrowing of Competitive Loans shall be comprised entirely of Eurodollar Rate Loans or Fixed Rate Loans);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Interest Period to be applicable to such Borrowing, which shall be a period contemplated by the definition of the term “Interest</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Promptly following receipt of a Competitive Bid Request in accordance with this Section, Administrative Agent shall notify the Lenders of the details thereof by telecopy, inviting the Lenders to submit Competitive Bids.</w:t>
      </w:r>
    </w:p>
    <w:p>
      <w:pPr>
        <w:spacing w:after="0" w:line="132" w:lineRule="exact"/>
        <w:rPr>
          <w:sz w:val="20"/>
          <w:szCs w:val="20"/>
          <w:color w:val="auto"/>
        </w:rPr>
      </w:pPr>
    </w:p>
    <w:p>
      <w:pPr>
        <w:ind w:firstLine="921"/>
        <w:spacing w:after="0" w:line="288" w:lineRule="auto"/>
        <w:tabs>
          <w:tab w:leader="none" w:pos="1162"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Lender may (but shall not have any obligation to) make one or more Competitive Bids to the applicable Co-Borrower in response to a Competitive Bid Request. Each Competitive Bid by a Lender must be in a form approved by Administrative Agent and must be received by Administrative Agent by telecopy, in the case of a Competitive Borrowing of Eurodollar Rate Loans, not later than 9:30 a.m., New York City time, three Business Days before the proposed date of such Competitive Borrowing, and in the case of a Borrowing of Fixed Rate Loans, not later than 9:30 a.m., New York City time, on the proposed date of such Competitive Borrowing. Competitive Bids that do not conform substantially to the form approved by Administrative Agent may be rejected by Administrative Agent, and Administrative Agent shall notify the applicable Lender as promptly as practicable. Each Competitive Bid shall specify (i) the principal amount (which shall be a minimum of $10,000,000 and an integral multiple of $1,000,000 and which may equal the entire principal amount of the Competitive Borrowing requested by the applicable Co-Borrower) of the Competitive Loan or Loans that the Lender is willing to make, (ii) the Competitive Bid Rate or Rates at which the Lender is prepared to make such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78" w:name="page79"/>
    <w:bookmarkEnd w:id="78"/>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or Loans (expressed as a percentage rate per annum in the form of a decimal to no more than four decimal places) and (iii) the Interest Period applicable to each such Loan and the last day thereof.</w:t>
      </w:r>
    </w:p>
    <w:p>
      <w:pPr>
        <w:spacing w:after="0" w:line="132" w:lineRule="exact"/>
        <w:rPr>
          <w:sz w:val="20"/>
          <w:szCs w:val="20"/>
          <w:color w:val="auto"/>
        </w:rPr>
      </w:pPr>
    </w:p>
    <w:p>
      <w:pPr>
        <w:ind w:right="500" w:firstLine="921"/>
        <w:spacing w:after="0" w:line="268" w:lineRule="auto"/>
        <w:tabs>
          <w:tab w:leader="none" w:pos="11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Administrative Agent shall promptly notify the applicable Co-Borrower by telecopy of the Competitive Bid Rate and the principal amount specified in each Competitive Bid and the identity of the Lender that shall have made such Competitive Bid.</w:t>
      </w:r>
    </w:p>
    <w:p>
      <w:pPr>
        <w:spacing w:after="0" w:line="131" w:lineRule="exact"/>
        <w:rPr>
          <w:rFonts w:ascii="Arial" w:cs="Arial" w:eastAsia="Arial" w:hAnsi="Arial"/>
          <w:sz w:val="18"/>
          <w:szCs w:val="18"/>
          <w:color w:val="auto"/>
        </w:rPr>
      </w:pPr>
    </w:p>
    <w:p>
      <w:pPr>
        <w:ind w:firstLine="921"/>
        <w:spacing w:after="0" w:line="285" w:lineRule="auto"/>
        <w:tabs>
          <w:tab w:leader="none" w:pos="1162"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Subject only to the provisions of this paragraph, the applicable Co-Borrower may accept or reject any Competitive Bid. The applicable Co-Borrower shall notify Administrative Agent by telephone, confirmed by telecopy in a form approved by Administrative Agent, whether and to what extent it has decided to accept or reject each Competitive Bid, in the case of a Competitive Borrowing of Eurodollar Rate Loans, not later than 10:30 a.m., New York City time, three Business Days before the date of the proposed Competitive Borrowing, and in the case of a Borrowing of Fixed Rate Loans, not later than 10:30 a.m., New York City time, on the proposed date of the Competitive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failure of the applicable Co-Borrower to give such notice shall be deemed to be a rejection of each Competitive Bid, (ii) the applicable Co-Borrower shall not accept a Competitive Bid made at a particular Competitive Bid Rate if the applicable Co-Borrower rejects a Competitive Bid made at a lower Competitive Bid Rate with respect to the same Competitive Bid Request, (iii) the aggregate amount of the Competitive Bids accepted by the applicable Co-Borrower shall not exceed the aggregate amount of the requested Competitive Borrowing specified in the related Competitive Bid Request, (iv) to the extent necessary to comply with clause (iii) above, the applicable Co-Borrower may accept Competitive Bids at the same Competitive Bid Rate in part, which acceptance, in the case of multiple Competitive Bids at such Competitive Bid Rate, shall be made pro rata in accordance with the amount of each such Competitive Bid, and (v) except pursuant to clause (iv) above, no Competitive Bid shall be accepted for a Competitive Loan unless such Competitive Loan is in a minimum principal amount of $5,000,000 and an integral multiple of $1,000,000;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 Competitive Loan must be in an amount less than $5,000,000 because of the provisions of clause (iv) above, such Competitive Loan may be for a minimum of $1,000,000 or any integral multiple thereof, and in calculating the pro rata allocation of acceptances of portions of multiple Competitive Bids at a particular Competitive Bid Rate pursuant to clause (iv) the amounts shall be rounded to integral multiples of $1,000,000 in a manner determined by the applicable Co-Borrower. A notice given by the applicable Co-Borrower pursuant to this paragraph shall be irrevocable.</w:t>
      </w:r>
    </w:p>
    <w:p>
      <w:pPr>
        <w:spacing w:after="0" w:line="123" w:lineRule="exact"/>
        <w:rPr>
          <w:rFonts w:ascii="Arial" w:cs="Arial" w:eastAsia="Arial" w:hAnsi="Arial"/>
          <w:sz w:val="16"/>
          <w:szCs w:val="16"/>
          <w:color w:val="auto"/>
        </w:rPr>
      </w:pPr>
    </w:p>
    <w:p>
      <w:pPr>
        <w:jc w:val="both"/>
        <w:ind w:firstLine="921"/>
        <w:spacing w:after="0" w:line="259" w:lineRule="auto"/>
        <w:tabs>
          <w:tab w:leader="none" w:pos="114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Administrative Agent shall promptly notify each bidding Lender by telecopy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40" w:lineRule="exact"/>
        <w:rPr>
          <w:rFonts w:ascii="Arial" w:cs="Arial" w:eastAsia="Arial" w:hAnsi="Arial"/>
          <w:sz w:val="18"/>
          <w:szCs w:val="18"/>
          <w:color w:val="auto"/>
        </w:rPr>
      </w:pPr>
    </w:p>
    <w:p>
      <w:pPr>
        <w:ind w:right="240" w:firstLine="921"/>
        <w:spacing w:after="0" w:line="259" w:lineRule="auto"/>
        <w:tabs>
          <w:tab w:leader="none" w:pos="11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Administrative Agent shall elect to submit a Competitive Bid in its capacity as a Lender, it shall submit such Competitive Bid directly to the applicable Co-Borrower at least one quarter of an hour earlier than the time by which the other Lenders are required to submit their Competitive Bids to Administrative Agent pursuant to paragraph (b) of this Section.</w:t>
      </w:r>
    </w:p>
    <w:p>
      <w:pPr>
        <w:spacing w:after="0" w:line="140" w:lineRule="exact"/>
        <w:rPr>
          <w:sz w:val="20"/>
          <w:szCs w:val="20"/>
          <w:color w:val="auto"/>
        </w:rPr>
      </w:pPr>
    </w:p>
    <w:p>
      <w:pPr>
        <w:ind w:right="300" w:firstLine="913"/>
        <w:spacing w:after="0" w:line="254" w:lineRule="auto"/>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Reduction or Termination of Revolving Commitments</w:t>
      </w:r>
      <w:r>
        <w:rPr>
          <w:rFonts w:ascii="Arial" w:cs="Arial" w:eastAsia="Arial" w:hAnsi="Arial"/>
          <w:sz w:val="18"/>
          <w:szCs w:val="18"/>
          <w:color w:val="auto"/>
        </w:rPr>
        <w:t>. Upon Requisite Notice to Administrative Agent not later than the Requisite Time therefor, the Co-Borrowers may at any time and from time to time, without premium or penalty, permanently and irrevocably reduce the Revolving Commitments, in a Minimum Amount therefor to an amount not less than the sum of the Outstanding Revolving Obligations at such time plus the aggregate principal amount of outstanding Competitive Loans at any time, or terminate the Revolving Commitments. Any such reduction or termination shall be accompanied by payment of all accrued and unpaid commitment fees with respect to the portion of the Revolving Commitments being reduced or terminated. Administrative Agent shall promptly notify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79" w:name="page80"/>
    <w:bookmarkEnd w:id="79"/>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Lenders of any such request for reduction or termination of the Revolving Commitments. Each Lender’s Revolving Commitment shall be reduced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by the amount of such reduction.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2.06 [RESERVED]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2.07 [RESERVED]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2.08 [RESERVED]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5" w:lineRule="auto"/>
        <w:tabs>
          <w:tab w:leader="none" w:pos="11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Upon Requisite Notice to Administrative Agent not later than the Requisite Time therefor, each Co-Borrower may at any time and from time to time voluntarily prepay Loans made to it in part in the Minimum Amount therefor or in full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Co-Borrower may prepay any Competitive Loan without the prior written consent of the Lender thereof. Administrative Agent will promptly notify each relevant Lender thereof and of such Lender’s percentage of such prepayment. Any prepayment of a Eurodollar Rate Loan shall be accompanied by all accrued interest thereon, together with the costs set forth in Section 3.05.</w:t>
      </w:r>
    </w:p>
    <w:p>
      <w:pPr>
        <w:spacing w:after="0" w:line="142" w:lineRule="exact"/>
        <w:rPr>
          <w:rFonts w:ascii="Arial" w:cs="Arial" w:eastAsia="Arial" w:hAnsi="Arial"/>
          <w:sz w:val="18"/>
          <w:szCs w:val="18"/>
          <w:color w:val="auto"/>
        </w:rPr>
      </w:pPr>
    </w:p>
    <w:p>
      <w:pPr>
        <w:ind w:right="640" w:firstLine="921"/>
        <w:spacing w:after="0" w:line="306" w:lineRule="auto"/>
        <w:tabs>
          <w:tab w:leader="none" w:pos="1162"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for any reason the amount of the Outstanding Revolving Obligations of all Lenders plus the aggregate principal amount of outstanding Competitive Loans at any time exceeds the combined Revolving Commitments from time to time in effect, the Co-Borrowers shall immediately prepay Revolving Loans and/or deposit cash in a Letter of Credit Cash Collateral Account in an aggregate amount equal to such excess.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Documentation of Loans</w:t>
      </w:r>
      <w:r>
        <w:rPr>
          <w:rFonts w:ascii="Arial" w:cs="Arial" w:eastAsia="Arial" w:hAnsi="Arial"/>
          <w:sz w:val="18"/>
          <w:szCs w:val="18"/>
          <w:color w:val="auto"/>
        </w:rPr>
        <w:t>.</w:t>
      </w:r>
    </w:p>
    <w:p>
      <w:pPr>
        <w:spacing w:after="0" w:line="171" w:lineRule="exact"/>
        <w:rPr>
          <w:sz w:val="20"/>
          <w:szCs w:val="20"/>
          <w:color w:val="auto"/>
        </w:rPr>
      </w:pPr>
    </w:p>
    <w:p>
      <w:pPr>
        <w:ind w:right="140" w:firstLine="921"/>
        <w:spacing w:after="0" w:line="256" w:lineRule="auto"/>
        <w:tabs>
          <w:tab w:leader="none" w:pos="11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the request of any Lender made through Administrative Agent, a Lender’s Loans may be evidenced by one or more Notes of each Co-Borrower, instead of or in addition to its loan accounts or records. Each such Lender may attach schedules to its Notes and endorse thereon the date, amount and maturity of its Loans and payments with respect thereto. Any failure so to record or any error in doing so shall not, however, limit or otherwise affect the obligation of the Co-Borrowers to pay any amount owing with respect to the Obligations.</w:t>
      </w:r>
    </w:p>
    <w:p>
      <w:pPr>
        <w:spacing w:after="0" w:line="143" w:lineRule="exact"/>
        <w:rPr>
          <w:rFonts w:ascii="Arial" w:cs="Arial" w:eastAsia="Arial" w:hAnsi="Arial"/>
          <w:sz w:val="18"/>
          <w:szCs w:val="18"/>
          <w:color w:val="auto"/>
        </w:rPr>
      </w:pPr>
    </w:p>
    <w:p>
      <w:pPr>
        <w:jc w:val="both"/>
        <w:ind w:right="60" w:firstLine="921"/>
        <w:spacing w:after="0" w:line="294" w:lineRule="auto"/>
        <w:tabs>
          <w:tab w:leader="none" w:pos="116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Administrative Agent shall maintain, at Administrative Agent’s Office, a register for the recordation of the names and addresses of Lenders and the Revolving Commitments and Extensions of Credit of each Lender from time to time (the “Register”). The Register shall be available for inspection by each Co-Borrower or any Lender at any reasonable time and from time to time upon reasonable prior notice. Administrative Agent shall maintain the Register, acting, solely for this administrative purpose only, as agent for each Co-Borrower (it being acknowledged and agreed that Administrative Agent and each Administrative Agent-Related Person, in such capacity, shall constitute Indemnitees under Section 10.13).</w:t>
      </w:r>
    </w:p>
    <w:p>
      <w:pPr>
        <w:spacing w:after="0" w:line="115" w:lineRule="exact"/>
        <w:rPr>
          <w:rFonts w:ascii="Arial" w:cs="Arial" w:eastAsia="Arial" w:hAnsi="Arial"/>
          <w:sz w:val="16"/>
          <w:szCs w:val="16"/>
          <w:color w:val="auto"/>
        </w:rPr>
      </w:pPr>
    </w:p>
    <w:p>
      <w:pPr>
        <w:ind w:right="100" w:firstLine="921"/>
        <w:spacing w:after="0" w:line="256" w:lineRule="auto"/>
        <w:tabs>
          <w:tab w:leader="none" w:pos="11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Administrative Agent shall record in the Register the Revolving Commitment and Extensions of Credit from time to time of each Lender, and each repayment or prepayment in respect thereof. Any recordation shall be conclusive and binding on each Co-Borrower and each Lender,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make any such recordation, or any error in such recordation, shall not affect any Lender’s Revolving Commitment or Outstanding Revolving Obligations or outstanding Competitive Loans.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80" w:name="page81"/>
    <w:bookmarkEnd w:id="80"/>
    <w:p>
      <w:pPr>
        <w:ind w:left="-20" w:right="40" w:firstLine="921"/>
        <w:spacing w:after="0" w:line="298" w:lineRule="auto"/>
        <w:tabs>
          <w:tab w:leader="none" w:pos="1142"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Lender shall record on its internal loan accounts or records (and may record on the Note(s) held by such Lender) the amount of each Extension of Credit made by it and each payment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make any such recordation, or any error in such recordation, shall not affect any Lender’s Revolving Commitment or Outstanding Revolving Obligations or outstanding Competitive Loans; and provided, further, that in the event of any inconsistency between the Register and any Lender’s records, the recordations in the Register shall govern, absent manifest error.</w:t>
      </w:r>
    </w:p>
    <w:p>
      <w:pPr>
        <w:spacing w:after="0" w:line="112" w:lineRule="exact"/>
        <w:rPr>
          <w:rFonts w:ascii="Arial" w:cs="Arial" w:eastAsia="Arial" w:hAnsi="Arial"/>
          <w:sz w:val="16"/>
          <w:szCs w:val="16"/>
          <w:color w:val="auto"/>
        </w:rPr>
      </w:pPr>
    </w:p>
    <w:p>
      <w:pPr>
        <w:ind w:left="-20" w:right="80" w:firstLine="921"/>
        <w:spacing w:after="0" w:line="289" w:lineRule="auto"/>
        <w:tabs>
          <w:tab w:leader="none" w:pos="11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Co-Borrowers, Administrative Agent and Lenders shall deem and treat the Persons listed as Lenders in the Register as the holders of the corresponding Revolving Commitments and Extensions of Credit listed therein for all purposes hereof, and no assignment or transfer of any such Revolving Commitment or Extensions of Credit shall be effective, in each case, unless and until an Assignment and Assumption effecting the assignment or transfer thereof shall have been accepted by Administrative Agent and recorded in the Register. Prior to such recordation, all amounts owed with respect to the applicable Revolving Commitment or Outstanding Revolving Obligations or outstanding Competitive Loans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Revolving Commitments or Outstanding Revolving Obligations or outstanding Competitive Loans.</w:t>
      </w:r>
    </w:p>
    <w:p>
      <w:pPr>
        <w:spacing w:after="0" w:line="1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Continuation and Conversion Option</w:t>
      </w:r>
      <w:r>
        <w:rPr>
          <w:rFonts w:ascii="Arial" w:cs="Arial" w:eastAsia="Arial" w:hAnsi="Arial"/>
          <w:sz w:val="18"/>
          <w:szCs w:val="18"/>
          <w:color w:val="auto"/>
        </w:rPr>
        <w:t>.</w:t>
      </w:r>
    </w:p>
    <w:p>
      <w:pPr>
        <w:spacing w:after="0" w:line="171" w:lineRule="exact"/>
        <w:rPr>
          <w:sz w:val="20"/>
          <w:szCs w:val="20"/>
          <w:color w:val="auto"/>
        </w:rPr>
      </w:pPr>
    </w:p>
    <w:p>
      <w:pPr>
        <w:ind w:left="-20" w:right="380" w:firstLine="921"/>
        <w:spacing w:after="0" w:line="256" w:lineRule="auto"/>
        <w:tabs>
          <w:tab w:leader="none" w:pos="11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Subject to Section 2.11(d), each Co-Borrower may irrevocably request a Conversion or Continuation of Loans on any Business Day in a Minimum Amount therefor by delivering a Request for Extension of Credit therefor by Requisite Notice to Administrative Agent not later than the Requisite Time therefor. All Conversions and Continuations shall constitute Base Rate Loans unless properly and timely otherwise designated as set forth in the prior sentence.</w:t>
      </w:r>
    </w:p>
    <w:p>
      <w:pPr>
        <w:spacing w:after="0" w:line="143" w:lineRule="exact"/>
        <w:rPr>
          <w:rFonts w:ascii="Arial" w:cs="Arial" w:eastAsia="Arial" w:hAnsi="Arial"/>
          <w:sz w:val="18"/>
          <w:szCs w:val="18"/>
          <w:color w:val="auto"/>
        </w:rPr>
      </w:pPr>
    </w:p>
    <w:p>
      <w:pPr>
        <w:ind w:left="-20" w:firstLine="921"/>
        <w:spacing w:after="0" w:line="298" w:lineRule="auto"/>
        <w:tabs>
          <w:tab w:leader="none" w:pos="1142"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Unless the Co-Borrowers pay all amounts due under Section 3.05, if any, a Eurodollar Rate Loan may be Continued or Converted only on the last day of the Interest Period for such Eurodollar Rate Loan. During the existence of an Event of Default, Administrative Agent may (and upon the request of the Required Lenders shall) prohibit Loans from being requested as, Converted into, or Continued as Eurodollar Rate Loans, and Required Lenders may demand that any or all of the then outstanding Eurodollar Rate Loans be Converted immediately into Base Rate Loans.</w:t>
      </w:r>
    </w:p>
    <w:p>
      <w:pPr>
        <w:spacing w:after="0" w:line="112" w:lineRule="exact"/>
        <w:rPr>
          <w:rFonts w:ascii="Arial" w:cs="Arial" w:eastAsia="Arial" w:hAnsi="Arial"/>
          <w:sz w:val="16"/>
          <w:szCs w:val="16"/>
          <w:color w:val="auto"/>
        </w:rPr>
      </w:pPr>
    </w:p>
    <w:p>
      <w:pPr>
        <w:jc w:val="both"/>
        <w:ind w:left="-20" w:right="180" w:firstLine="921"/>
        <w:spacing w:after="0" w:line="306" w:lineRule="auto"/>
        <w:tabs>
          <w:tab w:leader="none" w:pos="11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Administrative Agent shall promptly notify each relevant Co-Borrower and Lenders of the interest rate applicable to any Eurodollar Rate Loan upon determination of the same. Administrative Agent shall from time to time notify each Co-Borrower and Lenders of any change in JPMorgan Chase’s prime rate used in determining the Base Rate promptly following the public announcement of such change.</w:t>
      </w:r>
    </w:p>
    <w:p>
      <w:pPr>
        <w:spacing w:after="0" w:line="106" w:lineRule="exact"/>
        <w:rPr>
          <w:rFonts w:ascii="Arial" w:cs="Arial" w:eastAsia="Arial" w:hAnsi="Arial"/>
          <w:sz w:val="16"/>
          <w:szCs w:val="16"/>
          <w:color w:val="auto"/>
        </w:rPr>
      </w:pPr>
    </w:p>
    <w:p>
      <w:pPr>
        <w:ind w:left="1140" w:hanging="239"/>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Competitive Loans may not be Converted or Continued.</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71" w:lineRule="exact"/>
        <w:rPr>
          <w:sz w:val="20"/>
          <w:szCs w:val="20"/>
          <w:color w:val="auto"/>
        </w:rPr>
      </w:pPr>
    </w:p>
    <w:p>
      <w:pPr>
        <w:ind w:left="-20" w:right="40" w:firstLine="921"/>
        <w:spacing w:after="0" w:line="259" w:lineRule="auto"/>
        <w:tabs>
          <w:tab w:leader="none" w:pos="11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Subject to subsection (b) below, and unless otherwise specified herein, each Co-Borrower hereby promises to pay interest on the unpaid principal amount of each Loan made to it (before and after default, before and after maturity, before and after judgment and before and after the commencement of any proceeding under any Debtor Relief Laws) from the date borrowed until paid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60" w:top="280"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 (whether by acceleration or otherwise) on each Applicable Payment Date at a rate per annum equal to:</w:t>
      </w:r>
    </w:p>
    <w:p>
      <w:pPr>
        <w:spacing w:after="0" w:line="90" w:lineRule="exact"/>
        <w:rPr>
          <w:sz w:val="20"/>
          <w:szCs w:val="20"/>
          <w:color w:val="auto"/>
        </w:rPr>
      </w:pPr>
    </w:p>
    <w:p>
      <w:pPr>
        <w:ind w:left="1140" w:hanging="219"/>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Base Rate Loans, the Base Rate plus the Applicable Amount for such type of Loan;</w:t>
      </w:r>
    </w:p>
    <w:p>
      <w:pPr>
        <w:spacing w:after="0" w:line="171" w:lineRule="exact"/>
        <w:rPr>
          <w:rFonts w:ascii="Arial" w:cs="Arial" w:eastAsia="Arial" w:hAnsi="Arial"/>
          <w:sz w:val="18"/>
          <w:szCs w:val="18"/>
          <w:color w:val="auto"/>
        </w:rPr>
      </w:pPr>
    </w:p>
    <w:p>
      <w:pPr>
        <w:ind w:firstLine="921"/>
        <w:spacing w:after="0" w:line="268" w:lineRule="auto"/>
        <w:tabs>
          <w:tab w:leader="none" w:pos="117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Eurodollar Rate Loans (other than Competitive Loans), the Eurodollar Rate for the Interest Period in effect for such Borrowing plus the Applicable Amount for such type of Loan;</w:t>
      </w:r>
    </w:p>
    <w:p>
      <w:pPr>
        <w:spacing w:after="0" w:line="131" w:lineRule="exact"/>
        <w:rPr>
          <w:rFonts w:ascii="Arial" w:cs="Arial" w:eastAsia="Arial" w:hAnsi="Arial"/>
          <w:sz w:val="18"/>
          <w:szCs w:val="18"/>
          <w:color w:val="auto"/>
        </w:rPr>
      </w:pPr>
    </w:p>
    <w:p>
      <w:pPr>
        <w:ind w:right="20" w:firstLine="921"/>
        <w:spacing w:after="0" w:line="268" w:lineRule="auto"/>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Competitive Loans that are Eurodollar Rate Loans, the Eurodollar Rate for the Interest Period in effect for such Borrowing plus (or minus, as the case may be) Margin applicable to such Loan; and</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Fixed Rate Loans, at the Fixed Rate applicable to such Loan.</w:t>
      </w:r>
    </w:p>
    <w:p>
      <w:pPr>
        <w:spacing w:after="0" w:line="171" w:lineRule="exact"/>
        <w:rPr>
          <w:sz w:val="20"/>
          <w:szCs w:val="20"/>
          <w:color w:val="auto"/>
        </w:rPr>
      </w:pPr>
    </w:p>
    <w:p>
      <w:pPr>
        <w:ind w:right="100" w:firstLine="921"/>
        <w:spacing w:after="0" w:line="256" w:lineRule="auto"/>
        <w:tabs>
          <w:tab w:leader="none" w:pos="11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any amount payable by a Co-Borrower under any Loan Document is not paid when due (without regard to any applicable grace periods), such Co-Borrower hereby promises to pay interest (after as well as before entry of judgment thereon to the extent permitted by 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143" w:lineRule="exact"/>
        <w:rPr>
          <w:rFonts w:ascii="Arial" w:cs="Arial" w:eastAsia="Arial" w:hAnsi="Arial"/>
          <w:sz w:val="18"/>
          <w:szCs w:val="18"/>
          <w:color w:val="auto"/>
        </w:rPr>
      </w:pPr>
    </w:p>
    <w:p>
      <w:pPr>
        <w:ind w:right="100" w:firstLine="921"/>
        <w:spacing w:after="0" w:line="268" w:lineRule="auto"/>
        <w:tabs>
          <w:tab w:leader="none" w:pos="11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any Business Day, either Co-Borrower may call Administrative Agent and request information as to the then current Eurodollar Base Rate or Base Rate, and Administrative Agent shall provide such information.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89" w:lineRule="auto"/>
        <w:tabs>
          <w:tab w:leader="none" w:pos="1152"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Borrower shall pay to Administrative Agent, on its own behalf and on behalf of CCCL, for the account of each Lender pro rata according to its Revolving Percentage a commitment fee equal to the Applicable Amount times the average daily amount of the excess, if any, of its Revolving Commitment over its Outstanding Revolving Obligations (it being understood, for avoidance of doubt, that for purposes of the calculation of the commitment fee, Competitive Loans shall not be deemed to be a utilization of the Revolving Facility). The commitment fee shall accrue at all times from the Effective Date until the Revolving Termination Date (as it may be extended) and shall be payable quarterly in arrears on each Applicable Payment Date. If there is any change in the Applicable Amount during any quarter, the actual daily amount shall be computed and multiplied by the Applicable Amount separately for each period during such quarter that such Applicable Amount was in effect. The commitment fee shall accrue at all applicable times, including at any time during which one or more conditions in Section 4 are not met.</w:t>
      </w:r>
    </w:p>
    <w:p>
      <w:pPr>
        <w:spacing w:after="0" w:line="118" w:lineRule="exact"/>
        <w:rPr>
          <w:rFonts w:ascii="Arial" w:cs="Arial" w:eastAsia="Arial" w:hAnsi="Arial"/>
          <w:sz w:val="16"/>
          <w:szCs w:val="16"/>
          <w:color w:val="auto"/>
        </w:rPr>
      </w:pPr>
    </w:p>
    <w:p>
      <w:pPr>
        <w:ind w:right="120" w:firstLine="921"/>
        <w:spacing w:after="0" w:line="268" w:lineRule="auto"/>
        <w:tabs>
          <w:tab w:leader="none" w:pos="116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Borrower agrees to pay to Administrative Agent, on its own behalf and on behalf of CCCL, the fees in the amounts and on the dates previously agreed to in writing by Borrower and Administrative Agent.</w:t>
      </w:r>
    </w:p>
    <w:p>
      <w:pPr>
        <w:spacing w:after="0" w:line="132"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Computation of interest on Base Rate Loans when the Base Rate is determined by JPMorgan Chase’s “prime rate” shall be calculated on the basis of a year of 365 or 366 days, as the case may be, and the actual number of days elapsed. Computation of all other types of interest and all fees shall be calculated on the basis of a year of 360 days and the actual number of days elapsed. Interest shall accrue on each Loan for the day on which the Loan is made,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82" w:name="page83"/>
    <w:bookmarkEnd w:id="82"/>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accrue on a Loan, or any portion thereof, for the day on which the Loan or such portion is paid, provided that any Loan that is repaid on the same day on which it is made shall bear interest for one day.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Making Payments</w:t>
      </w:r>
      <w:r>
        <w:rPr>
          <w:rFonts w:ascii="Arial" w:cs="Arial" w:eastAsia="Arial" w:hAnsi="Arial"/>
          <w:sz w:val="18"/>
          <w:szCs w:val="18"/>
          <w:color w:val="auto"/>
        </w:rPr>
        <w:t>.</w:t>
      </w:r>
    </w:p>
    <w:p>
      <w:pPr>
        <w:spacing w:after="0" w:line="171" w:lineRule="exact"/>
        <w:rPr>
          <w:sz w:val="20"/>
          <w:szCs w:val="20"/>
          <w:color w:val="auto"/>
        </w:rPr>
      </w:pPr>
    </w:p>
    <w:p>
      <w:pPr>
        <w:ind w:right="100" w:firstLine="921"/>
        <w:spacing w:after="0" w:line="255" w:lineRule="auto"/>
        <w:tabs>
          <w:tab w:leader="none" w:pos="11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otherwise provided herein, all payments by a Co-Borrower or any Lender hereunder shall be made to Administrative Agent at Administrative Agent’s Office not later than the Requisite Time for such type of payment. All payments received after such Requisite Time shall be deemed received on the next succeeding Business Day for purposes of the calculation of interest and fees, but not for purposes of determining whether a Default has occurred. All payments of principal and interest shall be made in immediately available funds in Dollars. All payments by a Co-Borrower shall be made without condition or deduction for any counterclaim, defense, recoupment or setoff.</w:t>
      </w:r>
    </w:p>
    <w:p>
      <w:pPr>
        <w:spacing w:after="0" w:line="142" w:lineRule="exact"/>
        <w:rPr>
          <w:rFonts w:ascii="Arial" w:cs="Arial" w:eastAsia="Arial" w:hAnsi="Arial"/>
          <w:sz w:val="18"/>
          <w:szCs w:val="18"/>
          <w:color w:val="auto"/>
        </w:rPr>
      </w:pPr>
    </w:p>
    <w:p>
      <w:pPr>
        <w:ind w:right="100" w:firstLine="921"/>
        <w:spacing w:after="0" w:line="255"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satisfaction of any applicable terms and conditions set forth herein, Administrative Agent shall promptly make any amounts received in accordance with Section 2.15(a) available in like funds received as follows: (i) if payable to a Co-Borrower, by crediting a deposit account designated from time to time by such Co-Borrower to Administrative Agent by Requisite Notice, and (ii) if payable to any Lender, by wire transfer to such Lender at its Lending Office. If such conditions are not so satisfied, Administrative Agent shall return any funds it is holding to the Lenders making such funds available, without interest.</w:t>
      </w:r>
    </w:p>
    <w:p>
      <w:pPr>
        <w:spacing w:after="0" w:line="142" w:lineRule="exact"/>
        <w:rPr>
          <w:rFonts w:ascii="Arial" w:cs="Arial" w:eastAsia="Arial" w:hAnsi="Arial"/>
          <w:sz w:val="18"/>
          <w:szCs w:val="18"/>
          <w:color w:val="auto"/>
        </w:rPr>
      </w:pPr>
    </w:p>
    <w:p>
      <w:pPr>
        <w:ind w:right="180" w:firstLine="921"/>
        <w:spacing w:after="0" w:line="370" w:lineRule="auto"/>
        <w:tabs>
          <w:tab w:leader="none" w:pos="1152" w:val="left"/>
        </w:tabs>
        <w:numPr>
          <w:ilvl w:val="0"/>
          <w:numId w:val="60"/>
        </w:numPr>
        <w:rPr>
          <w:rFonts w:ascii="Arial" w:cs="Arial" w:eastAsia="Arial" w:hAnsi="Arial"/>
          <w:sz w:val="15"/>
          <w:szCs w:val="15"/>
          <w:color w:val="auto"/>
        </w:rPr>
      </w:pPr>
      <w:r>
        <w:rPr>
          <w:rFonts w:ascii="Arial" w:cs="Arial" w:eastAsia="Arial" w:hAnsi="Arial"/>
          <w:sz w:val="15"/>
          <w:szCs w:val="15"/>
          <w:color w:val="auto"/>
        </w:rPr>
        <w:t>Subject to the definition of “Interest Period,” if any payment to be made by a Co-Borrower shall come due on a day other than a Business Day, payment shall instead be considered due on the next succeeding Business Day, and such extension of time shall be reflected in computing interest and fees.</w:t>
      </w:r>
    </w:p>
    <w:p>
      <w:pPr>
        <w:spacing w:after="0" w:line="62" w:lineRule="exact"/>
        <w:rPr>
          <w:rFonts w:ascii="Arial" w:cs="Arial" w:eastAsia="Arial" w:hAnsi="Arial"/>
          <w:sz w:val="15"/>
          <w:szCs w:val="15"/>
          <w:color w:val="auto"/>
        </w:rPr>
      </w:pPr>
    </w:p>
    <w:p>
      <w:pPr>
        <w:jc w:val="both"/>
        <w:ind w:firstLine="921"/>
        <w:spacing w:after="0" w:line="298" w:lineRule="auto"/>
        <w:tabs>
          <w:tab w:leader="none" w:pos="1162" w:val="left"/>
        </w:tabs>
        <w:numPr>
          <w:ilvl w:val="0"/>
          <w:numId w:val="60"/>
        </w:numPr>
        <w:rPr>
          <w:rFonts w:ascii="Arial" w:cs="Arial" w:eastAsia="Arial" w:hAnsi="Arial"/>
          <w:sz w:val="16"/>
          <w:szCs w:val="16"/>
          <w:color w:val="auto"/>
        </w:rPr>
      </w:pPr>
      <w:r>
        <w:rPr>
          <w:rFonts w:ascii="Arial" w:cs="Arial" w:eastAsia="Arial" w:hAnsi="Arial"/>
          <w:sz w:val="16"/>
          <w:szCs w:val="16"/>
          <w:color w:val="auto"/>
        </w:rPr>
        <w:t>Unless a Co-Borrower or any Lender has notified Administrative Agent, prior to the Requisite Time any payment to be made by it is due, that it does not intend to remit such payment, Administrative Agent may, in its sole and absolute discretion, assume that such Co-Borrower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31" w:lineRule="exact"/>
        <w:rPr>
          <w:rFonts w:ascii="Arial" w:cs="Arial" w:eastAsia="Arial" w:hAnsi="Arial"/>
          <w:sz w:val="16"/>
          <w:szCs w:val="16"/>
          <w:color w:val="auto"/>
        </w:rPr>
      </w:pPr>
    </w:p>
    <w:p>
      <w:pPr>
        <w:ind w:left="920" w:right="60" w:firstLine="421"/>
        <w:spacing w:after="0" w:line="335" w:lineRule="auto"/>
        <w:tabs>
          <w:tab w:leader="none" w:pos="1549" w:val="left"/>
        </w:tabs>
        <w:numPr>
          <w:ilvl w:val="1"/>
          <w:numId w:val="60"/>
        </w:numPr>
        <w:rPr>
          <w:rFonts w:ascii="Arial" w:cs="Arial" w:eastAsia="Arial" w:hAnsi="Arial"/>
          <w:sz w:val="15"/>
          <w:szCs w:val="15"/>
          <w:color w:val="auto"/>
        </w:rPr>
      </w:pPr>
      <w:r>
        <w:rPr>
          <w:rFonts w:ascii="Arial" w:cs="Arial" w:eastAsia="Arial" w:hAnsi="Arial"/>
          <w:sz w:val="15"/>
          <w:szCs w:val="15"/>
          <w:color w:val="auto"/>
        </w:rPr>
        <w:t>If a Co-Borrower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7" w:lineRule="exact"/>
        <w:rPr>
          <w:rFonts w:ascii="Arial" w:cs="Arial" w:eastAsia="Arial" w:hAnsi="Arial"/>
          <w:sz w:val="15"/>
          <w:szCs w:val="15"/>
          <w:color w:val="auto"/>
        </w:rPr>
      </w:pPr>
    </w:p>
    <w:p>
      <w:pPr>
        <w:ind w:left="920" w:firstLine="421"/>
        <w:spacing w:after="0" w:line="290" w:lineRule="auto"/>
        <w:tabs>
          <w:tab w:leader="none" w:pos="1598" w:val="left"/>
        </w:tabs>
        <w:numPr>
          <w:ilvl w:val="1"/>
          <w:numId w:val="60"/>
        </w:numPr>
        <w:rPr>
          <w:rFonts w:ascii="Arial" w:cs="Arial" w:eastAsia="Arial" w:hAnsi="Arial"/>
          <w:sz w:val="16"/>
          <w:szCs w:val="16"/>
          <w:color w:val="auto"/>
        </w:rPr>
      </w:pPr>
      <w:r>
        <w:rPr>
          <w:rFonts w:ascii="Arial" w:cs="Arial" w:eastAsia="Arial" w:hAnsi="Arial"/>
          <w:sz w:val="16"/>
          <w:szCs w:val="16"/>
          <w:color w:val="auto"/>
        </w:rPr>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the relevant Co-Borrower, and such Co-Borrower shall pay such corresponding amount to Administrative Agent. Administrative Agent also shall be entitled to recover interest on such corresponding amount in respect of each day from the date such corresponding amount was made available by Administrative Agent to a Co-Borrower to the date such corresponding amount is recovered by Administrative Agent, (A) from such Lender at a rate per annum equal to the Federal Funds Rate, and (B) from such Co-Borrower, at a rate per annum equal to the interest rate applicable to such Borrowing. Nothing herein shall be deemed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83" w:name="page84"/>
    <w:bookmarkEnd w:id="83"/>
    <w:p>
      <w:pPr>
        <w:ind w:left="920"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relieve any Lender from its obligation to fulfill its Revolving Commitment or to prejudice any rights which Administrative Agent or a Co-Borrower may have against any Lender as a result of any default by such Lender hereunder.</w:t>
      </w:r>
    </w:p>
    <w:p>
      <w:pPr>
        <w:spacing w:after="0" w:line="132" w:lineRule="exact"/>
        <w:rPr>
          <w:sz w:val="20"/>
          <w:szCs w:val="20"/>
          <w:color w:val="auto"/>
        </w:rPr>
      </w:pPr>
    </w:p>
    <w:p>
      <w:pPr>
        <w:ind w:right="160" w:firstLine="921"/>
        <w:spacing w:after="0" w:line="256" w:lineRule="auto"/>
        <w:tabs>
          <w:tab w:leader="none" w:pos="11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Administrative Agent or any Lender is required at any time to return to a Co-Borrower, or to a trustee, receiver, liquidator, custodian or any official under any proceeding under Debtor Relief Laws, any portion of a payment made by such Co-Borrower, each Lender shall, on demand of Administrative Agent, return its share of the amount to be returned, plus interest thereon from the date of such demand to the date such payment is made at a rate per annum equal to the Federal Funds Rate.</w:t>
      </w:r>
    </w:p>
    <w:p>
      <w:pPr>
        <w:spacing w:after="0" w:line="143"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Funding Sources</w:t>
      </w:r>
      <w:r>
        <w:rPr>
          <w:rFonts w:ascii="Arial" w:cs="Arial" w:eastAsia="Arial" w:hAnsi="Arial"/>
          <w:sz w:val="16"/>
          <w:szCs w:val="16"/>
          <w:color w:val="auto"/>
        </w:rPr>
        <w:t>. Nothing in this Agreement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85"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32" w:lineRule="exact"/>
        <w:rPr>
          <w:sz w:val="20"/>
          <w:szCs w:val="20"/>
          <w:color w:val="auto"/>
        </w:rPr>
      </w:pPr>
    </w:p>
    <w:p>
      <w:pPr>
        <w:ind w:left="1160" w:hanging="239"/>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Fees set forth in Section 2.13(a) shall cease to accrue on the unfunded portion of the Commitments of such Defaulting Lender;</w:t>
      </w:r>
    </w:p>
    <w:p>
      <w:pPr>
        <w:spacing w:after="0" w:line="171" w:lineRule="exact"/>
        <w:rPr>
          <w:rFonts w:ascii="Arial" w:cs="Arial" w:eastAsia="Arial" w:hAnsi="Arial"/>
          <w:sz w:val="18"/>
          <w:szCs w:val="18"/>
          <w:color w:val="auto"/>
        </w:rPr>
      </w:pPr>
    </w:p>
    <w:p>
      <w:pPr>
        <w:ind w:right="20" w:firstLine="921"/>
        <w:spacing w:after="0" w:line="259"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extent permitted by applicable Law, any voluntary prepayment of Revolving Loans shall, if Borrower so directs at the time of making such voluntary prepayment, be applied to the Revolving Loans of other Lenders as if such Defaulting Lender had no Revolving Loans outstanding and the Aggregate Exposure of such Defaulting Lender in respect of its Revolving Commitment were zero;</w:t>
      </w:r>
    </w:p>
    <w:p>
      <w:pPr>
        <w:spacing w:after="0" w:line="140" w:lineRule="exact"/>
        <w:rPr>
          <w:rFonts w:ascii="Arial" w:cs="Arial" w:eastAsia="Arial" w:hAnsi="Arial"/>
          <w:sz w:val="18"/>
          <w:szCs w:val="18"/>
          <w:color w:val="auto"/>
        </w:rPr>
      </w:pPr>
    </w:p>
    <w:p>
      <w:pPr>
        <w:ind w:right="20" w:firstLine="921"/>
        <w:spacing w:after="0" w:line="291" w:lineRule="auto"/>
        <w:tabs>
          <w:tab w:leader="none" w:pos="115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Aggregate Exposure of such Defaulting Lender shall not be included in determining whether all Lenders or Required Lenders have taken or may take any action hereunder (including any consent to any amendment, waiver or modification pursuant to Section 10.01), provided that any waiver, amendment or modification requiring the consent of all Lenders or each affected Lender which affects such Defaulting Lender differently than other affected Lenders shall require the consent of such Defaulting Lender and in any event, no such amendment, modification, or waiver shall increase the Commitments or the principal amount of any Loans of such Defaulting Lender, extend the maturity date applicable thereto or decrease the rate of interest (including any commitment fees) payable in respect thereof without the consent of such Defaulting Lender;</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any Letter of Credit Usage exists at the time a Lender becomes a Defaulting Lender then:</w:t>
      </w:r>
    </w:p>
    <w:p>
      <w:pPr>
        <w:spacing w:after="0" w:line="90" w:lineRule="exact"/>
        <w:rPr>
          <w:rFonts w:ascii="Arial" w:cs="Arial" w:eastAsia="Arial" w:hAnsi="Arial"/>
          <w:sz w:val="18"/>
          <w:szCs w:val="18"/>
          <w:color w:val="auto"/>
        </w:rPr>
      </w:pPr>
    </w:p>
    <w:p>
      <w:pPr>
        <w:ind w:left="920" w:right="140" w:firstLine="421"/>
        <w:spacing w:after="0" w:line="256" w:lineRule="auto"/>
        <w:tabs>
          <w:tab w:leader="none" w:pos="1549"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or any part of such Letter of Credit Usage shall be reallocated among the Lenders that are not Defaulting Lenders in accordance with their respective Revolving Percentages but, in any case, only to the extent the sum of the Outstanding Revolving Obligations of all Lenders that are not Defaulting Lenders plus such Defaulting Lender’s ratable participation in all Letter of Credit Usage does not exceed the total of the Revolving Commitments of all Lenders that are not Defaulting Lenders;</w:t>
      </w:r>
    </w:p>
    <w:p>
      <w:pPr>
        <w:spacing w:after="0" w:line="62"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Borrower shall within one Business Day following notice by Administrative Agent, either (x) cash collateralize such Defaulting Lender’s participation in all Letter of Credit Usage (after giving effect to any partial reallocation pursuant to clause (i)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84" w:name="page85"/>
    <w:bookmarkEnd w:id="84"/>
    <w:p>
      <w:pPr>
        <w:ind w:left="90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 Letter of Credit Cash Collateral Account for so long as such Letter of Credit is outstanding or (y) backstop such Letter of Credit Usage with a letter of credit reasonably satisfactory to the Issuing Lender;</w:t>
      </w:r>
    </w:p>
    <w:p>
      <w:pPr>
        <w:spacing w:after="0" w:line="51" w:lineRule="exact"/>
        <w:rPr>
          <w:sz w:val="20"/>
          <w:szCs w:val="20"/>
          <w:color w:val="auto"/>
        </w:rPr>
      </w:pPr>
    </w:p>
    <w:p>
      <w:pPr>
        <w:ind w:left="900" w:firstLine="421"/>
        <w:spacing w:after="0" w:line="306" w:lineRule="auto"/>
        <w:tabs>
          <w:tab w:leader="none" w:pos="1627"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Borrower cash collateralizes or backstops any portion of such Defaulting Lender’s Letter of Credit Usage pursuant to this subsection (d), Borrower shall not be required to pay any fees to such Defaulting Lender pursuant to Section 2.03(j) with respect to such Defaulting Lender’s Letter of Credit Usage during the period such Defaulting Lender’s Letter of Credit Usage is cash collateralized or backstopped;</w:t>
      </w:r>
    </w:p>
    <w:p>
      <w:pPr>
        <w:spacing w:after="0" w:line="25" w:lineRule="exact"/>
        <w:rPr>
          <w:rFonts w:ascii="Arial" w:cs="Arial" w:eastAsia="Arial" w:hAnsi="Arial"/>
          <w:sz w:val="16"/>
          <w:szCs w:val="16"/>
          <w:color w:val="auto"/>
        </w:rPr>
      </w:pPr>
    </w:p>
    <w:p>
      <w:pPr>
        <w:ind w:left="900" w:right="220" w:firstLine="421"/>
        <w:spacing w:after="0" w:line="259" w:lineRule="auto"/>
        <w:tabs>
          <w:tab w:leader="none" w:pos="1617"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the Letter of Credit Usage attributable to the Defaulting Lenders is reallocated pursuant to this subsection (d), then the fees payable to the non-Defaulting Lenders pursuant to Section 2.03(j) and Section 2.13(a) shall be adjusted in accordance with the non-Defaulting Lenders’ respective Revolving Percentages to account for such reallocation; and</w:t>
      </w:r>
    </w:p>
    <w:p>
      <w:pPr>
        <w:spacing w:after="0" w:line="59" w:lineRule="exact"/>
        <w:rPr>
          <w:rFonts w:ascii="Arial" w:cs="Arial" w:eastAsia="Arial" w:hAnsi="Arial"/>
          <w:sz w:val="18"/>
          <w:szCs w:val="18"/>
          <w:color w:val="auto"/>
        </w:rPr>
      </w:pPr>
    </w:p>
    <w:p>
      <w:pPr>
        <w:ind w:left="900" w:right="20" w:firstLine="421"/>
        <w:spacing w:after="0" w:line="298" w:lineRule="auto"/>
        <w:tabs>
          <w:tab w:leader="none" w:pos="1568"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any Defaulting Lender’s participation in all Letter of Credit Usage is neither cash collateralized, backstopped nor reallocated pursuant to this subsection (d), then, without prejudice to any rights or remedies of Issuing Lenders or any Lender hereunder, all Letter of Credit fees payable under Section 2.03(j) with respect to such Defaulting Lender’s remaining participation in all Letter of Credit Usage shall be payable to the applicable Issuing Lenders until such participation in all Letter of Credit Usage is backstopped, cash collateralized and/or reallocated</w:t>
      </w:r>
    </w:p>
    <w:p>
      <w:pPr>
        <w:spacing w:after="0" w:line="112" w:lineRule="exact"/>
        <w:rPr>
          <w:rFonts w:ascii="Arial" w:cs="Arial" w:eastAsia="Arial" w:hAnsi="Arial"/>
          <w:sz w:val="16"/>
          <w:szCs w:val="16"/>
          <w:color w:val="auto"/>
        </w:rPr>
      </w:pPr>
    </w:p>
    <w:p>
      <w:pPr>
        <w:ind w:left="-20" w:right="100" w:firstLine="921"/>
        <w:spacing w:after="0" w:line="255" w:lineRule="auto"/>
        <w:tabs>
          <w:tab w:leader="none" w:pos="11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So long as any Lender is a Defaulting Lender, no Issuing Lender shall be required to issue, amend or increase any Letter of Credit, unless it is satisfied that the related exposure will be 100% covered by the Revolving Commitments of the non-Defaulting Lenders and/or cash collateral or backstop letters of credit will be provided by Borrower in accordance with subsection (d) of this Section, and participating interests in any such newly issued or increased Letter of Credit shall be allocated among non-Defaulting Lenders that are Lenders in a manner consistent with subsection (d)(i) of this Section (and Defaulting Lenders shall not participate therein).</w:t>
      </w:r>
    </w:p>
    <w:p>
      <w:pPr>
        <w:spacing w:after="0" w:line="142" w:lineRule="exact"/>
        <w:rPr>
          <w:rFonts w:ascii="Arial" w:cs="Arial" w:eastAsia="Arial" w:hAnsi="Arial"/>
          <w:sz w:val="18"/>
          <w:szCs w:val="18"/>
          <w:color w:val="auto"/>
        </w:rPr>
      </w:pPr>
    </w:p>
    <w:p>
      <w:pPr>
        <w:ind w:left="-20" w:right="20" w:firstLine="921"/>
        <w:spacing w:after="0" w:line="255" w:lineRule="auto"/>
        <w:tabs>
          <w:tab w:leader="none" w:pos="111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event that each of Administrative Agent, Borrower and Issuing Lenders agrees that a Defaulting Lender has adequately remedied all matters that caused such Lender to be a Defaulting Lender, then the Letter of Credit Usage of the Lenders shall be readjusted to reflect the inclusion of such formerly Defaulting Lender’s Revolving Commitment and on such date such formerly Defaulting Lender shall purchase at par such of the Revolving Loans of the other Lenders as Administrative Agent shall determine may be necessary in order for such formerly Defaulting Lender to hold such Revolving Loans in accordance with its Revolving Percentage.</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Currency Equivalents</w:t>
      </w:r>
      <w:r>
        <w:rPr>
          <w:rFonts w:ascii="Arial" w:cs="Arial" w:eastAsia="Arial" w:hAnsi="Arial"/>
          <w:sz w:val="18"/>
          <w:szCs w:val="18"/>
          <w:color w:val="auto"/>
        </w:rPr>
        <w:t>.</w:t>
      </w:r>
    </w:p>
    <w:p>
      <w:pPr>
        <w:spacing w:after="0" w:line="171" w:lineRule="exact"/>
        <w:rPr>
          <w:sz w:val="20"/>
          <w:szCs w:val="20"/>
          <w:color w:val="auto"/>
        </w:rPr>
      </w:pPr>
    </w:p>
    <w:p>
      <w:pPr>
        <w:ind w:left="-20" w:right="20" w:firstLine="921"/>
        <w:spacing w:after="0" w:line="256" w:lineRule="auto"/>
        <w:tabs>
          <w:tab w:leader="none" w:pos="11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Administrative Agent shall determine the Dollar Amount of (i) the Letter of Credit Usage in respect of Letters of Credit denominated in an Alternative Currency based on the Exchange Rate (A) as of the end of each fiscal quarter of Borrower, (B) on or about the date of the related notice requesting the issuance of such Letter of Credit and (C) at such other times as Administrative Agent may elect in its discretion and (ii) any other amount to be converted into Dollars in accordance with the provisions hereof at the time of such conversion.</w:t>
      </w:r>
    </w:p>
    <w:p>
      <w:pPr>
        <w:spacing w:after="0" w:line="143" w:lineRule="exact"/>
        <w:rPr>
          <w:rFonts w:ascii="Arial" w:cs="Arial" w:eastAsia="Arial" w:hAnsi="Arial"/>
          <w:sz w:val="18"/>
          <w:szCs w:val="18"/>
          <w:color w:val="auto"/>
        </w:rPr>
      </w:pPr>
    </w:p>
    <w:p>
      <w:pPr>
        <w:ind w:left="-20" w:right="300" w:firstLine="921"/>
        <w:spacing w:after="0" w:line="268" w:lineRule="auto"/>
        <w:tabs>
          <w:tab w:leader="none" w:pos="11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after giving effect to any such determination of a Dollar Amount, the Letter of Credit Usage exceeds 105% of the Letter of Credit Sublimit, Borrower shall, within five Business Days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60" w:top="280" w:right="239" w:bottom="1440" w:gutter="0" w:footer="0" w:header="0"/>
        </w:sectPr>
      </w:pPr>
    </w:p>
    <w:bookmarkStart w:id="85" w:name="page86"/>
    <w:bookmarkEnd w:id="85"/>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 of notice thereof from Administrative Agent setting forth such calculation in reasonable detail, deposit cash collateral in a Letter of Credit Cash Collateral Account in an amount equal to such excess.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TAXES, YIELD PROTECTION AND ILLEGALITY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4" w:lineRule="auto"/>
        <w:tabs>
          <w:tab w:leader="none" w:pos="115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the extent permitted by Law, any and all payments by or on account of a Co-Borrower to or for the account of any Lender Party under any Loan Document shall be made free and clear of and without deduction or withholding for or on account of any and all present or future income, stamp or other taxes, duties, levies, imposts, deductions, assessments, fees, withholdings or similar charges, now or hereafter imposed, levied, collected, withheld or assessed and all liabilities with respect thereto, excluding, (w) in the case of a Lender Party, taxes imposed on or measured by its net income, and franchise taxes (imposed in lieu of net income taxes) imposed on it, (I) by the jurisdiction (or any political subdivision thereof) under the Laws of which the Lender Party is organized or maintains a Lending Office, or (II) by reason of any present or former connection between such Lender Party and the jurisdiction imposing such taxes, other than solely as a result of this Agreement or any Note or any transaction contemplated thereby, (x) with respect to each Lender Party, taxes imposed by reason of any present or former connection between such Lender Party and the jurisdiction imposing such taxes, other than solely as a result of this Agreement or any Note or any transaction contemplated hereby, (y) in the case of a Lender Party organized under the Laws of a jurisdiction outside the United States (other than an assignee pursuant to a request by Borrower under Section 3.06(b)), any withholding tax that is imposed on amounts payable to such Lender Party at the time such Lender Party becomes a party to this Agreement (or designates a new lending office) or is attributable to such Lender Party’s failure to comply with Section 10.20, except to the extent that such Lender Party (or its assignor, if any) was entitled, at the time of designation of a new lending office (or assignment), to receive additional amounts from Borrower with respect to such withholding tax pursuant to this Section and (z) U.S. federal withholding taxes imposed pursuant to FATCA (all non-excluded taxes, duties, levies, imposts, deductions, assessments, fees, withholdings or similar charges, and liabilities imposed on or with respect to any payment made by or on account of any obligation of any Loan Party under any Loan Document being hereinafter referred to as “</w:t>
      </w:r>
      <w:r>
        <w:rPr>
          <w:rFonts w:ascii="Arial" w:cs="Arial" w:eastAsia="Arial" w:hAnsi="Arial"/>
          <w:sz w:val="16"/>
          <w:szCs w:val="16"/>
          <w:u w:val="single" w:color="auto"/>
          <w:color w:val="auto"/>
        </w:rPr>
        <w:t>Non-Excluded Taxes</w:t>
      </w:r>
      <w:r>
        <w:rPr>
          <w:rFonts w:ascii="Arial" w:cs="Arial" w:eastAsia="Arial" w:hAnsi="Arial"/>
          <w:sz w:val="16"/>
          <w:szCs w:val="16"/>
          <w:color w:val="auto"/>
        </w:rPr>
        <w:t>”). If a Co-Borrower or Administrative Agent shall be required by any Laws to deduct any Non-Excluded Taxes from or in respect of any sum payable under any Loan Document to any Lender Party, (i) the sum payable shall be increased as necessary so that after making all required deductions (including deductions applicable to additional sums payable under this Section), such Lender Party receives an amount equal to the sum it would have received had no such deductions been made, (ii) such Co-Borrower or Administrative Agent shall make such deductions or withholdings, (iii) such Co-Borrower or Administrative Agent shall pay the full amount deducted or withheld to the relevant taxation authority or other authority in accordance with applicable Laws and (iv) within 30 days after the date of such payment by a Co-Borrower, such Co-Borrower shall furnish to Administrative Agent (who shall forward the same to such Lender Party) the original or a certified copy of a receipt evidencing payment thereof.</w:t>
      </w:r>
    </w:p>
    <w:p>
      <w:pPr>
        <w:spacing w:after="0" w:line="126" w:lineRule="exact"/>
        <w:rPr>
          <w:rFonts w:ascii="Arial" w:cs="Arial" w:eastAsia="Arial" w:hAnsi="Arial"/>
          <w:sz w:val="16"/>
          <w:szCs w:val="16"/>
          <w:color w:val="auto"/>
        </w:rPr>
      </w:pPr>
    </w:p>
    <w:p>
      <w:pPr>
        <w:ind w:right="60" w:firstLine="921"/>
        <w:spacing w:after="0" w:line="259" w:lineRule="auto"/>
        <w:tabs>
          <w:tab w:leader="none" w:pos="11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addition, each Co-Borrower agrees to pay any and all present or future stamp, court, documentary, intangible, recording, filing or other similar taxes, charges or levies which arise from any payment made by it under any Loan Document or from the execution, delivery, performance, enforcement or registration of, or otherwise with respect to, any Loan Document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86" w:name="page87"/>
    <w:bookmarkEnd w:id="86"/>
    <w:p>
      <w:pPr>
        <w:ind w:right="100" w:firstLine="921"/>
        <w:spacing w:after="0" w:line="291" w:lineRule="auto"/>
        <w:tabs>
          <w:tab w:leader="none" w:pos="1152"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Co-Borrower agrees to indemnify each Lender Party for the full amount of Non-Excluded Taxes and Other Taxes (including any Non-Excluded Taxes or Other Taxes imposed or asserted by any jurisdiction on amounts payable under this Section) paid by such Lender Party with respect to any Loan or Loan Document and any liability (including penalties, interest and expenses) arising therefrom or with respect thereto. If a Co-Borrower fails to pay any Non-Excluded Taxes or Other Taxes when due to the appropriate taxing authority or fails to remit to the Administrative Agent the required receipts or other required documentary evidence, such Co-Borrower shall indemnify the relevant Lender Party for any incremental taxes, interest or penalties that may become payable by such Lender Party as a result of any such failure.</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3.01, all obligations of each Co-Borrower to any Lender under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3.01 shall be subject to, and conditioned upon such Lender’s compliance with its obligations, if any, under, Section 10.20.</w:t>
      </w:r>
    </w:p>
    <w:p>
      <w:pPr>
        <w:spacing w:after="0" w:line="165" w:lineRule="exact"/>
        <w:rPr>
          <w:sz w:val="20"/>
          <w:szCs w:val="20"/>
          <w:color w:val="auto"/>
        </w:rPr>
      </w:pPr>
    </w:p>
    <w:p>
      <w:pPr>
        <w:ind w:firstLine="921"/>
        <w:spacing w:after="0" w:line="309" w:lineRule="auto"/>
        <w:tabs>
          <w:tab w:leader="none" w:pos="1152" w:val="left"/>
        </w:tabs>
        <w:numPr>
          <w:ilvl w:val="0"/>
          <w:numId w:val="68"/>
        </w:numPr>
        <w:rPr>
          <w:rFonts w:ascii="Arial" w:cs="Arial" w:eastAsia="Arial" w:hAnsi="Arial"/>
          <w:sz w:val="15"/>
          <w:szCs w:val="15"/>
          <w:color w:val="auto"/>
        </w:rPr>
      </w:pPr>
      <w:r>
        <w:rPr>
          <w:rFonts w:ascii="Arial" w:cs="Arial" w:eastAsia="Arial" w:hAnsi="Arial"/>
          <w:sz w:val="15"/>
          <w:szCs w:val="15"/>
          <w:color w:val="auto"/>
        </w:rPr>
        <w:t>If any Lender Party determines, in its sole discretion exercised in good faith, that it has received a refund from a relevant taxing or governmental authority in respect of any Non-Excluded Taxes or Other Taxes as to which it has been indemnified by a Co-Borrower or with respect to which a Co-Borrower has paid additional amounts pursuant to this Section 3.01, it shall pay over such refund to such Co-Borrower (but only to the extent of indemnity payments made, or additional amounts paid, by such Co-Borrower under this Section 3.01 with respect to the Non-Excluded Taxes or Other Taxes giving rise to such refund), net of all out-of-pocket expenses of such Lender Party and without interest (other than any interest paid by the relevant Governmental Authority with respect to such refund); provided, that in the event such Lender Party is required to repay any or all of such refund to such Governmental Authority (a “</w:t>
      </w:r>
      <w:r>
        <w:rPr>
          <w:rFonts w:ascii="Arial" w:cs="Arial" w:eastAsia="Arial" w:hAnsi="Arial"/>
          <w:sz w:val="15"/>
          <w:szCs w:val="15"/>
          <w:u w:val="single" w:color="auto"/>
          <w:color w:val="auto"/>
        </w:rPr>
        <w:t>Refund Repayment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Requirement</w:t>
      </w:r>
      <w:r>
        <w:rPr>
          <w:rFonts w:ascii="Arial" w:cs="Arial" w:eastAsia="Arial" w:hAnsi="Arial"/>
          <w:sz w:val="15"/>
          <w:szCs w:val="15"/>
          <w:color w:val="auto"/>
        </w:rPr>
        <w:t>”), such Co-Borrower, upon the request of such Lender Party, agrees to repay to such Lender Party the full amount of such Refund Repayment Requirement (plus any penalties, interest or other charges imposed by the relevant Governmental Authority). This subsection shall not be construed to require any Lender Party to make available its tax returns (or any other information relating to its taxes which it deems confidential) to a Co-Borrower or any other Person.</w:t>
      </w:r>
    </w:p>
    <w:p>
      <w:pPr>
        <w:spacing w:after="0" w:line="108"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Laws have made it unlawful, or that any Governmental Authority has asserted that it is unlawful, for such Lender or its applicable Lending Office to make, maintain or fund Eurodollar Rate Loans, or materially restricts the authority of such Lender to purchase or sell, or to take deposits of, Dollars in the applicable offshore interbank market, or to determine or charge interest rates based upon the Eurodollar Rate, then, on notice thereof by such Lender to each Co-Borrower through Administrative Agent, the obligation of such Lender to make Eurodollar Rate Loans shall be suspended until such Lender notifies Administrative Agent and each Co-Borrower that the circumstances giving rise to such determination no longer exist. Upon receipt of such notice, each Co-Borrower shall, upon demand from such Lender (with a copy to Administrative Agent), prepay or Convert all Eurodollar Rate Loans of such Lender made to such Co-Borrower, either on the last day of the Interest Period thereof, if such Lender may lawfully continue to maintain such Eurodollar Rate Loans to such day, or immediately, if such Lender may not lawfully continue to maintain such Eurodollar Rate Loans. Each Lender agrees to designate a different Lending Office if such designation will avoid the need for such notice and will not, in the good faith judgment of such Lender, otherwise be materially disadvantageous to such Lender.</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u w:val="single" w:color="auto"/>
          <w:color w:val="auto"/>
        </w:rPr>
        <w:t>Inability to Determine Eurodollar Rates</w:t>
      </w:r>
      <w:r>
        <w:rPr>
          <w:rFonts w:ascii="Arial" w:cs="Arial" w:eastAsia="Arial" w:hAnsi="Arial"/>
          <w:sz w:val="16"/>
          <w:szCs w:val="16"/>
          <w:color w:val="auto"/>
        </w:rPr>
        <w:t>. If, in connection with any Request for Extension of Credit involving any Eurodollar Rate Loan,</w:t>
      </w:r>
    </w:p>
    <w:p>
      <w:pPr>
        <w:spacing w:after="0" w:line="38" w:lineRule="exact"/>
        <w:rPr>
          <w:sz w:val="20"/>
          <w:szCs w:val="20"/>
          <w:color w:val="auto"/>
        </w:rPr>
      </w:pPr>
    </w:p>
    <w:p>
      <w:pPr>
        <w:ind w:right="80" w:firstLine="8"/>
        <w:spacing w:after="0" w:line="302" w:lineRule="auto"/>
        <w:tabs>
          <w:tab w:leader="none" w:pos="2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Administrative Agent determines that (i) deposits in Dollars are not being offered to banks in the applicable offshore dollar market for the applicable amount and Interest Period of the requested Eurodollar Rate Loan or (ii) adequate and reasonable means do not exist for determining the underlying interest rate for such Eurodollar Rate Loan, or (b) Required Lenders (or, in the case of a Competitive Loan that is a Eurodollar Rate Loan, the Lender</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87" w:name="page88"/>
    <w:bookmarkEnd w:id="87"/>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is required to make such Loan) determine that such underlying interest rate does not adequately and fairly reflect the cost to Lenders (or Lender) of funding such Eurodollar Rate Loan, Administrative Agent will promptly notify each Co-Borrower and all Lenders. Thereafter, the obligation of Lenders (or Lender) to make or maintain such Eurodollar Rate Loan shall be suspended until Administrative Agent revokes such notice. Upon receipt of such notice, each Co-Borrower may revoke any pending request for a Borrowing of Eurodollar Rate Loans or, failing that, be deemed to have converted such request into a request for a Borrowing of Base Rate Loans in the amount specified therein.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Increased Cost and Reduced Return; Capital Adequacy</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If any Lender Party determines that the adoption of any Law or any change in any Law or in the interpretation thereof effective after the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84" w:lineRule="exact"/>
        <w:rPr>
          <w:sz w:val="20"/>
          <w:szCs w:val="20"/>
          <w:color w:val="auto"/>
        </w:rPr>
      </w:pPr>
    </w:p>
    <w:p>
      <w:pPr>
        <w:ind w:left="920" w:right="240" w:firstLine="421"/>
        <w:spacing w:after="0" w:line="256" w:lineRule="auto"/>
        <w:tabs>
          <w:tab w:leader="none" w:pos="15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Subjects such Lender Party to any tax (excluding taxes described in clauses (w), (y) and (z) of Section 3.01(a), Non-Excluded Taxes and Other Taxes) on its loans, loan principal, letters of credit, commitments, or other obligations, or its deposits, reserves, other liabilities or capital attributable thereto with respect to any Eurodollar Rate Loans or Fixed Rate Loans or its obligation to make Eurodollar Rate Loans or Fixed Rate Loans;</w:t>
      </w:r>
    </w:p>
    <w:p>
      <w:pPr>
        <w:spacing w:after="0" w:line="62" w:lineRule="exact"/>
        <w:rPr>
          <w:rFonts w:ascii="Arial" w:cs="Arial" w:eastAsia="Arial" w:hAnsi="Arial"/>
          <w:sz w:val="18"/>
          <w:szCs w:val="18"/>
          <w:color w:val="auto"/>
        </w:rPr>
      </w:pPr>
    </w:p>
    <w:p>
      <w:pPr>
        <w:ind w:left="920" w:right="100" w:firstLine="421"/>
        <w:spacing w:after="0" w:line="259" w:lineRule="auto"/>
        <w:tabs>
          <w:tab w:leader="none" w:pos="159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Imposes or modifies any reserve, special deposit, compulsory loan, insurance charge, or similar requirement (other than the reserve requirement utilized in the determination of the Eurodollar Rate) relating to any extensions of credit or other assets of, or any deposits with or other liabilities or commitments of, such Lender Party (including its Revolving Commitment); or</w:t>
      </w:r>
    </w:p>
    <w:p>
      <w:pPr>
        <w:spacing w:after="0" w:line="59" w:lineRule="exact"/>
        <w:rPr>
          <w:rFonts w:ascii="Arial" w:cs="Arial" w:eastAsia="Arial" w:hAnsi="Arial"/>
          <w:sz w:val="18"/>
          <w:szCs w:val="18"/>
          <w:color w:val="auto"/>
        </w:rPr>
      </w:pPr>
    </w:p>
    <w:p>
      <w:pPr>
        <w:ind w:left="920" w:right="120" w:firstLine="421"/>
        <w:spacing w:after="0" w:line="268" w:lineRule="auto"/>
        <w:tabs>
          <w:tab w:leader="none" w:pos="16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Imposes on such Lender Party or on the offshore interbank market any other condition (other than taxes) affecting this Agreement or any of such extensions of credit or liabilities or commitments;</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and the result of any of the foregoing is to increase the cost to such Lender Party of making, Converting into, Continuing, or maintaining any Eurodollar Rate Loans or Fixed Rate Loans or issuing or participating in Letters of Credit or to reduce any sum received or receivable by such Lender Party under this Agreement with respect to any Eurodollar Rate Loans or Fixed Rate Loans or Letter of Credit, then from time to time upon demand of such Lender Party (with a copy of such demand to Administrative Agent), each Co-Borrower shall pay to such Lender Party such additional amounts attributable to such Co-Borrower as will compensate such Lender Party for such increased cost or reduction.</w:t>
      </w:r>
    </w:p>
    <w:p>
      <w:pPr>
        <w:spacing w:after="0" w:line="143" w:lineRule="exact"/>
        <w:rPr>
          <w:sz w:val="20"/>
          <w:szCs w:val="20"/>
          <w:color w:val="auto"/>
        </w:rPr>
      </w:pPr>
    </w:p>
    <w:p>
      <w:pPr>
        <w:ind w:firstLine="921"/>
        <w:spacing w:after="0" w:line="291" w:lineRule="auto"/>
        <w:tabs>
          <w:tab w:leader="none" w:pos="1162"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any Lender Party determines that the adoption of any Law or any change in any Law or in the interpretation thereof effective after the date hereof, including in regard to capital adequacy and liquidity, has the effect of reducing the rate of return on the capital of such Lender Party or compliance by such Lender Party (or its Lending Office) or any corporation controlling such Lender Party as a consequence of such Lender Party’s obligations hereunder (taking into consideration its policies with respect to capital adequacy and liquidity and such Lender Party’s desired return on capital and desired liquidity levels), then from time to time upon demand of such Lender Party (with a copy to Administrative Agent), each Co-Borrower shall pay to such Lender Party such additional amounts attributable to such Co-Borrower as will compensate such Lender Party for such reduction.</w:t>
      </w:r>
    </w:p>
    <w:p>
      <w:pPr>
        <w:spacing w:after="0" w:line="120" w:lineRule="exact"/>
        <w:rPr>
          <w:rFonts w:ascii="Arial" w:cs="Arial" w:eastAsia="Arial" w:hAnsi="Arial"/>
          <w:sz w:val="16"/>
          <w:szCs w:val="16"/>
          <w:color w:val="auto"/>
        </w:rPr>
      </w:pPr>
    </w:p>
    <w:p>
      <w:pPr>
        <w:ind w:right="60" w:firstLine="921"/>
        <w:spacing w:after="0" w:line="332" w:lineRule="auto"/>
        <w:tabs>
          <w:tab w:leader="none" w:pos="1152"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a Lender Party shall not be entitled to compensation pursuant to this Section in respect of any Competitive Loan if the adoption of or change in Law or in the interpretation thereof that would otherwise entitle it to such compensation shall</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been publicly announced prior to submission of the Competitive Bid pursuant to which such Loan was made.</w:t>
      </w:r>
    </w:p>
    <w:p>
      <w:pPr>
        <w:spacing w:after="0" w:line="171" w:lineRule="exact"/>
        <w:rPr>
          <w:sz w:val="20"/>
          <w:szCs w:val="20"/>
          <w:color w:val="auto"/>
        </w:rPr>
      </w:pPr>
    </w:p>
    <w:p>
      <w:pPr>
        <w:ind w:right="480" w:firstLine="921"/>
        <w:spacing w:after="0" w:line="294" w:lineRule="auto"/>
        <w:tabs>
          <w:tab w:leader="none" w:pos="1162"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3.05 </w:t>
      </w:r>
      <w:r>
        <w:rPr>
          <w:rFonts w:ascii="Arial" w:cs="Arial" w:eastAsia="Arial" w:hAnsi="Arial"/>
          <w:sz w:val="16"/>
          <w:szCs w:val="16"/>
          <w:u w:val="single" w:color="auto"/>
          <w:color w:val="auto"/>
        </w:rPr>
        <w:t>Breakfunding Costs</w:t>
      </w:r>
      <w:r>
        <w:rPr>
          <w:rFonts w:ascii="Arial" w:cs="Arial" w:eastAsia="Arial" w:hAnsi="Arial"/>
          <w:sz w:val="16"/>
          <w:szCs w:val="16"/>
          <w:color w:val="auto"/>
        </w:rPr>
        <w:t>. Subject to Section 3.06(a), upon demand of any Lender (with a copy to Administrative Agent) from time to time, each Co-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Borrower shall promptly compensate such Lender for and hold such Lender harmless from any actual loss, cost or expense incurred by it as a result of:</w:t>
      </w:r>
    </w:p>
    <w:p>
      <w:pPr>
        <w:spacing w:after="0" w:line="188" w:lineRule="exact"/>
        <w:rPr>
          <w:sz w:val="20"/>
          <w:szCs w:val="20"/>
          <w:color w:val="auto"/>
        </w:rPr>
      </w:pPr>
    </w:p>
    <w:p>
      <w:pPr>
        <w:ind w:right="140" w:firstLine="921"/>
        <w:spacing w:after="0" w:line="259" w:lineRule="auto"/>
        <w:tabs>
          <w:tab w:leader="none" w:pos="11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by such Co-Borrower of any Eurodollar Rate Loan or Fixed Rate Loan on a day other than the last day of the Interest Period for such Eurodollar Rate Loan or Fixed Rate Loan (whether voluntary, mandatory, automatic, by reason of acceleration or otherwise);</w:t>
      </w:r>
    </w:p>
    <w:p>
      <w:pPr>
        <w:spacing w:after="0" w:line="140" w:lineRule="exact"/>
        <w:rPr>
          <w:rFonts w:ascii="Arial" w:cs="Arial" w:eastAsia="Arial" w:hAnsi="Arial"/>
          <w:sz w:val="18"/>
          <w:szCs w:val="18"/>
          <w:color w:val="auto"/>
        </w:rPr>
      </w:pPr>
    </w:p>
    <w:p>
      <w:pPr>
        <w:ind w:right="400" w:firstLine="921"/>
        <w:spacing w:after="0" w:line="332" w:lineRule="auto"/>
        <w:tabs>
          <w:tab w:leader="none" w:pos="1162"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failure by such Co-Borrower (for a reason other than the failure of such Lender to make a Eurodollar Rate Loan or Fixed Rate Loan) to prepay, borrow, Continue or Convert any Eurodollar Rate Loan or Fixed Rate Loan on the date or in the amount notified by such Co-Borrower; or</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failure by such Co-Borrower to borrow any Competitive Loan after accepting the Competitive Bid to make such Loan;</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Matters Applicable to all Requests for Compensation</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88" w:lineRule="auto"/>
        <w:tabs>
          <w:tab w:leader="none" w:pos="1152"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A certificate of Administrative Agent or any Lender claiming compensation under this Section 3 and setting forth the additional amount or amounts to be paid to it hereunder shall be conclusive in the absence of clearly demonstrable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the Co-Borrowers hereunder, (iii) is delivered within 90 days of the later of the date of the event giving rise to such compensation and the date Administrative Agent or such Lender knew or, with the exercise of reasonable care, should have known of the requirements for such compensation, and (iv) confirms (in the case of a claim for compensation under Section 3.01 or Section 3.04) that either a change in Administrative Agent’s Office or Lending Office, as the case may be, of Administrative Agent or such Lender, as the case may be, would not have eliminated the request for compensation or that such change would have been otherwise disadvantageous to Administrative Agent or such Lender, as the case may be. In determining the amount of such compensation, Administrative Agent or any Lender may use any reasonable averaging and attribution methods.</w:t>
      </w:r>
    </w:p>
    <w:p>
      <w:pPr>
        <w:spacing w:after="0" w:line="119" w:lineRule="exact"/>
        <w:rPr>
          <w:rFonts w:ascii="Arial" w:cs="Arial" w:eastAsia="Arial" w:hAnsi="Arial"/>
          <w:sz w:val="16"/>
          <w:szCs w:val="16"/>
          <w:color w:val="auto"/>
        </w:rPr>
      </w:pPr>
    </w:p>
    <w:p>
      <w:pPr>
        <w:ind w:firstLine="921"/>
        <w:spacing w:after="0" w:line="268" w:lineRule="auto"/>
        <w:tabs>
          <w:tab w:leader="none" w:pos="1162"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any Lender becoming prohibited from making, maintaining or funding Eurodollar Rate Loans pursuant to Section 3.02, or upon any Lender making a claim for compensation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Section 3.01 or Section 3.04, Borrower may remove or replace such Lender in accordance with Section 10.21.</w:t>
      </w:r>
    </w:p>
    <w:p>
      <w:pPr>
        <w:spacing w:after="0" w:line="17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All of the Co-Borrowers’ obligations under this Section 3 shall survive termination of the Revolving Commitments and payment in full of all Obligations.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4</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CONDITIONS PRECEDENT TO EXTENSIONS OF CREDIT</w:t>
      </w:r>
    </w:p>
    <w:p>
      <w:pPr>
        <w:spacing w:after="0" w:line="171"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Precedent to Effective Date</w:t>
      </w:r>
      <w:r>
        <w:rPr>
          <w:rFonts w:ascii="Arial" w:cs="Arial" w:eastAsia="Arial" w:hAnsi="Arial"/>
          <w:sz w:val="18"/>
          <w:szCs w:val="18"/>
          <w:color w:val="auto"/>
        </w:rPr>
        <w:t>. The agreement of each Lender to make the initial Extension of Credit requested to be made by it is subject to the satisfaction, on or before June 15, 2012, of the conditions precedent set forth in this Section 4.01:</w:t>
      </w:r>
    </w:p>
    <w:p>
      <w:pPr>
        <w:spacing w:after="0" w:line="132" w:lineRule="exact"/>
        <w:rPr>
          <w:sz w:val="20"/>
          <w:szCs w:val="20"/>
          <w:color w:val="auto"/>
        </w:rPr>
      </w:pPr>
    </w:p>
    <w:p>
      <w:pPr>
        <w:jc w:val="both"/>
        <w:ind w:right="80" w:firstLine="921"/>
        <w:spacing w:after="0" w:line="306" w:lineRule="auto"/>
        <w:tabs>
          <w:tab w:leader="none" w:pos="1152" w:val="left"/>
        </w:tabs>
        <w:numPr>
          <w:ilvl w:val="0"/>
          <w:numId w:val="75"/>
        </w:numPr>
        <w:rPr>
          <w:rFonts w:ascii="Arial" w:cs="Arial" w:eastAsia="Arial" w:hAnsi="Arial"/>
          <w:sz w:val="16"/>
          <w:szCs w:val="16"/>
          <w:color w:val="auto"/>
        </w:rPr>
      </w:pPr>
      <w:r>
        <w:rPr>
          <w:rFonts w:ascii="Arial" w:cs="Arial" w:eastAsia="Arial" w:hAnsi="Arial"/>
          <w:sz w:val="16"/>
          <w:szCs w:val="16"/>
          <w:color w:val="auto"/>
        </w:rPr>
        <w:t>Unless waived by all Lenders, receipt by Administrative Agent of each of the following, each of which shall be originals or facsimiles (followed promptly by originals) unless otherwise specified, each properly executed by a Responsible Officer of the applicable Loan Party, each dated on, or in the case of third party certificates, recently before, the Effective Date and each in form and substance satisfactory to Administrative Agent and its legal counsel:</w:t>
      </w:r>
    </w:p>
    <w:p>
      <w:pPr>
        <w:spacing w:after="0" w:line="25" w:lineRule="exact"/>
        <w:rPr>
          <w:rFonts w:ascii="Arial" w:cs="Arial" w:eastAsia="Arial" w:hAnsi="Arial"/>
          <w:sz w:val="16"/>
          <w:szCs w:val="16"/>
          <w:color w:val="auto"/>
        </w:rPr>
      </w:pPr>
    </w:p>
    <w:p>
      <w:pPr>
        <w:ind w:left="920" w:right="80" w:firstLine="421"/>
        <w:spacing w:after="0" w:line="268" w:lineRule="auto"/>
        <w:tabs>
          <w:tab w:leader="none" w:pos="1549" w:val="left"/>
        </w:tabs>
        <w:numPr>
          <w:ilvl w:val="1"/>
          <w:numId w:val="75"/>
        </w:numPr>
        <w:rPr>
          <w:rFonts w:ascii="Arial" w:cs="Arial" w:eastAsia="Arial" w:hAnsi="Arial"/>
          <w:sz w:val="18"/>
          <w:szCs w:val="18"/>
          <w:color w:val="auto"/>
        </w:rPr>
      </w:pPr>
      <w:r>
        <w:rPr>
          <w:rFonts w:ascii="Arial" w:cs="Arial" w:eastAsia="Arial" w:hAnsi="Arial"/>
          <w:sz w:val="18"/>
          <w:szCs w:val="18"/>
          <w:color w:val="auto"/>
        </w:rPr>
        <w:t>Executed counterparts of (a) this Agreement, executed and delivered by each Co-Borrower, each Agent and each Person listed on Schedule 2.01 and (b) the Guarantee Agreement, executed and delivered by each Guarantor;</w:t>
      </w:r>
    </w:p>
    <w:p>
      <w:pPr>
        <w:spacing w:after="0" w:line="50"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Loan Party as Administrative Agent may request to establish the identities of and verify the authority and capacity of each Responsible Officer thereof authorized to act as a Responsible Officer thereof;</w:t>
      </w:r>
    </w:p>
    <w:p>
      <w:pPr>
        <w:spacing w:after="0" w:line="59" w:lineRule="exact"/>
        <w:rPr>
          <w:rFonts w:ascii="Arial" w:cs="Arial" w:eastAsia="Arial" w:hAnsi="Arial"/>
          <w:sz w:val="18"/>
          <w:szCs w:val="18"/>
          <w:color w:val="auto"/>
        </w:rPr>
      </w:pPr>
    </w:p>
    <w:p>
      <w:pPr>
        <w:ind w:left="920" w:right="160" w:firstLine="421"/>
        <w:spacing w:after="0" w:line="306" w:lineRule="auto"/>
        <w:tabs>
          <w:tab w:leader="none" w:pos="1647" w:val="left"/>
        </w:tabs>
        <w:numPr>
          <w:ilvl w:val="1"/>
          <w:numId w:val="75"/>
        </w:numPr>
        <w:rPr>
          <w:rFonts w:ascii="Arial" w:cs="Arial" w:eastAsia="Arial" w:hAnsi="Arial"/>
          <w:sz w:val="16"/>
          <w:szCs w:val="16"/>
          <w:color w:val="auto"/>
        </w:rPr>
      </w:pPr>
      <w:r>
        <w:rPr>
          <w:rFonts w:ascii="Arial" w:cs="Arial" w:eastAsia="Arial" w:hAnsi="Arial"/>
          <w:sz w:val="16"/>
          <w:szCs w:val="16"/>
          <w:color w:val="auto"/>
        </w:rPr>
        <w:t>Such evidence as Administrative Agent may request to verify that each Loan Party is duly organized or formed, validly existing, in good standing and qualified to engage in business in each jurisdiction in which it is required to be qualified to engage in business, including certified copies of its organizational documents, certificates of good standing and/or qualification to engage in business;</w:t>
      </w:r>
    </w:p>
    <w:p>
      <w:pPr>
        <w:spacing w:after="0" w:line="25" w:lineRule="exact"/>
        <w:rPr>
          <w:rFonts w:ascii="Arial" w:cs="Arial" w:eastAsia="Arial" w:hAnsi="Arial"/>
          <w:sz w:val="16"/>
          <w:szCs w:val="16"/>
          <w:color w:val="auto"/>
        </w:rPr>
      </w:pPr>
    </w:p>
    <w:p>
      <w:pPr>
        <w:jc w:val="both"/>
        <w:ind w:left="920" w:right="60" w:firstLine="421"/>
        <w:spacing w:after="0" w:line="305" w:lineRule="auto"/>
        <w:tabs>
          <w:tab w:leader="none" w:pos="1637" w:val="left"/>
        </w:tabs>
        <w:numPr>
          <w:ilvl w:val="1"/>
          <w:numId w:val="75"/>
        </w:numPr>
        <w:rPr>
          <w:rFonts w:ascii="Arial" w:cs="Arial" w:eastAsia="Arial" w:hAnsi="Arial"/>
          <w:sz w:val="15"/>
          <w:szCs w:val="15"/>
          <w:color w:val="auto"/>
        </w:rPr>
      </w:pPr>
      <w:r>
        <w:rPr>
          <w:rFonts w:ascii="Arial" w:cs="Arial" w:eastAsia="Arial" w:hAnsi="Arial"/>
          <w:sz w:val="15"/>
          <w:szCs w:val="15"/>
          <w:color w:val="auto"/>
        </w:rPr>
        <w:t>A certificate signed by a Responsible Officer of Borrower certifying (A) that the conditions specified in Sections 4.01(c), (e) and (f) have been satisfied, (B) that there has been no event or circumstance since the date of the Reference Statements which has a Material Adverse Effect, and</w:t>
      </w:r>
    </w:p>
    <w:p>
      <w:pPr>
        <w:ind w:left="920"/>
        <w:spacing w:after="0"/>
        <w:rPr>
          <w:rFonts w:ascii="Arial" w:cs="Arial" w:eastAsia="Arial" w:hAnsi="Arial"/>
          <w:sz w:val="15"/>
          <w:szCs w:val="15"/>
          <w:color w:val="auto"/>
        </w:rPr>
      </w:pPr>
      <w:r>
        <w:rPr>
          <w:rFonts w:ascii="Arial" w:cs="Arial" w:eastAsia="Arial" w:hAnsi="Arial"/>
          <w:sz w:val="18"/>
          <w:szCs w:val="18"/>
          <w:color w:val="auto"/>
        </w:rPr>
        <w:t>(C) as to the Debt Ratings as of the Effective Date;</w:t>
      </w:r>
    </w:p>
    <w:p>
      <w:pPr>
        <w:spacing w:after="0" w:line="83" w:lineRule="exact"/>
        <w:rPr>
          <w:rFonts w:ascii="Arial" w:cs="Arial" w:eastAsia="Arial" w:hAnsi="Arial"/>
          <w:sz w:val="15"/>
          <w:szCs w:val="15"/>
          <w:color w:val="auto"/>
        </w:rPr>
      </w:pPr>
    </w:p>
    <w:p>
      <w:pPr>
        <w:ind w:left="1580" w:hanging="239"/>
        <w:spacing w:after="0"/>
        <w:tabs>
          <w:tab w:leader="none" w:pos="15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 opinion of counsel to Borrower in form and substance reasonably satisfactory to Administrative Agent;</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75"/>
        </w:numPr>
        <w:rPr>
          <w:rFonts w:ascii="Arial" w:cs="Arial" w:eastAsia="Arial" w:hAnsi="Arial"/>
          <w:sz w:val="16"/>
          <w:szCs w:val="16"/>
          <w:color w:val="auto"/>
        </w:rPr>
      </w:pPr>
      <w:r>
        <w:rPr>
          <w:rFonts w:ascii="Arial" w:cs="Arial" w:eastAsia="Arial" w:hAnsi="Arial"/>
          <w:sz w:val="16"/>
          <w:szCs w:val="16"/>
          <w:color w:val="auto"/>
        </w:rPr>
        <w:t>Such other customary certificates, documents or opinions as Administrative Agent or Required Lenders reasonably may require; and</w:t>
      </w:r>
    </w:p>
    <w:p>
      <w:pPr>
        <w:spacing w:after="0" w:line="113" w:lineRule="exact"/>
        <w:rPr>
          <w:rFonts w:ascii="Arial" w:cs="Arial" w:eastAsia="Arial" w:hAnsi="Arial"/>
          <w:sz w:val="16"/>
          <w:szCs w:val="16"/>
          <w:color w:val="auto"/>
        </w:rPr>
      </w:pPr>
    </w:p>
    <w:p>
      <w:pPr>
        <w:ind w:left="920" w:right="320" w:firstLine="421"/>
        <w:spacing w:after="0" w:line="332" w:lineRule="auto"/>
        <w:tabs>
          <w:tab w:leader="none" w:pos="1686"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information requested by any Lender, at least ten Business Days prior to the Effective Date, to the extent necessary to enable such Lender to identify Borrower to the extent required for compliance with the PATRIOT Act or other “know your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90" w:name="page91"/>
    <w:bookmarkEnd w:id="9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customer” rules and regulations (which requested information shall have been received at least five Business Days prior to the Effective Date).</w:t>
      </w:r>
    </w:p>
    <w:p>
      <w:pPr>
        <w:spacing w:after="0" w:line="194" w:lineRule="exact"/>
        <w:rPr>
          <w:sz w:val="20"/>
          <w:szCs w:val="20"/>
          <w:color w:val="auto"/>
        </w:rPr>
      </w:pPr>
    </w:p>
    <w:p>
      <w:pPr>
        <w:ind w:left="1160" w:hanging="239"/>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fees required to be paid on or before the Effective Date shall have been paid.</w:t>
      </w:r>
    </w:p>
    <w:p>
      <w:pPr>
        <w:spacing w:after="0" w:line="171" w:lineRule="exact"/>
        <w:rPr>
          <w:rFonts w:ascii="Arial" w:cs="Arial" w:eastAsia="Arial" w:hAnsi="Arial"/>
          <w:sz w:val="18"/>
          <w:szCs w:val="18"/>
          <w:color w:val="auto"/>
        </w:rPr>
      </w:pPr>
    </w:p>
    <w:p>
      <w:pPr>
        <w:ind w:right="100" w:firstLine="921"/>
        <w:spacing w:after="0" w:line="259" w:lineRule="auto"/>
        <w:tabs>
          <w:tab w:leader="none" w:pos="11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applicable lenders shall have received any principal, interest or fees owing under the Existing Credit Agreement. The Co-Borrowers hereby agree that the commitments under the Existing Credit Agreement shall terminate in their entirety simultaneously with and subject to the effectiveness of this Agreement.</w:t>
      </w:r>
    </w:p>
    <w:p>
      <w:pPr>
        <w:spacing w:after="0" w:line="140" w:lineRule="exact"/>
        <w:rPr>
          <w:rFonts w:ascii="Arial" w:cs="Arial" w:eastAsia="Arial" w:hAnsi="Arial"/>
          <w:sz w:val="18"/>
          <w:szCs w:val="18"/>
          <w:color w:val="auto"/>
        </w:rPr>
      </w:pPr>
    </w:p>
    <w:p>
      <w:pPr>
        <w:ind w:right="60" w:firstLine="921"/>
        <w:spacing w:after="0" w:line="256" w:lineRule="auto"/>
        <w:tabs>
          <w:tab w:leader="none" w:pos="11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Lenders shall have received (i) satisfactory audited consolidated financial statements of Borrower and its Subsidiaries for the most recent fiscal year ended prior to the Effective Date as to which such financial statements are available and (ii) satisfactory unaudited interim consolidated financial statements of Borrower and its Subsidiaries for each quarterly period, if any, ended subsequent to the date of the financial statements delivered pursuant to clause (i) of this paragraph as to which such financial statements are available.</w:t>
      </w:r>
    </w:p>
    <w:p>
      <w:pPr>
        <w:spacing w:after="0" w:line="143" w:lineRule="exact"/>
        <w:rPr>
          <w:rFonts w:ascii="Arial" w:cs="Arial" w:eastAsia="Arial" w:hAnsi="Arial"/>
          <w:sz w:val="18"/>
          <w:szCs w:val="18"/>
          <w:color w:val="auto"/>
        </w:rPr>
      </w:pPr>
    </w:p>
    <w:p>
      <w:pPr>
        <w:ind w:right="60" w:firstLine="921"/>
        <w:spacing w:after="0" w:line="332" w:lineRule="auto"/>
        <w:tabs>
          <w:tab w:leader="none" w:pos="11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w:t>
      </w:r>
    </w:p>
    <w:p>
      <w:pPr>
        <w:spacing w:after="0" w:line="85" w:lineRule="exact"/>
        <w:rPr>
          <w:rFonts w:ascii="Arial" w:cs="Arial" w:eastAsia="Arial" w:hAnsi="Arial"/>
          <w:sz w:val="16"/>
          <w:szCs w:val="16"/>
          <w:color w:val="auto"/>
        </w:rPr>
      </w:pPr>
    </w:p>
    <w:p>
      <w:pPr>
        <w:ind w:left="1140" w:hanging="219"/>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171" w:lineRule="exact"/>
        <w:rPr>
          <w:rFonts w:ascii="Arial" w:cs="Arial" w:eastAsia="Arial" w:hAnsi="Arial"/>
          <w:sz w:val="18"/>
          <w:szCs w:val="18"/>
          <w:color w:val="auto"/>
        </w:rPr>
      </w:pPr>
    </w:p>
    <w:p>
      <w:pPr>
        <w:ind w:right="140" w:firstLine="921"/>
        <w:spacing w:after="0" w:line="268" w:lineRule="auto"/>
        <w:tabs>
          <w:tab w:leader="none" w:pos="11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Unless waived by Administrative Agent, Borrower shall have paid all Attorney Costs of Administrative Agent to the extent invoiced prior to or on the Effective Date.</w:t>
      </w:r>
    </w:p>
    <w:p>
      <w:pPr>
        <w:spacing w:after="0" w:line="131" w:lineRule="exact"/>
        <w:rPr>
          <w:rFonts w:ascii="Arial" w:cs="Arial" w:eastAsia="Arial" w:hAnsi="Arial"/>
          <w:sz w:val="18"/>
          <w:szCs w:val="18"/>
          <w:color w:val="auto"/>
        </w:rPr>
      </w:pPr>
    </w:p>
    <w:p>
      <w:pPr>
        <w:ind w:right="660" w:firstLine="921"/>
        <w:spacing w:after="0" w:line="332" w:lineRule="auto"/>
        <w:tabs>
          <w:tab w:leader="none" w:pos="116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Administrative Agent shall have received notice that substantially simultaneously with the making of the initial Extension of Credit hereunder, the Existing Credit Agreement shall have been terminated in accordance with the terms of the Existing Credit Agreement.</w:t>
      </w:r>
    </w:p>
    <w:p>
      <w:pPr>
        <w:spacing w:after="0" w:line="8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Conditions to all Extensions of Credit</w:t>
      </w:r>
      <w:r>
        <w:rPr>
          <w:rFonts w:ascii="Arial" w:cs="Arial" w:eastAsia="Arial" w:hAnsi="Arial"/>
          <w:sz w:val="18"/>
          <w:szCs w:val="18"/>
          <w:color w:val="auto"/>
        </w:rPr>
        <w:t>. In addition to any applicable conditions precedent set forth in Section 2, the obligation of each Lender to honor any Request for Extension of Credit (including the initial Extension of Credit, but other than a Conversion or Continuation) is subject to the following conditions precedent:</w:t>
      </w:r>
    </w:p>
    <w:p>
      <w:pPr>
        <w:spacing w:after="0" w:line="140" w:lineRule="exact"/>
        <w:rPr>
          <w:sz w:val="20"/>
          <w:szCs w:val="20"/>
          <w:color w:val="auto"/>
        </w:rPr>
      </w:pPr>
    </w:p>
    <w:p>
      <w:pPr>
        <w:ind w:left="1160" w:hanging="239"/>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conditions precedent set forth in Section 4.01 of this Agreement shall have been satisfied as of the Effective Date.</w:t>
      </w:r>
    </w:p>
    <w:p>
      <w:pPr>
        <w:spacing w:after="0" w:line="171" w:lineRule="exact"/>
        <w:rPr>
          <w:rFonts w:ascii="Arial" w:cs="Arial" w:eastAsia="Arial" w:hAnsi="Arial"/>
          <w:sz w:val="18"/>
          <w:szCs w:val="18"/>
          <w:color w:val="auto"/>
        </w:rPr>
      </w:pPr>
    </w:p>
    <w:p>
      <w:pPr>
        <w:ind w:right="120" w:firstLine="921"/>
        <w:spacing w:after="0" w:line="335" w:lineRule="auto"/>
        <w:tabs>
          <w:tab w:leader="none" w:pos="1162"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representations and warranties of Borrower contained in Section 5 (other than Sections 5.04(b) and 5.05) of this Agreement shall be correct in all material respects on and as of the date of such Extension of Credit as if made on and as of such date, except to the extent any such representation and warranty specifically relates to any earlier date, in which case such representation and warranty shall have been correct on and as of such earlier date.</w:t>
      </w:r>
    </w:p>
    <w:p>
      <w:pPr>
        <w:spacing w:after="0" w:line="88" w:lineRule="exact"/>
        <w:rPr>
          <w:rFonts w:ascii="Arial" w:cs="Arial" w:eastAsia="Arial" w:hAnsi="Arial"/>
          <w:sz w:val="15"/>
          <w:szCs w:val="15"/>
          <w:color w:val="auto"/>
        </w:rPr>
      </w:pPr>
    </w:p>
    <w:p>
      <w:pPr>
        <w:ind w:left="1160" w:hanging="239"/>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Default or Event of Default exists, or would result from such Extension of Credit or the use thereof.</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Administrative Agent shall have timely received a Request for Extension of Credit by Requisite Notice by the Requisite Time therefor.</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Extension of Credit shall be permitted by applicable Laws.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91" w:name="page92"/>
    <w:bookmarkEnd w:id="91"/>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Request for Extension of Credit by a Co-Borrower shall be deemed to be a representation and warranty that the conditions specified in Sections 4.02(b) and (c) have been satisfied on and as of the date of such Extension of Credit.</w:t>
      </w:r>
    </w:p>
    <w:p>
      <w:pPr>
        <w:spacing w:after="0" w:line="29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5</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REPRESENTATIONS AND WARRANTIES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Borrower represents and warrants to Administrative Agent and Lenders that:</w:t>
      </w:r>
    </w:p>
    <w:p>
      <w:pPr>
        <w:spacing w:after="0" w:line="17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u w:val="single" w:color="auto"/>
          <w:color w:val="auto"/>
        </w:rPr>
        <w:t>Existence and Qualification; Power; Compliance with Laws</w:t>
      </w:r>
      <w:r>
        <w:rPr>
          <w:rFonts w:ascii="Arial" w:cs="Arial" w:eastAsia="Arial" w:hAnsi="Arial"/>
          <w:sz w:val="16"/>
          <w:szCs w:val="16"/>
          <w:color w:val="auto"/>
        </w:rPr>
        <w:t>. Each of Borrower and its Restricted Subsidiaries (a) is a corporation, partnership or limited liability company duly organized or formed, validly existing and in good standing under the Laws of the state of its organization, (b) has the power and authority and the legal right to own, lease and operate its properties and to conduct its business, (c) is duly qualified and in good standing under the Laws of each jurisdiction where its ownership, lease or operation of its properties or the conduct of its business requires such qualification, except to the extent that the failure to be so qualified and in good standing does not have a Material Adverse Effect, and (d) is in compliance with all Laws, except to the extent that noncompliance does not have a Material Adverse Effect.</w:t>
      </w:r>
    </w:p>
    <w:p>
      <w:pPr>
        <w:spacing w:after="0" w:line="120"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has the power and authority and the legal right to make, deliver and perform each Loan Document to which it is a party, and has taken all necessary action to authorize the execution, delivery and performance of each Loan Document to which it is a party. Each Co-Borrower has the power and authority and the legal right to borrow hereunder and has taken all necessary action to authorize the Extensions of Credit on the terms and conditions of this Agreement. Except for such consents, authorizations, filings or other acts which have been duly made or obtained and are in full force and effect, no consent or authorization of, filing with, or other act by or in respect of any Governmental Authority is required in connection with the Extensions of Credit hereunder or with the execution, delivery, performance, validity or enforceability of this Agreement or any of the other Loan Documents. Each Loan Document has been duly executed and delivered on behalf of each Loan Party party thereto, and constitutes a legal, valid and binding obligation of each Loan Party party thereto, enforceable against each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5.03 </w:t>
      </w: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by each Loan Party of the Loan Documents to which it is a party do not and will not</w:t>
      </w:r>
    </w:p>
    <w:p>
      <w:pPr>
        <w:spacing w:after="0" w:line="38" w:lineRule="exact"/>
        <w:rPr>
          <w:sz w:val="20"/>
          <w:szCs w:val="20"/>
          <w:color w:val="auto"/>
        </w:rPr>
      </w:pPr>
    </w:p>
    <w:p>
      <w:pPr>
        <w:ind w:right="60" w:firstLine="8"/>
        <w:spacing w:after="0" w:line="253" w:lineRule="auto"/>
        <w:tabs>
          <w:tab w:leader="none" w:pos="239" w:val="left"/>
        </w:tabs>
        <w:numPr>
          <w:ilvl w:val="0"/>
          <w:numId w:val="78"/>
        </w:numPr>
        <w:rPr>
          <w:rFonts w:ascii="Arial" w:cs="Arial" w:eastAsia="Arial" w:hAnsi="Arial"/>
          <w:sz w:val="18"/>
          <w:szCs w:val="18"/>
          <w:color w:val="auto"/>
        </w:rPr>
      </w:pPr>
      <w:r>
        <w:rPr>
          <w:rFonts w:ascii="Arial" w:cs="Arial" w:eastAsia="Arial" w:hAnsi="Arial"/>
          <w:sz w:val="18"/>
          <w:szCs w:val="18"/>
          <w:color w:val="auto"/>
        </w:rPr>
        <w:t>violate or conflict with, or result in a breach of, or require any consent under (i) such Loan Party’s organizational documents, (ii) any applicable Laws which has a Material Adverse Effect, or (iii) any Contractual Obligation, license or franchise of Borrower or any of its Restricted Subsidiaries or by which any of them or any of their property is bound or subject which has a Material Adverse Effect, (b) constitute a default under any such Contractual Obligation, license or franchise which has a Material Adverse Effect or (c) result in, or require, the creation or imposition of any Lien on any of the properties of Borrower or any of its Restricted Subsidiaries which is not permitted hereby.</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171" w:lineRule="exact"/>
        <w:rPr>
          <w:sz w:val="20"/>
          <w:szCs w:val="20"/>
          <w:color w:val="auto"/>
        </w:rPr>
      </w:pPr>
    </w:p>
    <w:p>
      <w:pPr>
        <w:ind w:right="360" w:firstLine="921"/>
        <w:spacing w:after="0" w:line="268" w:lineRule="auto"/>
        <w:tabs>
          <w:tab w:leader="none" w:pos="11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Reference Statements (i) were prepared in accordance with GAAP consistently applied throughout the period covered thereby, except as otherwise expressly noted therein,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92" w:name="page93"/>
    <w:bookmarkEnd w:id="92"/>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(ii) fairly present the financial condition of Borrower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From December 31, 2011 to the Effective Date, there has been no event or circumstance which has a Material Adverse Effect.</w:t>
      </w:r>
    </w:p>
    <w:p>
      <w:pPr>
        <w:spacing w:after="0" w:line="171"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Litigation</w:t>
      </w:r>
      <w:r>
        <w:rPr>
          <w:rFonts w:ascii="Arial" w:cs="Arial" w:eastAsia="Arial" w:hAnsi="Arial"/>
          <w:sz w:val="18"/>
          <w:szCs w:val="18"/>
          <w:color w:val="auto"/>
        </w:rPr>
        <w:t>. No litigation, investigation or proceeding of or before an arbitrator or Governmental Authority is pending or, to the best knowledge of Borrower, threatened by or against Borrower or any of its Restricted Subsidiaries or against any of their properties or revenues that is reasonably likely to be determined adversely, and, if so adversely determined, has a Material Adverse Effect.</w:t>
      </w:r>
    </w:p>
    <w:p>
      <w:pPr>
        <w:spacing w:after="0" w:line="14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 xml:space="preserve">5.06 </w:t>
      </w:r>
      <w:r>
        <w:rPr>
          <w:rFonts w:ascii="Arial" w:cs="Arial" w:eastAsia="Arial" w:hAnsi="Arial"/>
          <w:sz w:val="16"/>
          <w:szCs w:val="16"/>
          <w:u w:val="single" w:color="auto"/>
          <w:color w:val="auto"/>
        </w:rPr>
        <w:t>No Default</w:t>
      </w:r>
      <w:r>
        <w:rPr>
          <w:rFonts w:ascii="Arial" w:cs="Arial" w:eastAsia="Arial" w:hAnsi="Arial"/>
          <w:sz w:val="16"/>
          <w:szCs w:val="16"/>
          <w:color w:val="auto"/>
        </w:rPr>
        <w:t>. Neither Borrower nor any of its Restricted Subsidiaries is in default under or with respect to any Contractual Obligation, license or franchise which has a Material Adverse Effect, and no Default or Event of Default has occurred and is continuing or will result from the execution and delivery of this Agreement or any of the other Loan Documents, or the making of the Extensions of Credit hereunder.</w:t>
      </w:r>
    </w:p>
    <w:p>
      <w:pPr>
        <w:spacing w:after="0" w:line="107"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 xml:space="preserve">5.07 </w:t>
      </w:r>
      <w:r>
        <w:rPr>
          <w:rFonts w:ascii="Arial" w:cs="Arial" w:eastAsia="Arial" w:hAnsi="Arial"/>
          <w:sz w:val="16"/>
          <w:szCs w:val="16"/>
          <w:u w:val="single" w:color="auto"/>
          <w:color w:val="auto"/>
        </w:rPr>
        <w:t>Authorizations</w:t>
      </w:r>
      <w:r>
        <w:rPr>
          <w:rFonts w:ascii="Arial" w:cs="Arial" w:eastAsia="Arial" w:hAnsi="Arial"/>
          <w:sz w:val="16"/>
          <w:szCs w:val="16"/>
          <w:color w:val="auto"/>
        </w:rPr>
        <w:t>. Borrower and its Restricted Subsidiaries possess all licenses, permits, franchises, consents, approvals, and other authorities required to be issued by Governmental Authorities that are necessary or required in the conduct of their businesses, all of which are valid, binding, enforceable, and subsisting without any defaults thereunder, other than any failures to possess or defaults that do not have a Material Adverse Effect.</w:t>
      </w:r>
    </w:p>
    <w:p>
      <w:pPr>
        <w:spacing w:after="0" w:line="10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u w:val="single" w:color="auto"/>
          <w:color w:val="auto"/>
        </w:rPr>
        <w:t>Taxes</w:t>
      </w:r>
      <w:r>
        <w:rPr>
          <w:rFonts w:ascii="Arial" w:cs="Arial" w:eastAsia="Arial" w:hAnsi="Arial"/>
          <w:sz w:val="18"/>
          <w:szCs w:val="18"/>
          <w:color w:val="auto"/>
        </w:rPr>
        <w:t>. Borrower and its Restricted Subsidiaries have filed all tax returns which are required to be filed, and have paid, or made provision for the payment of, all taxes with respect to the periods, property or transactions covered by said returns, or pursuant to any assessment received by Borrower or its affected Restricted Subsidiaries, except such taxes, if any, as are being contested in good faith by appropriate proceedings and as to which adequate reserves have been established and maintained in accordance with GAAP, and, except for the failure to file tax returns and/or to pay taxes which failures do not, in the aggregate, have a Material Adverse Effect.</w:t>
      </w:r>
    </w:p>
    <w:p>
      <w:pPr>
        <w:spacing w:after="0" w:line="143"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5.09 </w:t>
      </w:r>
      <w:r>
        <w:rPr>
          <w:rFonts w:ascii="Arial" w:cs="Arial" w:eastAsia="Arial" w:hAnsi="Arial"/>
          <w:sz w:val="16"/>
          <w:szCs w:val="16"/>
          <w:u w:val="single" w:color="auto"/>
          <w:color w:val="auto"/>
        </w:rPr>
        <w:t>Margin Regulations; Investment Company Act</w:t>
      </w:r>
      <w:r>
        <w:rPr>
          <w:rFonts w:ascii="Arial" w:cs="Arial" w:eastAsia="Arial" w:hAnsi="Arial"/>
          <w:sz w:val="16"/>
          <w:szCs w:val="16"/>
          <w:color w:val="auto"/>
        </w:rPr>
        <w:t>. Neither Co-Borrower is engaged or will engage, principally or as one of its important activities, in the business of extending credit for the purpose of “purchasing” or “carrying” “margin stock” within the respective meanings of each of the quoted terms under Regulation U of the Board of Governors of the Federal Reserve System as now and from time to time hereafter in effect. No part of the proceeds of any Extensions of Credit hereunder will be used for “purchasing” or “carrying” “margin stock” as so defined in a manner which violates, or which would be inconsistent with, the provisions of Regulations T, U, or X of such Board of Governors. The Borrower is not required to be registered as an “investment company” as defined in the Investment Company Act of 1940, as amended.</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171" w:lineRule="exact"/>
        <w:rPr>
          <w:sz w:val="20"/>
          <w:szCs w:val="20"/>
          <w:color w:val="auto"/>
        </w:rPr>
      </w:pPr>
    </w:p>
    <w:p>
      <w:pPr>
        <w:ind w:right="160" w:firstLine="921"/>
        <w:spacing w:after="0" w:line="256" w:lineRule="auto"/>
        <w:tabs>
          <w:tab w:leader="none" w:pos="11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Plan is in compliance in all material respects with the applicable provisions of ERISA, the Code and other federal or state Laws, except to the extent that noncompliance does not have a Material Adverse Effect. Borrower and each ERISA Affiliate have made all required contributions to each Plan subject to Section 412 of the Code, and no application for a funding waiver or an extension of any amortization period pursuant to Section 412 of the Code has been made with respect to any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in each case to an extent that could not reasonably be expected to result in a Material Adverse Effect.</w:t>
      </w:r>
    </w:p>
    <w:p>
      <w:pPr>
        <w:spacing w:after="0" w:line="171" w:lineRule="exact"/>
        <w:rPr>
          <w:sz w:val="20"/>
          <w:szCs w:val="20"/>
          <w:color w:val="auto"/>
        </w:rPr>
      </w:pPr>
    </w:p>
    <w:p>
      <w:pPr>
        <w:ind w:right="260" w:firstLine="921"/>
        <w:spacing w:after="0" w:line="268" w:lineRule="auto"/>
        <w:tabs>
          <w:tab w:leader="none" w:pos="11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There are no pending or, to the best knowledge of Borrower, threatened claims, actions or lawsuits, or action by any Governmental Authority, with respect to any Plan that has a Material Adverse Effect.</w:t>
      </w:r>
    </w:p>
    <w:p>
      <w:pPr>
        <w:spacing w:after="0" w:line="131" w:lineRule="exact"/>
        <w:rPr>
          <w:rFonts w:ascii="Arial" w:cs="Arial" w:eastAsia="Arial" w:hAnsi="Arial"/>
          <w:sz w:val="18"/>
          <w:szCs w:val="18"/>
          <w:color w:val="auto"/>
        </w:rPr>
      </w:pPr>
    </w:p>
    <w:p>
      <w:pPr>
        <w:ind w:firstLine="921"/>
        <w:spacing w:after="0" w:line="332" w:lineRule="auto"/>
        <w:tabs>
          <w:tab w:leader="none" w:pos="1152"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No ERISA Event has occurred or is reasonably expected to occur which, when taken together with all other such ERISA Events for which liability is reasonably expected to occur, has a Material Adverse Effect; and (ii) no Plan has any Unfunded Pension Liability which has a Material Adverse Effect.</w:t>
      </w:r>
    </w:p>
    <w:p>
      <w:pPr>
        <w:spacing w:after="0" w:line="8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Assets; Liens</w:t>
      </w:r>
      <w:r>
        <w:rPr>
          <w:rFonts w:ascii="Arial" w:cs="Arial" w:eastAsia="Arial" w:hAnsi="Arial"/>
          <w:sz w:val="18"/>
          <w:szCs w:val="18"/>
          <w:color w:val="auto"/>
        </w:rPr>
        <w:t>. Borrower and its Restricted Subsidiaries own, or possess the right to use, all properties and assets, including without limitation, trademarks, trade names, copyrights, patents, patent rights, franchises, licenses and other intangible assets, that are used in the conduct of their respective businesses as now operated, and none of such properties and assets, to the best knowledge of Borrower, conflicts with the valid ownership or other right of use of any other Person to the extent that such failure to own or possess or conflict has a Material Adverse Effect. None of such properties or assets is subject to any Lien, except as permitted in Section 7.01.</w:t>
      </w:r>
    </w:p>
    <w:p>
      <w:pPr>
        <w:spacing w:after="0" w:line="143"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 Borrower and its Restricted Subsidiaries are in compliance with Environmental Laws except to the extent that noncompliance does not have a Material Adverse Effect.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Use of Proceeds</w:t>
      </w:r>
      <w:r>
        <w:rPr>
          <w:rFonts w:ascii="Arial" w:cs="Arial" w:eastAsia="Arial" w:hAnsi="Arial"/>
          <w:sz w:val="18"/>
          <w:szCs w:val="18"/>
          <w:color w:val="auto"/>
        </w:rPr>
        <w:t>. Co-Borrowers will use the proceeds of the Extensions of Credit for general corporate purposes.</w:t>
      </w:r>
    </w:p>
    <w:p>
      <w:pPr>
        <w:spacing w:after="0" w:line="171"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Disclosure</w:t>
      </w:r>
      <w:r>
        <w:rPr>
          <w:rFonts w:ascii="Arial" w:cs="Arial" w:eastAsia="Arial" w:hAnsi="Arial"/>
          <w:sz w:val="18"/>
          <w:szCs w:val="18"/>
          <w:color w:val="auto"/>
        </w:rPr>
        <w:t>. The statements, information, reports, representations and warranties made by the Loan Parties in the Loan Documents or furnished to Administrative Agent or the Lenders in connection with the Loan Documents, taken as a whole, do not contain any untrue statement of a fact that, individually or in the aggregate with any other such untrue statements, has a Material Adverse Effect.</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6</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AFFIRMATIVE COVENANTS</w:t>
      </w:r>
    </w:p>
    <w:p>
      <w:pPr>
        <w:spacing w:after="0" w:line="171"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So long as any Obligation remains unpaid or unperformed, or any portion of the Revolving Commitments remains outstanding, Borrower shall, and shall (except in the case of Borrower’s reporting covenants), cause each Restricted Subsidiary to:</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Deliver to Administrative Agent and Lenders, in form and detail satisfactory to Administrative Agent:</w:t>
      </w:r>
    </w:p>
    <w:p>
      <w:pPr>
        <w:spacing w:after="0" w:line="171" w:lineRule="exact"/>
        <w:rPr>
          <w:sz w:val="20"/>
          <w:szCs w:val="20"/>
          <w:color w:val="auto"/>
        </w:rPr>
      </w:pPr>
    </w:p>
    <w:p>
      <w:pPr>
        <w:ind w:left="1160" w:hanging="239"/>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soon as available:</w:t>
      </w:r>
    </w:p>
    <w:p>
      <w:pPr>
        <w:spacing w:after="0" w:line="90" w:lineRule="exact"/>
        <w:rPr>
          <w:rFonts w:ascii="Arial" w:cs="Arial" w:eastAsia="Arial" w:hAnsi="Arial"/>
          <w:sz w:val="18"/>
          <w:szCs w:val="18"/>
          <w:color w:val="auto"/>
        </w:rPr>
      </w:pPr>
    </w:p>
    <w:p>
      <w:pPr>
        <w:ind w:left="920" w:right="120" w:firstLine="421"/>
        <w:spacing w:after="0" w:line="306" w:lineRule="auto"/>
        <w:tabs>
          <w:tab w:leader="none" w:pos="1549" w:val="left"/>
        </w:tabs>
        <w:numPr>
          <w:ilvl w:val="1"/>
          <w:numId w:val="82"/>
        </w:numPr>
        <w:rPr>
          <w:rFonts w:ascii="Arial" w:cs="Arial" w:eastAsia="Arial" w:hAnsi="Arial"/>
          <w:sz w:val="16"/>
          <w:szCs w:val="16"/>
          <w:color w:val="auto"/>
        </w:rPr>
      </w:pPr>
      <w:r>
        <w:rPr>
          <w:rFonts w:ascii="Arial" w:cs="Arial" w:eastAsia="Arial" w:hAnsi="Arial"/>
          <w:sz w:val="16"/>
          <w:szCs w:val="16"/>
          <w:color w:val="auto"/>
        </w:rPr>
        <w:t>but in any event within 105 days after the end of each fiscal year of Borrower, consolidated balance sheets as at the end of such fiscal year and related consolidated statements of income and cash flows for such fiscal year of Borrower and its consolidated Subsidiaries, setting forth in comparative form the figures for the previous fiscal year, all in reasonable detail, audited and accompanied by a report and opinion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94" w:name="page95"/>
    <w:bookmarkEnd w:id="94"/>
    <w:p>
      <w:pPr>
        <w:ind w:left="92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independent certified public accountants of nationally recognized standing reasonably acceptable to Administrative Agent, which report and opinion shall not be subject to any qualifications or exceptions as to the scope of the audit nor to any qualifications or exceptions not reasonably acceptable to Administrative Agent; and</w:t>
      </w:r>
    </w:p>
    <w:p>
      <w:pPr>
        <w:spacing w:after="0" w:line="59" w:lineRule="exact"/>
        <w:rPr>
          <w:sz w:val="20"/>
          <w:szCs w:val="20"/>
          <w:color w:val="auto"/>
        </w:rPr>
      </w:pPr>
    </w:p>
    <w:p>
      <w:pPr>
        <w:ind w:left="920" w:right="100" w:firstLine="421"/>
        <w:spacing w:after="0" w:line="255" w:lineRule="auto"/>
        <w:tabs>
          <w:tab w:leader="none" w:pos="1598" w:val="left"/>
        </w:tabs>
        <w:numPr>
          <w:ilvl w:val="1"/>
          <w:numId w:val="83"/>
        </w:numPr>
        <w:rPr>
          <w:rFonts w:ascii="Arial" w:cs="Arial" w:eastAsia="Arial" w:hAnsi="Arial"/>
          <w:sz w:val="18"/>
          <w:szCs w:val="18"/>
          <w:color w:val="auto"/>
        </w:rPr>
      </w:pPr>
      <w:r>
        <w:rPr>
          <w:rFonts w:ascii="Arial" w:cs="Arial" w:eastAsia="Arial" w:hAnsi="Arial"/>
          <w:sz w:val="18"/>
          <w:szCs w:val="18"/>
          <w:color w:val="auto"/>
        </w:rPr>
        <w:t>but in any event within 120 days after the end of each fiscal year of Borrower, consolidated balance sheets as at the end of such fiscal year and related consolidated statements of income and cash flows for such fiscal year of the Restricted Group, setting forth in comparative form the figures for the previous fiscal year, all in reasonable detail and certified by a Responsible Officer of Borrower as fairly presenting the financial condition, results of operations and cash flows of the Restricted Group in accordance with GAAP, except for the exclusion of the Unrestricted Subsidiaries and except for the absence of footnotes.</w:t>
      </w:r>
    </w:p>
    <w:p>
      <w:pPr>
        <w:spacing w:after="0" w:line="142" w:lineRule="exact"/>
        <w:rPr>
          <w:rFonts w:ascii="Arial" w:cs="Arial" w:eastAsia="Arial" w:hAnsi="Arial"/>
          <w:sz w:val="18"/>
          <w:szCs w:val="18"/>
          <w:color w:val="auto"/>
        </w:rPr>
      </w:pPr>
    </w:p>
    <w:p>
      <w:pPr>
        <w:ind w:firstLine="921"/>
        <w:spacing w:after="0" w:line="289" w:lineRule="auto"/>
        <w:tabs>
          <w:tab w:leader="none" w:pos="1162" w:val="left"/>
        </w:tabs>
        <w:numPr>
          <w:ilvl w:val="0"/>
          <w:numId w:val="84"/>
        </w:numPr>
        <w:rPr>
          <w:rFonts w:ascii="Arial" w:cs="Arial" w:eastAsia="Arial" w:hAnsi="Arial"/>
          <w:sz w:val="16"/>
          <w:szCs w:val="16"/>
          <w:color w:val="auto"/>
        </w:rPr>
      </w:pPr>
      <w:r>
        <w:rPr>
          <w:rFonts w:ascii="Arial" w:cs="Arial" w:eastAsia="Arial" w:hAnsi="Arial"/>
          <w:sz w:val="16"/>
          <w:szCs w:val="16"/>
          <w:color w:val="auto"/>
        </w:rPr>
        <w:t>As soon as available, but in any event within 60 days after the end of each of the first three fiscal quarters of each fiscal year of Borrower ending after the Effective Date, consolidated balance sheets as at the end of such fiscal quarter, and related consolidated statements of income and cash flows for such fiscal quarter and for the portion of Borrower’s fiscal year then ended, of (i) Borrower and its consolidated Subsidiaries and (ii) the Restricted Group,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the financial condition, results of operations and cash flows of Borrower and its consolidated Subsidiaries, or of the Restricted Group, as applicable, in accordance with GAAP, subject only to pro forma adjustments and normal year-end audit adjustments, except for the financial statements of the Restricted Group, which will be in accordance with GAAP except for the exclusion of the Unrestricted Subsidiaries and except for the absence of footnotes.</w:t>
      </w:r>
    </w:p>
    <w:p>
      <w:pPr>
        <w:spacing w:after="0" w:line="118" w:lineRule="exact"/>
        <w:rPr>
          <w:rFonts w:ascii="Arial" w:cs="Arial" w:eastAsia="Arial" w:hAnsi="Arial"/>
          <w:sz w:val="16"/>
          <w:szCs w:val="16"/>
          <w:color w:val="auto"/>
        </w:rPr>
      </w:pPr>
    </w:p>
    <w:p>
      <w:pPr>
        <w:ind w:firstLine="921"/>
        <w:spacing w:after="0" w:line="290" w:lineRule="auto"/>
        <w:tabs>
          <w:tab w:leader="none" w:pos="1152" w:val="left"/>
        </w:tabs>
        <w:numPr>
          <w:ilvl w:val="0"/>
          <w:numId w:val="84"/>
        </w:numPr>
        <w:rPr>
          <w:rFonts w:ascii="Arial" w:cs="Arial" w:eastAsia="Arial" w:hAnsi="Arial"/>
          <w:sz w:val="16"/>
          <w:szCs w:val="16"/>
          <w:color w:val="auto"/>
        </w:rPr>
      </w:pPr>
      <w:r>
        <w:rPr>
          <w:rFonts w:ascii="Arial" w:cs="Arial" w:eastAsia="Arial" w:hAnsi="Arial"/>
          <w:sz w:val="16"/>
          <w:szCs w:val="16"/>
          <w:color w:val="auto"/>
        </w:rPr>
        <w:t>Financial statements and other documents required to be delivered pursuant to this Section 6.01 or Section 6.02(b) may be delivered electronically and if so delivered, shall be deemed to have been delivered (i) to the extent such documents are included in materials otherwise filed with the U.S. Securities and Exchange Commission, when such filing is available to the Lenders on EDGAR or (ii) in any case, on the date on which such documents are posted on the Borrower’s behalf on an Internet website to which each Lender and the Administrative Agent has access and the Borrower notifies the Administrative Agent and the Lenders of such posting. If the Borrower provides the financial statements and other documents required to be delivered pursuant to this Section 6.01 or Section 6.02(b) electronically pursuant to the preceding sentence, the Borrower will provide printed versions of such financial statements and other documents to any Lender upon such Lender’s request.</w:t>
      </w:r>
    </w:p>
    <w:p>
      <w:pPr>
        <w:spacing w:after="0" w:line="118"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Certificates, Notices and Other Information</w:t>
      </w:r>
      <w:r>
        <w:rPr>
          <w:rFonts w:ascii="Arial" w:cs="Arial" w:eastAsia="Arial" w:hAnsi="Arial"/>
          <w:sz w:val="18"/>
          <w:szCs w:val="18"/>
          <w:color w:val="auto"/>
        </w:rPr>
        <w:t>. Deliver to Administrative Agent in form and detail satisfactory to Administrative Agent, with sufficient copies for each Lender:</w:t>
      </w:r>
    </w:p>
    <w:p>
      <w:pPr>
        <w:spacing w:after="0" w:line="132" w:lineRule="exact"/>
        <w:rPr>
          <w:sz w:val="20"/>
          <w:szCs w:val="20"/>
          <w:color w:val="auto"/>
        </w:rPr>
      </w:pPr>
    </w:p>
    <w:p>
      <w:pPr>
        <w:ind w:right="100" w:firstLine="921"/>
        <w:spacing w:after="0" w:line="256" w:lineRule="auto"/>
        <w:tabs>
          <w:tab w:leader="none" w:pos="11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later than the date required for the delivery of the financial statements referred to in Sections 6.01(a) and (b), a duly completed Compliance Certificate signed by a Responsible Officer of Borrower, which Compliance Certificate shall set forth the necessary adjustments to exclude the Indebtedness and EBITDA attributed to Unrestricted Subsidiaries from the calculations set forth therein and shall give pro forma effect to Material Acquisitions and Material Dispositions in accordance with Section 1.07;</w:t>
      </w:r>
    </w:p>
    <w:p>
      <w:pPr>
        <w:spacing w:after="0" w:line="143" w:lineRule="exact"/>
        <w:rPr>
          <w:rFonts w:ascii="Arial" w:cs="Arial" w:eastAsia="Arial" w:hAnsi="Arial"/>
          <w:sz w:val="18"/>
          <w:szCs w:val="18"/>
          <w:color w:val="auto"/>
        </w:rPr>
      </w:pPr>
    </w:p>
    <w:p>
      <w:pPr>
        <w:ind w:right="100" w:firstLine="921"/>
        <w:spacing w:after="0" w:line="268" w:lineRule="auto"/>
        <w:tabs>
          <w:tab w:leader="none" w:pos="1162"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Promptly after the same are available, copies of all annual, regular, periodic and special reports and registration statements which Borrower may file or be required to file with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95" w:name="page96"/>
    <w:bookmarkEnd w:id="95"/>
    <w:p>
      <w:pPr>
        <w:ind w:right="7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 under Sections 13 or 15(d) of the Securities Exchange Act of 1934, and not otherwise required to be delivered to Administrative Agent pursuant hereto;</w:t>
      </w:r>
    </w:p>
    <w:p>
      <w:pPr>
        <w:spacing w:after="0" w:line="132" w:lineRule="exact"/>
        <w:rPr>
          <w:sz w:val="20"/>
          <w:szCs w:val="20"/>
          <w:color w:val="auto"/>
        </w:rPr>
      </w:pPr>
    </w:p>
    <w:p>
      <w:pPr>
        <w:ind w:right="120" w:firstLine="921"/>
        <w:spacing w:after="0" w:line="268" w:lineRule="auto"/>
        <w:tabs>
          <w:tab w:leader="none" w:pos="11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Promptly after Borrower obtaining knowledge of the occurrence thereof, notice of any Default or Event of Default specifying the nature thereof and what action Borrower has taken, is taking or proposes to take with respect thereto;</w:t>
      </w:r>
    </w:p>
    <w:p>
      <w:pPr>
        <w:spacing w:after="0" w:line="131" w:lineRule="exact"/>
        <w:rPr>
          <w:rFonts w:ascii="Arial" w:cs="Arial" w:eastAsia="Arial" w:hAnsi="Arial"/>
          <w:sz w:val="18"/>
          <w:szCs w:val="18"/>
          <w:color w:val="auto"/>
        </w:rPr>
      </w:pPr>
    </w:p>
    <w:p>
      <w:pPr>
        <w:ind w:right="100" w:firstLine="921"/>
        <w:spacing w:after="0" w:line="268" w:lineRule="auto"/>
        <w:tabs>
          <w:tab w:leader="none" w:pos="1162"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Promptly after Borrower obtaining knowledge of the occurrence thereof, notice of any ERISA Event that could reasonably be expected to result in a material liability to the Borrower and its Restricted Subsidiaries taken as a whole;</w:t>
      </w:r>
    </w:p>
    <w:p>
      <w:pPr>
        <w:spacing w:after="0" w:line="131" w:lineRule="exact"/>
        <w:rPr>
          <w:rFonts w:ascii="Arial" w:cs="Arial" w:eastAsia="Arial" w:hAnsi="Arial"/>
          <w:sz w:val="18"/>
          <w:szCs w:val="18"/>
          <w:color w:val="auto"/>
        </w:rPr>
      </w:pPr>
    </w:p>
    <w:p>
      <w:pPr>
        <w:ind w:right="120" w:firstLine="921"/>
        <w:spacing w:after="0" w:line="268" w:lineRule="auto"/>
        <w:tabs>
          <w:tab w:leader="none" w:pos="11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Promptly after Borrower obtaining knowledge of an announcement having been made by the applicable agency, notice of any announcement by Moody’s or S&amp;P of any change in a Debt Rating; and</w:t>
      </w:r>
    </w:p>
    <w:p>
      <w:pPr>
        <w:spacing w:after="0" w:line="131" w:lineRule="exact"/>
        <w:rPr>
          <w:rFonts w:ascii="Arial" w:cs="Arial" w:eastAsia="Arial" w:hAnsi="Arial"/>
          <w:sz w:val="18"/>
          <w:szCs w:val="18"/>
          <w:color w:val="auto"/>
        </w:rPr>
      </w:pPr>
    </w:p>
    <w:p>
      <w:pPr>
        <w:ind w:right="160" w:firstLine="921"/>
        <w:spacing w:after="0" w:line="268" w:lineRule="auto"/>
        <w:tabs>
          <w:tab w:leader="none" w:pos="1132"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Promptly after such request, such other data and information as from time to time may be reasonably requested by Administrative Agent or any Lender through Administrative Agent.</w:t>
      </w:r>
    </w:p>
    <w:p>
      <w:pPr>
        <w:spacing w:after="0" w:line="132" w:lineRule="exact"/>
        <w:rPr>
          <w:sz w:val="20"/>
          <w:szCs w:val="20"/>
          <w:color w:val="auto"/>
        </w:rPr>
      </w:pPr>
    </w:p>
    <w:p>
      <w:pPr>
        <w:ind w:right="320" w:firstLine="913"/>
        <w:spacing w:after="0" w:line="256"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Payment of Taxes</w:t>
      </w:r>
      <w:r>
        <w:rPr>
          <w:rFonts w:ascii="Arial" w:cs="Arial" w:eastAsia="Arial" w:hAnsi="Arial"/>
          <w:sz w:val="18"/>
          <w:szCs w:val="18"/>
          <w:color w:val="auto"/>
        </w:rPr>
        <w:t>.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 GAAP, and except, for such payments which, if not paid, do not in the aggregate, have a Material Adverse Effect.</w:t>
      </w:r>
    </w:p>
    <w:p>
      <w:pPr>
        <w:spacing w:after="0" w:line="143"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Preservation of Existence</w:t>
      </w:r>
      <w:r>
        <w:rPr>
          <w:rFonts w:ascii="Arial" w:cs="Arial" w:eastAsia="Arial" w:hAnsi="Arial"/>
          <w:sz w:val="18"/>
          <w:szCs w:val="18"/>
          <w:color w:val="auto"/>
        </w:rPr>
        <w:t>. Preserve and maintain its existence, licenses, permits, rights, franchises and privileges necessary or desirable in the normal conduct of its business, except where failure to do so does not have a Material Adverse Effect, and except that nothing in this Section 6.04 shall prohibit any transaction permitted by Section 7.03.</w:t>
      </w:r>
    </w:p>
    <w:p>
      <w:pPr>
        <w:spacing w:after="0" w:line="14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Maintain, preserve and protect all of its material properties and equipment necessary in the operation of its business in good order and condition, subject to wear and tear in the ordinary course of business, except to the extent that the failure to do so does not have a Material Adverse Effect.</w:t>
      </w:r>
    </w:p>
    <w:p>
      <w:pPr>
        <w:spacing w:after="0" w:line="14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6.06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Maintain liability and casualty insurance with financially sound and reputable insurance companies in such amounts with such deductibles and against such risks as is customary for similarly situated businesses, except to the extent Borrower or such Restricted Subsidiary maintains reasonable self-insurance with respect to such risks.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Comply with the requirements of all applicable Laws and orders of any Governmental Authority, noncompliance with which has a Material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Conduct its operations and keep and maintain its property in compliance with all Environmental Laws, noncompliance with which has a Material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165" w:lineRule="exact"/>
        <w:rPr>
          <w:sz w:val="20"/>
          <w:szCs w:val="20"/>
          <w:color w:val="auto"/>
        </w:rPr>
      </w:pPr>
    </w:p>
    <w:p>
      <w:pPr>
        <w:ind w:right="460" w:firstLine="913"/>
        <w:spacing w:after="0" w:line="332" w:lineRule="auto"/>
        <w:rPr>
          <w:sz w:val="20"/>
          <w:szCs w:val="20"/>
          <w:color w:val="auto"/>
        </w:rPr>
      </w:pPr>
      <w:r>
        <w:rPr>
          <w:rFonts w:ascii="Arial" w:cs="Arial" w:eastAsia="Arial" w:hAnsi="Arial"/>
          <w:sz w:val="16"/>
          <w:szCs w:val="16"/>
          <w:color w:val="auto"/>
        </w:rPr>
        <w:t xml:space="preserve">6.08 </w:t>
      </w:r>
      <w:r>
        <w:rPr>
          <w:rFonts w:ascii="Arial" w:cs="Arial" w:eastAsia="Arial" w:hAnsi="Arial"/>
          <w:sz w:val="16"/>
          <w:szCs w:val="16"/>
          <w:u w:val="single" w:color="auto"/>
          <w:color w:val="auto"/>
        </w:rPr>
        <w:t>Inspection Rights</w:t>
      </w:r>
      <w:r>
        <w:rPr>
          <w:rFonts w:ascii="Arial" w:cs="Arial" w:eastAsia="Arial" w:hAnsi="Arial"/>
          <w:sz w:val="16"/>
          <w:szCs w:val="16"/>
          <w:color w:val="auto"/>
        </w:rPr>
        <w:t>. At any time during regular business hours, upon reasonable notice, and as often as reasonably requested, but subject to Section 10.17, permit Administrative Agent or any Lender, or any employee, agent or representative thereof, to examine (and during the existence of an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96" w:name="page97"/>
    <w:bookmarkEnd w:id="96"/>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Event of Default, make copies and abstracts from) the records and books of account of Borrower and its Restricted Subsidiaries and to visit and inspect their properties and to discuss their affairs, finances and accounts with any of their officers and key employees.</w:t>
      </w:r>
    </w:p>
    <w:p>
      <w:pPr>
        <w:spacing w:after="0" w:line="132" w:lineRule="exact"/>
        <w:rPr>
          <w:sz w:val="20"/>
          <w:szCs w:val="20"/>
          <w:color w:val="auto"/>
        </w:rPr>
      </w:pPr>
    </w:p>
    <w:p>
      <w:pPr>
        <w:ind w:right="460" w:firstLine="913"/>
        <w:spacing w:after="0" w:line="259" w:lineRule="auto"/>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Keep adequate records and books of account reflecting all material financial transactions in conformity with GAAP, consistently applied, and in material conformity with all applicable requirements of any Governmental Authority having regulatory jurisdiction over Borrower or the applicable Restricted Subsidiary.</w:t>
      </w:r>
    </w:p>
    <w:p>
      <w:pPr>
        <w:spacing w:after="0" w:line="14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Compliance with ERISA</w:t>
      </w:r>
      <w:r>
        <w:rPr>
          <w:rFonts w:ascii="Arial" w:cs="Arial" w:eastAsia="Arial" w:hAnsi="Arial"/>
          <w:sz w:val="18"/>
          <w:szCs w:val="18"/>
          <w:color w:val="auto"/>
        </w:rPr>
        <w:t xml:space="preserve">. Cause, and cause each of its ERISA Affiliates to (a) maintain each Plan in compliance in all material respects with the applicable provisions of ERISA, the Code and other federal or state law; and (b) make all required contributions to any Plan subject to Section 412 of the Code, except, in each case, to an extent that could not reasonably be expected to result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Section 6.10 shall not prohibit Borrower and its ERISA Affiliates from terminating any Plan to the extent permitted by ERISA, the Code, and other applicable law or if such termination does not have a Material Adverse Effect.</w:t>
      </w:r>
    </w:p>
    <w:p>
      <w:pPr>
        <w:spacing w:after="0" w:line="143"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Compliance With Agreements</w:t>
      </w:r>
      <w:r>
        <w:rPr>
          <w:rFonts w:ascii="Arial" w:cs="Arial" w:eastAsia="Arial" w:hAnsi="Arial"/>
          <w:sz w:val="18"/>
          <w:szCs w:val="18"/>
          <w:color w:val="auto"/>
        </w:rPr>
        <w:t>. Promptly and fully comply with all Contractual Obligations to which any one or more of them is a party, except for any such Contractual Obligations (a) then being contested or intended to be timely contested by any of them in good faith by appropriate proceedings, or (b) the failure to comply with which does not have a Material Adverse Effect.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Use of Proceeds</w:t>
      </w:r>
      <w:r>
        <w:rPr>
          <w:rFonts w:ascii="Arial" w:cs="Arial" w:eastAsia="Arial" w:hAnsi="Arial"/>
          <w:sz w:val="18"/>
          <w:szCs w:val="18"/>
          <w:color w:val="auto"/>
        </w:rPr>
        <w:t>. Use the proceeds of Extensions of Credit as represented herein.</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Designation of Unrestricted Subsidiaries</w:t>
      </w:r>
      <w:r>
        <w:rPr>
          <w:rFonts w:ascii="Arial" w:cs="Arial" w:eastAsia="Arial" w:hAnsi="Arial"/>
          <w:sz w:val="16"/>
          <w:szCs w:val="16"/>
          <w:color w:val="auto"/>
        </w:rPr>
        <w:t xml:space="preserve">. So long as no Default or Event of Default exists or arises as a result thereof and subject to the next succeeding sentence, Borrower may from time to time designate a Restricted Subsidiary as an Unrestricted Subsidiary or designate an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(a) provide Administrative Agent written notification of such designation prior to or concurrently therewith (which written notification Administrative Agent will promptly forward to Lenders), and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 compliance (in accordance with Section 1.07) with Section 7.07 immediately prior to and after giving effect to such designation. Notwithstanding anything to the contrary contained herein, (x) each Guarantor shall at all times be a Restricted Subsidiary for all purposes hereunder, and Borrower shall not designate a Guarantor as an Unrestricted Subsidiary, (y) unless designated as an Unrestricted Subsidiary in compliance with clause (z) below, each Cable Subsidiary shall at all times be a Restricted Subsidiary for all purposes hereunder, and (z) Borrower may designate a Cable Subsidiary as an Unrestricted Subsidiary at any time when the Leverage Ratio (calculated after giving pro forma effect to such designation) is less than or equal to 4.50 to 1.00. Borrower hereby designates the Subsidiaries listed on Schedule 6.13 as Unrestricted Subsidiaries.</w:t>
      </w:r>
    </w:p>
    <w:p>
      <w:pPr>
        <w:spacing w:after="0" w:line="28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7</w:t>
      </w:r>
    </w:p>
    <w:p>
      <w:pPr>
        <w:spacing w:after="0" w:line="17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NEGATIVE COVENANTS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 long as any Obligations remain unpaid or unperformed, or any portion of the Revolving Commitments remains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97" w:name="page98"/>
    <w:bookmarkEnd w:id="97"/>
    <w:p>
      <w:pPr>
        <w:ind w:right="1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Borrower shall not, nor shall it permit any Restricted Subsidiary to, directly or indirectly, incur, assume or suffer to exist, any Lien upon any of its property, assets or revenues, whether now owned or hereafter acquired, except:</w:t>
      </w:r>
    </w:p>
    <w:p>
      <w:pPr>
        <w:spacing w:after="0" w:line="132" w:lineRule="exact"/>
        <w:rPr>
          <w:sz w:val="20"/>
          <w:szCs w:val="20"/>
          <w:color w:val="auto"/>
        </w:rPr>
      </w:pPr>
    </w:p>
    <w:p>
      <w:pPr>
        <w:ind w:left="1160" w:hanging="239"/>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171"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Liens existing on the date hereof securing Indebtedness which does not exceed $500,000,000 in the aggregate, and any renewals or extensions thereof, provided that such Liens are not extended to cover any other property, assets or revenues;</w:t>
      </w:r>
    </w:p>
    <w:p>
      <w:pPr>
        <w:spacing w:after="0" w:line="131" w:lineRule="exact"/>
        <w:rPr>
          <w:rFonts w:ascii="Arial" w:cs="Arial" w:eastAsia="Arial" w:hAnsi="Arial"/>
          <w:sz w:val="18"/>
          <w:szCs w:val="18"/>
          <w:color w:val="auto"/>
        </w:rPr>
      </w:pPr>
    </w:p>
    <w:p>
      <w:pPr>
        <w:ind w:right="220" w:firstLine="921"/>
        <w:spacing w:after="0" w:line="332" w:lineRule="auto"/>
        <w:tabs>
          <w:tab w:leader="none" w:pos="11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Liens for taxes not yet due or which are being contested in good faith and by appropriate proceedings, if adequate reserves with respect thereto are maintained on the books of the applicable Person in accordance with GAAP or such Liens are otherwise permitted under Section 6.03;</w:t>
      </w:r>
    </w:p>
    <w:p>
      <w:pPr>
        <w:spacing w:after="0" w:line="85" w:lineRule="exact"/>
        <w:rPr>
          <w:rFonts w:ascii="Arial" w:cs="Arial" w:eastAsia="Arial" w:hAnsi="Arial"/>
          <w:sz w:val="16"/>
          <w:szCs w:val="16"/>
          <w:color w:val="auto"/>
        </w:rPr>
      </w:pPr>
    </w:p>
    <w:p>
      <w:pPr>
        <w:ind w:right="220" w:firstLine="921"/>
        <w:spacing w:after="0" w:line="332" w:lineRule="auto"/>
        <w:tabs>
          <w:tab w:leader="none" w:pos="1162" w:val="left"/>
        </w:tabs>
        <w:numPr>
          <w:ilvl w:val="0"/>
          <w:numId w:val="88"/>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or other like Liens arising in the ordinary course of business which are not overdue for a period of more than 30 days or which are being contested or intended to be timely contested in good faith and by appropriate proceedings;</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unemployment insurance and other social security legislation;</w:t>
      </w:r>
    </w:p>
    <w:p>
      <w:pPr>
        <w:spacing w:after="0" w:line="171" w:lineRule="exact"/>
        <w:rPr>
          <w:rFonts w:ascii="Arial" w:cs="Arial" w:eastAsia="Arial" w:hAnsi="Arial"/>
          <w:sz w:val="18"/>
          <w:szCs w:val="18"/>
          <w:color w:val="auto"/>
        </w:rPr>
      </w:pPr>
    </w:p>
    <w:p>
      <w:pPr>
        <w:ind w:right="460" w:firstLine="921"/>
        <w:spacing w:after="0" w:line="268" w:lineRule="auto"/>
        <w:tabs>
          <w:tab w:leader="none" w:pos="1132"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131" w:lineRule="exact"/>
        <w:rPr>
          <w:rFonts w:ascii="Arial" w:cs="Arial" w:eastAsia="Arial" w:hAnsi="Arial"/>
          <w:sz w:val="18"/>
          <w:szCs w:val="18"/>
          <w:color w:val="auto"/>
        </w:rPr>
      </w:pPr>
    </w:p>
    <w:p>
      <w:pPr>
        <w:ind w:firstLine="921"/>
        <w:spacing w:after="0" w:line="268" w:lineRule="auto"/>
        <w:tabs>
          <w:tab w:leader="none" w:pos="1162"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do not in any case materially detract from the value of the property subject thereto or materially interfere with the ordinary conduct of the business of the applicable Person;</w:t>
      </w:r>
    </w:p>
    <w:p>
      <w:pPr>
        <w:spacing w:after="0" w:line="131" w:lineRule="exact"/>
        <w:rPr>
          <w:rFonts w:ascii="Arial" w:cs="Arial" w:eastAsia="Arial" w:hAnsi="Arial"/>
          <w:sz w:val="18"/>
          <w:szCs w:val="18"/>
          <w:color w:val="auto"/>
        </w:rPr>
      </w:pPr>
    </w:p>
    <w:p>
      <w:pPr>
        <w:jc w:val="both"/>
        <w:ind w:right="660" w:firstLine="921"/>
        <w:spacing w:after="0" w:line="306" w:lineRule="auto"/>
        <w:tabs>
          <w:tab w:leader="none" w:pos="1162" w:val="left"/>
        </w:tabs>
        <w:numPr>
          <w:ilvl w:val="0"/>
          <w:numId w:val="88"/>
        </w:numPr>
        <w:rPr>
          <w:rFonts w:ascii="Arial" w:cs="Arial" w:eastAsia="Arial" w:hAnsi="Arial"/>
          <w:sz w:val="16"/>
          <w:szCs w:val="16"/>
          <w:color w:val="auto"/>
        </w:rPr>
      </w:pPr>
      <w:r>
        <w:rPr>
          <w:rFonts w:ascii="Arial" w:cs="Arial" w:eastAsia="Arial" w:hAnsi="Arial"/>
          <w:sz w:val="16"/>
          <w:szCs w:val="16"/>
          <w:color w:val="auto"/>
        </w:rPr>
        <w:t>Attachment, judgment or other similar Liens arising in connection with litigation or other legal proceedings (and not otherwise a Default hereunder) that are currently being contested in good faith by appropriate proceedings or are intended to be timely contested in good faith by appropriate proceedings, if adequate reserves with respect thereto are maintained on the books of the applicable Person in accordance with GAAP;</w:t>
      </w:r>
    </w:p>
    <w:p>
      <w:pPr>
        <w:spacing w:after="0" w:line="106" w:lineRule="exact"/>
        <w:rPr>
          <w:rFonts w:ascii="Arial" w:cs="Arial" w:eastAsia="Arial" w:hAnsi="Arial"/>
          <w:sz w:val="16"/>
          <w:szCs w:val="16"/>
          <w:color w:val="auto"/>
        </w:rPr>
      </w:pPr>
    </w:p>
    <w:p>
      <w:pPr>
        <w:ind w:left="1140" w:hanging="219"/>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Liens in favor of Borrower or any Restricted Subsidiary;</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100" w:firstLine="921"/>
        <w:spacing w:after="0" w:line="256" w:lineRule="auto"/>
        <w:tabs>
          <w:tab w:leader="none" w:pos="1162"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and are not extended to cover any other property;</w:t>
      </w:r>
    </w:p>
    <w:p>
      <w:pPr>
        <w:spacing w:after="0" w:line="143" w:lineRule="exact"/>
        <w:rPr>
          <w:rFonts w:ascii="Arial" w:cs="Arial" w:eastAsia="Arial" w:hAnsi="Arial"/>
          <w:sz w:val="18"/>
          <w:szCs w:val="18"/>
          <w:color w:val="auto"/>
        </w:rPr>
      </w:pPr>
    </w:p>
    <w:p>
      <w:pPr>
        <w:ind w:left="1140" w:hanging="219"/>
        <w:spacing w:after="0"/>
        <w:tabs>
          <w:tab w:leader="none" w:pos="11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Liens under Sale-Leaseback Transactions, and any renewals or extensions thereof, so long as the Indebtedness secured thereby does not exceed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$500,000,000 in the aggregate;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98" w:name="page99"/>
    <w:bookmarkEnd w:id="98"/>
    <w:p>
      <w:pPr>
        <w:ind w:right="540" w:firstLine="921"/>
        <w:spacing w:after="0" w:line="268" w:lineRule="auto"/>
        <w:tabs>
          <w:tab w:leader="none" w:pos="1210"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arising in connection with asset securitization transactions, so long as the aggregate outstanding principal amount of the obligations secured thereby does not exceed $500,000,000 at any one time;</w:t>
      </w:r>
    </w:p>
    <w:p>
      <w:pPr>
        <w:spacing w:after="0" w:line="131" w:lineRule="exact"/>
        <w:rPr>
          <w:rFonts w:ascii="Arial" w:cs="Arial" w:eastAsia="Arial" w:hAnsi="Arial"/>
          <w:sz w:val="18"/>
          <w:szCs w:val="18"/>
          <w:color w:val="auto"/>
        </w:rPr>
      </w:pPr>
    </w:p>
    <w:p>
      <w:pPr>
        <w:ind w:right="900" w:firstLine="921"/>
        <w:spacing w:after="0" w:line="268" w:lineRule="auto"/>
        <w:tabs>
          <w:tab w:leader="none" w:pos="1162"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Liens not otherwise permitted hereby which do not secure any Indebtedness or which secure Indebtedness incurred pursuant to Asset Monetization Transactions; and</w:t>
      </w:r>
    </w:p>
    <w:p>
      <w:pPr>
        <w:spacing w:after="0" w:line="131" w:lineRule="exact"/>
        <w:rPr>
          <w:rFonts w:ascii="Arial" w:cs="Arial" w:eastAsia="Arial" w:hAnsi="Arial"/>
          <w:sz w:val="18"/>
          <w:szCs w:val="18"/>
          <w:color w:val="auto"/>
        </w:rPr>
      </w:pPr>
    </w:p>
    <w:p>
      <w:pPr>
        <w:ind w:right="380" w:firstLine="921"/>
        <w:spacing w:after="0" w:line="370" w:lineRule="auto"/>
        <w:tabs>
          <w:tab w:leader="none" w:pos="1162" w:val="left"/>
        </w:tabs>
        <w:numPr>
          <w:ilvl w:val="0"/>
          <w:numId w:val="89"/>
        </w:numPr>
        <w:rPr>
          <w:rFonts w:ascii="Arial" w:cs="Arial" w:eastAsia="Arial" w:hAnsi="Arial"/>
          <w:sz w:val="15"/>
          <w:szCs w:val="15"/>
          <w:color w:val="auto"/>
        </w:rPr>
      </w:pPr>
      <w:r>
        <w:rPr>
          <w:rFonts w:ascii="Arial" w:cs="Arial" w:eastAsia="Arial" w:hAnsi="Arial"/>
          <w:sz w:val="15"/>
          <w:szCs w:val="15"/>
          <w:color w:val="auto"/>
        </w:rPr>
        <w:t>other Liens, so long as the aggregate outstanding principal amount of the obligations secured thereby does not exceed at any time an amount equal to (x) $2,500,000,000 less (y) the amount, if any, of any unsecured Indebtedness incurred by any Restricted Subsidiary pursuant to Section 7.02(d).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7.02 </w:t>
      </w:r>
      <w:r>
        <w:rPr>
          <w:rFonts w:ascii="Arial" w:cs="Arial" w:eastAsia="Arial" w:hAnsi="Arial"/>
          <w:sz w:val="16"/>
          <w:szCs w:val="16"/>
          <w:u w:val="single" w:color="auto"/>
          <w:color w:val="auto"/>
        </w:rPr>
        <w:t>Subsidiary Indebtedness</w:t>
      </w:r>
      <w:r>
        <w:rPr>
          <w:rFonts w:ascii="Arial" w:cs="Arial" w:eastAsia="Arial" w:hAnsi="Arial"/>
          <w:sz w:val="16"/>
          <w:szCs w:val="16"/>
          <w:color w:val="auto"/>
        </w:rPr>
        <w:t>. Borrower shall not permit any of its Restricted Subsidiaries to create, incur, assume or permit to exist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165" w:lineRule="exact"/>
        <w:rPr>
          <w:sz w:val="20"/>
          <w:szCs w:val="20"/>
          <w:color w:val="auto"/>
        </w:rPr>
      </w:pPr>
    </w:p>
    <w:p>
      <w:pPr>
        <w:ind w:firstLine="921"/>
        <w:spacing w:after="0" w:line="259" w:lineRule="auto"/>
        <w:tabs>
          <w:tab w:leader="none" w:pos="11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Indebtedness existing on the date hereof, in an aggregate amount not in excess of (i) the aggregate amount of the Asset Monetization Transactions set forth on Schedule A plus (ii) $2,000,000,000, and extensions, renewals and replacements of such Indebtedness that do not increase the outstanding principal amount thereof;</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Indebtedness of any Restricted Subsidiary to Borrower or any other Restricted Subsidiary;</w:t>
      </w:r>
    </w:p>
    <w:p>
      <w:pPr>
        <w:spacing w:after="0" w:line="171" w:lineRule="exact"/>
        <w:rPr>
          <w:rFonts w:ascii="Arial" w:cs="Arial" w:eastAsia="Arial" w:hAnsi="Arial"/>
          <w:sz w:val="18"/>
          <w:szCs w:val="18"/>
          <w:color w:val="auto"/>
        </w:rPr>
      </w:pPr>
    </w:p>
    <w:p>
      <w:pPr>
        <w:ind w:right="380" w:firstLine="921"/>
        <w:spacing w:after="0" w:line="332" w:lineRule="auto"/>
        <w:tabs>
          <w:tab w:leader="none" w:pos="1152"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Indebtedness of any Restricted Subsidiary that is a Guarantor (and, if requested by Administrative Agent as to any Restricted Subsidiary that becomes a Guarantor after the Effective Date, a satisfactory opinion of counsel is delivered to Administrative Agent relating thereto); and</w:t>
      </w:r>
    </w:p>
    <w:p>
      <w:pPr>
        <w:spacing w:after="0" w:line="85" w:lineRule="exact"/>
        <w:rPr>
          <w:rFonts w:ascii="Arial" w:cs="Arial" w:eastAsia="Arial" w:hAnsi="Arial"/>
          <w:sz w:val="16"/>
          <w:szCs w:val="16"/>
          <w:color w:val="auto"/>
        </w:rPr>
      </w:pPr>
    </w:p>
    <w:p>
      <w:pPr>
        <w:ind w:right="140" w:firstLine="921"/>
        <w:spacing w:after="0" w:line="256" w:lineRule="auto"/>
        <w:tabs>
          <w:tab w:leader="none" w:pos="1162"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Other Indebtedness of a Restricted Subsidiary that is not a Guarantor in an aggregate principal amount for all Restricted Subsidiaries not exceeding $2,500,000,000 at any time (it being understood that any Indebtedness incurred pursuant to Section 7.01(m) or Section 7.02(c) shall not be counted in determining such $2,500,000,000 limit);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$2,500,000,000 limit shall be reduced on a dollar-for-dollar basis by the amount, if any, of any obligations of Borrower and the Guarantors secured pursuant to Section 7.01(o).</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7.03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(a) Borrower shall not (A) merge or consolidate with or into any Person or (B) liquidate, wind-up or dissolve itself or</w:t>
      </w:r>
    </w:p>
    <w:p>
      <w:pPr>
        <w:spacing w:after="0" w:line="38" w:lineRule="exact"/>
        <w:rPr>
          <w:sz w:val="20"/>
          <w:szCs w:val="20"/>
          <w:color w:val="auto"/>
        </w:rPr>
      </w:pPr>
    </w:p>
    <w:p>
      <w:pPr>
        <w:ind w:right="140" w:firstLine="8"/>
        <w:spacing w:after="0" w:line="255" w:lineRule="auto"/>
        <w:tabs>
          <w:tab w:leader="none" w:pos="278"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sell, transfer or dispose of all or substantially all of its assets, provided nothing in this Section 7.03 shall be construed to prohibit Borrower from reincorporating in another jurisdiction, changing its form of organization or merging into, or transferring all or substantially all of its assets to, another Person so long as:</w:t>
      </w:r>
    </w:p>
    <w:p>
      <w:pPr>
        <w:spacing w:after="0" w:line="63" w:lineRule="exact"/>
        <w:rPr>
          <w:rFonts w:ascii="Arial" w:cs="Arial" w:eastAsia="Arial" w:hAnsi="Arial"/>
          <w:sz w:val="18"/>
          <w:szCs w:val="18"/>
          <w:color w:val="auto"/>
        </w:rPr>
      </w:pPr>
    </w:p>
    <w:p>
      <w:pPr>
        <w:ind w:left="920" w:firstLine="421"/>
        <w:spacing w:after="0" w:line="290" w:lineRule="auto"/>
        <w:tabs>
          <w:tab w:leader="none" w:pos="1549" w:val="left"/>
        </w:tabs>
        <w:numPr>
          <w:ilvl w:val="1"/>
          <w:numId w:val="91"/>
        </w:numPr>
        <w:rPr>
          <w:rFonts w:ascii="Arial" w:cs="Arial" w:eastAsia="Arial" w:hAnsi="Arial"/>
          <w:sz w:val="16"/>
          <w:szCs w:val="16"/>
          <w:color w:val="auto"/>
        </w:rPr>
      </w:pPr>
      <w:r>
        <w:rPr>
          <w:rFonts w:ascii="Arial" w:cs="Arial" w:eastAsia="Arial" w:hAnsi="Arial"/>
          <w:sz w:val="16"/>
          <w:szCs w:val="16"/>
          <w:color w:val="auto"/>
        </w:rPr>
        <w:t>either (x) Borrower shall be the surviving entity with substantially the same assets immediately following the reincorporation or reorganization or (y) the surviving entity or transferee (the “Successor Corporation”) shall, immediately following the merger or transfer, as the case may be, (A) have substantially all of the assets of Borrower immediately preceding the merger or transfer, as the case may be, (B) have duly assumed all of Borrower’s obligations hereunder and under the other Loan Documents in form and substance satisfactory to Administrative Agent (and, if requested by Administrative Agent, the Successor Corporation shall have delivered an opinion of counsel as to the assumption of such obligations) and (C) either (I) have then-effective ratings (or implied ratings) published by Moody’s or S&amp;P applicable to such Successor Corporation’s senior, unsecured, non-credit-enhanced, long term indebtedness for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99" w:name="page100"/>
    <w:bookmarkEnd w:id="99"/>
    <w:p>
      <w:pPr>
        <w:ind w:left="92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borrowed money, which ratings shall be either Baa3 or higher (if assigned by Moody’s) or BBB- or higher (if assigned by S&amp;P) or (II) be acceptable to Required Lenders; and</w:t>
      </w:r>
    </w:p>
    <w:p>
      <w:pPr>
        <w:spacing w:after="0" w:line="51" w:lineRule="exact"/>
        <w:rPr>
          <w:sz w:val="20"/>
          <w:szCs w:val="20"/>
          <w:color w:val="auto"/>
        </w:rPr>
      </w:pPr>
    </w:p>
    <w:p>
      <w:pPr>
        <w:ind w:left="1600" w:hanging="259"/>
        <w:spacing w:after="0"/>
        <w:tabs>
          <w:tab w:leader="none" w:pos="16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w:t>
      </w:r>
    </w:p>
    <w:p>
      <w:pPr>
        <w:spacing w:after="0" w:line="171" w:lineRule="exact"/>
        <w:rPr>
          <w:rFonts w:ascii="Arial" w:cs="Arial" w:eastAsia="Arial" w:hAnsi="Arial"/>
          <w:sz w:val="18"/>
          <w:szCs w:val="18"/>
          <w:color w:val="auto"/>
        </w:rPr>
      </w:pPr>
    </w:p>
    <w:p>
      <w:pPr>
        <w:ind w:right="120" w:firstLine="921"/>
        <w:spacing w:after="0" w:line="268" w:lineRule="auto"/>
        <w:tabs>
          <w:tab w:leader="none" w:pos="1162" w:val="left"/>
        </w:tabs>
        <w:numPr>
          <w:ilvl w:val="0"/>
          <w:numId w:val="93"/>
        </w:numPr>
        <w:rPr>
          <w:rFonts w:ascii="Arial" w:cs="Arial" w:eastAsia="Arial" w:hAnsi="Arial"/>
          <w:sz w:val="18"/>
          <w:szCs w:val="18"/>
          <w:color w:val="auto"/>
        </w:rPr>
      </w:pPr>
      <w:r>
        <w:rPr>
          <w:rFonts w:ascii="Arial" w:cs="Arial" w:eastAsia="Arial" w:hAnsi="Arial"/>
          <w:sz w:val="18"/>
          <w:szCs w:val="18"/>
          <w:color w:val="auto"/>
        </w:rPr>
        <w:t>Borrower and its Restricted Subsidiaries, taken as a whole, shall continue to maintain cable and other communications businesses as its primary lines of business.</w:t>
      </w:r>
    </w:p>
    <w:p>
      <w:pPr>
        <w:spacing w:after="0" w:line="132" w:lineRule="exact"/>
        <w:rPr>
          <w:sz w:val="20"/>
          <w:szCs w:val="20"/>
          <w:color w:val="auto"/>
        </w:rPr>
      </w:pPr>
    </w:p>
    <w:p>
      <w:pPr>
        <w:jc w:val="both"/>
        <w:ind w:right="140" w:firstLine="913"/>
        <w:spacing w:after="0" w:line="306" w:lineRule="auto"/>
        <w:rPr>
          <w:sz w:val="20"/>
          <w:szCs w:val="20"/>
          <w:color w:val="auto"/>
        </w:rPr>
      </w:pPr>
      <w:r>
        <w:rPr>
          <w:rFonts w:ascii="Arial" w:cs="Arial" w:eastAsia="Arial" w:hAnsi="Arial"/>
          <w:sz w:val="16"/>
          <w:szCs w:val="16"/>
          <w:color w:val="auto"/>
        </w:rPr>
        <w:t xml:space="preserve">7.04 </w:t>
      </w:r>
      <w:r>
        <w:rPr>
          <w:rFonts w:ascii="Arial" w:cs="Arial" w:eastAsia="Arial" w:hAnsi="Arial"/>
          <w:sz w:val="16"/>
          <w:szCs w:val="16"/>
          <w:u w:val="single" w:color="auto"/>
          <w:color w:val="auto"/>
        </w:rPr>
        <w:t>ERISA</w:t>
      </w:r>
      <w:r>
        <w:rPr>
          <w:rFonts w:ascii="Arial" w:cs="Arial" w:eastAsia="Arial" w:hAnsi="Arial"/>
          <w:sz w:val="16"/>
          <w:szCs w:val="16"/>
          <w:color w:val="auto"/>
        </w:rPr>
        <w:t>. Borrower shall not, nor shall it permit any Restricted Subsidiary to, directly or indirectly, at any time permit (a) any Plan to (i) engage in any non-exempt “prohibited transaction” (as defined in Section 4975 of the Code) or (ii) fail to comply with ERISA or any other Laws applicable to a Plan or (b) the occurrence of any ERISA Event; which, with respect to each event described in clauses (a) or (b) above, has a Material Adverse Effect.</w:t>
      </w:r>
    </w:p>
    <w:p>
      <w:pPr>
        <w:spacing w:after="0" w:line="107"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7.05 </w:t>
      </w:r>
      <w:r>
        <w:rPr>
          <w:rFonts w:ascii="Arial" w:cs="Arial" w:eastAsia="Arial" w:hAnsi="Arial"/>
          <w:sz w:val="16"/>
          <w:szCs w:val="16"/>
          <w:u w:val="single" w:color="auto"/>
          <w:color w:val="auto"/>
        </w:rPr>
        <w:t>Limitations on Upstreaming</w:t>
      </w:r>
      <w:r>
        <w:rPr>
          <w:rFonts w:ascii="Arial" w:cs="Arial" w:eastAsia="Arial" w:hAnsi="Arial"/>
          <w:sz w:val="16"/>
          <w:szCs w:val="16"/>
          <w:color w:val="auto"/>
        </w:rPr>
        <w:t>. Borrower shall not, nor shall it permit any Restricted Subsidiary to, directly or indirectly agree to any restriction or limitation on the making of dividends, distributions, loans or advances, the repaying of loans or advances or the transferring of assets from any Restricted Subsidiary to Borrower or any other Restricted Subsidiary, except (a) restrictions and limitations imposed by Law or by the Loan Documents, (b) customary restrictions and limitations contained in agreements relating to the sale of a Subsidiary or its assets that is permitted hereunder and (c) any other restrictions that could not reasonably be expected to impair Borrower’s ability to repay the Obligations as and when due.</w:t>
      </w:r>
    </w:p>
    <w:p>
      <w:pPr>
        <w:spacing w:after="0" w:line="116" w:lineRule="exact"/>
        <w:rPr>
          <w:sz w:val="20"/>
          <w:szCs w:val="20"/>
          <w:color w:val="auto"/>
        </w:rPr>
      </w:pPr>
    </w:p>
    <w:p>
      <w:pPr>
        <w:ind w:right="520" w:firstLine="913"/>
        <w:spacing w:after="0" w:line="306" w:lineRule="auto"/>
        <w:rPr>
          <w:sz w:val="20"/>
          <w:szCs w:val="20"/>
          <w:color w:val="auto"/>
        </w:rPr>
      </w:pPr>
      <w:r>
        <w:rPr>
          <w:rFonts w:ascii="Arial" w:cs="Arial" w:eastAsia="Arial" w:hAnsi="Arial"/>
          <w:sz w:val="16"/>
          <w:szCs w:val="16"/>
          <w:color w:val="auto"/>
        </w:rPr>
        <w:t xml:space="preserve">7.06 </w:t>
      </w:r>
      <w:r>
        <w:rPr>
          <w:rFonts w:ascii="Arial" w:cs="Arial" w:eastAsia="Arial" w:hAnsi="Arial"/>
          <w:sz w:val="16"/>
          <w:szCs w:val="16"/>
          <w:u w:val="single" w:color="auto"/>
          <w:color w:val="auto"/>
        </w:rPr>
        <w:t>Margin Regulations</w:t>
      </w:r>
      <w:r>
        <w:rPr>
          <w:rFonts w:ascii="Arial" w:cs="Arial" w:eastAsia="Arial" w:hAnsi="Arial"/>
          <w:sz w:val="16"/>
          <w:szCs w:val="16"/>
          <w:color w:val="auto"/>
        </w:rPr>
        <w:t>. Borrower shall not, nor shall it permit any Restricted Subsidiary to, directly or indirectly, use the proceeds of any Extensions of Credit hereunder for “purchasing” or “carrying” “margin stock” (as such terms are defined in Regulation U of the Board of Governors of the Federal Reserve System), if such use would violate, or would be inconsistent with, the provisions of Regulations T, U, or X of such Board of Governors.</w:t>
      </w:r>
    </w:p>
    <w:p>
      <w:pPr>
        <w:spacing w:after="0" w:line="107"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u w:val="single" w:color="auto"/>
          <w:color w:val="auto"/>
        </w:rPr>
        <w:t>Financial Covenant</w:t>
      </w:r>
      <w:r>
        <w:rPr>
          <w:rFonts w:ascii="Arial" w:cs="Arial" w:eastAsia="Arial" w:hAnsi="Arial"/>
          <w:sz w:val="18"/>
          <w:szCs w:val="18"/>
          <w:color w:val="auto"/>
        </w:rPr>
        <w:t>. Leverage Ratio. Borrower shall not permit the Leverage Ratio as of the end of any fiscal quarter of Borrower to be greater than 5.75 to 1.00.</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 AND REMEDIES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one or more of the following events shall constitute an Event of Default:</w:t>
      </w:r>
    </w:p>
    <w:p>
      <w:pPr>
        <w:spacing w:after="0" w:line="171" w:lineRule="exact"/>
        <w:rPr>
          <w:sz w:val="20"/>
          <w:szCs w:val="20"/>
          <w:color w:val="auto"/>
        </w:rPr>
      </w:pPr>
    </w:p>
    <w:p>
      <w:pPr>
        <w:ind w:left="1160" w:hanging="239"/>
        <w:spacing w:after="0"/>
        <w:tabs>
          <w:tab w:leader="none" w:pos="11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 Co-Borrower fails to pay any principal on any of its Outstanding Revolving Obligations or Competitive Loans (other than fees) on the date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when due; or</w:t>
      </w:r>
    </w:p>
    <w:p>
      <w:pPr>
        <w:spacing w:after="0" w:line="164" w:lineRule="exact"/>
        <w:rPr>
          <w:rFonts w:ascii="Arial" w:cs="Arial" w:eastAsia="Arial" w:hAnsi="Arial"/>
          <w:sz w:val="16"/>
          <w:szCs w:val="16"/>
          <w:color w:val="auto"/>
        </w:rPr>
      </w:pPr>
    </w:p>
    <w:p>
      <w:pPr>
        <w:jc w:val="both"/>
        <w:ind w:right="80" w:firstLine="921"/>
        <w:spacing w:after="0" w:line="259"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Co-Borrower fails to pay any interest on any of its Outstanding Revolving Obligations or Competitive Loans, or any commitment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default occurs in the observance or performance of any agreement contained in Section 6.02(c), 6.12, 7.03 or 7.07;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100" w:name="page101"/>
    <w:bookmarkEnd w:id="100"/>
    <w:p>
      <w:pPr>
        <w:ind w:right="60" w:firstLine="921"/>
        <w:spacing w:after="0" w:line="259"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Loan Party fails to perform or observe any other covenant or agreement (not specified in subsections (a), (b) or (c) above) contained in any Loan Document on its part to be performed or observed and such failure continues for 30 days after notice thereof to Borrower from Administrative Agent or any Lender; or</w:t>
      </w:r>
    </w:p>
    <w:p>
      <w:pPr>
        <w:spacing w:after="0" w:line="140" w:lineRule="exact"/>
        <w:rPr>
          <w:rFonts w:ascii="Arial" w:cs="Arial" w:eastAsia="Arial" w:hAnsi="Arial"/>
          <w:sz w:val="18"/>
          <w:szCs w:val="18"/>
          <w:color w:val="auto"/>
        </w:rPr>
      </w:pPr>
    </w:p>
    <w:p>
      <w:pPr>
        <w:ind w:right="120" w:firstLine="921"/>
        <w:spacing w:after="0" w:line="268" w:lineRule="auto"/>
        <w:tabs>
          <w:tab w:leader="none" w:pos="1152"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representation or warranty by any Loan Party in this Agreement or any other Loan Document or any Compliance Certificate proves to have been incorrect in any material respect when made or deemed made; or</w:t>
      </w:r>
    </w:p>
    <w:p>
      <w:pPr>
        <w:spacing w:after="0" w:line="131" w:lineRule="exact"/>
        <w:rPr>
          <w:rFonts w:ascii="Arial" w:cs="Arial" w:eastAsia="Arial" w:hAnsi="Arial"/>
          <w:sz w:val="18"/>
          <w:szCs w:val="18"/>
          <w:color w:val="auto"/>
        </w:rPr>
      </w:pPr>
    </w:p>
    <w:p>
      <w:pPr>
        <w:ind w:right="80" w:firstLine="921"/>
        <w:spacing w:after="0" w:line="288" w:lineRule="auto"/>
        <w:tabs>
          <w:tab w:leader="none" w:pos="1132" w:val="left"/>
        </w:tabs>
        <w:numPr>
          <w:ilvl w:val="0"/>
          <w:numId w:val="95"/>
        </w:numPr>
        <w:rPr>
          <w:rFonts w:ascii="Arial" w:cs="Arial" w:eastAsia="Arial" w:hAnsi="Arial"/>
          <w:sz w:val="16"/>
          <w:szCs w:val="16"/>
          <w:color w:val="auto"/>
        </w:rPr>
      </w:pPr>
      <w:r>
        <w:rPr>
          <w:rFonts w:ascii="Arial" w:cs="Arial" w:eastAsia="Arial" w:hAnsi="Arial"/>
          <w:sz w:val="16"/>
          <w:szCs w:val="16"/>
          <w:color w:val="auto"/>
        </w:rPr>
        <w:t>(i) Borrower or any Restricted Subsidiary (x) defaults in any payment when due (including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and as a consequence, Indebtedness having an aggregate principal amount in excess of the Threshold Amount shall have become due (automatically or otherwise) or shall have been required to be redeemed prior to its stated maturity, or any Guaranty Obligation in such amount shall have become payable or cash collateral in respect thereof shall have been demanded (provided that to the extent that any acceleration referred to in the preceding provisions of this Section 8.01(f) is duly rescinded by the required holders of the applicable Indebtedness, such acceleration shall cease to be an Event of Default hereunder, unless and except to the extent that Administrative Agent has theretofore exercised remedies hereunder pursuant to Section 8.02), or (ii) Borrower or any Guarantor is unable or admits in writing its inability to pay its debts as they mature; or</w:t>
      </w:r>
    </w:p>
    <w:p>
      <w:pPr>
        <w:spacing w:after="0" w:line="119" w:lineRule="exact"/>
        <w:rPr>
          <w:rFonts w:ascii="Arial" w:cs="Arial" w:eastAsia="Arial" w:hAnsi="Arial"/>
          <w:sz w:val="16"/>
          <w:szCs w:val="16"/>
          <w:color w:val="auto"/>
        </w:rPr>
      </w:pPr>
    </w:p>
    <w:p>
      <w:pPr>
        <w:jc w:val="both"/>
        <w:ind w:firstLine="921"/>
        <w:spacing w:after="0" w:line="256"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Loan Document, at any time after its execution and delivery and for any reason other than the agreement of Required Lenders or all Lenders, as may be required hereunder, or satisfaction in full of all the Obligations, ceases to be in full force and effect or is declared by a court of competent jurisdiction to be null and void, invalid or unenforceable in any material respect; or Borrower denies that it has any or further liability or obligation under any Loan Document, or purports to revoke, terminate or rescind any Loan Document; or</w:t>
      </w:r>
    </w:p>
    <w:p>
      <w:pPr>
        <w:spacing w:after="0" w:line="143" w:lineRule="exact"/>
        <w:rPr>
          <w:rFonts w:ascii="Arial" w:cs="Arial" w:eastAsia="Arial" w:hAnsi="Arial"/>
          <w:sz w:val="18"/>
          <w:szCs w:val="18"/>
          <w:color w:val="auto"/>
        </w:rPr>
      </w:pPr>
    </w:p>
    <w:p>
      <w:pPr>
        <w:ind w:right="20" w:firstLine="921"/>
        <w:spacing w:after="0" w:line="256"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final non-appealable judgment against Borrower, any of its Significant Subsidiaries or any Guarantor is entered for the payment of money (which is not covered by insurance) in excess of the Threshold Amount, or any non-monetary final judgment is entered against Borrower, any of its Significant Subsidiaries or any Guarantor which has a Material Adverse Effect if, in each case, such judgment remains unsatisfied without procurement of a stay of execution for 30 calendar days after the date of entry of such judgment; or</w:t>
      </w:r>
    </w:p>
    <w:p>
      <w:pPr>
        <w:spacing w:after="0" w:line="143" w:lineRule="exact"/>
        <w:rPr>
          <w:rFonts w:ascii="Arial" w:cs="Arial" w:eastAsia="Arial" w:hAnsi="Arial"/>
          <w:sz w:val="18"/>
          <w:szCs w:val="18"/>
          <w:color w:val="auto"/>
        </w:rPr>
      </w:pPr>
    </w:p>
    <w:p>
      <w:pPr>
        <w:ind w:right="20" w:firstLine="921"/>
        <w:spacing w:after="0" w:line="291" w:lineRule="auto"/>
        <w:tabs>
          <w:tab w:leader="none" w:pos="1123" w:val="left"/>
        </w:tabs>
        <w:numPr>
          <w:ilvl w:val="0"/>
          <w:numId w:val="95"/>
        </w:numPr>
        <w:rPr>
          <w:rFonts w:ascii="Arial" w:cs="Arial" w:eastAsia="Arial" w:hAnsi="Arial"/>
          <w:sz w:val="16"/>
          <w:szCs w:val="16"/>
          <w:color w:val="auto"/>
        </w:rPr>
      </w:pPr>
      <w:r>
        <w:rPr>
          <w:rFonts w:ascii="Arial" w:cs="Arial" w:eastAsia="Arial" w:hAnsi="Arial"/>
          <w:sz w:val="16"/>
          <w:szCs w:val="16"/>
          <w:color w:val="auto"/>
        </w:rPr>
        <w:t>Borrower, any of its Significant Subsidiaries or any Guarantor institutes or consents to the institution of any proceeding under Debtor Relief Laws,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pacing w:after="0" w:line="120" w:lineRule="exact"/>
        <w:rPr>
          <w:rFonts w:ascii="Arial" w:cs="Arial" w:eastAsia="Arial" w:hAnsi="Arial"/>
          <w:sz w:val="16"/>
          <w:szCs w:val="16"/>
          <w:color w:val="auto"/>
        </w:rPr>
      </w:pPr>
    </w:p>
    <w:p>
      <w:pPr>
        <w:ind w:left="1140" w:hanging="219"/>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There occurs any Change of Control.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101" w:name="page102"/>
    <w:bookmarkEnd w:id="101"/>
    <w:p>
      <w:pPr>
        <w:ind w:right="1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Without limiting any other rights or remedies of Administrative Agent or Lenders provided for elsewhere in this Agreement, or the other Loan Documents, or by applicable Law, or in equity, or otherwise:</w:t>
      </w:r>
    </w:p>
    <w:p>
      <w:pPr>
        <w:spacing w:after="0" w:line="132" w:lineRule="exact"/>
        <w:rPr>
          <w:sz w:val="20"/>
          <w:szCs w:val="20"/>
          <w:color w:val="auto"/>
        </w:rPr>
      </w:pPr>
    </w:p>
    <w:p>
      <w:pPr>
        <w:ind w:left="1160" w:hanging="239"/>
        <w:spacing w:after="0"/>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other than an Event of Default described in Section 8.01(i):</w:t>
      </w:r>
    </w:p>
    <w:p>
      <w:pPr>
        <w:spacing w:after="0" w:line="113" w:lineRule="exact"/>
        <w:rPr>
          <w:rFonts w:ascii="Arial" w:cs="Arial" w:eastAsia="Arial" w:hAnsi="Arial"/>
          <w:sz w:val="16"/>
          <w:szCs w:val="16"/>
          <w:color w:val="auto"/>
        </w:rPr>
      </w:pPr>
    </w:p>
    <w:p>
      <w:pPr>
        <w:ind w:left="920" w:right="120" w:firstLine="421"/>
        <w:spacing w:after="0" w:line="298" w:lineRule="auto"/>
        <w:tabs>
          <w:tab w:leader="none" w:pos="1549" w:val="left"/>
        </w:tabs>
        <w:numPr>
          <w:ilvl w:val="1"/>
          <w:numId w:val="96"/>
        </w:numPr>
        <w:rPr>
          <w:rFonts w:ascii="Arial" w:cs="Arial" w:eastAsia="Arial" w:hAnsi="Arial"/>
          <w:sz w:val="16"/>
          <w:szCs w:val="16"/>
          <w:color w:val="auto"/>
        </w:rPr>
      </w:pPr>
      <w:r>
        <w:rPr>
          <w:rFonts w:ascii="Arial" w:cs="Arial" w:eastAsia="Arial" w:hAnsi="Arial"/>
          <w:sz w:val="16"/>
          <w:szCs w:val="16"/>
          <w:color w:val="auto"/>
        </w:rPr>
        <w:t>Administrative Agent may (and, subject to the terms of Section 9, shall upon the request of Required Lenders) terminate the Revolving Commitments and/or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each Co-Borrower; and</w:t>
      </w:r>
    </w:p>
    <w:p>
      <w:pPr>
        <w:spacing w:after="0" w:line="31" w:lineRule="exact"/>
        <w:rPr>
          <w:rFonts w:ascii="Arial" w:cs="Arial" w:eastAsia="Arial" w:hAnsi="Arial"/>
          <w:sz w:val="16"/>
          <w:szCs w:val="16"/>
          <w:color w:val="auto"/>
        </w:rPr>
      </w:pPr>
    </w:p>
    <w:p>
      <w:pPr>
        <w:ind w:left="920" w:right="40" w:firstLine="421"/>
        <w:spacing w:after="0" w:line="259" w:lineRule="auto"/>
        <w:tabs>
          <w:tab w:leader="none" w:pos="1598" w:val="left"/>
        </w:tabs>
        <w:numPr>
          <w:ilvl w:val="1"/>
          <w:numId w:val="96"/>
        </w:numPr>
        <w:rPr>
          <w:rFonts w:ascii="Arial" w:cs="Arial" w:eastAsia="Arial" w:hAnsi="Arial"/>
          <w:sz w:val="18"/>
          <w:szCs w:val="18"/>
          <w:color w:val="auto"/>
        </w:rPr>
      </w:pPr>
      <w:r>
        <w:rPr>
          <w:rFonts w:ascii="Arial" w:cs="Arial" w:eastAsia="Arial" w:hAnsi="Arial"/>
          <w:sz w:val="18"/>
          <w:szCs w:val="18"/>
          <w:color w:val="auto"/>
        </w:rPr>
        <w:t>Administrative Agent may (and, subject to the terms of Section 9, shall upon the request of Required Lenders) demand immediate payment by Co-Borrowers of an amount equal to the aggregate amount of all outstanding Letter of Credit Usage to be held in a Letter of Credit Cash Collateral Account.</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Upon the occurrence of any Event of Default described in Section 8.01(i):</w:t>
      </w:r>
    </w:p>
    <w:p>
      <w:pPr>
        <w:spacing w:after="0" w:line="90" w:lineRule="exact"/>
        <w:rPr>
          <w:rFonts w:ascii="Arial" w:cs="Arial" w:eastAsia="Arial" w:hAnsi="Arial"/>
          <w:sz w:val="18"/>
          <w:szCs w:val="18"/>
          <w:color w:val="auto"/>
        </w:rPr>
      </w:pPr>
    </w:p>
    <w:p>
      <w:pPr>
        <w:ind w:left="920" w:right="160" w:firstLine="421"/>
        <w:spacing w:after="0" w:line="268" w:lineRule="auto"/>
        <w:tabs>
          <w:tab w:leader="none" w:pos="1549"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Revolving Commitments and all other obligations of Administrative Agent or Lenders shall automatically terminate without notice to or demand upon either Co-Borrower, which are expressly waived by each Co-Borrower;</w:t>
      </w:r>
    </w:p>
    <w:p>
      <w:pPr>
        <w:spacing w:after="0" w:line="50" w:lineRule="exact"/>
        <w:rPr>
          <w:rFonts w:ascii="Arial" w:cs="Arial" w:eastAsia="Arial" w:hAnsi="Arial"/>
          <w:sz w:val="18"/>
          <w:szCs w:val="18"/>
          <w:color w:val="auto"/>
        </w:rPr>
      </w:pPr>
    </w:p>
    <w:p>
      <w:pPr>
        <w:jc w:val="both"/>
        <w:ind w:left="920" w:right="200" w:firstLine="421"/>
        <w:spacing w:after="0" w:line="259" w:lineRule="auto"/>
        <w:tabs>
          <w:tab w:leader="none" w:pos="1598"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unpaid principal of all Loans, all interest accrued and unpaid thereon and all other amounts payable under the Loan Documents shall be immediately due and payable, without protest, presentment, notice of dishonor, demand or further notice of any kind, all of which are expressly waived by each Co-Borrower; and</w:t>
      </w:r>
    </w:p>
    <w:p>
      <w:pPr>
        <w:spacing w:after="0" w:line="59" w:lineRule="exact"/>
        <w:rPr>
          <w:rFonts w:ascii="Arial" w:cs="Arial" w:eastAsia="Arial" w:hAnsi="Arial"/>
          <w:sz w:val="18"/>
          <w:szCs w:val="18"/>
          <w:color w:val="auto"/>
        </w:rPr>
      </w:pPr>
    </w:p>
    <w:p>
      <w:pPr>
        <w:ind w:left="920" w:firstLine="421"/>
        <w:spacing w:after="0" w:line="259" w:lineRule="auto"/>
        <w:tabs>
          <w:tab w:leader="none" w:pos="16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 amount equal to the aggregate amount of all outstanding Letter of Credit Usage shall be immediately due and payable to Administrative Agent without notice to or demand upon either Co-Borrower, which are expressly waived by each Co-Borrower, to be held in a Letter of Credit Cash Collateral Account.</w:t>
      </w:r>
    </w:p>
    <w:p>
      <w:pPr>
        <w:spacing w:after="0" w:line="140" w:lineRule="exact"/>
        <w:rPr>
          <w:rFonts w:ascii="Arial" w:cs="Arial" w:eastAsia="Arial" w:hAnsi="Arial"/>
          <w:sz w:val="18"/>
          <w:szCs w:val="18"/>
          <w:color w:val="auto"/>
        </w:rPr>
      </w:pPr>
    </w:p>
    <w:p>
      <w:pPr>
        <w:ind w:firstLine="921"/>
        <w:spacing w:after="0" w:line="332" w:lineRule="auto"/>
        <w:tabs>
          <w:tab w:leader="none" w:pos="1152" w:val="left"/>
        </w:tabs>
        <w:numPr>
          <w:ilvl w:val="0"/>
          <w:numId w:val="96"/>
        </w:numPr>
        <w:rPr>
          <w:rFonts w:ascii="Arial" w:cs="Arial" w:eastAsia="Arial" w:hAnsi="Arial"/>
          <w:sz w:val="16"/>
          <w:szCs w:val="16"/>
          <w:color w:val="auto"/>
        </w:rPr>
      </w:pPr>
      <w:r>
        <w:rPr>
          <w:rFonts w:ascii="Arial" w:cs="Arial" w:eastAsia="Arial" w:hAnsi="Arial"/>
          <w:sz w:val="16"/>
          <w:szCs w:val="16"/>
          <w:color w:val="auto"/>
        </w:rPr>
        <w:t>Upon the occurrence of any Event of Default, Administrative Agent may proceed to protect, exercise and enforce against Co-Borrowers the rights and remedies of Administrative Agent and Lenders under the Loan Documents and such other rights and remedies as are provided by Law or equity.</w:t>
      </w:r>
    </w:p>
    <w:p>
      <w:pPr>
        <w:spacing w:after="0" w:line="85" w:lineRule="exact"/>
        <w:rPr>
          <w:rFonts w:ascii="Arial" w:cs="Arial" w:eastAsia="Arial" w:hAnsi="Arial"/>
          <w:sz w:val="16"/>
          <w:szCs w:val="16"/>
          <w:color w:val="auto"/>
        </w:rPr>
      </w:pPr>
    </w:p>
    <w:p>
      <w:pPr>
        <w:ind w:right="60" w:firstLine="921"/>
        <w:spacing w:after="0" w:line="290" w:lineRule="auto"/>
        <w:tabs>
          <w:tab w:leader="none" w:pos="1162"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order and manner in which Administrative Agent’s and Lenders’ rights and remedies are to be exercised shall be determined by Administrative Agent or Required Lenders in their sole and absolute discretion. Regardless of how a Lender may treat payments for the purpose of its own accounting, for the purpose of computing the Obligations hereunder, payments received during the existence of an Event of Default shall be applied first, to costs and expenses (including Attorney 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or as cash collateral for, the unpaid principal of the Obligations, and fourth, to the payment of all other amounts (including fees) then owing to Administrative Agent and Lenders under the Loan Documents, in each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102" w:name="page103"/>
    <w:bookmarkEnd w:id="102"/>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case paid pro rata to each Lender in the same proportions that the aggregate Obligations owed to each Lender under the Loan Documents bear to the aggregate Obligations owed under the Loan Documents to all Lenders, without priority or preference among Lenders.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AGENTS</w:t>
      </w:r>
    </w:p>
    <w:p>
      <w:pPr>
        <w:spacing w:after="0" w:line="171"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9.01 </w:t>
      </w:r>
      <w:r>
        <w:rPr>
          <w:rFonts w:ascii="Arial" w:cs="Arial" w:eastAsia="Arial" w:hAnsi="Arial"/>
          <w:sz w:val="16"/>
          <w:szCs w:val="16"/>
          <w:u w:val="single" w:color="auto"/>
          <w:color w:val="auto"/>
        </w:rPr>
        <w:t>Appointment</w:t>
      </w:r>
      <w:r>
        <w:rPr>
          <w:rFonts w:ascii="Arial" w:cs="Arial" w:eastAsia="Arial" w:hAnsi="Arial"/>
          <w:sz w:val="16"/>
          <w:szCs w:val="16"/>
          <w:color w:val="auto"/>
        </w:rPr>
        <w:t>. Each Lender hereby irrevocably designates and appoints Administrative Agent as the agent of such Lender under this Agreement and the other Loan Documents, and each such Lender irrevocably authorizes Administrative Agent, in such capacity, to take such action on its behalf under the provisions of this Agreement and the other Loan Documents and to exercise such powers and perform such duties as are expressly delegated to Administrative Agent by the terms of this Agreement and the other Loan Documents, together with such other powers as are reasonably incidental thereto. Notwithstanding any provision to the contrary elsewhere in this Agreement,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Administrative Agent.</w:t>
      </w:r>
    </w:p>
    <w:p>
      <w:pPr>
        <w:spacing w:after="0" w:line="118" w:lineRule="exact"/>
        <w:rPr>
          <w:sz w:val="20"/>
          <w:szCs w:val="20"/>
          <w:color w:val="auto"/>
        </w:rPr>
      </w:pPr>
    </w:p>
    <w:p>
      <w:pPr>
        <w:ind w:right="220" w:firstLine="913"/>
        <w:spacing w:after="0" w:line="306" w:lineRule="auto"/>
        <w:rPr>
          <w:sz w:val="20"/>
          <w:szCs w:val="20"/>
          <w:color w:val="auto"/>
        </w:rPr>
      </w:pPr>
      <w:r>
        <w:rPr>
          <w:rFonts w:ascii="Arial" w:cs="Arial" w:eastAsia="Arial" w:hAnsi="Arial"/>
          <w:sz w:val="16"/>
          <w:szCs w:val="16"/>
          <w:color w:val="auto"/>
        </w:rPr>
        <w:t xml:space="preserve">9.02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Administrative Agent may execute any of its duties under this Agreement and the other Loan Documents by or through agents or attorneys-in-fact and shall be entitled to advice of counsel concerning all matters pertaining to such duties. Administrative Agent shall not be responsible for the negligence or misconduct of any agents or attorneys-in-fact selected by it with reasonable care.</w:t>
      </w:r>
    </w:p>
    <w:p>
      <w:pPr>
        <w:spacing w:after="0" w:line="10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9.03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23"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 (a)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this Agreement or any other Loan Document unless it shall first receive such advice or concurrence of the Required Lenders (or, if so</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103" w:name="page104"/>
    <w:bookmarkEnd w:id="10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specified by this Agreement, all Lenders) as it deems appropriate or it shall first be indemnified to its satisfaction by Lenders against any and all liability and expense that may be incurred by it by reason of taking or continuing to take any such action.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Lenders and all future holders of the Loans.</w:t>
      </w:r>
    </w:p>
    <w:p>
      <w:pPr>
        <w:spacing w:after="0" w:line="143" w:lineRule="exact"/>
        <w:rPr>
          <w:sz w:val="20"/>
          <w:szCs w:val="20"/>
          <w:color w:val="auto"/>
        </w:rPr>
      </w:pPr>
    </w:p>
    <w:p>
      <w:pPr>
        <w:ind w:right="60" w:firstLine="921"/>
        <w:spacing w:after="0" w:line="256" w:lineRule="auto"/>
        <w:tabs>
          <w:tab w:leader="none" w:pos="1162"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 satisfaction, or required thereunder to be consented to or approved by or acceptable or satisfactory to a Lender.</w:t>
      </w:r>
    </w:p>
    <w:p>
      <w:pPr>
        <w:spacing w:after="0" w:line="14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9.05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Administrative Agent shall not be deemed to have knowledge or notice of the occurrence of any Default or Event of Default unless Administrative Agent has received notice from a Lender or either Co-Borrower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the Required Lenders (or, if so specified by this Agreement,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Administrative Agent shall have received such directions, Administrative Agent may (but shall not be obligated to) take such action, or refrain from taking such action, with respect to such Default or Event of Default as it shall deem advisable in the best interests of Lenders.</w:t>
      </w:r>
    </w:p>
    <w:p>
      <w:pPr>
        <w:spacing w:after="0" w:line="11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9.06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Lenders by Administrative Agent hereunder,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Administrative Agent or any of its officers, directors, employees, agents, attorneys-in-fact or affiliates.</w:t>
      </w:r>
    </w:p>
    <w:p>
      <w:pPr>
        <w:spacing w:after="0" w:line="121"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 xml:space="preserve">9.07 </w:t>
      </w:r>
      <w:r>
        <w:rPr>
          <w:rFonts w:ascii="Arial" w:cs="Arial" w:eastAsia="Arial" w:hAnsi="Arial"/>
          <w:sz w:val="16"/>
          <w:szCs w:val="16"/>
          <w:u w:val="single" w:color="auto"/>
          <w:color w:val="auto"/>
        </w:rPr>
        <w:t>Indemnification</w:t>
      </w:r>
      <w:r>
        <w:rPr>
          <w:rFonts w:ascii="Arial" w:cs="Arial" w:eastAsia="Arial" w:hAnsi="Arial"/>
          <w:sz w:val="16"/>
          <w:szCs w:val="16"/>
          <w:color w:val="auto"/>
        </w:rPr>
        <w:t>. Lenders agree to indemnify each Agent and Issuing Bank in its capacity as such (to the extent not reimbursed by the Loan Parties and without limiting the obligation of any Loan Party to do so), ratably according to their respective Aggregate Exposure Percentage in effect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104" w:name="page105"/>
    <w:bookmarkEnd w:id="10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 the date on which indemnification is sought under this Section (or, if indemnification is sought after the date upon which the Revolving Commitments shall have terminated and the Loans shall have been paid in full, ratably in accordance with such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Revolving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20"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 xml:space="preserve">9.08 </w:t>
      </w:r>
      <w:r>
        <w:rPr>
          <w:rFonts w:ascii="Arial" w:cs="Arial" w:eastAsia="Arial" w:hAnsi="Arial"/>
          <w:sz w:val="16"/>
          <w:szCs w:val="16"/>
          <w:u w:val="single" w:color="auto"/>
          <w:color w:val="auto"/>
        </w:rPr>
        <w:t>Agent in Its Individual Capacity</w:t>
      </w:r>
      <w:r>
        <w:rPr>
          <w:rFonts w:ascii="Arial" w:cs="Arial" w:eastAsia="Arial" w:hAnsi="Arial"/>
          <w:sz w:val="16"/>
          <w:szCs w:val="16"/>
          <w:color w:val="auto"/>
        </w:rPr>
        <w:t>. Each Agent and its affiliates may make loans to, accept deposits from and generally engage in any kind of business with any Loan Party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13"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9.09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Administrative Agent may resign as Administrative Agent upon 30 days’ notice to Lenders and Borrower. If Administrative Agent shall resign as Administrative Agent under this Agreement and the other Loan Documents, then the Required Lenders shall appoint from among Lenders a successor agent for Lenders, which successor agent shall (unless an Event of Default under Section 8.01(a), Section 8.01(b) or Section 8.01(i) with respect to Borrower shall have occurred and be continuing) be subject to approval by Borrower (which approval shall not be unreasonably withheld or delayed), whereupon such successor agent shall succeed to the rights, powers and duties of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Lenders shall assume and perform all of the duties of Administrative Agent hereunder until such time, if any, as the Required Lenders appoint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24"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Co-Documentation Agents and Syndication Agent</w:t>
      </w:r>
      <w:r>
        <w:rPr>
          <w:rFonts w:ascii="Arial" w:cs="Arial" w:eastAsia="Arial" w:hAnsi="Arial"/>
          <w:sz w:val="16"/>
          <w:szCs w:val="16"/>
          <w:color w:val="auto"/>
        </w:rPr>
        <w:t>. None of Co-Documentation Agents nor Syndication Agent nor any Person identified on the cover page of this Agreement as a Joint Lead Arranger and Joint Bookrunner shall have any right, power, obligation, liability, responsibility or duty hereunder in its capacity as such. Without limiting the foregoing, none of Co-Documentation Agents or Syndication Agent in its capacity as such shall have or be deemed to have any fiduciary relationship with any Lender. Each Lender acknowledges that it has not relied, and will not rely, on any of Co-Documentation Agents or Syndication Agent in deciding to enter into this Agreement or in taking or not taking action hereunder.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80" w:right="279" w:bottom="1440" w:gutter="0" w:footer="0" w:header="0"/>
        </w:sectPr>
      </w:pPr>
    </w:p>
    <w:bookmarkStart w:id="105" w:name="page106"/>
    <w:bookmarkEnd w:id="10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right="200" w:firstLine="913"/>
        <w:spacing w:after="0" w:line="291" w:lineRule="auto"/>
        <w:rPr>
          <w:sz w:val="20"/>
          <w:szCs w:val="20"/>
          <w:color w:val="auto"/>
        </w:rPr>
      </w:pPr>
      <w:r>
        <w:rPr>
          <w:rFonts w:ascii="Arial" w:cs="Arial" w:eastAsia="Arial" w:hAnsi="Arial"/>
          <w:sz w:val="16"/>
          <w:szCs w:val="16"/>
          <w:color w:val="auto"/>
        </w:rPr>
        <w:t xml:space="preserve">10.01 </w:t>
      </w:r>
      <w:r>
        <w:rPr>
          <w:rFonts w:ascii="Arial" w:cs="Arial" w:eastAsia="Arial" w:hAnsi="Arial"/>
          <w:sz w:val="16"/>
          <w:szCs w:val="16"/>
          <w:u w:val="single" w:color="auto"/>
          <w:color w:val="auto"/>
        </w:rPr>
        <w:t>Amendments; Consents</w:t>
      </w:r>
      <w:r>
        <w:rPr>
          <w:rFonts w:ascii="Arial" w:cs="Arial" w:eastAsia="Arial" w:hAnsi="Arial"/>
          <w:sz w:val="16"/>
          <w:szCs w:val="16"/>
          <w:color w:val="auto"/>
        </w:rPr>
        <w:t>. No amendment, modification, supplement, extension, termination or waiver of any provision of this Agreement or any other Loan Document, no approval or consent thereunder, and no consent to any departure by any Loan Party therefrom shall be effective unless in writing signed by each Loan Party party thereto and Required Lenders and acknowledged by Administrative Agent (or signed by Administrative Agent with the prior written consent of Required Lenders), and each such waiver or consent shall be effective only in the specific instance and for the specific purpose for which given. Notwithstanding the foregoing sentence, without the approval in writing of each Co-Borrower, Administrative Agent and each Lender directly and adversely affected thereby, no amendment, modification, supplement, termination, waiver, approval, or consent may be effective to:</w:t>
      </w:r>
    </w:p>
    <w:p>
      <w:pPr>
        <w:spacing w:after="0" w:line="120" w:lineRule="exact"/>
        <w:rPr>
          <w:sz w:val="20"/>
          <w:szCs w:val="20"/>
          <w:color w:val="auto"/>
        </w:rPr>
      </w:pPr>
    </w:p>
    <w:p>
      <w:pPr>
        <w:ind w:left="1160" w:hanging="239"/>
        <w:spacing w:after="0"/>
        <w:tabs>
          <w:tab w:leader="none" w:pos="11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Reduce the amount of principal of any Outstanding Revolving Obligations owed to such Lender;</w:t>
      </w:r>
    </w:p>
    <w:p>
      <w:pPr>
        <w:spacing w:after="0" w:line="171" w:lineRule="exact"/>
        <w:rPr>
          <w:rFonts w:ascii="Arial" w:cs="Arial" w:eastAsia="Arial" w:hAnsi="Arial"/>
          <w:sz w:val="18"/>
          <w:szCs w:val="18"/>
          <w:color w:val="auto"/>
        </w:rPr>
      </w:pPr>
    </w:p>
    <w:p>
      <w:pPr>
        <w:ind w:right="360" w:firstLine="921"/>
        <w:spacing w:after="0" w:line="332" w:lineRule="auto"/>
        <w:tabs>
          <w:tab w:leader="none" w:pos="1162" w:val="left"/>
        </w:tabs>
        <w:numPr>
          <w:ilvl w:val="1"/>
          <w:numId w:val="98"/>
        </w:numPr>
        <w:rPr>
          <w:rFonts w:ascii="Arial" w:cs="Arial" w:eastAsia="Arial" w:hAnsi="Arial"/>
          <w:sz w:val="16"/>
          <w:szCs w:val="16"/>
          <w:color w:val="auto"/>
        </w:rPr>
      </w:pPr>
      <w:r>
        <w:rPr>
          <w:rFonts w:ascii="Arial" w:cs="Arial" w:eastAsia="Arial" w:hAnsi="Arial"/>
          <w:sz w:val="16"/>
          <w:szCs w:val="16"/>
          <w:color w:val="auto"/>
        </w:rPr>
        <w:t>Reduce the rate of interest payable on any Outstanding Revolving Obligations owed to such Lender or the amount or rate of any fee or other amount payable to such Lender under the Loan Documents, except that Required Lenders may waive or defer the imposition of the Default Rate;</w:t>
      </w:r>
    </w:p>
    <w:p>
      <w:pPr>
        <w:spacing w:after="0" w:line="85" w:lineRule="exact"/>
        <w:rPr>
          <w:rFonts w:ascii="Arial" w:cs="Arial" w:eastAsia="Arial" w:hAnsi="Arial"/>
          <w:sz w:val="16"/>
          <w:szCs w:val="16"/>
          <w:color w:val="auto"/>
        </w:rPr>
      </w:pPr>
    </w:p>
    <w:p>
      <w:pPr>
        <w:ind w:right="420" w:firstLine="921"/>
        <w:spacing w:after="0" w:line="268" w:lineRule="auto"/>
        <w:tabs>
          <w:tab w:leader="none" w:pos="1152" w:val="left"/>
        </w:tabs>
        <w:numPr>
          <w:ilvl w:val="1"/>
          <w:numId w:val="98"/>
        </w:numPr>
        <w:rPr>
          <w:rFonts w:ascii="Arial" w:cs="Arial" w:eastAsia="Arial" w:hAnsi="Arial"/>
          <w:sz w:val="18"/>
          <w:szCs w:val="18"/>
          <w:color w:val="auto"/>
        </w:rPr>
      </w:pPr>
      <w:r>
        <w:rPr>
          <w:rFonts w:ascii="Arial" w:cs="Arial" w:eastAsia="Arial" w:hAnsi="Arial"/>
          <w:sz w:val="18"/>
          <w:szCs w:val="18"/>
          <w:color w:val="auto"/>
        </w:rPr>
        <w:t>Waive an Event of Default consisting of the failure of a Co-Borrower to pay when due principal, interest, any commitment fee, or any other amount payable to such Lender under the Loan Documents;</w:t>
      </w:r>
    </w:p>
    <w:p>
      <w:pPr>
        <w:spacing w:after="0" w:line="131" w:lineRule="exact"/>
        <w:rPr>
          <w:rFonts w:ascii="Arial" w:cs="Arial" w:eastAsia="Arial" w:hAnsi="Arial"/>
          <w:sz w:val="18"/>
          <w:szCs w:val="18"/>
          <w:color w:val="auto"/>
        </w:rPr>
      </w:pPr>
    </w:p>
    <w:p>
      <w:pPr>
        <w:ind w:right="40" w:firstLine="921"/>
        <w:spacing w:after="0" w:line="284" w:lineRule="auto"/>
        <w:tabs>
          <w:tab w:leader="none" w:pos="1162" w:val="left"/>
        </w:tabs>
        <w:numPr>
          <w:ilvl w:val="1"/>
          <w:numId w:val="98"/>
        </w:numPr>
        <w:rPr>
          <w:rFonts w:ascii="Arial" w:cs="Arial" w:eastAsia="Arial" w:hAnsi="Arial"/>
          <w:sz w:val="16"/>
          <w:szCs w:val="16"/>
          <w:color w:val="auto"/>
        </w:rPr>
      </w:pPr>
      <w:r>
        <w:rPr>
          <w:rFonts w:ascii="Arial" w:cs="Arial" w:eastAsia="Arial" w:hAnsi="Arial"/>
          <w:sz w:val="16"/>
          <w:szCs w:val="16"/>
          <w:color w:val="auto"/>
        </w:rPr>
        <w:t>Postpone any date scheduled for the payment of principal of, or interest on, any Loan or any Letter of Credit reimbursement obligation or for the payment of any commitment fee or for the payment of any other amount, in each case payable to such Lender under the Loan Documents, or extend the term of, or increase the amount of, such Lender’s Revolving Commitment (it being understood that a waiver of any Event of Default not referred to in subsection</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above shall require only the consent of Required Lenders) or modify such Lender’s share of the Revolving Commitments (except as contemplated hereby);</w:t>
      </w:r>
    </w:p>
    <w:p>
      <w:pPr>
        <w:spacing w:after="0" w:line="187" w:lineRule="exact"/>
        <w:rPr>
          <w:rFonts w:ascii="Arial" w:cs="Arial" w:eastAsia="Arial" w:hAnsi="Arial"/>
          <w:sz w:val="16"/>
          <w:szCs w:val="16"/>
          <w:color w:val="auto"/>
        </w:rPr>
      </w:pPr>
    </w:p>
    <w:p>
      <w:pPr>
        <w:ind w:left="1160" w:hanging="239"/>
        <w:spacing w:after="0"/>
        <w:tabs>
          <w:tab w:leader="none" w:pos="11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Amend or waive the definition of “Required Lenders” or the provisions of this Section 10.01 or Section 10.06; or</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Amend or waive any provision of this Agreement that expressly requires the consent or approval of such Lender;</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provided, however, that (i) no amendment, waiver or consent shall, unless in writing and signed by the affected Issuing Lender in addition to Required Lenders or each affected Lender, as the case may be, affect the rights or duties of such Issuing Lender, (ii) no amendment, waiver or consent shall, unless in writing and signed by Administrative Agent in addition to Required Lenders or each affected Lender, as the case may be, affect the rights or duties of Administrative Agent,</w:t>
      </w:r>
    </w:p>
    <w:p>
      <w:pPr>
        <w:spacing w:after="0" w:line="1" w:lineRule="exact"/>
        <w:rPr>
          <w:sz w:val="20"/>
          <w:szCs w:val="20"/>
          <w:color w:val="auto"/>
        </w:rPr>
      </w:pPr>
    </w:p>
    <w:p>
      <w:pPr>
        <w:ind w:right="20" w:firstLine="8"/>
        <w:spacing w:after="0" w:line="295" w:lineRule="auto"/>
        <w:tabs>
          <w:tab w:leader="none" w:pos="30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fee letters may be amended, or rights or privileges thereunder waived, in a writing executed by the parties thereto; (iv) any amendment, waiver, or consent to a Letter of Credit Application which is not inconsistent with Section 2.03 shall require only the written approval of the relevant Co-Borrower, Administrative Agent and the applicable Issuing Lender; and (v) without the written consent of all Lenders, no amendment, waiver or consent shall release (x) all or substantially all of Guarantors from their obligations under the Guarantee Agreement or (y) Borrower from its obligations under the Guarantee Agreement.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80" w:right="279" w:bottom="1440" w:gutter="0" w:footer="0" w:header="0"/>
        </w:sectPr>
      </w:pPr>
    </w:p>
    <w:bookmarkStart w:id="106" w:name="page107"/>
    <w:bookmarkEnd w:id="106"/>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any Lender does not consent to any proposed amendment, supplement, modification, consent or waiver of any provision of this Agreement or any other Loan Document that requires the consent of each of the Lenders or each of the Lenders directly and adversely affected thereby, so long as the consent of Required Lenders has been obtained, Borrower shall be permitted to remove or replace such Lender in accordance with Section 10.21.</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Any amendment, modification, supplement, termination, waiver or consent pursuant to this Section shall apply equally to, and shall be binding upon, all Lenders and Administrative Agent.</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the avoidance of doubt, the Letter of Credit Commitment of any Issuing Lender may be amended with the consent of the Borrower and such Issuing Lender without the need to obtain the consent of the other Lenders.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Requisite Notice; Effectiveness of Signatures and Electronic Mail</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6" w:lineRule="auto"/>
        <w:tabs>
          <w:tab w:leader="none" w:pos="1152"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Requisite Notice</w:t>
      </w:r>
      <w:r>
        <w:rPr>
          <w:rFonts w:ascii="Arial" w:cs="Arial" w:eastAsia="Arial" w:hAnsi="Arial"/>
          <w:sz w:val="18"/>
          <w:szCs w:val="18"/>
          <w:color w:val="auto"/>
        </w:rPr>
        <w:t>. Notices given in connection with any Loan Document shall be delivered to the intended recipient at the number and/or address set forth on the Administrative Questionnaire (or as otherwise specified from time to time by such recipient in writing to Administrative Agent) and shall be given by (i) irrevocable written notice or (ii) except as otherwise provided, irrevocable telephonic (not voicemail) notice. Such notices may be delivered, must be confirmed and shall be effective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Arial" w:cs="Arial" w:eastAsia="Arial" w:hAnsi="Arial"/>
                <w:sz w:val="18"/>
                <w:szCs w:val="18"/>
                <w:color w:val="auto"/>
              </w:rPr>
              <w:t>Mode of Delivery</w:t>
            </w:r>
          </w:p>
        </w:tc>
        <w:tc>
          <w:tcPr>
            <w:tcW w:w="7320" w:type="dxa"/>
            <w:vAlign w:val="bottom"/>
          </w:tcPr>
          <w:p>
            <w:pPr>
              <w:spacing w:after="0"/>
              <w:rPr>
                <w:sz w:val="17"/>
                <w:szCs w:val="17"/>
                <w:color w:val="auto"/>
              </w:rPr>
            </w:pPr>
          </w:p>
        </w:tc>
      </w:tr>
      <w:tr>
        <w:trPr>
          <w:trHeight w:val="336"/>
        </w:trPr>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Mail</w:t>
            </w:r>
          </w:p>
        </w:tc>
        <w:tc>
          <w:tcPr>
            <w:tcW w:w="2700" w:type="dxa"/>
            <w:vAlign w:val="bottom"/>
          </w:tcPr>
          <w:p>
            <w:pPr>
              <w:spacing w:after="0"/>
              <w:rPr>
                <w:sz w:val="24"/>
                <w:szCs w:val="24"/>
                <w:color w:val="auto"/>
              </w:rPr>
            </w:pPr>
          </w:p>
        </w:tc>
        <w:tc>
          <w:tcPr>
            <w:tcW w:w="7320" w:type="dxa"/>
            <w:vAlign w:val="bottom"/>
          </w:tcPr>
          <w:p>
            <w:pPr>
              <w:ind w:left="2100"/>
              <w:spacing w:after="0"/>
              <w:rPr>
                <w:sz w:val="20"/>
                <w:szCs w:val="20"/>
                <w:color w:val="auto"/>
              </w:rPr>
            </w:pPr>
            <w:r>
              <w:rPr>
                <w:rFonts w:ascii="Arial" w:cs="Arial" w:eastAsia="Arial" w:hAnsi="Arial"/>
                <w:sz w:val="18"/>
                <w:szCs w:val="18"/>
                <w:color w:val="auto"/>
                <w:w w:val="88"/>
              </w:rPr>
              <w:t>Effective on earlier of actual receipt and fourth Business Day after deposit</w:t>
            </w:r>
          </w:p>
        </w:tc>
      </w:tr>
      <w:tr>
        <w:trPr>
          <w:trHeight w:val="222"/>
        </w:trPr>
        <w:tc>
          <w:tcPr>
            <w:tcW w:w="1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320" w:type="dxa"/>
            <w:vAlign w:val="bottom"/>
          </w:tcPr>
          <w:p>
            <w:pPr>
              <w:ind w:left="2100"/>
              <w:spacing w:after="0"/>
              <w:rPr>
                <w:sz w:val="20"/>
                <w:szCs w:val="20"/>
                <w:color w:val="auto"/>
              </w:rPr>
            </w:pPr>
            <w:r>
              <w:rPr>
                <w:rFonts w:ascii="Arial" w:cs="Arial" w:eastAsia="Arial" w:hAnsi="Arial"/>
                <w:sz w:val="18"/>
                <w:szCs w:val="18"/>
                <w:color w:val="auto"/>
              </w:rPr>
              <w:t>in U.S. Mail, first class postage pre-paid</w:t>
            </w:r>
          </w:p>
        </w:tc>
      </w:tr>
      <w:tr>
        <w:trPr>
          <w:trHeight w:val="324"/>
        </w:trPr>
        <w:tc>
          <w:tcPr>
            <w:tcW w:w="3960" w:type="dxa"/>
            <w:vAlign w:val="bottom"/>
            <w:gridSpan w:val="2"/>
          </w:tcPr>
          <w:p>
            <w:pPr>
              <w:spacing w:after="0"/>
              <w:rPr>
                <w:sz w:val="20"/>
                <w:szCs w:val="20"/>
                <w:color w:val="auto"/>
              </w:rPr>
            </w:pPr>
            <w:r>
              <w:rPr>
                <w:rFonts w:ascii="Arial" w:cs="Arial" w:eastAsia="Arial" w:hAnsi="Arial"/>
                <w:sz w:val="18"/>
                <w:szCs w:val="18"/>
                <w:color w:val="auto"/>
              </w:rPr>
              <w:t>Courier or hand delivery</w:t>
            </w:r>
          </w:p>
        </w:tc>
        <w:tc>
          <w:tcPr>
            <w:tcW w:w="7320" w:type="dxa"/>
            <w:vAlign w:val="bottom"/>
          </w:tcPr>
          <w:p>
            <w:pPr>
              <w:ind w:left="2100"/>
              <w:spacing w:after="0"/>
              <w:rPr>
                <w:sz w:val="20"/>
                <w:szCs w:val="20"/>
                <w:color w:val="auto"/>
              </w:rPr>
            </w:pPr>
            <w:r>
              <w:rPr>
                <w:rFonts w:ascii="Arial" w:cs="Arial" w:eastAsia="Arial" w:hAnsi="Arial"/>
                <w:sz w:val="18"/>
                <w:szCs w:val="18"/>
                <w:color w:val="auto"/>
              </w:rPr>
              <w:t>When signed for by recipient</w:t>
            </w:r>
          </w:p>
        </w:tc>
      </w:tr>
      <w:tr>
        <w:trPr>
          <w:trHeight w:val="324"/>
        </w:trPr>
        <w:tc>
          <w:tcPr>
            <w:tcW w:w="3960" w:type="dxa"/>
            <w:vAlign w:val="bottom"/>
            <w:gridSpan w:val="2"/>
          </w:tcPr>
          <w:p>
            <w:pPr>
              <w:spacing w:after="0"/>
              <w:rPr>
                <w:sz w:val="20"/>
                <w:szCs w:val="20"/>
                <w:color w:val="auto"/>
              </w:rPr>
            </w:pPr>
            <w:r>
              <w:rPr>
                <w:rFonts w:ascii="Arial" w:cs="Arial" w:eastAsia="Arial" w:hAnsi="Arial"/>
                <w:sz w:val="18"/>
                <w:szCs w:val="18"/>
                <w:color w:val="auto"/>
              </w:rPr>
              <w:t>Telephone (not voicemail)</w:t>
            </w:r>
          </w:p>
        </w:tc>
        <w:tc>
          <w:tcPr>
            <w:tcW w:w="7320" w:type="dxa"/>
            <w:vAlign w:val="bottom"/>
          </w:tcPr>
          <w:p>
            <w:pPr>
              <w:ind w:left="2100"/>
              <w:spacing w:after="0"/>
              <w:rPr>
                <w:sz w:val="20"/>
                <w:szCs w:val="20"/>
                <w:color w:val="auto"/>
              </w:rPr>
            </w:pPr>
            <w:r>
              <w:rPr>
                <w:rFonts w:ascii="Arial" w:cs="Arial" w:eastAsia="Arial" w:hAnsi="Arial"/>
                <w:sz w:val="18"/>
                <w:szCs w:val="18"/>
                <w:color w:val="auto"/>
              </w:rPr>
              <w:t>When conversation completed (must be confirmed in writing)</w:t>
            </w:r>
          </w:p>
        </w:tc>
      </w:tr>
      <w:tr>
        <w:trPr>
          <w:trHeight w:val="324"/>
        </w:trPr>
        <w:tc>
          <w:tcPr>
            <w:tcW w:w="396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7320" w:type="dxa"/>
            <w:vAlign w:val="bottom"/>
          </w:tcPr>
          <w:p>
            <w:pPr>
              <w:ind w:left="2100"/>
              <w:spacing w:after="0"/>
              <w:rPr>
                <w:sz w:val="20"/>
                <w:szCs w:val="20"/>
                <w:color w:val="auto"/>
              </w:rPr>
            </w:pPr>
            <w:r>
              <w:rPr>
                <w:rFonts w:ascii="Arial" w:cs="Arial" w:eastAsia="Arial" w:hAnsi="Arial"/>
                <w:sz w:val="18"/>
                <w:szCs w:val="18"/>
                <w:color w:val="auto"/>
              </w:rPr>
              <w:t>When confirmed by telephone (not voicemail)</w:t>
            </w:r>
          </w:p>
        </w:tc>
      </w:tr>
      <w:tr>
        <w:trPr>
          <w:trHeight w:val="324"/>
        </w:trPr>
        <w:tc>
          <w:tcPr>
            <w:tcW w:w="3960" w:type="dxa"/>
            <w:vAlign w:val="bottom"/>
            <w:gridSpan w:val="2"/>
          </w:tcPr>
          <w:p>
            <w:pPr>
              <w:spacing w:after="0"/>
              <w:rPr>
                <w:sz w:val="20"/>
                <w:szCs w:val="20"/>
                <w:color w:val="auto"/>
              </w:rPr>
            </w:pPr>
            <w:r>
              <w:rPr>
                <w:rFonts w:ascii="Arial" w:cs="Arial" w:eastAsia="Arial" w:hAnsi="Arial"/>
                <w:sz w:val="18"/>
                <w:szCs w:val="18"/>
                <w:color w:val="auto"/>
              </w:rPr>
              <w:t>Electronic Mail</w:t>
            </w:r>
          </w:p>
        </w:tc>
        <w:tc>
          <w:tcPr>
            <w:tcW w:w="7320" w:type="dxa"/>
            <w:vAlign w:val="bottom"/>
          </w:tcPr>
          <w:p>
            <w:pPr>
              <w:ind w:left="2100"/>
              <w:spacing w:after="0"/>
              <w:rPr>
                <w:sz w:val="20"/>
                <w:szCs w:val="20"/>
                <w:color w:val="auto"/>
              </w:rPr>
            </w:pPr>
            <w:r>
              <w:rPr>
                <w:rFonts w:ascii="Arial" w:cs="Arial" w:eastAsia="Arial" w:hAnsi="Arial"/>
                <w:sz w:val="18"/>
                <w:szCs w:val="18"/>
                <w:color w:val="auto"/>
              </w:rPr>
              <w:t>When delivered (usage subject to subsection (c) below)</w:t>
            </w:r>
          </w:p>
        </w:tc>
      </w:tr>
    </w:tbl>
    <w:p>
      <w:pPr>
        <w:spacing w:after="0" w:line="15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notices delivered to Administrative Agent pursuant to Section 2 shall not be effective until actually received by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Administrative Agent may require that any notice be confirmed or followed by a manually-signed hard copy thereof. Notices shall be in any form prescribed herein and, if sent by a Co-Borrower, shall be made by a Responsible Officer of such Co-Borrower. Notices delivered and, if required, confirmed in accordance with this subsection shall be deemed to have been delivered by Requisite Notice.</w:t>
      </w:r>
    </w:p>
    <w:p>
      <w:pPr>
        <w:spacing w:after="0" w:line="113" w:lineRule="exact"/>
        <w:rPr>
          <w:sz w:val="20"/>
          <w:szCs w:val="20"/>
          <w:color w:val="auto"/>
        </w:rPr>
      </w:pPr>
    </w:p>
    <w:p>
      <w:pPr>
        <w:ind w:right="40" w:firstLine="921"/>
        <w:spacing w:after="0" w:line="256" w:lineRule="auto"/>
        <w:tabs>
          <w:tab w:leader="none" w:pos="1161"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Effectiveness of Facsimile Documents and Signatures</w:t>
      </w:r>
      <w:r>
        <w:rPr>
          <w:rFonts w:ascii="Arial" w:cs="Arial" w:eastAsia="Arial" w:hAnsi="Arial"/>
          <w:sz w:val="18"/>
          <w:szCs w:val="18"/>
          <w:color w:val="auto"/>
        </w:rPr>
        <w:t>. Loan Documents may be transmitted and/or signed by facsimile. The effectiveness of any such documents and signatures shall, subject to applicable Law, have the same force and effect as manually-signed hard copies and shall be binding on each Co-Borrower, Administrative Agent and Lenders. Administrative Agent may also require that any such documents and signatures be confirmed by a manually-signed hard copy thereof;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however, that the failure to request or deliver the same shall not limit the effectiveness of any facsimile document or signature.</w:t>
      </w:r>
    </w:p>
    <w:p>
      <w:pPr>
        <w:spacing w:after="0" w:line="171" w:lineRule="exact"/>
        <w:rPr>
          <w:sz w:val="20"/>
          <w:szCs w:val="20"/>
          <w:color w:val="auto"/>
        </w:rPr>
      </w:pPr>
    </w:p>
    <w:p>
      <w:pPr>
        <w:jc w:val="both"/>
        <w:ind w:right="140" w:firstLine="921"/>
        <w:spacing w:after="0" w:line="256" w:lineRule="auto"/>
        <w:tabs>
          <w:tab w:leader="none" w:pos="11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Limited Usage of Electronic Mail</w:t>
      </w:r>
      <w:r>
        <w:rPr>
          <w:rFonts w:ascii="Arial" w:cs="Arial" w:eastAsia="Arial" w:hAnsi="Arial"/>
          <w:sz w:val="18"/>
          <w:szCs w:val="18"/>
          <w:color w:val="auto"/>
        </w:rPr>
        <w:t>. Electronic mail and internet and intranet websites may be used to distribute routine communications, such as financial statements and other information, and to distribute agreements and other documents to be signed by Administrative Agent, Lenders and Co-Borrowers. No other legally-binding and/or time-sensitive communication or Request for Extension of Credit may be sent by electronic mail without the consent of, or confirmation to, the intended recipient in each instance.</w:t>
      </w:r>
    </w:p>
    <w:p>
      <w:pPr>
        <w:spacing w:after="0" w:line="143" w:lineRule="exact"/>
        <w:rPr>
          <w:rFonts w:ascii="Arial" w:cs="Arial" w:eastAsia="Arial" w:hAnsi="Arial"/>
          <w:sz w:val="18"/>
          <w:szCs w:val="18"/>
          <w:color w:val="auto"/>
        </w:rPr>
      </w:pPr>
    </w:p>
    <w:p>
      <w:pPr>
        <w:ind w:right="20" w:firstLine="921"/>
        <w:spacing w:after="0" w:line="294" w:lineRule="auto"/>
        <w:tabs>
          <w:tab w:leader="none" w:pos="1161"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and Lenders</w:t>
      </w:r>
      <w:r>
        <w:rPr>
          <w:rFonts w:ascii="Arial" w:cs="Arial" w:eastAsia="Arial" w:hAnsi="Arial"/>
          <w:sz w:val="16"/>
          <w:szCs w:val="16"/>
          <w:color w:val="auto"/>
        </w:rPr>
        <w:t>. Administrative Agent and Lenders shall be entitled to rely and act upon any notices purportedly given by or on behalf of a Co-Borrower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 from any loss, cost, expense or liability as a result of relying on any notices purportedly given by or on behalf of a Co-Borrower absent the gross negligence or willful misconduct of the Person seeking indemnification.</w:t>
      </w:r>
    </w:p>
    <w:p>
      <w:pPr>
        <w:spacing w:after="0" w:line="116"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10.03 </w:t>
      </w:r>
      <w:r>
        <w:rPr>
          <w:rFonts w:ascii="Arial" w:cs="Arial" w:eastAsia="Arial" w:hAnsi="Arial"/>
          <w:sz w:val="16"/>
          <w:szCs w:val="16"/>
          <w:u w:val="single" w:color="auto"/>
          <w:color w:val="auto"/>
        </w:rPr>
        <w:t>Attorney Costs and Expenses</w:t>
      </w:r>
      <w:r>
        <w:rPr>
          <w:rFonts w:ascii="Arial" w:cs="Arial" w:eastAsia="Arial" w:hAnsi="Arial"/>
          <w:sz w:val="16"/>
          <w:szCs w:val="16"/>
          <w:color w:val="auto"/>
        </w:rPr>
        <w:t>. Borrower agrees (a) to pay or reimburse Administrative Agent, each Issuing Lender and Syndication Agent for all reasonable costs and expenses incurred in connection with the development, preparation, negotiation and execution of the Loan Documents, and to pay or reimburse Administrative Agent for all reasonable costs and expenses incurred in connection with the development, preparation, negotiation and execution of any amendment, waiver, consent, supplement or modification to, any Loan Documents, and any other documents prepared in connection herewith or therewith, and the consummation and administration of the transactions contemplated hereby and thereby, including all Attorney Costs of one counsel to Administrative Agent and Syndication Agent and (b) to pay or reimburse Administrative Agent, each Issuing Lender and each Lender for all costs and expenses incurred in connection with any restructuring, reorganization (including a bankruptcy reorganization) or enforcement or attempted enforcement of,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The agreements in this Section shall survive repayment of all Obligations.</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0" w:lineRule="auto"/>
        <w:tabs>
          <w:tab w:leader="none" w:pos="115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This Agreement and the other Loan Documents to which Borrower is a party will be binding upon and inure to the benefit of Co-Borrowers, Administrative Agent, Lenders and their respective successors and assigns, except that, a Co-Borrower may not, except as permitted by Section 7.03, assign its rights hereunder or thereunder or any interest herein or therein without the prior written consent of all Lenders and any such attempted assignment shall be void. Any Lender may at any time pledge a Note or any other instrument evidencing its rights as a Lender under this Agreement (including to a Federal Reserve Bank or, if such Lender is a fund, to any trustee or to any other representative of holders of obligations owed or securities issued by such fund as security for such obligations or securities) but no such pledge shall release such Lender from its obligations hereunder or grant to any such pledgee the rights of a Lender hereunder absent foreclosure of such pledge, and any transfer to any Person upon the enforcement of such pledge shall be subject to this Section 10.04.</w:t>
      </w:r>
    </w:p>
    <w:p>
      <w:pPr>
        <w:spacing w:after="0" w:line="118" w:lineRule="exact"/>
        <w:rPr>
          <w:rFonts w:ascii="Arial" w:cs="Arial" w:eastAsia="Arial" w:hAnsi="Arial"/>
          <w:sz w:val="16"/>
          <w:szCs w:val="16"/>
          <w:color w:val="auto"/>
        </w:rPr>
      </w:pPr>
    </w:p>
    <w:p>
      <w:pPr>
        <w:ind w:right="360" w:firstLine="921"/>
        <w:spacing w:after="0" w:line="268" w:lineRule="auto"/>
        <w:tabs>
          <w:tab w:leader="none" w:pos="116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From time to time following the date of this Agreement, each Lender may assign to one or more banks, financial institutions or other entities (with any such bank, financial institution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108" w:name="page109"/>
    <w:bookmarkEnd w:id="108"/>
    <w:p>
      <w:pPr>
        <w:ind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entity that is not a Lender being required to have a combined capital and surplus of at least $250,000,000 (such qualifications being subject to waiver by Borrower and Administrative Agent)), other than (i) Borrower and its Subsidiaries and (ii) natural persons, all or any portion of its rights and obligations under this Agreement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assignment, if not to a Lender, shall be subject to Borrower’s consent (which shall not be unreasonably withheld) at all times other than during the existence of an Event of Default and the consent of Administrative Agent and Issuing Lenders (which consents shall not be unreasonably withheld), (ii) a copy of a duly signed and completed Assignment and Assumption shall be delivered to Administrative Agent,</w:t>
      </w:r>
    </w:p>
    <w:p>
      <w:pPr>
        <w:spacing w:after="0" w:line="2" w:lineRule="exact"/>
        <w:rPr>
          <w:sz w:val="20"/>
          <w:szCs w:val="20"/>
          <w:color w:val="auto"/>
        </w:rPr>
      </w:pPr>
    </w:p>
    <w:p>
      <w:pPr>
        <w:ind w:firstLine="8"/>
        <w:spacing w:after="0" w:line="307" w:lineRule="auto"/>
        <w:tabs>
          <w:tab w:leader="none" w:pos="30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except in the case of an assignment (A) to another Lender or (B) of the entire remaining Revolving Commitment of the assigning Lender, such assignment shall be in an aggregate principal amount not less than the Minimum Amount therefor without the consent of Borrower and the Administrative Agent, and (iv) the effective date of any such assignment shall be as specified in the Assignment and Assumption, but not earlier than the date which is five Business Days after the date Administrative Agent has received the Assignment and Assumption. Upon obtaining any consent required as set forth in the prior sentence, any forms required by Section 10.20 and payment of the requisite fee described below, the assignee named therein shall be a Lender for all purposes of this Agreement to the extent of the Assigned Interest (as defined in such Assignment and Assumption), and, except for rights and obligations which by their terms survive termination of any Revolving Commitments, the assigning Lender shall be released from any further obligations under this Agreement to the extent of such Assigned Interest. Upon request, Co-Borrowers shall execute and deliver new or replacement Notes to the assigning Lender and the assignee Lender to evidence Loans made by them. Administrative Agent’s consent to any assignment shall not be deemed to constitute any representation or warranty by any Administrative Agent-Related Person as to any matter. Administrative Agent shall record the information contained in the Assignment and Assumption in the Register.</w:t>
      </w:r>
    </w:p>
    <w:p>
      <w:pPr>
        <w:spacing w:after="0" w:line="110" w:lineRule="exact"/>
        <w:rPr>
          <w:rFonts w:ascii="Arial" w:cs="Arial" w:eastAsia="Arial" w:hAnsi="Arial"/>
          <w:sz w:val="15"/>
          <w:szCs w:val="15"/>
          <w:color w:val="auto"/>
        </w:rPr>
      </w:pPr>
    </w:p>
    <w:p>
      <w:pPr>
        <w:jc w:val="both"/>
        <w:ind w:right="180" w:firstLine="921"/>
        <w:spacing w:after="0" w:line="306" w:lineRule="auto"/>
        <w:tabs>
          <w:tab w:leader="none" w:pos="115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After receipt of a completed Assignment and Assumption, and receipt of an assignment fee of $3,500 from such assignee and/or such assigning Lender (including in the case of assignments to Affiliates of assigning Lenders), Administrative Agent shall promptly accept such Assignment and Assumption and record the information contained therein in the Register on the effective date determined pursuant thereto.</w:t>
      </w:r>
    </w:p>
    <w:p>
      <w:pPr>
        <w:spacing w:after="0" w:line="106" w:lineRule="exact"/>
        <w:rPr>
          <w:rFonts w:ascii="Arial" w:cs="Arial" w:eastAsia="Arial" w:hAnsi="Arial"/>
          <w:sz w:val="16"/>
          <w:szCs w:val="16"/>
          <w:color w:val="auto"/>
        </w:rPr>
      </w:pPr>
    </w:p>
    <w:p>
      <w:pPr>
        <w:ind w:firstLine="921"/>
        <w:spacing w:after="0" w:line="301" w:lineRule="auto"/>
        <w:tabs>
          <w:tab w:leader="none" w:pos="1162" w:val="left"/>
        </w:tabs>
        <w:numPr>
          <w:ilvl w:val="1"/>
          <w:numId w:val="105"/>
        </w:numPr>
        <w:rPr>
          <w:rFonts w:ascii="Arial" w:cs="Arial" w:eastAsia="Arial" w:hAnsi="Arial"/>
          <w:sz w:val="15"/>
          <w:szCs w:val="15"/>
          <w:color w:val="auto"/>
        </w:rPr>
      </w:pPr>
      <w:r>
        <w:rPr>
          <w:rFonts w:ascii="Arial" w:cs="Arial" w:eastAsia="Arial" w:hAnsi="Arial"/>
          <w:sz w:val="15"/>
          <w:szCs w:val="15"/>
          <w:color w:val="auto"/>
        </w:rPr>
        <w:t xml:space="preserve">Each Lender may from time to time, without the consent of any other Person, grant participations to one or more other Persons (including another Lender but excluding (x) Borrower and its Subsidiaries and (y) natural persons) in all or any portion of its Revolving Commitments, Extensions of Credit or any other interest of such Lender hereunder and under the other Loan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such Lender’s obligations under this Agreement shall remain unchanged, (ii) such Lender shall remain solely responsible to the other parties hereto for the performance of such obligations, (iii) the participating bank or other financial institution shall not be a Lender hereunder for any purpose except, if the participation agreement so provides, for the purposes of the increased cost provisions (including yield protection and taxes) of Section 3 (but only to the extent that the cost of such benefits to Borrower does not exceed the cost which Borrower would have incurred in respect of such Lender absent the participation) and for purposes of Section 10.06, (iv) Borrower, Administrative Agent and the other Lenders shall continue to deal solely and directly with such Lender in connection with such Lender’s rights and obligations under this Agreement, and</w:t>
      </w:r>
    </w:p>
    <w:p>
      <w:pPr>
        <w:spacing w:after="0" w:line="4" w:lineRule="exact"/>
        <w:rPr>
          <w:rFonts w:ascii="Arial" w:cs="Arial" w:eastAsia="Arial" w:hAnsi="Arial"/>
          <w:sz w:val="15"/>
          <w:szCs w:val="15"/>
          <w:color w:val="auto"/>
        </w:rPr>
      </w:pPr>
    </w:p>
    <w:p>
      <w:pPr>
        <w:ind w:right="60" w:firstLine="8"/>
        <w:spacing w:after="0" w:line="292" w:lineRule="auto"/>
        <w:tabs>
          <w:tab w:leader="none" w:pos="24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the consent of the holder of such participation interest shall not be required for amendments or waivers of provisions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assigning Lender may, in any agreement with a participant, give such participant the right to consent (as between the assigning Lender and such participant) to any matter which (A) extends the Revolving Termination Date as to such participant or any other date upon which any payment of money is due to such participant, (B) reduces the rate of interest owing to such participant or any fee or any other monetary amount owing to such participant, or (C) reduces the amount of any scheduled payment of principal owing to such participant. Any Lender that sells a participation to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109" w:name="page110"/>
    <w:bookmarkEnd w:id="10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 (a) withhold or deduct from each payment to the holder of such participation the amount of any tax required under applicable law to be withheld or deducted from such payment and not withheld or deducted therefrom by Borrower or Administrative Agent, (b) pay the tax so withheld or deducted by it to the appropriate taxing authority in accordance with applicable law and (c) indemnify Borrower and Administrative Agent for any losses, cost and expenses that they may incur as a result of any failure to so withhold or deduct and pay such tax.</w:t>
      </w:r>
    </w:p>
    <w:p>
      <w:pPr>
        <w:spacing w:after="0" w:line="147"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 xml:space="preserve">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Revolving Commitments, Extensions of Credit or its other obligations under any Loan Document) to any Person except to the extent that such disclosure is necessary to establish that such Revolving Commitments, Extensions of Credit or other obligation is in registered form under Section 5f.103-1 (c)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0"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 xml:space="preserve">10.05 </w:t>
      </w:r>
      <w:r>
        <w:rPr>
          <w:rFonts w:ascii="Arial" w:cs="Arial" w:eastAsia="Arial" w:hAnsi="Arial"/>
          <w:sz w:val="16"/>
          <w:szCs w:val="16"/>
          <w:u w:val="single" w:color="auto"/>
          <w:color w:val="auto"/>
        </w:rPr>
        <w:t>Set-off</w:t>
      </w:r>
      <w:r>
        <w:rPr>
          <w:rFonts w:ascii="Arial" w:cs="Arial" w:eastAsia="Arial" w:hAnsi="Arial"/>
          <w:sz w:val="16"/>
          <w:szCs w:val="16"/>
          <w:color w:val="auto"/>
        </w:rPr>
        <w:t xml:space="preserve">. In addition to any rights and remedies of Administrative Agent and Lenders or any assignee of any Lender or any Affiliate thereof (each, a “Proceeding Party”) provided by law, upon the occurrence and during the continuance of any Event of Default, each Proceeding Party is authorized at any time and from time to time, without prior notice to Co-Borrowers, any such notice being waived by Co-Borrowers to the fullest extent permitted by law, to proceed directly, by right of set-off, banker’s lien or otherwise, against any assets of the Co-Borrowers which may be in the hands of such Proceeding Party (including all general or special, time or demand, provisional or other deposits and other indebtedness owing by such Proceeding Party to or for the credit or the account of the Co-Borrowers) and apply such assets against the Obligations then due and payable, irrespective of whether such Proceeding Party shall have made any demand therefor. Each Lender agrees promptly to notify the Co-Borrower and Administrative Agent after any such set-off and application made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to give such notice shall not affect the validity of such set-off and application.</w:t>
      </w:r>
    </w:p>
    <w:p>
      <w:pPr>
        <w:spacing w:after="0" w:line="118"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10.06 </w:t>
      </w:r>
      <w:r>
        <w:rPr>
          <w:rFonts w:ascii="Arial" w:cs="Arial" w:eastAsia="Arial" w:hAnsi="Arial"/>
          <w:sz w:val="16"/>
          <w:szCs w:val="16"/>
          <w:u w:val="single" w:color="auto"/>
          <w:color w:val="auto"/>
        </w:rPr>
        <w:t>Sharing of Payments</w:t>
      </w:r>
      <w:r>
        <w:rPr>
          <w:rFonts w:ascii="Arial" w:cs="Arial" w:eastAsia="Arial" w:hAnsi="Arial"/>
          <w:sz w:val="16"/>
          <w:szCs w:val="16"/>
          <w:color w:val="auto"/>
        </w:rPr>
        <w:t>. Each Lender severally agrees that if it, through the exercise of any right of setoff, banker’s lien or counterclaim against a Co-Borrower or otherwise, receives payment of the Obligations held by it that is ratably more than any other Lender receives in payment of the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Lenders share any payment obtained in respect of the Obligations ratably in accordance with each Lender’s share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110" w:name="page111"/>
    <w:bookmarkEnd w:id="11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the Obligations immediately prior to, and without taking into account, the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all or any portion of a disproportionate payment obtained as a result of the exercise of the right of setoff, banker’s lien, counterclaim or otherwise is thereafter recovered from the purchasing Lender by a Co-Borrower or any Person claiming through or succeeding to the rights of a Co-Borrower, the purchase of a participation shall be rescinded and the purchase price thereof shall be restored to the extent of the recovery, but without interest and (ii) this Section 10.06 shall not apply to any payments made in accordance with the express provisions of this Agreement. Each Lender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Each Co-Borrower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306" w:lineRule="auto"/>
        <w:tabs>
          <w:tab w:leader="none" w:pos="115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106" w:lineRule="exact"/>
        <w:rPr>
          <w:rFonts w:ascii="Arial" w:cs="Arial" w:eastAsia="Arial" w:hAnsi="Arial"/>
          <w:sz w:val="16"/>
          <w:szCs w:val="16"/>
          <w:color w:val="auto"/>
        </w:rPr>
      </w:pPr>
    </w:p>
    <w:p>
      <w:pPr>
        <w:ind w:firstLine="921"/>
        <w:spacing w:after="0" w:line="294" w:lineRule="auto"/>
        <w:tabs>
          <w:tab w:leader="none" w:pos="116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 or such Lender’s right to require full payment thereof, or to calculate an amount payable by another method that is not inconsistent with this Agreement, on any other or subsequent occasion.</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Except with respect to Section 9.09, the terms and conditions of Section 9 are for the sole benefit of the Agents and Lenders.</w:t>
      </w:r>
    </w:p>
    <w:p>
      <w:pPr>
        <w:spacing w:after="0" w:line="171"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u w:val="single" w:color="auto"/>
          <w:color w:val="auto"/>
        </w:rPr>
        <w:t>Usury</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Revolving Obligations or, if it exceeds the unpaid principal, refunded to the applicable Co-Borrower.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18"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280" w:right="299" w:bottom="1440" w:gutter="0" w:footer="0" w:header="0"/>
        </w:sectPr>
      </w:pPr>
    </w:p>
    <w:bookmarkStart w:id="111" w:name="page112"/>
    <w:bookmarkEnd w:id="111"/>
    <w:p>
      <w:pPr>
        <w:ind w:right="200" w:firstLine="913"/>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10.10 </w:t>
      </w:r>
      <w:r>
        <w:rPr>
          <w:rFonts w:ascii="Arial" w:cs="Arial" w:eastAsia="Arial" w:hAnsi="Arial"/>
          <w:sz w:val="15"/>
          <w:szCs w:val="15"/>
          <w:u w:val="single" w:color="auto"/>
          <w:color w:val="auto"/>
        </w:rPr>
        <w:t>Integration</w:t>
      </w:r>
      <w:r>
        <w:rPr>
          <w:rFonts w:ascii="Arial" w:cs="Arial" w:eastAsia="Arial" w:hAnsi="Arial"/>
          <w:sz w:val="15"/>
          <w:szCs w:val="15"/>
          <w:color w:val="auto"/>
        </w:rPr>
        <w:t xml:space="preserve">.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 REPRESENT THE FINAL AGREEMENT BETWEEN THE PARTIES THERETO AND MAY NOT BE CONTRADICTED BY EVIDENCE OF PRIOR, CONTEMPORANEOUS, OR SUBSEQUENT ORAL AGREEMENTS BY SUCH PARTIES. THERE ARE NO UNWRITTEN ORAL AGREEMENTS BETWEEN SUCH PARTIES.</w:t>
      </w:r>
    </w:p>
    <w:p>
      <w:pPr>
        <w:spacing w:after="0" w:line="108"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Nature of Lenders’ Obligations</w:t>
      </w:r>
      <w:r>
        <w:rPr>
          <w:rFonts w:ascii="Arial" w:cs="Arial" w:eastAsia="Arial" w:hAnsi="Arial"/>
          <w:sz w:val="16"/>
          <w:szCs w:val="16"/>
          <w:color w:val="auto"/>
        </w:rPr>
        <w:t>.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Revolving Commitments attributable to any other Lender.</w:t>
      </w:r>
    </w:p>
    <w:p>
      <w:pPr>
        <w:spacing w:after="0" w:line="11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40" w:lineRule="exact"/>
        <w:rPr>
          <w:sz w:val="20"/>
          <w:szCs w:val="20"/>
          <w:color w:val="auto"/>
        </w:rPr>
      </w:pPr>
    </w:p>
    <w:p>
      <w:pPr>
        <w:ind w:right="40" w:firstLine="913"/>
        <w:spacing w:after="0" w:line="305" w:lineRule="auto"/>
        <w:rPr>
          <w:sz w:val="20"/>
          <w:szCs w:val="20"/>
          <w:color w:val="auto"/>
        </w:rPr>
      </w:pPr>
      <w:r>
        <w:rPr>
          <w:rFonts w:ascii="Arial" w:cs="Arial" w:eastAsia="Arial" w:hAnsi="Arial"/>
          <w:sz w:val="15"/>
          <w:szCs w:val="15"/>
          <w:color w:val="auto"/>
        </w:rPr>
        <w:t xml:space="preserve">10.13 </w:t>
      </w:r>
      <w:r>
        <w:rPr>
          <w:rFonts w:ascii="Arial" w:cs="Arial" w:eastAsia="Arial" w:hAnsi="Arial"/>
          <w:sz w:val="15"/>
          <w:szCs w:val="15"/>
          <w:u w:val="single" w:color="auto"/>
          <w:color w:val="auto"/>
        </w:rPr>
        <w:t>Indemnity by Co-Borrowers</w:t>
      </w:r>
      <w:r>
        <w:rPr>
          <w:rFonts w:ascii="Arial" w:cs="Arial" w:eastAsia="Arial" w:hAnsi="Arial"/>
          <w:sz w:val="15"/>
          <w:szCs w:val="15"/>
          <w:color w:val="auto"/>
        </w:rPr>
        <w:t xml:space="preserve">. Whether or not the transactions contemplated hereby are consummated, the Co-Borrowers jointly and severally agree to indemnify, save and hold harmless each Administrative Agent-Related Person, each other Agent, each Person identified on the cover page of this Agreement as a Joint Lead Arranger and Joint Bookrunner, each Issuing Lender and each Lender and their respective Affiliates and their and their Affiliates’ respective directors, officers, agents, attorneys and employees (collectively the “Indemnitees”) from and against: (i) any and all claims, demands, actions or causes of action that are asserted against any Indemnitee by any Person relating directly or indirectly to a claim, demand, action or cause of action that such Person asserts or may assert against a Co-Borrower, any of its Affiliates or any of its officers or directors; (ii) any and all claims, demands, actions or causes of action arising out of or relating to the Loan Documents, the Revolving Commitments, the use or contemplated use of the proceeds of any Extension of Credit, or the relationship of the Co-Borrowers, Administrative Agent and Lenders under this Agreement; (iii) any administrative or investigative proceeding by any Governmental Authority arising out of or related to a claim, demand, action or cause of action described in subsection (i) or (ii) above; and (iv) any and all liabilities (including liabilities under indemnities), losses, costs or 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 negligence of an Indemnitee, and whether or not an Indemnitee is a party to such claim, demand, action, cause of action or proceeding (all the foregoing, collectively, the “Indemnified Liabilities”);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Indemnitee shall be entitled to</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280" w:right="29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for any Indemnified Liability to the extent (i) it is found by a final, non-appealable judgment of a court of competent jurisdiction to arise from</w:t>
      </w:r>
    </w:p>
    <w:p>
      <w:pPr>
        <w:spacing w:after="0" w:line="38" w:lineRule="exact"/>
        <w:rPr>
          <w:sz w:val="20"/>
          <w:szCs w:val="20"/>
          <w:color w:val="auto"/>
        </w:rPr>
      </w:pPr>
    </w:p>
    <w:p>
      <w:pPr>
        <w:ind w:right="80" w:firstLine="8"/>
        <w:spacing w:after="0" w:line="287" w:lineRule="auto"/>
        <w:tabs>
          <w:tab w:leader="none" w:pos="24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bad faith, willful misconduct or gross negligence of such Indemnitee or (y) a material breach by such Indemnitee of its express obligations under this Agreement; or (ii) not resulting from an act or omission of Borrower or any of its Affiliates in respect of a claim, litigation, investigation or proceeding by one Lender against another Lender (in each case, for the avoidance of doubt, excluding each of the Agents and each Person identified on the cover page of this Agreement as a Joint Lead Arranger and Joint Bookrunner in each case in its capacity as such) in connection with secondary loan market trading activities. In no event shall any Indemnitee be liable for any damages arising from the use by unauthorized Persons of information or other materials sent through electronic, telecommunications or other information transmission systems that are intercepted by such Persons except to the extent it is found by a final, non-appealable judgment of a court of competent jurisdiction to arise from the bad faith, willful misconduct or gross negligence of such Indemnitee. This Section 10.13 shall not apply with respect to taxes other than any taxes that represent losses, claims, damages, etc. arising from any non-tax claim. The agreements in this Section shall survive repayment of all Obligations.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Nonliability of Lenders</w:t>
      </w:r>
      <w:r>
        <w:rPr>
          <w:rFonts w:ascii="Arial" w:cs="Arial" w:eastAsia="Arial" w:hAnsi="Arial"/>
          <w:sz w:val="18"/>
          <w:szCs w:val="18"/>
          <w:color w:val="auto"/>
        </w:rPr>
        <w:t>. Each Co-Borrower acknowledges and agrees that:</w:t>
      </w:r>
    </w:p>
    <w:p>
      <w:pPr>
        <w:spacing w:after="0" w:line="171" w:lineRule="exact"/>
        <w:rPr>
          <w:sz w:val="20"/>
          <w:szCs w:val="20"/>
          <w:color w:val="auto"/>
        </w:rPr>
      </w:pPr>
    </w:p>
    <w:p>
      <w:pPr>
        <w:ind w:right="120" w:firstLine="921"/>
        <w:spacing w:after="0" w:line="332" w:lineRule="auto"/>
        <w:tabs>
          <w:tab w:leader="none" w:pos="115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inspections of any property of any Co-Borrower made by or through Administrative Agent or Lenders are for purposes of administration of the Loan Documents only, and neither Co-Borrower is entitled to rely upon the same (whether or not such inspections are at the expense of a Co-Borrower);</w:t>
      </w:r>
    </w:p>
    <w:p>
      <w:pPr>
        <w:spacing w:after="0" w:line="85" w:lineRule="exact"/>
        <w:rPr>
          <w:rFonts w:ascii="Arial" w:cs="Arial" w:eastAsia="Arial" w:hAnsi="Arial"/>
          <w:sz w:val="16"/>
          <w:szCs w:val="16"/>
          <w:color w:val="auto"/>
        </w:rPr>
      </w:pPr>
    </w:p>
    <w:p>
      <w:pPr>
        <w:ind w:right="280" w:firstLine="921"/>
        <w:spacing w:after="0" w:line="256" w:lineRule="auto"/>
        <w:tabs>
          <w:tab w:leader="none" w:pos="116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43" w:lineRule="exact"/>
        <w:rPr>
          <w:rFonts w:ascii="Arial" w:cs="Arial" w:eastAsia="Arial" w:hAnsi="Arial"/>
          <w:sz w:val="18"/>
          <w:szCs w:val="18"/>
          <w:color w:val="auto"/>
        </w:rPr>
      </w:pPr>
    </w:p>
    <w:p>
      <w:pPr>
        <w:ind w:firstLine="921"/>
        <w:spacing w:after="0" w:line="291" w:lineRule="auto"/>
        <w:tabs>
          <w:tab w:leader="none" w:pos="115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relationship between the Co-Borrowers and Administrative Agent and Lenders is, and shall at all times remain, solely that of borrower and lenders; neither Administrative Agent nor any Lender undertakes or assumes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w:t>
      </w:r>
    </w:p>
    <w:p>
      <w:pPr>
        <w:spacing w:after="0" w:line="120" w:lineRule="exact"/>
        <w:rPr>
          <w:rFonts w:ascii="Arial" w:cs="Arial" w:eastAsia="Arial" w:hAnsi="Arial"/>
          <w:sz w:val="16"/>
          <w:szCs w:val="16"/>
          <w:color w:val="auto"/>
        </w:rPr>
      </w:pPr>
    </w:p>
    <w:p>
      <w:pPr>
        <w:ind w:right="60" w:firstLine="921"/>
        <w:spacing w:after="0" w:line="306" w:lineRule="auto"/>
        <w:tabs>
          <w:tab w:leader="none" w:pos="116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Neither Administrative Agent nor any Lender nor any Person identified on the cover page of this Agreement as a Joint Lead Arranger and Joint Bookrunner shall be deemed to be in an advisory, fiduciary or agency relationship with the Co-Borrowers and their Affiliates or have a fiduciary or other implied duty to the Co-Borrowers and their Affiliates with respect to this Agreement and the transactions contemplated hereby.</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Administrative Agent and Lenders, and their Affiliates, may have economic interests that conflict with those of the Co-Borrowers and their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Affiliates; and</w:t>
      </w:r>
    </w:p>
    <w:p>
      <w:pPr>
        <w:spacing w:after="0" w:line="164" w:lineRule="exact"/>
        <w:rPr>
          <w:rFonts w:ascii="Arial" w:cs="Arial" w:eastAsia="Arial" w:hAnsi="Arial"/>
          <w:sz w:val="16"/>
          <w:szCs w:val="16"/>
          <w:color w:val="auto"/>
        </w:rPr>
      </w:pPr>
    </w:p>
    <w:p>
      <w:pPr>
        <w:ind w:right="400" w:firstLine="921"/>
        <w:spacing w:after="0" w:line="268" w:lineRule="auto"/>
        <w:tabs>
          <w:tab w:leader="none" w:pos="113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Neither Administrative Agent nor any Lender shall be responsible or liable to any Person for any loss, damage, liability or claim of any kind relating to injury or death to Persons or damage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113" w:name="page114"/>
    <w:bookmarkEnd w:id="113"/>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property caused by the actions, inaction or negligence of Borrower and/or its Affiliates and Borrower hereby indemnifies and holds Administrative Agent and Lenders harmless from any such loss, damage, liability or claim.</w:t>
      </w:r>
    </w:p>
    <w:p>
      <w:pPr>
        <w:spacing w:after="0" w:line="132"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No Third Parties Benefitted</w:t>
      </w:r>
      <w:r>
        <w:rPr>
          <w:rFonts w:ascii="Arial" w:cs="Arial" w:eastAsia="Arial" w:hAnsi="Arial"/>
          <w:sz w:val="18"/>
          <w:szCs w:val="18"/>
          <w:color w:val="auto"/>
        </w:rPr>
        <w:t>. This Agreement is made for the purpose of defining and setting forth certain obligations, rights and duties of the Co-Borrowers, Administrative Agent and Lenders in connection with the Extensions of Credit, and is made for the sole benefit of the Co-Borrowers, Administrative Agent and Lenders, Administrative Agent’s and Lenders’ successors and permitted assigns. Except as provided in Section 10.04, no other Person shall have any rights of any nature hereunder or by reason hereof.</w:t>
      </w:r>
    </w:p>
    <w:p>
      <w:pPr>
        <w:spacing w:after="0" w:line="143"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the Loan Documents that is prohibited or unenforceable in any jurisdiction shall, as to such jurisdiction, be ineffective and severable to the extent of such prohibition or unenforceability without invalidating the remaining provisions thereof, and any such prohibition or unenforceability in any jurisdiction shall not invalidate or render unenforceable such provision in any other jurisdiction. Administrative Agent, Lenders and Borrower agree to negotiate, in good faith, the terms of a replacement provision as similar to the severed provision as may be possible and be legal, valid, and enforceable.</w:t>
      </w:r>
    </w:p>
    <w:p>
      <w:pPr>
        <w:spacing w:after="0" w:line="143"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u w:val="single" w:color="auto"/>
          <w:color w:val="auto"/>
        </w:rPr>
        <w:t>Confidentiality</w:t>
      </w:r>
      <w:r>
        <w:rPr>
          <w:rFonts w:ascii="Arial" w:cs="Arial" w:eastAsia="Arial" w:hAnsi="Arial"/>
          <w:sz w:val="16"/>
          <w:szCs w:val="16"/>
          <w:color w:val="auto"/>
        </w:rPr>
        <w:t>.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or the Existing Credit Agreement (collectively, “Confidential Information”) solely for the purpose of administering and enforcing the Loan Documents, and it will hold the Confidential Information in confidence and will not disclose, directly or indirectly, such information to any Person, except (a) to their affiliates or any of their or their affiliates’ directors, officers, employees, auditors, counsel, advisors, or representatives (collectively, the “Representatives”) who need to know such information for the purposes set forth in this Section and who have been advised of and acknowledge their obligation to keep such information confidential and limit the use of such information in accordance with this Section, (b) to any bank or financial institution or other entity to which such Lender has assigned or desires to assign an interest or participation in the Loan Documents or the Obligations or to any direct or indirect contractual counterparties (or the professional advisors thereto) to any swap or derivative transaction relating to Borrower and its obligations, provided that any such foregoing recipient of such Confidential Information agrees to keep such Confidential Information confidential and limit the use of such Confidential Information as specified herein, (c) to any governmental agency or regulatory body having or claiming to have authority to regulate or oversee any aspect of Administrative Agent’s or such Lender’s business or that of their Representatives in connection with the exercise of such authority or claimed authority (in which case such Lender shall, except with respect to any audit or examination conducted by bank accountants or any governmental bank regulatory authority exercising examination or regulatory authority, use reasonable efforts to promptly notify Borrower, in advance, to the extent lawfully permitted to do so), (d) to the extent necessary or appropriate to enforce any right or remedy or in connection with any claims asserted by or against Administrative Agent or such Lender or any of their Representatives, (e) pursuant to any subpoena or any similar legal process (in which case such Lender shall use reasonable efforts to promptly notify Borrower, in advance, to the extent permitted by Law), (f) to other Lenders and (g) with the consent of Borrower. For purposes hereof, the term “Confidential Information” shall not include information that (x) is in Administrative Agent’s or a Lender’s possession prior to its being provided by or on behalf of Borrower or any of its Subsidiaries or Affiliates, provided that such information is not known by Administrative Agent or such Lender to be subject to another confidentiality agreement with, or other legal or contractual obligation of confidentiality to, Borrower or any of its Subsidiaries or Affiliates, (y) is or becomes publicly available (other than through a breach hereof by Administrative Agent or such Lender), or (z) becomes available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114" w:name="page115"/>
    <w:bookmarkEnd w:id="114"/>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or such Lender on a nonconfidential basis, provided that the source of such information was not known by Administrative Agent or such Lender to be bound by a confidentiality agreement or other legal or contractual obligation of confidentiality with respect to such information.</w:t>
      </w:r>
    </w:p>
    <w:p>
      <w:pPr>
        <w:spacing w:after="0" w:line="85"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Notwithstanding anything herein to the contrary, any party subject to confidentiality obligations hereunder or under any other related document (and any employee, representative or other agent of such party) may disclose to any and all persons, without limitation of any kind, the tax treatment and tax structure of this Agreement and all materials of any kind, including opinions or other tax analyses, that have been provided to it by any other party relating to such tax treatment and tax structure.</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Agreement and the other Loan Documents are included for convenience of reference only and are not part of this Agreement or the other Loan Documents for any other purpose.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Time of the Essence</w:t>
      </w:r>
      <w:r>
        <w:rPr>
          <w:rFonts w:ascii="Arial" w:cs="Arial" w:eastAsia="Arial" w:hAnsi="Arial"/>
          <w:sz w:val="18"/>
          <w:szCs w:val="18"/>
          <w:color w:val="auto"/>
        </w:rPr>
        <w:t>. Time is of the essence of the Loan Documents.</w:t>
      </w:r>
    </w:p>
    <w:p>
      <w:pPr>
        <w:spacing w:after="0" w:line="171"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10.20 </w:t>
      </w:r>
      <w:r>
        <w:rPr>
          <w:rFonts w:ascii="Arial" w:cs="Arial" w:eastAsia="Arial" w:hAnsi="Arial"/>
          <w:sz w:val="16"/>
          <w:szCs w:val="16"/>
          <w:u w:val="single" w:color="auto"/>
          <w:color w:val="auto"/>
        </w:rPr>
        <w:t>Status of Lenders</w:t>
      </w:r>
      <w:r>
        <w:rPr>
          <w:rFonts w:ascii="Arial" w:cs="Arial" w:eastAsia="Arial" w:hAnsi="Arial"/>
          <w:sz w:val="16"/>
          <w:szCs w:val="16"/>
          <w:color w:val="auto"/>
        </w:rPr>
        <w:t>. (a) Each Lender organized under the Laws of a jurisdiction outside the United States, on or prior to the date of this Agreement in the case of each Lender listed on the signature pages hereof and on or prior to the date on which it becomes a Lender in the case of each other Lender, and from time to time thereafter if requested in writing by Borrower or Administrative Agent (but only so long as such Lender remains lawfully able to do so), shall provide Borrower and Administrative Agent with (i) if such Lender is a “bank” within the meaning of Section 881(c)(3)(A) of the Code, IRS Form W-8ECI or W-8BEN, as appropriate, or any successor form prescribed by the IRS, certifying that such Lender is entitled to benefits under an income tax treaty to which the United States is a party which reduces the rate of withholding tax on payments of interest or certifying that the income receivable pursuant to the Loan Documents is effectively connected with the conduct of a trade or business in the United States, or (ii) if such Lender is not a “bank” within the meaning of Section 881(c)(3)(A) of the Code and intends to claim an exemption from United States withholding tax under Section 871(h) or 881(c) of the Code with respect to payments of “portfolio interest,” IRS Form W-8, or any successor form prescribed by the IRS, and a certificate representing that such Lender is not a bank for purposes of Section 881(c) of the Code, is not a ten-percent shareholder (within the meaning of Section 871(h)(3)(B) of the Code) of Borrower, and is not a controlled foreign corporation related to Borrower (within the meaning of Section 864(d)(4) of the Code). Thereafter and from time to time, each such Person shall (a) promptly submit to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Borrower and Administrative Agent of any available exemption from or reduction of, United States withholding taxes in respect of all payments to be made to such Person by Borrower pursuant to this Agreement, (b) promptly notify Administrative Agent of any change in circumstances which would modify or render invalid any claimed exemption or reduction, and (c) take such steps as shall not be materially disadvantageous to it, in the reasonable judgment of such Lender, and as may be reasonably necessary (including the re-designation of its Lending Office) to avoid any requirement of applicable Laws that a Co-Borrower make any deduction or 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 other amount from payments made in respect of such Person, such Person shall indemnify Administrative Agent therefor, including all penalties and interest, any taxes imposed by any jurisdiction on the amounts payable to the Agent under this Section, and costs and expenses (including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80" w:right="279" w:bottom="1440" w:gutter="0" w:footer="0" w:header="0"/>
        </w:sectPr>
      </w:pPr>
    </w:p>
    <w:bookmarkStart w:id="115" w:name="page116"/>
    <w:bookmarkEnd w:id="115"/>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Attorney Costs) of Administrative Agent. The obligation of Lenders under this Section shall survive the payment of all Obligations and the resignation of Administrative Agent.</w:t>
      </w:r>
    </w:p>
    <w:p>
      <w:pPr>
        <w:spacing w:after="0" w:line="132" w:lineRule="exact"/>
        <w:rPr>
          <w:sz w:val="20"/>
          <w:szCs w:val="20"/>
          <w:color w:val="auto"/>
        </w:rPr>
      </w:pPr>
    </w:p>
    <w:p>
      <w:pPr>
        <w:ind w:firstLine="921"/>
        <w:spacing w:after="0" w:line="253" w:lineRule="auto"/>
        <w:tabs>
          <w:tab w:leader="none" w:pos="116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Subsection 10.20(b), “FATCA” shall include any amendments made to FATCA after the date of this Agreement.</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u w:val="single" w:color="auto"/>
          <w:color w:val="auto"/>
        </w:rPr>
        <w:t>Removal and Replacement of Lenders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301" w:lineRule="auto"/>
        <w:tabs>
          <w:tab w:leader="none" w:pos="1152" w:val="left"/>
        </w:tabs>
        <w:numPr>
          <w:ilvl w:val="1"/>
          <w:numId w:val="111"/>
        </w:numPr>
        <w:rPr>
          <w:rFonts w:ascii="Arial" w:cs="Arial" w:eastAsia="Arial" w:hAnsi="Arial"/>
          <w:sz w:val="15"/>
          <w:szCs w:val="15"/>
          <w:color w:val="auto"/>
        </w:rPr>
      </w:pPr>
      <w:r>
        <w:rPr>
          <w:rFonts w:ascii="Arial" w:cs="Arial" w:eastAsia="Arial" w:hAnsi="Arial"/>
          <w:sz w:val="15"/>
          <w:szCs w:val="15"/>
          <w:color w:val="auto"/>
        </w:rPr>
        <w:t>In the event that any Lender (i) requests compensation under Section 3.01 or 3.04, (ii) becomes a Defaulting Lender or (iii) does not consent to any proposed amendment, supplement, modification, consent or waiver of any provision of this Agreement or any other Loan Document that requires the consent of each of the Lenders or each of the Lenders (including, for the avoidance of doubt, any extension permitted by Section 2.01(e) with the consent of each Lender) affected thereby (in the case of this clause (iii), so long as the consent of the Required Lenders to such amendment, supplement, modification, consent or waiver has been obtained), Borrower may, upon notice to such Lender and Administrative Agent, remove or replace such Lender by (A) non-ratably terminating such Lender’s Revolving Commitment and/or (B) causing such Lender to assign its rights and obligations under this Agreement pursuant to Section 10.04(b) to one or more other Lenders or eligible assignees procured by Borrower and otherwise reasonably acceptable to Administrative Agent and Issuing Lenders; provided that such assigning Lender shall have received payment of an amount equal to 100% of the outstanding principal, interest and fees owed to such Lender from the assignee Lender or Borrower or such lesser amount as may be agreed with such Lender. Each Co-Borrower shall, in the case of a termination of such Lender’s Revolving Commitment and prepayment of its Loans pursuant to clause (A) preceding, (x) pay in full all principal, interest, fees and other amounts owing to such Lender (other than with respect to any outstanding Competitive Loan held by it) through the date of termination and prepayment (including any amounts payable pursuant to Section 3), except as may otherwise be agreed with such Lender, (y) provide appropriate assurances and indemnities (which may include letters of credit) to such Lender and the Issuing Lender as each may reasonably require with respect to any continuing risk participation interest in any Letters of Credit then outstanding and (z) release such Lender from its obligations under the Loan Documents from and after the date of termination. Each Co-Borrower shall, in the case of an assignment pursuant to clause (B) preceding, cause to be paid the assignment fee payable to Administrative Agent pursuant to Section 10.04(c). Any such Lender whose Revolving Commitment is being assigned shall, upon payment of (i) all amounts owed to it pursuant to the proviso in clause</w:t>
      </w:r>
    </w:p>
    <w:p>
      <w:pPr>
        <w:spacing w:after="0" w:line="2" w:lineRule="exact"/>
        <w:rPr>
          <w:rFonts w:ascii="Arial" w:cs="Arial" w:eastAsia="Arial" w:hAnsi="Arial"/>
          <w:sz w:val="15"/>
          <w:szCs w:val="15"/>
          <w:color w:val="auto"/>
        </w:rPr>
      </w:pPr>
    </w:p>
    <w:p>
      <w:pPr>
        <w:ind w:right="120" w:firstLine="8"/>
        <w:spacing w:after="0" w:line="255" w:lineRule="auto"/>
        <w:tabs>
          <w:tab w:leader="none" w:pos="27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preceding and (ii) the assignment fee as described in the preceding sentence, be deemed to have executed and delivered an Assignment and Assumption covering such Lender’s Revolving Commitment. Administrative Agent shall distribute an amended Schedule 2.01, which shall be deemed incorporated into this Agreement, to reflect adjustments to the Lenders and their Revolving Commitments.</w:t>
      </w:r>
    </w:p>
    <w:p>
      <w:pPr>
        <w:spacing w:after="0" w:line="144" w:lineRule="exact"/>
        <w:rPr>
          <w:rFonts w:ascii="Arial" w:cs="Arial" w:eastAsia="Arial" w:hAnsi="Arial"/>
          <w:sz w:val="18"/>
          <w:szCs w:val="18"/>
          <w:color w:val="auto"/>
        </w:rPr>
      </w:pPr>
    </w:p>
    <w:p>
      <w:pPr>
        <w:ind w:right="260" w:firstLine="921"/>
        <w:spacing w:after="0" w:line="268" w:lineRule="auto"/>
        <w:tabs>
          <w:tab w:leader="none" w:pos="116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fees cease to accrue on the unfunded portion of the Commitments of a Defaulting Lender pursuant to Section 2.17(a), such fees shall not be paid to the non-Defaulting Lenders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80" w:right="27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replacement Lenders in respect of any fees accruing prior to such replacement Lender becoming a Lender hereunder).</w:t>
      </w:r>
    </w:p>
    <w:p>
      <w:pPr>
        <w:spacing w:after="0" w:line="171" w:lineRule="exact"/>
        <w:rPr>
          <w:sz w:val="20"/>
          <w:szCs w:val="20"/>
          <w:color w:val="auto"/>
        </w:rPr>
      </w:pPr>
    </w:p>
    <w:p>
      <w:pPr>
        <w:ind w:left="1160" w:hanging="239"/>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Section shall supersede any provisions in Section 10.01 to the contrary.</w:t>
      </w:r>
    </w:p>
    <w:p>
      <w:pPr>
        <w:spacing w:after="0" w:line="17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10.22 </w:t>
      </w:r>
      <w:r>
        <w:rPr>
          <w:rFonts w:ascii="Arial" w:cs="Arial" w:eastAsia="Arial" w:hAnsi="Arial"/>
          <w:sz w:val="18"/>
          <w:szCs w:val="18"/>
          <w:u w:val="single" w:color="auto"/>
          <w:color w:val="auto"/>
        </w:rPr>
        <w:t>Governing Law; Submission to Jurisdiction; Waivers</w:t>
      </w:r>
      <w:r>
        <w:rPr>
          <w:rFonts w:ascii="Arial" w:cs="Arial" w:eastAsia="Arial" w:hAnsi="Arial"/>
          <w:sz w:val="18"/>
          <w:szCs w:val="18"/>
          <w:color w:val="auto"/>
        </w:rPr>
        <w:t>.</w:t>
      </w:r>
    </w:p>
    <w:p>
      <w:pPr>
        <w:spacing w:after="0" w:line="171" w:lineRule="exact"/>
        <w:rPr>
          <w:sz w:val="20"/>
          <w:szCs w:val="20"/>
          <w:color w:val="auto"/>
        </w:rPr>
      </w:pPr>
    </w:p>
    <w:p>
      <w:pPr>
        <w:ind w:right="140" w:firstLine="921"/>
        <w:spacing w:after="0" w:line="268" w:lineRule="auto"/>
        <w:tabs>
          <w:tab w:leader="none" w:pos="11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UNDER THIS AGREEMENT SHALL BE GOVERNED BY, AND CONSTRUED AND INTERPRETED IN ACCORDANCE WITH, THE LAW OF THE STATE OF NEW YORK.</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party to this Agreement irrevocably and unconditionally:</w:t>
      </w:r>
    </w:p>
    <w:p>
      <w:pPr>
        <w:spacing w:after="0" w:line="171" w:lineRule="exact"/>
        <w:rPr>
          <w:sz w:val="20"/>
          <w:szCs w:val="20"/>
          <w:color w:val="auto"/>
        </w:rPr>
      </w:pPr>
    </w:p>
    <w:p>
      <w:pPr>
        <w:ind w:firstLine="921"/>
        <w:spacing w:after="0" w:line="259" w:lineRule="auto"/>
        <w:tabs>
          <w:tab w:leader="none" w:pos="112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to the exclusive general jurisdiction of the courts of the State of New York sitting in the Borough of Manhattan in the City of New York, the courts of the United States for the Southern District of New York, and appellate courts from any thereof;</w:t>
      </w:r>
    </w:p>
    <w:p>
      <w:pPr>
        <w:spacing w:after="0" w:line="140" w:lineRule="exact"/>
        <w:rPr>
          <w:rFonts w:ascii="Arial" w:cs="Arial" w:eastAsia="Arial" w:hAnsi="Arial"/>
          <w:sz w:val="18"/>
          <w:szCs w:val="18"/>
          <w:color w:val="auto"/>
        </w:rPr>
      </w:pPr>
    </w:p>
    <w:p>
      <w:pPr>
        <w:ind w:right="580" w:firstLine="921"/>
        <w:spacing w:after="0" w:line="268" w:lineRule="auto"/>
        <w:tabs>
          <w:tab w:leader="none" w:pos="117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agrees that a final judgment in any such suit, action or proceeding brought in any such court may be enforced in any other court to whose jurisdiction the applicable party is or may be subject, by suit upon judgment;</w:t>
      </w:r>
    </w:p>
    <w:p>
      <w:pPr>
        <w:spacing w:after="0" w:line="131" w:lineRule="exact"/>
        <w:rPr>
          <w:rFonts w:ascii="Arial" w:cs="Arial" w:eastAsia="Arial" w:hAnsi="Arial"/>
          <w:sz w:val="18"/>
          <w:szCs w:val="18"/>
          <w:color w:val="auto"/>
        </w:rPr>
      </w:pPr>
    </w:p>
    <w:p>
      <w:pPr>
        <w:jc w:val="both"/>
        <w:ind w:right="220" w:firstLine="921"/>
        <w:spacing w:after="0" w:line="259" w:lineRule="auto"/>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40" w:lineRule="exact"/>
        <w:rPr>
          <w:rFonts w:ascii="Arial" w:cs="Arial" w:eastAsia="Arial" w:hAnsi="Arial"/>
          <w:sz w:val="18"/>
          <w:szCs w:val="18"/>
          <w:color w:val="auto"/>
        </w:rPr>
      </w:pPr>
    </w:p>
    <w:p>
      <w:pPr>
        <w:ind w:right="100" w:firstLine="921"/>
        <w:spacing w:after="0" w:line="268" w:lineRule="auto"/>
        <w:tabs>
          <w:tab w:leader="none" w:pos="121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171" w:lineRule="exact"/>
        <w:rPr>
          <w:rFonts w:ascii="Arial" w:cs="Arial" w:eastAsia="Arial" w:hAnsi="Arial"/>
          <w:sz w:val="18"/>
          <w:szCs w:val="18"/>
          <w:color w:val="auto"/>
        </w:rPr>
      </w:pPr>
    </w:p>
    <w:p>
      <w:pPr>
        <w:jc w:val="both"/>
        <w:ind w:right="120" w:firstLine="921"/>
        <w:spacing w:after="0" w:line="259" w:lineRule="auto"/>
        <w:tabs>
          <w:tab w:leader="none" w:pos="121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 provided the waiver set forth in this clause (vi) shall not affect any obligation of the Co-Borrowers under Section 10.13.</w:t>
      </w:r>
    </w:p>
    <w:p>
      <w:pPr>
        <w:spacing w:after="0" w:line="14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10.23 </w:t>
      </w:r>
      <w:r>
        <w:rPr>
          <w:rFonts w:ascii="Arial" w:cs="Arial" w:eastAsia="Arial" w:hAnsi="Arial"/>
          <w:sz w:val="16"/>
          <w:szCs w:val="16"/>
          <w:u w:val="single" w:color="auto"/>
          <w:color w:val="auto"/>
        </w:rPr>
        <w:t>Waiver of Right to Trial by Jury</w:t>
      </w:r>
      <w:r>
        <w:rPr>
          <w:rFonts w:ascii="Arial" w:cs="Arial" w:eastAsia="Arial" w:hAnsi="Arial"/>
          <w:sz w:val="16"/>
          <w:szCs w:val="16"/>
          <w:color w:val="auto"/>
        </w:rPr>
        <w:t>.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117" w:name="page118"/>
    <w:bookmarkEnd w:id="117"/>
    <w:p>
      <w:pPr>
        <w:ind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10.24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each Co-Borrower that pursuant to the requirements of the USA PATRIOT Act (Title III of Pub. L. 107-56 (signed into law October 26, 2001)) (the “Act”), it is required to obtain, verify and record information that identifies each Co-Borrower, which information includes the name and address of each Co-Borrower and other information that will allow such Lender to identify each Co-Borrower in accordance with the Act.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[REMAINDER OF PAGE INTENTIONALLY BLANK.</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 PAGES FOLLOW.]</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60"/>
          </w:cols>
          <w:pgMar w:left="240" w:top="280" w:right="399" w:bottom="1440" w:gutter="0" w:footer="0" w:header="0"/>
        </w:sectPr>
      </w:pPr>
    </w:p>
    <w:bookmarkStart w:id="118" w:name="page119"/>
    <w:bookmarkEnd w:id="118"/>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by their proper and duly authorized officers as of the day and year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Title: Senior Vice President and Treasurer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Senior Vice President and Treasurer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JPMORGAN CHASE BANK, N.A., as Administrative Agent,</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 Issuing Lender, and as a Lender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Peter B. Thauer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Peter B. Thauer</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Executive Director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CITIBANK, N.A., as Syndication Agent and as a Lender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Michael Vondriska</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MORGAN STANLEY BANK, N.A.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Sherrese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Sherrese Clarke</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TOKYO-MITSUBISHI UFJ,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 Carlos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Jose Carlos</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1260"/>
          </w:cols>
          <w:pgMar w:left="240" w:top="280" w:right="399" w:bottom="1440" w:gutter="0" w:footer="0" w:header="0"/>
        </w:sectPr>
      </w:pPr>
    </w:p>
    <w:bookmarkStart w:id="119" w:name="page120"/>
    <w:bookmarkEnd w:id="11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BANK, NATIONAL ASSOCIATION</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Travagline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James Travagline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Todd Shipley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Todd Shipley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BARCLAYS BANK PLC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Diane Rolfe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Diane Rolfe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BNP PARIBAS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Gregory R.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Gregory R. Paul</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Melissa Balley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Melissa Balley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CREDIT SUISSE AG, CAYMAN ISLANDS BRANCH</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Bill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Bill O’Daly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Sanja Gazahi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Sanja Gazahi</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Associate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DEUTSCHE BANK AG NEW YORK BRANCH</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Virginia Cosenza</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620"/>
          </w:cols>
          <w:pgMar w:left="1440" w:top="280" w:right="839" w:bottom="1440" w:gutter="0" w:footer="0" w:header="0"/>
        </w:sectPr>
      </w:pPr>
    </w:p>
    <w:bookmarkStart w:id="120" w:name="page121"/>
    <w:bookmarkEnd w:id="12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/s/ Andreas Neumeier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Andreas Neumeier</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GOLDMAN SACHS BANK USA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Mark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Mark Walton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LLOYDS TSB BANK PLC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Dennis McClellan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Dennis McClellan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Assistant Vice President – M040</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Karen Weich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Karen Weich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 – W011</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MIZUHO CORPORATE BANK, LTD.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Bertram H.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Bertram H. Tang</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ROYAL BANK OF CANADA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D.W. Scott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D.W. Scott Johnson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SUMITOMO MITSUI BANKING CORPORATION</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David W.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David W. Kee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SUNTRUST BANK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Andrew Cozewith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Andrew Cozewith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380"/>
          </w:cols>
          <w:pgMar w:left="1440" w:top="280" w:right="1079" w:bottom="1440" w:gutter="0" w:footer="0" w:header="0"/>
        </w:sectPr>
      </w:pPr>
    </w:p>
    <w:bookmarkStart w:id="121" w:name="page122"/>
    <w:bookmarkEnd w:id="12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ROYAL BANK OF SCOTLAND PLC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Matthew Pennachio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Matthew Pennachio</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UBS AG, STAMFORD BRANCH</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Irja R. Otsa</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Associate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Mary E.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Mary E. Evans</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Associate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SOVEREIGN BANK, N.A.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William Maag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William Maag</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J. Tarasovich,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Thomas J. Tarasovich, Jr.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G. Gunder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Thomas G. Gunder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SVP</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DNB BANK ASA, GRAND CAYMAN BRANCH</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Philip F. Kurpiewski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Philip F. Kurpiewski</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Tangen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Thomas Tangen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260"/>
          </w:cols>
          <w:pgMar w:left="1440" w:top="280" w:right="1199" w:bottom="1440" w:gutter="0" w:footer="0" w:header="0"/>
        </w:sectPr>
      </w:pPr>
    </w:p>
    <w:bookmarkStart w:id="122" w:name="page123"/>
    <w:bookmarkEnd w:id="12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PNC BANK, NATIONAL ASSOCIATION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Meredith Jermann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Meredith Jermann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TD BANK, N.A.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Shivani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Shivani Agarwal</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NORTHERN TRUST COMPANY</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Andrew D. Holtz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Andrew D. Holtz</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CHANG HWA COMMERCIAL BANK, LTD., NEW YORK</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BRANCH</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Eric Y.S.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Eric Y.S. Tsai</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V.P. &amp; General Manager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FIRST TENNESSEE BANK NATIONAL ASSOCIATION</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Robert P. Masengill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Robert P. Masengill</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980"/>
          </w:cols>
          <w:pgMar w:left="1440" w:top="280" w:right="479" w:bottom="1440" w:gutter="0" w:footer="0" w:header="0"/>
        </w:sectPr>
      </w:pPr>
    </w:p>
    <w:bookmarkStart w:id="123" w:name="page124"/>
    <w:bookmarkEnd w:id="123"/>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u w:val="single" w:color="auto"/>
          <w:color w:val="auto"/>
        </w:rPr>
        <w:t>Excluded Indebtedness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CABLEVISION MONETIZATION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CENTAUR FUNDING CORP (Vodafone Preferred)</w:t>
      </w:r>
    </w:p>
    <w:p>
      <w:pPr>
        <w:sectPr>
          <w:pgSz w:w="11900" w:h="16838" w:orient="portrait"/>
          <w:cols w:equalWidth="0" w:num="1">
            <w:col w:w="10219"/>
          </w:cols>
          <w:pgMar w:left="240" w:top="274"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40" w:type="dxa"/>
            <w:vAlign w:val="bottom"/>
            <w:gridSpan w:val="3"/>
          </w:tcPr>
          <w:p>
            <w:pPr>
              <w:jc w:val="right"/>
              <w:ind w:right="4100"/>
              <w:spacing w:after="0"/>
              <w:rPr>
                <w:sz w:val="20"/>
                <w:szCs w:val="20"/>
                <w:color w:val="auto"/>
              </w:rPr>
            </w:pPr>
            <w:r>
              <w:rPr>
                <w:rFonts w:ascii="Arial" w:cs="Arial" w:eastAsia="Arial" w:hAnsi="Arial"/>
                <w:sz w:val="18"/>
                <w:szCs w:val="18"/>
                <w:b w:val="1"/>
                <w:bCs w:val="1"/>
                <w:color w:val="auto"/>
              </w:rPr>
              <w:t>Schedule 2.01</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980" w:type="dxa"/>
            <w:vAlign w:val="bottom"/>
            <w:gridSpan w:val="4"/>
          </w:tcPr>
          <w:p>
            <w:pPr>
              <w:jc w:val="right"/>
              <w:ind w:right="3680"/>
              <w:spacing w:after="0"/>
              <w:rPr>
                <w:sz w:val="20"/>
                <w:szCs w:val="20"/>
                <w:color w:val="auto"/>
              </w:rPr>
            </w:pPr>
            <w:r>
              <w:rPr>
                <w:rFonts w:ascii="Arial" w:cs="Arial" w:eastAsia="Arial" w:hAnsi="Arial"/>
                <w:sz w:val="18"/>
                <w:szCs w:val="18"/>
                <w:b w:val="1"/>
                <w:bCs w:val="1"/>
                <w:color w:val="auto"/>
              </w:rPr>
              <w:t>Revolving Commitments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Institution</w:t>
            </w:r>
          </w:p>
        </w:tc>
        <w:tc>
          <w:tcPr>
            <w:tcW w:w="44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i w:val="1"/>
                <w:iCs w:val="1"/>
                <w:color w:val="auto"/>
                <w:w w:val="80"/>
              </w:rPr>
              <w:t>Revolving</w:t>
            </w:r>
          </w:p>
        </w:tc>
        <w:tc>
          <w:tcPr>
            <w:tcW w:w="0" w:type="dxa"/>
            <w:vAlign w:val="bottom"/>
          </w:tcPr>
          <w:p>
            <w:pPr>
              <w:spacing w:after="0"/>
              <w:rPr>
                <w:sz w:val="1"/>
                <w:szCs w:val="1"/>
                <w:color w:val="auto"/>
              </w:rPr>
            </w:pPr>
          </w:p>
        </w:tc>
      </w:tr>
      <w:tr>
        <w:trPr>
          <w:trHeight w:val="153"/>
        </w:trPr>
        <w:tc>
          <w:tcPr>
            <w:tcW w:w="434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4"/>
              </w:rPr>
              <w:t>Commitment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443,750,000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443,750,000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Bank, N.A.</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221,875,000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The Bank of Tokyo-Mitsubishi UFJ, Ltd.</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221,875,000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443,750,000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280,000,000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BNP Paribas</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280,000,000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AG, Cayman Islands Branch</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Deutsche Bank AG New York Branch</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280,000,000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Lloyds TSB Bank plc</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280,000,000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Corporate Bank, Ltd.</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Royal Bank of Canada</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280,000,000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SunTrust Bank</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280,000,000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Royal Bank of Scotland plc</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UBS AG, Stamford Branch</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280,000,000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Sovereign Bank, N.A.</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The Bank of New York Mellon</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DNB Bank ASA, Grand Cayman Branch</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TD Bank, N.A.</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Northern Trust Company</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9"/>
              </w:rPr>
              <w:t>Chang Hwa Commercial Bank, Ltd., New York Branch</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Tennessee Bank National Association</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85"/>
              </w:rPr>
              <w:t>6,250,000,000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5" w:name="page126"/>
    <w:bookmarkEnd w:id="12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20" w:type="dxa"/>
            <w:vAlign w:val="bottom"/>
            <w:gridSpan w:val="4"/>
          </w:tcPr>
          <w:p>
            <w:pPr>
              <w:jc w:val="center"/>
              <w:ind w:right="3432"/>
              <w:spacing w:after="0"/>
              <w:rPr>
                <w:sz w:val="20"/>
                <w:szCs w:val="20"/>
                <w:color w:val="auto"/>
              </w:rPr>
            </w:pPr>
            <w:r>
              <w:rPr>
                <w:rFonts w:ascii="Arial" w:cs="Arial" w:eastAsia="Arial" w:hAnsi="Arial"/>
                <w:sz w:val="18"/>
                <w:szCs w:val="18"/>
                <w:b w:val="1"/>
                <w:bCs w:val="1"/>
                <w:color w:val="auto"/>
                <w:w w:val="84"/>
              </w:rPr>
              <w:t>Schedule 2.03</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20" w:type="dxa"/>
            <w:vAlign w:val="bottom"/>
            <w:gridSpan w:val="5"/>
          </w:tcPr>
          <w:p>
            <w:pPr>
              <w:jc w:val="center"/>
              <w:ind w:right="2912"/>
              <w:spacing w:after="0"/>
              <w:rPr>
                <w:sz w:val="20"/>
                <w:szCs w:val="20"/>
                <w:color w:val="auto"/>
              </w:rPr>
            </w:pPr>
            <w:r>
              <w:rPr>
                <w:rFonts w:ascii="Arial" w:cs="Arial" w:eastAsia="Arial" w:hAnsi="Arial"/>
                <w:sz w:val="18"/>
                <w:szCs w:val="18"/>
                <w:b w:val="1"/>
                <w:bCs w:val="1"/>
                <w:color w:val="auto"/>
                <w:w w:val="88"/>
              </w:rPr>
              <w:t>Issuing Lender Commitments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1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Institution</w:t>
            </w:r>
          </w:p>
        </w:tc>
        <w:tc>
          <w:tcPr>
            <w:tcW w:w="50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Letter of Credit</w:t>
            </w:r>
          </w:p>
        </w:tc>
        <w:tc>
          <w:tcPr>
            <w:tcW w:w="0" w:type="dxa"/>
            <w:vAlign w:val="bottom"/>
          </w:tcPr>
          <w:p>
            <w:pPr>
              <w:spacing w:after="0"/>
              <w:rPr>
                <w:sz w:val="1"/>
                <w:szCs w:val="1"/>
                <w:color w:val="auto"/>
              </w:rPr>
            </w:pPr>
          </w:p>
        </w:tc>
      </w:tr>
      <w:tr>
        <w:trPr>
          <w:trHeight w:val="155"/>
        </w:trPr>
        <w:tc>
          <w:tcPr>
            <w:tcW w:w="4100" w:type="dxa"/>
            <w:vAlign w:val="bottom"/>
            <w:gridSpan w:val="5"/>
            <w:vMerge w:val="continue"/>
          </w:tcPr>
          <w:p>
            <w:pPr>
              <w:spacing w:after="0"/>
              <w:rPr>
                <w:sz w:val="13"/>
                <w:szCs w:val="13"/>
                <w:color w:val="auto"/>
              </w:rPr>
            </w:pPr>
          </w:p>
        </w:tc>
        <w:tc>
          <w:tcPr>
            <w:tcW w:w="5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6220" w:type="dxa"/>
            <w:vAlign w:val="bottom"/>
            <w:gridSpan w:val="5"/>
            <w:shd w:val="clear" w:color="auto" w:fill="CCEEFF"/>
          </w:tcPr>
          <w:p>
            <w:pPr>
              <w:ind w:left="61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tcPr>
          <w:p>
            <w:pPr>
              <w:spacing w:after="0"/>
              <w:rPr>
                <w:sz w:val="20"/>
                <w:szCs w:val="20"/>
                <w:color w:val="auto"/>
              </w:rPr>
            </w:pPr>
            <w:r>
              <w:rPr>
                <w:rFonts w:ascii="Arial" w:cs="Arial" w:eastAsia="Arial" w:hAnsi="Arial"/>
                <w:sz w:val="18"/>
                <w:szCs w:val="18"/>
                <w:color w:val="auto"/>
              </w:rPr>
              <w:t>Wells Fargo Bank, National Association</w:t>
            </w:r>
          </w:p>
        </w:tc>
        <w:tc>
          <w:tcPr>
            <w:tcW w:w="6220" w:type="dxa"/>
            <w:vAlign w:val="bottom"/>
            <w:gridSpan w:val="5"/>
          </w:tcPr>
          <w:p>
            <w:pPr>
              <w:ind w:left="61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500,000,000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w:t>
            </w:r>
          </w:p>
        </w:tc>
        <w:tc>
          <w:tcPr>
            <w:tcW w:w="72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1,000,000,000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vMerge w:val="restart"/>
          </w:tcPr>
          <w:p>
            <w:pPr>
              <w:spacing w:after="0"/>
              <w:rPr>
                <w:sz w:val="20"/>
                <w:szCs w:val="20"/>
                <w:color w:val="auto"/>
              </w:rPr>
            </w:pPr>
            <w:r>
              <w:rPr>
                <w:rFonts w:ascii="Arial" w:cs="Arial" w:eastAsia="Arial" w:hAnsi="Arial"/>
                <w:sz w:val="18"/>
                <w:szCs w:val="18"/>
                <w:b w:val="1"/>
                <w:bCs w:val="1"/>
                <w:color w:val="auto"/>
                <w:w w:val="87"/>
              </w:rPr>
              <w:t>Issuers of Existing Letters of Credit</w:t>
            </w:r>
          </w:p>
        </w:tc>
        <w:tc>
          <w:tcPr>
            <w:tcW w:w="50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tcBorders>
              <w:bottom w:val="single" w:sz="8" w:color="auto"/>
            </w:tcBorders>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1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Institution</w:t>
            </w:r>
          </w:p>
        </w:tc>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as of the</w:t>
            </w:r>
          </w:p>
        </w:tc>
        <w:tc>
          <w:tcPr>
            <w:tcW w:w="0" w:type="dxa"/>
            <w:vAlign w:val="bottom"/>
          </w:tcPr>
          <w:p>
            <w:pPr>
              <w:spacing w:after="0"/>
              <w:rPr>
                <w:sz w:val="1"/>
                <w:szCs w:val="1"/>
                <w:color w:val="auto"/>
              </w:rPr>
            </w:pPr>
          </w:p>
        </w:tc>
      </w:tr>
      <w:tr>
        <w:trPr>
          <w:trHeight w:val="155"/>
        </w:trPr>
        <w:tc>
          <w:tcPr>
            <w:tcW w:w="4100" w:type="dxa"/>
            <w:vAlign w:val="bottom"/>
            <w:gridSpan w:val="5"/>
            <w:vMerge w:val="continue"/>
          </w:tcPr>
          <w:p>
            <w:pPr>
              <w:spacing w:after="0"/>
              <w:rPr>
                <w:sz w:val="13"/>
                <w:szCs w:val="13"/>
                <w:color w:val="auto"/>
              </w:rPr>
            </w:pPr>
          </w:p>
        </w:tc>
        <w:tc>
          <w:tcPr>
            <w:tcW w:w="5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Effective Date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7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$429,262,899.49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tcPr>
          <w:p>
            <w:pPr>
              <w:spacing w:after="0"/>
              <w:rPr>
                <w:sz w:val="20"/>
                <w:szCs w:val="20"/>
                <w:color w:val="auto"/>
              </w:rPr>
            </w:pPr>
            <w:r>
              <w:rPr>
                <w:rFonts w:ascii="Arial" w:cs="Arial" w:eastAsia="Arial" w:hAnsi="Arial"/>
                <w:sz w:val="18"/>
                <w:szCs w:val="18"/>
                <w:color w:val="auto"/>
              </w:rPr>
              <w:t>The Bank of New York Mellon</w:t>
            </w:r>
          </w:p>
        </w:tc>
        <w:tc>
          <w:tcPr>
            <w:tcW w:w="6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5"/>
              </w:rPr>
              <w:t>11,670,143.74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6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7,991,542.00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4"/>
          </w:tcPr>
          <w:p>
            <w:pPr>
              <w:spacing w:after="0"/>
              <w:rPr>
                <w:sz w:val="20"/>
                <w:szCs w:val="20"/>
                <w:color w:val="auto"/>
              </w:rPr>
            </w:pPr>
            <w:r>
              <w:rPr>
                <w:rFonts w:ascii="Arial" w:cs="Arial" w:eastAsia="Arial" w:hAnsi="Arial"/>
                <w:sz w:val="18"/>
                <w:szCs w:val="18"/>
                <w:color w:val="auto"/>
              </w:rPr>
              <w:t>Citibank, N.A.</w:t>
            </w:r>
          </w:p>
        </w:tc>
        <w:tc>
          <w:tcPr>
            <w:tcW w:w="6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7,450,858.00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6" w:name="page127"/>
    <w:bookmarkEnd w:id="126"/>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6.13</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Unrestricted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Comcast Holdings Corporation and its subsidiaries except for Comcast Cable Communications, LLC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Comcast Contribution Holdings, LLC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Navy Acquisition, LLC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NBCUniversal, LLC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“subsidiaries” includes existing subsidiaries and any future subsidiaries</w:t>
      </w:r>
    </w:p>
    <w:p>
      <w:pPr>
        <w:sectPr>
          <w:pgSz w:w="11900" w:h="16838" w:orient="portrait"/>
          <w:cols w:equalWidth="0" w:num="1">
            <w:col w:w="10219"/>
          </w:cols>
          <w:pgMar w:left="240" w:top="274" w:right="1440" w:bottom="1440" w:gutter="0" w:footer="0" w:header="0"/>
        </w:sectPr>
      </w:pPr>
    </w:p>
    <w:bookmarkStart w:id="127" w:name="page128"/>
    <w:bookmarkEnd w:id="127"/>
    <w:p>
      <w:pPr>
        <w:jc w:val="center"/>
        <w:ind w:right="-2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ectPr>
          <w:pgSz w:w="11900" w:h="16838" w:orient="portrait"/>
          <w:cols w:equalWidth="0" w:num="1">
            <w:col w:w="9019"/>
          </w:cols>
          <w:pgMar w:left="1440" w:top="280" w:right="1440" w:bottom="1440" w:gutter="0" w:footer="0" w:header="0"/>
        </w:sectPr>
      </w:pPr>
    </w:p>
    <w:bookmarkStart w:id="128" w:name="page129"/>
    <w:bookmarkEnd w:id="128"/>
    <w:p>
      <w:pPr>
        <w:ind w:left="3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t>GUARANTEE AGREEMENT</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made by</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COMCAST CABLE COMMUNICATIONS, LLC</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COMCAST MO OF DELAWARE, LLC</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COMCAST MO GROUP, INC.</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COMCAST CABLE HOLDINGS, LLC</w:t>
      </w:r>
    </w:p>
    <w:p>
      <w:pPr>
        <w:spacing w:after="0" w:line="171"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and the other Subsidiaries from time to time parties hereto</w:t>
      </w:r>
    </w:p>
    <w:p>
      <w:pPr>
        <w:spacing w:after="0" w:line="20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in favor of</w:t>
      </w:r>
    </w:p>
    <w:p>
      <w:pPr>
        <w:spacing w:after="0" w:line="17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as of June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173990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10040" w:type="dxa"/>
            <w:vAlign w:val="bottom"/>
          </w:tcPr>
          <w:p>
            <w:pPr>
              <w:ind w:left="3800"/>
              <w:spacing w:after="0"/>
              <w:rPr>
                <w:sz w:val="20"/>
                <w:szCs w:val="20"/>
                <w:color w:val="auto"/>
              </w:rPr>
            </w:pPr>
            <w:r>
              <w:rPr>
                <w:rFonts w:ascii="Arial" w:cs="Arial" w:eastAsia="Arial" w:hAnsi="Arial"/>
                <w:sz w:val="18"/>
                <w:szCs w:val="18"/>
                <w:color w:val="auto"/>
              </w:rPr>
              <w:t>TABLE OF CONTENTS</w:t>
            </w:r>
          </w:p>
        </w:tc>
        <w:tc>
          <w:tcPr>
            <w:tcW w:w="260" w:type="dxa"/>
            <w:vAlign w:val="bottom"/>
          </w:tcPr>
          <w:p>
            <w:pPr>
              <w:spacing w:after="0"/>
              <w:rPr>
                <w:sz w:val="19"/>
                <w:szCs w:val="19"/>
                <w:color w:val="auto"/>
              </w:rPr>
            </w:pPr>
          </w:p>
        </w:tc>
      </w:tr>
      <w:tr>
        <w:trPr>
          <w:trHeight w:val="353"/>
        </w:trPr>
        <w:tc>
          <w:tcPr>
            <w:tcW w:w="102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302"/>
        </w:trPr>
        <w:tc>
          <w:tcPr>
            <w:tcW w:w="1020" w:type="dxa"/>
            <w:vAlign w:val="bottom"/>
          </w:tcPr>
          <w:p>
            <w:pPr>
              <w:spacing w:after="0"/>
              <w:rPr>
                <w:sz w:val="20"/>
                <w:szCs w:val="20"/>
                <w:color w:val="auto"/>
              </w:rPr>
            </w:pPr>
            <w:r>
              <w:rPr>
                <w:rFonts w:ascii="Arial" w:cs="Arial" w:eastAsia="Arial" w:hAnsi="Arial"/>
                <w:sz w:val="18"/>
                <w:szCs w:val="18"/>
                <w:color w:val="auto"/>
                <w:w w:val="99"/>
              </w:rPr>
              <w:t>SECTION 1.</w:t>
            </w:r>
          </w:p>
        </w:tc>
        <w:tc>
          <w:tcPr>
            <w:tcW w:w="10040" w:type="dxa"/>
            <w:vAlign w:val="bottom"/>
          </w:tcPr>
          <w:p>
            <w:pPr>
              <w:ind w:left="320"/>
              <w:spacing w:after="0"/>
              <w:rPr>
                <w:sz w:val="20"/>
                <w:szCs w:val="20"/>
                <w:color w:val="auto"/>
              </w:rPr>
            </w:pPr>
            <w:r>
              <w:rPr>
                <w:rFonts w:ascii="Arial" w:cs="Arial" w:eastAsia="Arial" w:hAnsi="Arial"/>
                <w:sz w:val="18"/>
                <w:szCs w:val="18"/>
                <w:color w:val="auto"/>
              </w:rPr>
              <w:t>DEFINED TERMS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1.1</w:t>
            </w:r>
          </w:p>
        </w:tc>
        <w:tc>
          <w:tcPr>
            <w:tcW w:w="1004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1.2</w:t>
            </w:r>
          </w:p>
        </w:tc>
        <w:tc>
          <w:tcPr>
            <w:tcW w:w="10040" w:type="dxa"/>
            <w:vAlign w:val="bottom"/>
          </w:tcPr>
          <w:p>
            <w:pPr>
              <w:ind w:left="320"/>
              <w:spacing w:after="0"/>
              <w:rPr>
                <w:sz w:val="20"/>
                <w:szCs w:val="20"/>
                <w:color w:val="auto"/>
              </w:rPr>
            </w:pPr>
            <w:r>
              <w:rPr>
                <w:rFonts w:ascii="Arial" w:cs="Arial" w:eastAsia="Arial" w:hAnsi="Arial"/>
                <w:sz w:val="18"/>
                <w:szCs w:val="18"/>
                <w:color w:val="auto"/>
              </w:rPr>
              <w:t>Other Definitional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w w:val="99"/>
              </w:rPr>
              <w:t>SECTION 2.</w:t>
            </w:r>
          </w:p>
        </w:tc>
        <w:tc>
          <w:tcPr>
            <w:tcW w:w="10040" w:type="dxa"/>
            <w:vAlign w:val="bottom"/>
          </w:tcPr>
          <w:p>
            <w:pPr>
              <w:ind w:left="320"/>
              <w:spacing w:after="0"/>
              <w:rPr>
                <w:sz w:val="20"/>
                <w:szCs w:val="20"/>
                <w:color w:val="auto"/>
              </w:rPr>
            </w:pPr>
            <w:r>
              <w:rPr>
                <w:rFonts w:ascii="Arial" w:cs="Arial" w:eastAsia="Arial" w:hAnsi="Arial"/>
                <w:sz w:val="18"/>
                <w:szCs w:val="18"/>
                <w:color w:val="auto"/>
              </w:rPr>
              <w:t>GUARANTEE</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2.1</w:t>
            </w:r>
          </w:p>
        </w:tc>
        <w:tc>
          <w:tcPr>
            <w:tcW w:w="10040" w:type="dxa"/>
            <w:vAlign w:val="bottom"/>
          </w:tcPr>
          <w:p>
            <w:pPr>
              <w:ind w:left="320"/>
              <w:spacing w:after="0"/>
              <w:rPr>
                <w:sz w:val="20"/>
                <w:szCs w:val="20"/>
                <w:color w:val="auto"/>
              </w:rPr>
            </w:pPr>
            <w:r>
              <w:rPr>
                <w:rFonts w:ascii="Arial" w:cs="Arial" w:eastAsia="Arial" w:hAnsi="Arial"/>
                <w:sz w:val="18"/>
                <w:szCs w:val="18"/>
                <w:color w:val="auto"/>
              </w:rPr>
              <w:t>Guarantee</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2.2</w:t>
            </w:r>
          </w:p>
        </w:tc>
        <w:tc>
          <w:tcPr>
            <w:tcW w:w="10040" w:type="dxa"/>
            <w:vAlign w:val="bottom"/>
          </w:tcPr>
          <w:p>
            <w:pPr>
              <w:ind w:left="320"/>
              <w:spacing w:after="0"/>
              <w:rPr>
                <w:sz w:val="20"/>
                <w:szCs w:val="20"/>
                <w:color w:val="auto"/>
              </w:rPr>
            </w:pPr>
            <w:r>
              <w:rPr>
                <w:rFonts w:ascii="Arial" w:cs="Arial" w:eastAsia="Arial" w:hAnsi="Arial"/>
                <w:sz w:val="18"/>
                <w:szCs w:val="18"/>
                <w:color w:val="auto"/>
              </w:rPr>
              <w:t>Right of Contribution</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2.3</w:t>
            </w:r>
          </w:p>
        </w:tc>
        <w:tc>
          <w:tcPr>
            <w:tcW w:w="10040" w:type="dxa"/>
            <w:vAlign w:val="bottom"/>
          </w:tcPr>
          <w:p>
            <w:pPr>
              <w:ind w:left="320"/>
              <w:spacing w:after="0"/>
              <w:rPr>
                <w:sz w:val="20"/>
                <w:szCs w:val="20"/>
                <w:color w:val="auto"/>
              </w:rPr>
            </w:pPr>
            <w:r>
              <w:rPr>
                <w:rFonts w:ascii="Arial" w:cs="Arial" w:eastAsia="Arial" w:hAnsi="Arial"/>
                <w:sz w:val="18"/>
                <w:szCs w:val="18"/>
                <w:color w:val="auto"/>
              </w:rPr>
              <w:t>No Subrogation</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2.4</w:t>
            </w:r>
          </w:p>
        </w:tc>
        <w:tc>
          <w:tcPr>
            <w:tcW w:w="10040" w:type="dxa"/>
            <w:vAlign w:val="bottom"/>
          </w:tcPr>
          <w:p>
            <w:pPr>
              <w:ind w:left="320"/>
              <w:spacing w:after="0"/>
              <w:rPr>
                <w:sz w:val="20"/>
                <w:szCs w:val="20"/>
                <w:color w:val="auto"/>
              </w:rPr>
            </w:pPr>
            <w:r>
              <w:rPr>
                <w:rFonts w:ascii="Arial" w:cs="Arial" w:eastAsia="Arial" w:hAnsi="Arial"/>
                <w:sz w:val="18"/>
                <w:szCs w:val="18"/>
                <w:color w:val="auto"/>
              </w:rPr>
              <w:t>Amendments, etc. with respect to the Co-Borrowers’ Obligations</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2.5</w:t>
            </w:r>
          </w:p>
        </w:tc>
        <w:tc>
          <w:tcPr>
            <w:tcW w:w="10040" w:type="dxa"/>
            <w:vAlign w:val="bottom"/>
          </w:tcPr>
          <w:p>
            <w:pPr>
              <w:ind w:left="320"/>
              <w:spacing w:after="0"/>
              <w:rPr>
                <w:sz w:val="20"/>
                <w:szCs w:val="20"/>
                <w:color w:val="auto"/>
              </w:rPr>
            </w:pPr>
            <w:r>
              <w:rPr>
                <w:rFonts w:ascii="Arial" w:cs="Arial" w:eastAsia="Arial" w:hAnsi="Arial"/>
                <w:sz w:val="18"/>
                <w:szCs w:val="18"/>
                <w:color w:val="auto"/>
              </w:rPr>
              <w:t>Guarantee Absolute and Unconditional</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2.6</w:t>
            </w:r>
          </w:p>
        </w:tc>
        <w:tc>
          <w:tcPr>
            <w:tcW w:w="10040" w:type="dxa"/>
            <w:vAlign w:val="bottom"/>
          </w:tcPr>
          <w:p>
            <w:pPr>
              <w:ind w:left="320"/>
              <w:spacing w:after="0"/>
              <w:rPr>
                <w:sz w:val="20"/>
                <w:szCs w:val="20"/>
                <w:color w:val="auto"/>
              </w:rPr>
            </w:pPr>
            <w:r>
              <w:rPr>
                <w:rFonts w:ascii="Arial" w:cs="Arial" w:eastAsia="Arial" w:hAnsi="Arial"/>
                <w:sz w:val="18"/>
                <w:szCs w:val="18"/>
                <w:color w:val="auto"/>
              </w:rPr>
              <w:t>Reinstatement</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2.7</w:t>
            </w:r>
          </w:p>
        </w:tc>
        <w:tc>
          <w:tcPr>
            <w:tcW w:w="10040" w:type="dxa"/>
            <w:vAlign w:val="bottom"/>
          </w:tcPr>
          <w:p>
            <w:pPr>
              <w:ind w:left="320"/>
              <w:spacing w:after="0"/>
              <w:rPr>
                <w:sz w:val="20"/>
                <w:szCs w:val="20"/>
                <w:color w:val="auto"/>
              </w:rPr>
            </w:pPr>
            <w:r>
              <w:rPr>
                <w:rFonts w:ascii="Arial" w:cs="Arial" w:eastAsia="Arial" w:hAnsi="Arial"/>
                <w:sz w:val="18"/>
                <w:szCs w:val="18"/>
                <w:color w:val="auto"/>
              </w:rPr>
              <w:t>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w w:val="99"/>
              </w:rPr>
              <w:t>SECTION 3.</w:t>
            </w:r>
          </w:p>
        </w:tc>
        <w:tc>
          <w:tcPr>
            <w:tcW w:w="10040" w:type="dxa"/>
            <w:vAlign w:val="bottom"/>
          </w:tcPr>
          <w:p>
            <w:pPr>
              <w:ind w:left="320"/>
              <w:spacing w:after="0"/>
              <w:rPr>
                <w:sz w:val="20"/>
                <w:szCs w:val="20"/>
                <w:color w:val="auto"/>
              </w:rPr>
            </w:pPr>
            <w:r>
              <w:rPr>
                <w:rFonts w:ascii="Arial" w:cs="Arial" w:eastAsia="Arial" w:hAnsi="Arial"/>
                <w:sz w:val="18"/>
                <w:szCs w:val="18"/>
                <w:color w:val="auto"/>
              </w:rPr>
              <w:t>MISCELLANEOUS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3.1</w:t>
            </w:r>
          </w:p>
        </w:tc>
        <w:tc>
          <w:tcPr>
            <w:tcW w:w="10040" w:type="dxa"/>
            <w:vAlign w:val="bottom"/>
          </w:tcPr>
          <w:p>
            <w:pPr>
              <w:ind w:left="320"/>
              <w:spacing w:after="0"/>
              <w:rPr>
                <w:sz w:val="20"/>
                <w:szCs w:val="20"/>
                <w:color w:val="auto"/>
              </w:rPr>
            </w:pPr>
            <w:r>
              <w:rPr>
                <w:rFonts w:ascii="Arial" w:cs="Arial" w:eastAsia="Arial" w:hAnsi="Arial"/>
                <w:sz w:val="18"/>
                <w:szCs w:val="18"/>
                <w:color w:val="auto"/>
              </w:rPr>
              <w:t>Amendments in Writing</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3.2</w:t>
            </w:r>
          </w:p>
        </w:tc>
        <w:tc>
          <w:tcPr>
            <w:tcW w:w="10040" w:type="dxa"/>
            <w:vAlign w:val="bottom"/>
          </w:tcPr>
          <w:p>
            <w:pPr>
              <w:ind w:left="320"/>
              <w:spacing w:after="0"/>
              <w:rPr>
                <w:sz w:val="20"/>
                <w:szCs w:val="20"/>
                <w:color w:val="auto"/>
              </w:rPr>
            </w:pPr>
            <w:r>
              <w:rPr>
                <w:rFonts w:ascii="Arial" w:cs="Arial" w:eastAsia="Arial" w:hAnsi="Arial"/>
                <w:sz w:val="18"/>
                <w:szCs w:val="18"/>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3.3</w:t>
            </w:r>
          </w:p>
        </w:tc>
        <w:tc>
          <w:tcPr>
            <w:tcW w:w="10040" w:type="dxa"/>
            <w:vAlign w:val="bottom"/>
          </w:tcPr>
          <w:p>
            <w:pPr>
              <w:ind w:left="320"/>
              <w:spacing w:after="0"/>
              <w:rPr>
                <w:sz w:val="20"/>
                <w:szCs w:val="20"/>
                <w:color w:val="auto"/>
              </w:rPr>
            </w:pPr>
            <w:r>
              <w:rPr>
                <w:rFonts w:ascii="Arial" w:cs="Arial" w:eastAsia="Arial" w:hAnsi="Arial"/>
                <w:sz w:val="18"/>
                <w:szCs w:val="18"/>
                <w:color w:val="auto"/>
              </w:rPr>
              <w:t>No Waiver by Course of Conduct; Cumulative Remedies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3.4</w:t>
            </w:r>
          </w:p>
        </w:tc>
        <w:tc>
          <w:tcPr>
            <w:tcW w:w="10040" w:type="dxa"/>
            <w:vAlign w:val="bottom"/>
          </w:tcPr>
          <w:p>
            <w:pPr>
              <w:ind w:left="320"/>
              <w:spacing w:after="0"/>
              <w:rPr>
                <w:sz w:val="20"/>
                <w:szCs w:val="20"/>
                <w:color w:val="auto"/>
              </w:rPr>
            </w:pPr>
            <w:r>
              <w:rPr>
                <w:rFonts w:ascii="Arial" w:cs="Arial" w:eastAsia="Arial" w:hAnsi="Arial"/>
                <w:sz w:val="18"/>
                <w:szCs w:val="18"/>
                <w:color w:val="auto"/>
              </w:rPr>
              <w:t>Enforcement Expenses; Indemnification</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3.5</w:t>
            </w:r>
          </w:p>
        </w:tc>
        <w:tc>
          <w:tcPr>
            <w:tcW w:w="10040" w:type="dxa"/>
            <w:vAlign w:val="bottom"/>
          </w:tcPr>
          <w:p>
            <w:pPr>
              <w:ind w:left="320"/>
              <w:spacing w:after="0"/>
              <w:rPr>
                <w:sz w:val="20"/>
                <w:szCs w:val="20"/>
                <w:color w:val="auto"/>
              </w:rPr>
            </w:pPr>
            <w:r>
              <w:rPr>
                <w:rFonts w:ascii="Arial" w:cs="Arial" w:eastAsia="Arial" w:hAnsi="Arial"/>
                <w:sz w:val="18"/>
                <w:szCs w:val="18"/>
                <w:color w:val="auto"/>
              </w:rPr>
              <w:t>Successors and Assigns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3.6</w:t>
            </w:r>
          </w:p>
        </w:tc>
        <w:tc>
          <w:tcPr>
            <w:tcW w:w="10040" w:type="dxa"/>
            <w:vAlign w:val="bottom"/>
          </w:tcPr>
          <w:p>
            <w:pPr>
              <w:ind w:left="320"/>
              <w:spacing w:after="0"/>
              <w:rPr>
                <w:sz w:val="20"/>
                <w:szCs w:val="20"/>
                <w:color w:val="auto"/>
              </w:rPr>
            </w:pPr>
            <w:r>
              <w:rPr>
                <w:rFonts w:ascii="Arial" w:cs="Arial" w:eastAsia="Arial" w:hAnsi="Arial"/>
                <w:sz w:val="18"/>
                <w:szCs w:val="18"/>
                <w:color w:val="auto"/>
              </w:rPr>
              <w:t>Set-Off</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3.7</w:t>
            </w:r>
          </w:p>
        </w:tc>
        <w:tc>
          <w:tcPr>
            <w:tcW w:w="1004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3.8</w:t>
            </w:r>
          </w:p>
        </w:tc>
        <w:tc>
          <w:tcPr>
            <w:tcW w:w="1004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3.9</w:t>
            </w:r>
          </w:p>
        </w:tc>
        <w:tc>
          <w:tcPr>
            <w:tcW w:w="10040" w:type="dxa"/>
            <w:vAlign w:val="bottom"/>
          </w:tcPr>
          <w:p>
            <w:pPr>
              <w:ind w:left="320"/>
              <w:spacing w:after="0"/>
              <w:rPr>
                <w:sz w:val="20"/>
                <w:szCs w:val="20"/>
                <w:color w:val="auto"/>
              </w:rPr>
            </w:pPr>
            <w:r>
              <w:rPr>
                <w:rFonts w:ascii="Arial" w:cs="Arial" w:eastAsia="Arial" w:hAnsi="Arial"/>
                <w:sz w:val="18"/>
                <w:szCs w:val="18"/>
                <w:color w:val="auto"/>
              </w:rPr>
              <w:t>Section Headings</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3.10</w:t>
            </w:r>
          </w:p>
        </w:tc>
        <w:tc>
          <w:tcPr>
            <w:tcW w:w="10040" w:type="dxa"/>
            <w:vAlign w:val="bottom"/>
          </w:tcPr>
          <w:p>
            <w:pPr>
              <w:ind w:left="320"/>
              <w:spacing w:after="0"/>
              <w:rPr>
                <w:sz w:val="20"/>
                <w:szCs w:val="20"/>
                <w:color w:val="auto"/>
              </w:rPr>
            </w:pPr>
            <w:r>
              <w:rPr>
                <w:rFonts w:ascii="Arial" w:cs="Arial" w:eastAsia="Arial" w:hAnsi="Arial"/>
                <w:sz w:val="18"/>
                <w:szCs w:val="18"/>
                <w:color w:val="auto"/>
              </w:rPr>
              <w:t>Integration</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3.11</w:t>
            </w:r>
          </w:p>
        </w:tc>
        <w:tc>
          <w:tcPr>
            <w:tcW w:w="1004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3.12</w:t>
            </w:r>
          </w:p>
        </w:tc>
        <w:tc>
          <w:tcPr>
            <w:tcW w:w="10040" w:type="dxa"/>
            <w:vAlign w:val="bottom"/>
          </w:tcPr>
          <w:p>
            <w:pPr>
              <w:ind w:left="320"/>
              <w:spacing w:after="0"/>
              <w:rPr>
                <w:sz w:val="20"/>
                <w:szCs w:val="20"/>
                <w:color w:val="auto"/>
              </w:rPr>
            </w:pPr>
            <w:r>
              <w:rPr>
                <w:rFonts w:ascii="Arial" w:cs="Arial" w:eastAsia="Arial" w:hAnsi="Arial"/>
                <w:sz w:val="18"/>
                <w:szCs w:val="18"/>
                <w:color w:val="auto"/>
              </w:rPr>
              <w:t>Submission To Jurisdiction; Waivers</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3.13</w:t>
            </w:r>
          </w:p>
        </w:tc>
        <w:tc>
          <w:tcPr>
            <w:tcW w:w="10040" w:type="dxa"/>
            <w:vAlign w:val="bottom"/>
          </w:tcPr>
          <w:p>
            <w:pPr>
              <w:ind w:left="320"/>
              <w:spacing w:after="0"/>
              <w:rPr>
                <w:sz w:val="20"/>
                <w:szCs w:val="20"/>
                <w:color w:val="auto"/>
              </w:rPr>
            </w:pPr>
            <w:r>
              <w:rPr>
                <w:rFonts w:ascii="Arial" w:cs="Arial" w:eastAsia="Arial" w:hAnsi="Arial"/>
                <w:sz w:val="18"/>
                <w:szCs w:val="18"/>
                <w:color w:val="auto"/>
              </w:rPr>
              <w:t>Acknowledgements</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3.14</w:t>
            </w:r>
          </w:p>
        </w:tc>
        <w:tc>
          <w:tcPr>
            <w:tcW w:w="10040" w:type="dxa"/>
            <w:vAlign w:val="bottom"/>
          </w:tcPr>
          <w:p>
            <w:pPr>
              <w:ind w:left="320"/>
              <w:spacing w:after="0"/>
              <w:rPr>
                <w:sz w:val="20"/>
                <w:szCs w:val="20"/>
                <w:color w:val="auto"/>
              </w:rPr>
            </w:pPr>
            <w:r>
              <w:rPr>
                <w:rFonts w:ascii="Arial" w:cs="Arial" w:eastAsia="Arial" w:hAnsi="Arial"/>
                <w:sz w:val="18"/>
                <w:szCs w:val="18"/>
                <w:color w:val="auto"/>
              </w:rPr>
              <w:t>Additional Guarantors</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20" w:type="dxa"/>
            <w:vAlign w:val="bottom"/>
          </w:tcPr>
          <w:p>
            <w:pPr>
              <w:ind w:left="440"/>
              <w:spacing w:after="0"/>
              <w:rPr>
                <w:sz w:val="20"/>
                <w:szCs w:val="20"/>
                <w:color w:val="auto"/>
              </w:rPr>
            </w:pPr>
            <w:r>
              <w:rPr>
                <w:rFonts w:ascii="Arial" w:cs="Arial" w:eastAsia="Arial" w:hAnsi="Arial"/>
                <w:sz w:val="18"/>
                <w:szCs w:val="18"/>
                <w:color w:val="auto"/>
              </w:rPr>
              <w:t>3.15</w:t>
            </w:r>
          </w:p>
        </w:tc>
        <w:tc>
          <w:tcPr>
            <w:tcW w:w="10040" w:type="dxa"/>
            <w:vAlign w:val="bottom"/>
          </w:tcPr>
          <w:p>
            <w:pPr>
              <w:ind w:left="320"/>
              <w:spacing w:after="0"/>
              <w:rPr>
                <w:sz w:val="20"/>
                <w:szCs w:val="20"/>
                <w:color w:val="auto"/>
              </w:rPr>
            </w:pPr>
            <w:r>
              <w:rPr>
                <w:rFonts w:ascii="Arial" w:cs="Arial" w:eastAsia="Arial" w:hAnsi="Arial"/>
                <w:sz w:val="18"/>
                <w:szCs w:val="18"/>
                <w:color w:val="auto"/>
              </w:rPr>
              <w:t>WAIVER OF JURY TRIAL</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1"/>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SCHEDULES</w:t>
            </w:r>
          </w:p>
        </w:tc>
        <w:tc>
          <w:tcPr>
            <w:tcW w:w="100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24"/>
        </w:trPr>
        <w:tc>
          <w:tcPr>
            <w:tcW w:w="1020" w:type="dxa"/>
            <w:vAlign w:val="bottom"/>
          </w:tcPr>
          <w:p>
            <w:pPr>
              <w:spacing w:after="0"/>
              <w:rPr>
                <w:sz w:val="20"/>
                <w:szCs w:val="20"/>
                <w:color w:val="auto"/>
              </w:rPr>
            </w:pPr>
            <w:r>
              <w:rPr>
                <w:rFonts w:ascii="Arial" w:cs="Arial" w:eastAsia="Arial" w:hAnsi="Arial"/>
                <w:sz w:val="18"/>
                <w:szCs w:val="18"/>
                <w:color w:val="auto"/>
              </w:rPr>
              <w:t>Schedule 1</w:t>
            </w:r>
          </w:p>
        </w:tc>
        <w:tc>
          <w:tcPr>
            <w:tcW w:w="10040" w:type="dxa"/>
            <w:vAlign w:val="bottom"/>
          </w:tcPr>
          <w:p>
            <w:pPr>
              <w:ind w:left="240"/>
              <w:spacing w:after="0"/>
              <w:rPr>
                <w:sz w:val="20"/>
                <w:szCs w:val="20"/>
                <w:color w:val="auto"/>
              </w:rPr>
            </w:pPr>
            <w:r>
              <w:rPr>
                <w:rFonts w:ascii="Arial" w:cs="Arial" w:eastAsia="Arial" w:hAnsi="Arial"/>
                <w:sz w:val="18"/>
                <w:szCs w:val="18"/>
                <w:color w:val="auto"/>
              </w:rPr>
              <w:t>Notice Addresses</w:t>
            </w:r>
          </w:p>
        </w:tc>
        <w:tc>
          <w:tcPr>
            <w:tcW w:w="260" w:type="dxa"/>
            <w:vAlign w:val="bottom"/>
          </w:tcPr>
          <w:p>
            <w:pPr>
              <w:spacing w:after="0"/>
              <w:rPr>
                <w:sz w:val="24"/>
                <w:szCs w:val="24"/>
                <w:color w:val="auto"/>
              </w:rPr>
            </w:pPr>
          </w:p>
        </w:tc>
      </w:tr>
      <w:tr>
        <w:trPr>
          <w:trHeight w:val="365"/>
        </w:trPr>
        <w:tc>
          <w:tcPr>
            <w:tcW w:w="1020" w:type="dxa"/>
            <w:vAlign w:val="bottom"/>
          </w:tcPr>
          <w:p>
            <w:pPr>
              <w:spacing w:after="0"/>
              <w:rPr>
                <w:sz w:val="24"/>
                <w:szCs w:val="24"/>
                <w:color w:val="auto"/>
              </w:rPr>
            </w:pPr>
          </w:p>
        </w:tc>
        <w:tc>
          <w:tcPr>
            <w:tcW w:w="10040" w:type="dxa"/>
            <w:vAlign w:val="bottom"/>
          </w:tcPr>
          <w:p>
            <w:pPr>
              <w:ind w:left="4660"/>
              <w:spacing w:after="0"/>
              <w:rPr>
                <w:sz w:val="20"/>
                <w:szCs w:val="20"/>
                <w:color w:val="auto"/>
              </w:rPr>
            </w:pPr>
            <w:r>
              <w:rPr>
                <w:rFonts w:ascii="Arial" w:cs="Arial" w:eastAsia="Arial" w:hAnsi="Arial"/>
                <w:sz w:val="18"/>
                <w:szCs w:val="18"/>
                <w:color w:val="auto"/>
              </w:rPr>
              <w:t>i</w:t>
            </w:r>
          </w:p>
        </w:tc>
        <w:tc>
          <w:tcPr>
            <w:tcW w:w="2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0" w:name="page131"/>
    <w:bookmarkEnd w:id="13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AGREEMENT</w:t>
      </w:r>
    </w:p>
    <w:p>
      <w:pPr>
        <w:spacing w:after="0" w:line="17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GUARANTEE AGREEMENT, dated as of June 6, 2012, made by each of the signatories hereto,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banks and other financial institutions or entities (the “</w:t>
      </w:r>
      <w:r>
        <w:rPr>
          <w:rFonts w:ascii="Arial" w:cs="Arial" w:eastAsia="Arial" w:hAnsi="Arial"/>
          <w:sz w:val="18"/>
          <w:szCs w:val="18"/>
          <w:u w:val="single" w:color="auto"/>
          <w:color w:val="auto"/>
        </w:rPr>
        <w:t>Lenders</w:t>
      </w:r>
      <w:r>
        <w:rPr>
          <w:rFonts w:ascii="Arial" w:cs="Arial" w:eastAsia="Arial" w:hAnsi="Arial"/>
          <w:sz w:val="18"/>
          <w:szCs w:val="18"/>
          <w:color w:val="auto"/>
        </w:rPr>
        <w:t>”) from time to time parties to the Credit Agreement, dated as of the date hereof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COMCAST CABLE COMMUNICATIONS, LLC, a Delaware limited liability company (“</w:t>
      </w:r>
      <w:r>
        <w:rPr>
          <w:rFonts w:ascii="Arial" w:cs="Arial" w:eastAsia="Arial" w:hAnsi="Arial"/>
          <w:sz w:val="18"/>
          <w:szCs w:val="18"/>
          <w:u w:val="single" w:color="auto"/>
          <w:color w:val="auto"/>
        </w:rPr>
        <w:t>CCCL</w:t>
      </w:r>
      <w:r>
        <w:rPr>
          <w:rFonts w:ascii="Arial" w:cs="Arial" w:eastAsia="Arial" w:hAnsi="Arial"/>
          <w:sz w:val="18"/>
          <w:szCs w:val="18"/>
          <w:color w:val="auto"/>
        </w:rPr>
        <w:t>” or the “</w:t>
      </w:r>
      <w:r>
        <w:rPr>
          <w:rFonts w:ascii="Arial" w:cs="Arial" w:eastAsia="Arial" w:hAnsi="Arial"/>
          <w:sz w:val="18"/>
          <w:szCs w:val="18"/>
          <w:u w:val="single" w:color="auto"/>
          <w:color w:val="auto"/>
        </w:rPr>
        <w:t>Co-Borrower</w:t>
      </w:r>
      <w:r>
        <w:rPr>
          <w:rFonts w:ascii="Arial" w:cs="Arial" w:eastAsia="Arial" w:hAnsi="Arial"/>
          <w:sz w:val="18"/>
          <w:szCs w:val="18"/>
          <w:color w:val="auto"/>
        </w:rPr>
        <w:t>”), the Lenders and the Administrative Agent.</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the Co-Borrowers upon the terms and subject to the conditions set forth therein;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Co-Borrowers are members of an affiliated group of companies that includes each Guarantor;</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WHEREAS, the proceeds of the extensions of credit under the Credit Agreement will be used in part to enable the Co-Borrowers to make valuable transfers to one or more of the other Guarantors in connection with the operation of their respective businesses;</w:t>
      </w:r>
    </w:p>
    <w:p>
      <w:pPr>
        <w:spacing w:after="0" w:line="13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WHEREAS, the Co-Borrowers and the Guarantors are engaged in related businesses, and each Guarantor will derive substantial direct and indirect benefit from the making of the extensions of credit under the Credit Agreement; and</w:t>
      </w:r>
    </w:p>
    <w:p>
      <w:pPr>
        <w:spacing w:after="0" w:line="132"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WHEREAS, it is a condition precedent to the obligation of the Lenders to make their respective extensions of credit to the Co-Borrowers under the Credit Agreement that the Guarantors shall have executed and delivered this Agreement to the Administrative Agent for the ratable benefit of the Lenders;</w:t>
      </w:r>
    </w:p>
    <w:p>
      <w:pPr>
        <w:spacing w:after="0" w:line="85"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NOW, THEREFORE, in consideration of the premises and to induce the Administrative Agent and the Lenders to enter into the Credit Agreement and to induce the Lenders to make their respective extensions of credit to the Co-Borrowers thereunder, each Guarantor hereby agrees with the Administrative Agent, for the ratable benefit of the Lenders, as follows: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 DEFINED TERMS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(a) Unless otherwise defined herein, terms defined in the Credit Agreement and used herein shall have the meanings given to them in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following terms shall have the following meanings: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Guarantee Agreement, as the same may be amended, supplemented or otherwise modified from time to time.</w:t>
      </w:r>
    </w:p>
    <w:p>
      <w:pPr>
        <w:spacing w:after="0" w:line="171" w:lineRule="exact"/>
        <w:rPr>
          <w:sz w:val="20"/>
          <w:szCs w:val="20"/>
          <w:color w:val="auto"/>
        </w:rPr>
      </w:pPr>
    </w:p>
    <w:p>
      <w:pPr>
        <w:ind w:right="5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Obligations</w:t>
      </w:r>
      <w:r>
        <w:rPr>
          <w:rFonts w:ascii="Arial" w:cs="Arial" w:eastAsia="Arial" w:hAnsi="Arial"/>
          <w:sz w:val="16"/>
          <w:szCs w:val="16"/>
          <w:color w:val="auto"/>
        </w:rPr>
        <w:t>”: the collective reference to the unpaid principal of and interest on the Loans made to Borrower and its reimbursement obligations under Section 2.03(c) of the Credit Agreement and all other obligations and liabilities of the Borrower (including, without limitation, interest</w:t>
      </w:r>
    </w:p>
    <w:p>
      <w:pPr>
        <w:sectPr>
          <w:pgSz w:w="11900" w:h="16838" w:orient="portrait"/>
          <w:cols w:equalWidth="0" w:num="1">
            <w:col w:w="11420"/>
          </w:cols>
          <w:pgMar w:left="240" w:top="280" w:right="239" w:bottom="1440" w:gutter="0" w:footer="0" w:header="0"/>
        </w:sectPr>
      </w:pPr>
    </w:p>
    <w:bookmarkStart w:id="131" w:name="page132"/>
    <w:bookmarkEnd w:id="131"/>
    <w:p>
      <w:pPr>
        <w:ind w:right="2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accruing at the then applicable rate provided in the Credit Agreement after the maturity of the Loans made to it and its reimbursement obligations under Section 2.03(c) of the Credit Agreement and interest accruing at the then applicable rate provided in the Credit Agreement after the filing of any petition in bankruptcy, or the commencement of any insolvency, reorganization or like proceeding, relating to the Borrower, whether or not a claim for post-filing or post-petition interest is allowed in such proceeding) to the Administrative Agent or any Lender (or, in the case of any Lender Swap Agreement of the Borrower, any Affiliate of any Lender), whether direct or indirect, absolute or contingent, due or to become due, or now existing or hereafter incurred, which may arise under, out of, or in connection with, the Credit Agreement, this Agreement, the other Loan Documents, any Letter of Credit, any Lender Swap Agreement of the Borrower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the Borrower pursuant to the terms of any of the foregoing agreements).</w:t>
      </w:r>
    </w:p>
    <w:p>
      <w:pPr>
        <w:spacing w:after="0" w:line="120"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CCCL Obligations</w:t>
      </w:r>
      <w:r>
        <w:rPr>
          <w:rFonts w:ascii="Arial" w:cs="Arial" w:eastAsia="Arial" w:hAnsi="Arial"/>
          <w:sz w:val="16"/>
          <w:szCs w:val="16"/>
          <w:color w:val="auto"/>
        </w:rPr>
        <w:t>”: the collective reference to the unpaid principal of and interest on the Loans made to CCCL and its reimbursement obligations under Section 2.03(c) of the Credit Agreement and all other obligations and liabilities of CCCL (including, without limitation, interest accruing at the then applicable rate provided in the Credit Agreement after the maturity of the Loans made to it and its reimbursement obligations under Section 2.03(c) of the Credit Agreement and interest accruing at the then applicable rate provided in the Credit Agreement after the filing of any petition in bankruptcy, or the commencement of any insolvency, reorganization or like proceeding, relating to CCCL, whether or not a claim for post-filing or post-petition interest is allowed in such proceeding) to the Administrative Agent or any Lender (or, in the case of any Lender Swap Agreement of CCCL, any Affiliate of any Lender), whether direct or indirect, absolute or contingent, due or to become due, or now existing or hereafter incurred, which may arise under, out of, or in connection with, the Credit Agreement, this Agreement, the other Loan Documents, any Letter of Credit, any Lender Swap Agreement of CCCL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CCCL pursuant to the terms of any of the foregoing agreements).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Co-Borrowers’ Obligations</w:t>
      </w:r>
      <w:r>
        <w:rPr>
          <w:rFonts w:ascii="Arial" w:cs="Arial" w:eastAsia="Arial" w:hAnsi="Arial"/>
          <w:sz w:val="18"/>
          <w:szCs w:val="18"/>
          <w:color w:val="auto"/>
        </w:rPr>
        <w:t>”: the collective reference to the Borrower Obligations and the CCCL Obligations.</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Obligations</w:t>
      </w:r>
      <w:r>
        <w:rPr>
          <w:rFonts w:ascii="Arial" w:cs="Arial" w:eastAsia="Arial" w:hAnsi="Arial"/>
          <w:sz w:val="18"/>
          <w:szCs w:val="18"/>
          <w:color w:val="auto"/>
        </w:rPr>
        <w:t>”: with respect to any Guarantor, all obligations and liabilities of such Guarantor which may arise under or in connection with this Agreement (including, without limitation, Section 2) or any other Loan Document to which such Guarantor is a party, in each case whether on account of guarantee obligations, reimbursement obligations, fees, indemnities, costs, expenses or otherwise (including, without limitation, all fees and disbursements of counsel to the Administrative Agent or to the Lenders that are required to be paid by such Guarantor pursuant to the terms of this Agreement or any other Loan Document).</w:t>
      </w:r>
    </w:p>
    <w:p>
      <w:pPr>
        <w:spacing w:after="0" w:line="143" w:lineRule="exact"/>
        <w:rPr>
          <w:sz w:val="20"/>
          <w:szCs w:val="20"/>
          <w:color w:val="auto"/>
        </w:rPr>
      </w:pPr>
    </w:p>
    <w:p>
      <w:pPr>
        <w:ind w:right="44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Guarantors</w:t>
      </w:r>
      <w:r>
        <w:rPr>
          <w:rFonts w:ascii="Arial" w:cs="Arial" w:eastAsia="Arial" w:hAnsi="Arial"/>
          <w:sz w:val="15"/>
          <w:szCs w:val="15"/>
          <w:color w:val="auto"/>
        </w:rPr>
        <w:t>”: the collective reference to (i) the Borrower, in its capacity as guarantor of the CCCL Obligations, (ii) CCCL, in its capacity as guarantor of the Borrower Obligations and (iii) each of the other signatories hereto and the other entities that may become a party hereto as provided herein.</w:t>
      </w:r>
    </w:p>
    <w:p>
      <w:pPr>
        <w:spacing w:after="0" w:line="62" w:lineRule="exact"/>
        <w:rPr>
          <w:sz w:val="20"/>
          <w:szCs w:val="20"/>
          <w:color w:val="auto"/>
        </w:rPr>
      </w:pPr>
    </w:p>
    <w:p>
      <w:pPr>
        <w:ind w:right="2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Swap Agreements</w:t>
      </w:r>
      <w:r>
        <w:rPr>
          <w:rFonts w:ascii="Arial" w:cs="Arial" w:eastAsia="Arial" w:hAnsi="Arial"/>
          <w:sz w:val="16"/>
          <w:szCs w:val="16"/>
          <w:color w:val="auto"/>
        </w:rPr>
        <w:t>”: all Swap Agreements in respect of interest rates, currency exchange rates or commodity prices entered into by a Co-Borrower with any Person that is a Lender or an affiliate of a Lender at the time such Person enters into any such Swap Agreement.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32" w:name="page133"/>
    <w:bookmarkEnd w:id="132"/>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Obligations</w:t>
      </w:r>
      <w:r>
        <w:rPr>
          <w:rFonts w:ascii="Arial" w:cs="Arial" w:eastAsia="Arial" w:hAnsi="Arial"/>
          <w:sz w:val="18"/>
          <w:szCs w:val="18"/>
          <w:color w:val="auto"/>
        </w:rPr>
        <w:t>”: (i) in the case of the Borrower, the Borrower Obligations, (ii) in the case of CCCL, the CCCL Obligations and (iii) in the case of each Guarantor, its Guarantor Obligations.</w:t>
      </w:r>
    </w:p>
    <w:p>
      <w:pPr>
        <w:spacing w:after="0" w:line="132"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spacing w:after="0" w:line="107" w:lineRule="exact"/>
        <w:rPr>
          <w:sz w:val="20"/>
          <w:szCs w:val="20"/>
          <w:color w:val="auto"/>
        </w:rPr>
      </w:pPr>
    </w:p>
    <w:p>
      <w:pPr>
        <w:jc w:val="both"/>
        <w:ind w:right="560" w:firstLine="913"/>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meanings given to terms defined herein shall be equally applicable to both the singular and plural forms of such terms.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2. GUARANTEE</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2.1 Guarantee. (a) Each of the Guarantors other than the Borrower hereby, jointly and severally, unconditionally and irrevocably, guarantees to the Administrative Agent, for the ratable benefit of the Lenders and their respective successors, indorsees, transferees and assigns, the prompt and complete payment and performance by the Borrower when due (whether at the stated maturity, by acceleration or otherwise) of the Borrower Obligations.</w:t>
      </w:r>
    </w:p>
    <w:p>
      <w:pPr>
        <w:spacing w:after="0" w:line="107" w:lineRule="exact"/>
        <w:rPr>
          <w:sz w:val="20"/>
          <w:szCs w:val="20"/>
          <w:color w:val="auto"/>
        </w:rPr>
      </w:pPr>
    </w:p>
    <w:p>
      <w:pPr>
        <w:ind w:right="60" w:firstLine="464"/>
        <w:spacing w:after="0" w:line="306" w:lineRule="auto"/>
        <w:tabs>
          <w:tab w:leader="none" w:pos="7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Each of the Guarantors other than CCCL hereby, jointly and severally, unconditionally and irrevocably, guarantees to the Administrative Agent, for the ratable benefit of the Lenders and their respective successors, indorsees, transferees and assigns, the prompt and complete payment and performance by CCCL when due (whether at the stated maturity, by acceleration or otherwise) of the CCCL Obligations.</w:t>
      </w:r>
    </w:p>
    <w:p>
      <w:pPr>
        <w:spacing w:after="0" w:line="106" w:lineRule="exact"/>
        <w:rPr>
          <w:rFonts w:ascii="Arial" w:cs="Arial" w:eastAsia="Arial" w:hAnsi="Arial"/>
          <w:sz w:val="16"/>
          <w:szCs w:val="16"/>
          <w:color w:val="auto"/>
        </w:rPr>
      </w:pPr>
    </w:p>
    <w:p>
      <w:pPr>
        <w:ind w:right="80" w:firstLine="464"/>
        <w:spacing w:after="0" w:line="306" w:lineRule="auto"/>
        <w:tabs>
          <w:tab w:leader="none" w:pos="6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Anything herein or in any other Loan Document to the contrary notwithstanding, the maximum liability of each Guarantor hereunder and under the other Loan Documents in its capacity as Guarantor shall in no event exceed the amount which can be guaranteed by such Guarantor under applicable federal and state laws relating to the insolvency of debtors (after giving effect to the right of contribution established in Section 2.2).</w:t>
      </w:r>
    </w:p>
    <w:p>
      <w:pPr>
        <w:spacing w:after="0" w:line="106" w:lineRule="exact"/>
        <w:rPr>
          <w:rFonts w:ascii="Arial" w:cs="Arial" w:eastAsia="Arial" w:hAnsi="Arial"/>
          <w:sz w:val="16"/>
          <w:szCs w:val="16"/>
          <w:color w:val="auto"/>
        </w:rPr>
      </w:pPr>
    </w:p>
    <w:p>
      <w:pPr>
        <w:jc w:val="both"/>
        <w:ind w:right="80" w:firstLine="464"/>
        <w:spacing w:after="0" w:line="332" w:lineRule="auto"/>
        <w:tabs>
          <w:tab w:leader="none" w:pos="7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Each Guarantor agrees that the Co-Borrowers’ Obligations may at any time and from time to time exceed the amount of the liability of such Guarantor hereunder without impairing the guarantee contained in this Section 2 or affecting the rights and remedies of the Administrative Agent or any Lender hereunder.</w:t>
      </w:r>
    </w:p>
    <w:p>
      <w:pPr>
        <w:spacing w:after="0" w:line="85" w:lineRule="exact"/>
        <w:rPr>
          <w:rFonts w:ascii="Arial" w:cs="Arial" w:eastAsia="Arial" w:hAnsi="Arial"/>
          <w:sz w:val="16"/>
          <w:szCs w:val="16"/>
          <w:color w:val="auto"/>
        </w:rPr>
      </w:pPr>
    </w:p>
    <w:p>
      <w:pPr>
        <w:ind w:right="60" w:firstLine="464"/>
        <w:spacing w:after="0" w:line="256"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guarantee contained in this Section 2 shall remain in full force and effect until all the Co-Borrowers’ Obligations and the obligations of each Guarantor under the guarantee contained in this Section 2 shall have been satisfied by payment in full, no Letter of Credit shall be outstanding and the Revolving Commitments shall be terminated, notwithstanding that from time to time during the term of the Credit Agreement a Co-Borrower may be free from such Co-Borrowers’ Obligations.</w:t>
      </w:r>
    </w:p>
    <w:p>
      <w:pPr>
        <w:spacing w:after="0" w:line="143" w:lineRule="exact"/>
        <w:rPr>
          <w:rFonts w:ascii="Arial" w:cs="Arial" w:eastAsia="Arial" w:hAnsi="Arial"/>
          <w:sz w:val="18"/>
          <w:szCs w:val="18"/>
          <w:color w:val="auto"/>
        </w:rPr>
      </w:pPr>
    </w:p>
    <w:p>
      <w:pPr>
        <w:jc w:val="both"/>
        <w:ind w:right="320" w:firstLine="464"/>
        <w:spacing w:after="0" w:line="370" w:lineRule="auto"/>
        <w:tabs>
          <w:tab w:leader="none" w:pos="676" w:val="left"/>
        </w:tabs>
        <w:numPr>
          <w:ilvl w:val="0"/>
          <w:numId w:val="116"/>
        </w:numPr>
        <w:rPr>
          <w:rFonts w:ascii="Arial" w:cs="Arial" w:eastAsia="Arial" w:hAnsi="Arial"/>
          <w:sz w:val="15"/>
          <w:szCs w:val="15"/>
          <w:color w:val="auto"/>
        </w:rPr>
      </w:pPr>
      <w:r>
        <w:rPr>
          <w:rFonts w:ascii="Arial" w:cs="Arial" w:eastAsia="Arial" w:hAnsi="Arial"/>
          <w:sz w:val="15"/>
          <w:szCs w:val="15"/>
          <w:color w:val="auto"/>
        </w:rPr>
        <w:t>No payment made by a Co-Borrower, any of the Guarantors, any other guarantor or any other Person or received or collected by the Administrative Agent or any Lender from a Co-Borrower, any of the Guarantors, any other guarantor or any other Person by virtue of any action or proceeding or any set-off</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33" w:name="page134"/>
    <w:bookmarkEnd w:id="133"/>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appropriation or application at any time or from time to time in reduction of or in payment of the Co-Borrowers’ Obligations shall be deemed to modify, reduce, release or otherwise affect the liability of any Guarantor hereunder which shall, notwithstanding any such payment (other than any payment made by such Guarantor in respect of the Co-Borrowers’ Obligations or any payment received or collected from such Guarantor in respect of the Co-Borrowers’ Obligations), remain liable for the Co-Borrowers’ Obligations up to the maximum liability of such Guarantor hereunder until the Co-Borrowers’ Obligations are paid in full, no Letter of Credit shall be outstanding and the Revolving Commitments are terminated.</w:t>
      </w:r>
    </w:p>
    <w:p>
      <w:pPr>
        <w:spacing w:after="0" w:line="116"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Right of Contribution</w:t>
      </w:r>
      <w:r>
        <w:rPr>
          <w:rFonts w:ascii="Arial" w:cs="Arial" w:eastAsia="Arial" w:hAnsi="Arial"/>
          <w:sz w:val="16"/>
          <w:szCs w:val="16"/>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For purposes of this Section 2.2, “proportionate share” means, as to any Guarantor a fraction the numerator of which shall be the net worth of such Guarantor and the denominator of which shall be the aggregate net worth of all Guarantors. Each Guarantor’s right of contribution shall be subject to the terms and conditions of Section 2.3. The provisions of this Section 2.2 shall in no respect limit the obligations and liabilities of any Guarantor to the Administrative Agent and the Lenders, and each Guarantor shall remain liable to the Administrative Agent and the Lenders for the full amount guaranteed by such Guarantor hereunder.</w:t>
      </w:r>
    </w:p>
    <w:p>
      <w:pPr>
        <w:spacing w:after="0" w:line="118"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No Subrogation</w:t>
      </w:r>
      <w:r>
        <w:rPr>
          <w:rFonts w:ascii="Arial" w:cs="Arial" w:eastAsia="Arial" w:hAnsi="Arial"/>
          <w:sz w:val="16"/>
          <w:szCs w:val="16"/>
          <w:color w:val="auto"/>
        </w:rPr>
        <w:t>. Notwithstanding any payment made by any Guarantor hereunder or any set-off or application of funds of any Guarantor by the Administrative Agent or any Lender, no Guarantor shall be entitled to be subrogated to any of the rights of the Administrative Agent or any Lender against a Co-Borrower or any other Guarantor or any collateral security or guarantee or right of offset held by the Administrative Agent or any Lender for the payment of the Co-Borrowers’ Obligations, nor shall any Guarantor seek or be entitled to seek any contribution or reimbursement from a Co-Borrower or any other Guarantor in respect of payments made by such Guarantor hereunder, until all amounts owing to the Administrative Agent and the Lenders by the Co-Borrowers on account of the Co-Borrowers’ Obligations are paid in full, no Letter of Credit shall be outstanding and the Revolving Commitments are terminated. If any amount shall be paid to any Guarantor on account of such subrogation rights at any time when all of the Co-Borrowers’ Obligations shall not have been paid in full, such amount shall be held by such Guarantor in trust for the Administrative Agent and the Lenders,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Co-Borrowers’ Obligations, whether matured or unmatured, in such order as the Administrative Agent may determine.</w:t>
      </w:r>
    </w:p>
    <w:p>
      <w:pPr>
        <w:spacing w:after="0" w:line="12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Amendments, etc. with respect to the Co-Borrowers’ Obligations</w:t>
      </w:r>
      <w:r>
        <w:rPr>
          <w:rFonts w:ascii="Arial" w:cs="Arial" w:eastAsia="Arial" w:hAnsi="Arial"/>
          <w:sz w:val="16"/>
          <w:szCs w:val="16"/>
          <w:color w:val="auto"/>
        </w:rPr>
        <w:t>. Each Guarantor shall remain obligated hereunder notwithstanding that, without any reservation of rights against any Guarantor and without notice to or further assent by any Guarantor, any demand for payment of any of the Co-Borrowers’ Obligations made by the Administrative Agent or any Lender may be rescinded by the Administrative Agent or such Lender and any of the Co-Borrowers’ Obligations continued, and the Co-Borrowers’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Co-Borrowers’ Obligations may be sold, exchanged, waived, surrendered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34" w:name="page135"/>
    <w:bookmarkEnd w:id="13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released. Neither the Administrative Agent nor any Lender shall have any obligation to protect, secure, perfect or insure any Lien at any time held by it as security for the Co-Borrowers’ Obligations or for the guarantee contained in this Section 2 or any property subject thereto.</w:t>
      </w:r>
    </w:p>
    <w:p>
      <w:pPr>
        <w:spacing w:after="0" w:line="132"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 Each Guarantor waives any and all notice of the creation, renewal, extension or accrual of any of the Co-Borrowers’ Obligations and notice of or proof of reliance by the Administrative Agent or any Lender upon the guarantee contained in this Section 2 or acceptance of the guarantee contained in this Section 2; the Co-Borrowers’ Obligations, and any of them, shall conclusively be deemed to have been created, contracted or incurred, or renewed, extended, amended or waived, in reliance upon the guarantee contained in this Section 2; and all dealings between the Co-Borrowers and any of the Guarantors, on the one hand, and the Administrative Agent and the Lenders, on the other hand, likewise shall be conclusively presumed to have been had or consummated in reliance upon the guarantee contained in this Section 2. Each Guarantor waives diligence, presentment, protest, demand for payment and notice of default or nonpayment to or upon the Co-Borrowers or any of the Guarantors with respect to the Co-Borrowers’ Obligations. Each Guarantor understands and agrees that the guarantee contained in this Section 2 shall be construed as a continuing, absolute and unconditional guarantee of payment without regard to (a) the validity or enforceability of the Credit Agreement or any other Loan Document, any of the Co-Borrowers’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a Co-Borrower or any other Person against the Administrative Agent or any Lender, or (c) any other circumstance whatsoever (with or without notice to or knowledge of a Co-Borrower or such Guarantor) which constitutes, or might be construed to constitute, an equitable or legal discharge of a Co-Borrower for such Co-Borrower’s Obligations, or of such Guarantor under the guarantee contained in this Section 2, in bankruptcy or in any other instance. When making any demand hereunder or otherwise pursuing its rights and remedies hereunder against any Guarantor, the Administrative Agent or any Lender may, but shall be under no obligation to, make a similar demand on or otherwise pursue such rights and remedies as it may have against a Co-Borrower, any other Guarantor or any other Person or against any collateral security or guarantee for the Co-Borrowers’ Obligations or any right of offset with respect thereto, and any failure by the Administrative Agent or any Lender to make any such demand, to pursue such other rights or remedies or to collect any payments from a Co-Borrower, any other Guarantor or any other Person or to realize upon any such collateral security or guarantee or to exercise any such right of offset, or any release of a Co-Borrower,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spacing w:after="0" w:line="126"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Reinstatement</w:t>
      </w:r>
      <w:r>
        <w:rPr>
          <w:rFonts w:ascii="Arial" w:cs="Arial" w:eastAsia="Arial" w:hAnsi="Arial"/>
          <w:sz w:val="18"/>
          <w:szCs w:val="18"/>
          <w:color w:val="auto"/>
        </w:rPr>
        <w:t>. The guarantee contained in this Section 2 shall continue to be effective, or be reinstated, as the case may be, if at any time payment, or any part thereof, of any of the Co-Borrowers’ Obligations is rescinded or must otherwise be restored or returned by the Administrative Agent or any Lender upon the insolvency, bankruptcy, dissolution, liquidation or reorganization of a Co-Borrower or any Guarantor, or upon or as a result of the appointment of a receiver, intervenor or conservator of, or trustee or similar officer for, a Co-Borrower or any Guarantor or any substantial part of its property, or otherwise, all as though such payments had not been made.</w:t>
      </w:r>
    </w:p>
    <w:p>
      <w:pPr>
        <w:spacing w:after="0" w:line="143"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Payments</w:t>
      </w:r>
      <w:r>
        <w:rPr>
          <w:rFonts w:ascii="Arial" w:cs="Arial" w:eastAsia="Arial" w:hAnsi="Arial"/>
          <w:sz w:val="18"/>
          <w:szCs w:val="18"/>
          <w:color w:val="auto"/>
        </w:rPr>
        <w:t>. Each Guarantor hereby guarantees that payments hereunder will be paid to the Administrative Agent without set-off or counterclaim in Dollars (or, in the case of any Letter of Credit denominated in an Alternative Currency, the applicable Alternative Currency) at the Administrative Agent’s Office.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35" w:name="page136"/>
    <w:bookmarkEnd w:id="13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 MISCELLANEOUS</w:t>
      </w:r>
    </w:p>
    <w:p>
      <w:pPr>
        <w:spacing w:after="0" w:line="171"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None of the terms or provisions of this Agreement may be waived, amended, supplemented or otherwise modified except in accordance with Section 10.01 of the Credit Agreement.</w:t>
      </w:r>
    </w:p>
    <w:p>
      <w:pPr>
        <w:spacing w:after="0" w:line="132" w:lineRule="exact"/>
        <w:rPr>
          <w:sz w:val="20"/>
          <w:szCs w:val="20"/>
          <w:color w:val="auto"/>
        </w:rPr>
      </w:pPr>
    </w:p>
    <w:p>
      <w:pPr>
        <w:jc w:val="both"/>
        <w:ind w:right="320" w:firstLine="913"/>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Administrative Agent or any Guarantor hereunder shall be effected in the manner provided for in Section 10.02 of the Credit Agreement; provided that any such notice, request or demand to or upon any Guarantor shall be addressed to such Guarantor at its notice address set forth on Schedule 1.</w:t>
      </w:r>
    </w:p>
    <w:p>
      <w:pPr>
        <w:spacing w:after="0" w:line="140"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 Waiver by Course of Conduct; Cumulative Remedies</w:t>
      </w:r>
      <w:r>
        <w:rPr>
          <w:rFonts w:ascii="Arial" w:cs="Arial" w:eastAsia="Arial" w:hAnsi="Arial"/>
          <w:sz w:val="16"/>
          <w:szCs w:val="16"/>
          <w:color w:val="auto"/>
        </w:rPr>
        <w:t>. Neither the Administrative Agent nor any Lender shall by any act (except by a written instrument pursuant to Section 3.1), delay, indulgence, omission or otherwise be deemed to have waived any right or remedy hereunder or to have acquiesced in any Default or Event of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other rights or remedies provided by law.</w:t>
      </w:r>
    </w:p>
    <w:p>
      <w:pPr>
        <w:spacing w:after="0" w:line="11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Enforcement Expenses; Indemnification</w:t>
      </w:r>
      <w:r>
        <w:rPr>
          <w:rFonts w:ascii="Arial" w:cs="Arial" w:eastAsia="Arial" w:hAnsi="Arial"/>
          <w:sz w:val="16"/>
          <w:szCs w:val="16"/>
          <w:color w:val="auto"/>
        </w:rPr>
        <w:t>. (a) Each Guarantor agrees to pay or reimburse each Lender and the Administrative Agent for all its costs and expenses incurred in collecting against such Guarantor under the guarantee contained in Section 2 or otherwise enforcing or preserving any rights under this Agreement and the other Loan Documents to which such Guarantor is a party, including, without limitation, the fees and disbursements of counsel (including the allocated fees and expenses of in-house counsel) to each Lender and of counsel to the Administrative Agent.</w:t>
      </w:r>
    </w:p>
    <w:p>
      <w:pPr>
        <w:spacing w:after="0" w:line="113" w:lineRule="exact"/>
        <w:rPr>
          <w:sz w:val="20"/>
          <w:szCs w:val="20"/>
          <w:color w:val="auto"/>
        </w:rPr>
      </w:pPr>
    </w:p>
    <w:p>
      <w:pPr>
        <w:ind w:firstLine="464"/>
        <w:spacing w:after="0" w:line="335" w:lineRule="auto"/>
        <w:tabs>
          <w:tab w:leader="none" w:pos="705" w:val="left"/>
        </w:tabs>
        <w:numPr>
          <w:ilvl w:val="0"/>
          <w:numId w:val="117"/>
        </w:numPr>
        <w:rPr>
          <w:rFonts w:ascii="Arial" w:cs="Arial" w:eastAsia="Arial" w:hAnsi="Arial"/>
          <w:sz w:val="15"/>
          <w:szCs w:val="15"/>
          <w:color w:val="auto"/>
        </w:rPr>
      </w:pPr>
      <w:r>
        <w:rPr>
          <w:rFonts w:ascii="Arial" w:cs="Arial" w:eastAsia="Arial" w:hAnsi="Arial"/>
          <w:sz w:val="15"/>
          <w:szCs w:val="15"/>
          <w:color w:val="auto"/>
        </w:rPr>
        <w:t>Each Guarantor agrees to pay, and to save the Administrative Agent and the Lenders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Section 10.03 of the Credit Agreement.</w:t>
      </w:r>
    </w:p>
    <w:p>
      <w:pPr>
        <w:spacing w:after="0" w:line="88" w:lineRule="exact"/>
        <w:rPr>
          <w:rFonts w:ascii="Arial" w:cs="Arial" w:eastAsia="Arial" w:hAnsi="Arial"/>
          <w:sz w:val="15"/>
          <w:szCs w:val="15"/>
          <w:color w:val="auto"/>
        </w:rPr>
      </w:pPr>
    </w:p>
    <w:p>
      <w:pPr>
        <w:ind w:right="100" w:firstLine="464"/>
        <w:spacing w:after="0" w:line="268"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agreements in this Section 3.4 shall survive repayment of the Obligations and all other amounts payable under the Credit Agreement and the other Loan Documents.</w:t>
      </w:r>
    </w:p>
    <w:p>
      <w:pPr>
        <w:spacing w:after="0" w:line="132"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successors and assigns of each Guarantor and shall inure to the benefit of the Administrative Agent and the Lenders and their successors and assigns; provided that no Guarantor may assign, transfer or delegate any of its rights or obligations under this Agreement (except pursuant to a merger, consolidation or similar transaction permitted by the Credit Agreement) without the prior written consent of the Administrative Agent.</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Set-Off</w:t>
      </w:r>
      <w:r>
        <w:rPr>
          <w:rFonts w:ascii="Arial" w:cs="Arial" w:eastAsia="Arial" w:hAnsi="Arial"/>
          <w:sz w:val="18"/>
          <w:szCs w:val="18"/>
          <w:color w:val="auto"/>
        </w:rPr>
        <w:t>. Each Guarantor hereby irrevocably authorizes the Administrative Agent and each Lender at any time and from time to time while an Event of Default shall have occurred and be continuing, without notice to such Guarantor or any other Guarantor, any such notice being expressly waived by each Guarantor, to set-off and appropriate and apply any and all deposits (general or special,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36" w:name="page137"/>
    <w:bookmarkEnd w:id="136"/>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or demand, provisional or final), in any currency, and any other credits, indebtedness or claims, in any currency, in each case whether direct or indirect, absolute or contingent, matured or unmatured, at any time held or owing by the Administrative Agent or such Lender to or for the credit or the account of such Guarantor, or any part thereof in such amounts as the Administrative Agent or such Lender may elect, against and on account of the obligations and liabilities of such Guarantor to the Administrative Agent or such Lender hereunder and claims of every nature and description of the Administrative Agent or such Lender against such Guarantor, in any currency, whether arising hereunder, under the Credit Agreement, any other Loan Document or otherwise, as the Administrative Agent or such Lender may elect, whether or not the Administrative Agent or any Lender has made any demand for payment and although such obligations, liabilities and claims may be contingent or unmatured. The Administrative Agent and each Lender shall notify such Guarantor promptly of any such set-off and the application made by the Administrative Agent or such Lender of the proceeds thereof, provided that the failure to give such notice shall not affect the validity of such set-off and application. The rights of the Administrative Agent and each Lender under this Section 3.6 are in addition to other rights and remedies (including, without limitation, other rights of set-off) which the Administrative Agent or such Lender may have.</w:t>
      </w:r>
    </w:p>
    <w:p>
      <w:pPr>
        <w:spacing w:after="0" w:line="123" w:lineRule="exact"/>
        <w:rPr>
          <w:sz w:val="20"/>
          <w:szCs w:val="20"/>
          <w:color w:val="auto"/>
        </w:rPr>
      </w:pPr>
    </w:p>
    <w:p>
      <w:pPr>
        <w:ind w:right="680" w:firstLine="913"/>
        <w:spacing w:after="0" w:line="33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one or more of the parties to this Agreement on any number of separate counterparts (including by telecopy), and all of said counterparts taken together shall be deemed to constitute one and the same instrument.</w:t>
      </w:r>
    </w:p>
    <w:p>
      <w:pPr>
        <w:spacing w:after="0" w:line="8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0"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132"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agreement of the Guarantors, the Administrative Agent and the Lenders with respect to the subject matter hereof and thereof, and there are no promises, undertakings, representations or warranties by the Administrative Agent or any Lender relative to subject matter hereof and thereof not expressly set forth or referred to herein or in the other Loan Documents.</w:t>
      </w:r>
    </w:p>
    <w:p>
      <w:pPr>
        <w:spacing w:after="0" w:line="101" w:lineRule="exact"/>
        <w:rPr>
          <w:sz w:val="20"/>
          <w:szCs w:val="20"/>
          <w:color w:val="auto"/>
        </w:rPr>
      </w:pPr>
    </w:p>
    <w:p>
      <w:pPr>
        <w:ind w:right="1040" w:firstLine="913"/>
        <w:spacing w:after="0" w:line="275"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SHALL BE GOVERNED BY, AND CONSTRUED AND INTERPRETED IN</w:t>
      </w:r>
      <w:r>
        <w:rPr>
          <w:rFonts w:ascii="Arial" w:cs="Arial" w:eastAsia="Arial" w:hAnsi="Arial"/>
          <w:sz w:val="18"/>
          <w:szCs w:val="18"/>
          <w:color w:val="auto"/>
        </w:rPr>
        <w:t xml:space="preserve"> </w:t>
      </w:r>
      <w:r>
        <w:rPr>
          <w:rFonts w:ascii="Arial" w:cs="Arial" w:eastAsia="Arial" w:hAnsi="Arial"/>
          <w:sz w:val="18"/>
          <w:szCs w:val="18"/>
          <w:b w:val="1"/>
          <w:bCs w:val="1"/>
          <w:color w:val="auto"/>
        </w:rPr>
        <w:t>ACCORDANCE WITH, THE LAW OF THE STATE OF NEW YORK.</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Guarantor hereby irrevocably and unconditionally:</w:t>
      </w:r>
    </w:p>
    <w:p>
      <w:pPr>
        <w:spacing w:after="0" w:line="171" w:lineRule="exact"/>
        <w:rPr>
          <w:sz w:val="20"/>
          <w:szCs w:val="20"/>
          <w:color w:val="auto"/>
        </w:rPr>
      </w:pPr>
    </w:p>
    <w:p>
      <w:pPr>
        <w:ind w:firstLine="464"/>
        <w:spacing w:after="0" w:line="259"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to the exclusive general jurisdiction of the courts of the State of New York sitting in the Borough of Manhattan in the City of New York, the courts of the United States for the Southern District of New York, and appellate courts from any thereof;</w:t>
      </w:r>
    </w:p>
    <w:p>
      <w:pPr>
        <w:spacing w:after="0" w:line="140"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agrees that a final judgment in any such suit, action or proceeding brought in any such court may be enforced in any other court to whose jurisdiction the applicable party is or may be subject, by suit upon judgment;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37" w:name="page138"/>
    <w:bookmarkEnd w:id="137"/>
    <w:p>
      <w:pPr>
        <w:ind w:firstLine="464"/>
        <w:spacing w:after="0" w:line="259"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40" w:lineRule="exact"/>
        <w:rPr>
          <w:rFonts w:ascii="Arial" w:cs="Arial" w:eastAsia="Arial" w:hAnsi="Arial"/>
          <w:sz w:val="18"/>
          <w:szCs w:val="18"/>
          <w:color w:val="auto"/>
        </w:rPr>
      </w:pPr>
    </w:p>
    <w:p>
      <w:pPr>
        <w:jc w:val="both"/>
        <w:ind w:right="580" w:firstLine="464"/>
        <w:spacing w:after="0" w:line="259"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Guarantor at its address referred to in Section 3.2 hereto or at such other address of which the Administrative Agent shall have been notified pursuant thereto;</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171" w:lineRule="exact"/>
        <w:rPr>
          <w:rFonts w:ascii="Arial" w:cs="Arial" w:eastAsia="Arial" w:hAnsi="Arial"/>
          <w:sz w:val="18"/>
          <w:szCs w:val="18"/>
          <w:color w:val="auto"/>
        </w:rPr>
      </w:pPr>
    </w:p>
    <w:p>
      <w:pPr>
        <w:ind w:right="180" w:firstLine="464"/>
        <w:spacing w:after="0" w:line="259" w:lineRule="auto"/>
        <w:tabs>
          <w:tab w:leader="none" w:pos="67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 provided that the waiver set forth in this clause (f) shall not affect any obligation of the Co-Borrowers or any Guarantor under Section 3.4 of this Agreement.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Acknowledgements</w:t>
      </w:r>
      <w:r>
        <w:rPr>
          <w:rFonts w:ascii="Arial" w:cs="Arial" w:eastAsia="Arial" w:hAnsi="Arial"/>
          <w:sz w:val="18"/>
          <w:szCs w:val="18"/>
          <w:color w:val="auto"/>
        </w:rPr>
        <w:t>. Each Guarantor hereby acknowledges that:</w:t>
      </w:r>
    </w:p>
    <w:p>
      <w:pPr>
        <w:spacing w:after="0" w:line="171" w:lineRule="exact"/>
        <w:rPr>
          <w:sz w:val="20"/>
          <w:szCs w:val="20"/>
          <w:color w:val="auto"/>
        </w:rPr>
      </w:pPr>
    </w:p>
    <w:p>
      <w:pPr>
        <w:ind w:left="700" w:hanging="236"/>
        <w:spacing w:after="0"/>
        <w:tabs>
          <w:tab w:leader="none" w:pos="7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it has been advised by counsel in the negotiation, execution and delivery of this Agreement and the other Loan Documents to which it is a party;</w:t>
      </w:r>
    </w:p>
    <w:p>
      <w:pPr>
        <w:spacing w:after="0" w:line="194" w:lineRule="exact"/>
        <w:rPr>
          <w:rFonts w:ascii="Arial" w:cs="Arial" w:eastAsia="Arial" w:hAnsi="Arial"/>
          <w:sz w:val="16"/>
          <w:szCs w:val="16"/>
          <w:color w:val="auto"/>
        </w:rPr>
      </w:pPr>
    </w:p>
    <w:p>
      <w:pPr>
        <w:ind w:right="140" w:firstLine="464"/>
        <w:spacing w:after="0" w:line="298" w:lineRule="auto"/>
        <w:tabs>
          <w:tab w:leader="none" w:pos="70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neither the Administrative Agent nor any Lender shall be deemed to be in an advisory, fiduciary or agency relationship with any Guarantor or any of their Affiliates or have a fiduciary or other implied duty to any Guarantor or any of their Affiliates arising out of or in connection with this Agreement or any of the other Loan Documents and the transactions contemplated hereby and thereby, and the relationship between the Guarantors, on the one hand, and the Administrative Agent and Lenders, on the other hand, in connection herewith or therewith is solely that of debtor and creditor; and</w:t>
      </w:r>
    </w:p>
    <w:p>
      <w:pPr>
        <w:spacing w:after="0" w:line="112" w:lineRule="exact"/>
        <w:rPr>
          <w:rFonts w:ascii="Arial" w:cs="Arial" w:eastAsia="Arial" w:hAnsi="Arial"/>
          <w:sz w:val="16"/>
          <w:szCs w:val="16"/>
          <w:color w:val="auto"/>
        </w:rPr>
      </w:pPr>
    </w:p>
    <w:p>
      <w:pPr>
        <w:ind w:right="360" w:firstLine="464"/>
        <w:spacing w:after="0" w:line="268"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Guarantors and the Lenders.</w:t>
      </w:r>
    </w:p>
    <w:p>
      <w:pPr>
        <w:spacing w:after="0" w:line="132"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 Each Subsidiary of the Borrower that is required to become a party to this Agreement pursuant to Section 7.02(c) of the Credit Agreement shall become a Guarantor for all purposes of this Agreement upon execution and delivery by such Subsidiary of an Assumption Agreement in the form of Annex 1 hereto.</w:t>
      </w:r>
    </w:p>
    <w:p>
      <w:pPr>
        <w:spacing w:after="0" w:line="134" w:lineRule="exact"/>
        <w:rPr>
          <w:sz w:val="20"/>
          <w:szCs w:val="20"/>
          <w:color w:val="auto"/>
        </w:rPr>
      </w:pPr>
    </w:p>
    <w:p>
      <w:pPr>
        <w:ind w:right="60" w:firstLine="913"/>
        <w:spacing w:after="0" w:line="262"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GUARANTOR HEREBY IRREVOCABLY AND UNCONDITIONALLY WAIVES TRIAL BY</w:t>
      </w:r>
      <w:r>
        <w:rPr>
          <w:rFonts w:ascii="Arial" w:cs="Arial" w:eastAsia="Arial" w:hAnsi="Arial"/>
          <w:sz w:val="18"/>
          <w:szCs w:val="18"/>
          <w:color w:val="auto"/>
        </w:rPr>
        <w:t xml:space="preserve"> </w:t>
      </w:r>
      <w:r>
        <w:rPr>
          <w:rFonts w:ascii="Arial" w:cs="Arial" w:eastAsia="Arial" w:hAnsi="Arial"/>
          <w:sz w:val="18"/>
          <w:szCs w:val="18"/>
          <w:b w:val="1"/>
          <w:bCs w:val="1"/>
          <w:color w:val="auto"/>
        </w:rPr>
        <w:t>JURY IN ANY LEGAL ACTION OR PROCEEDING RELATING TO THIS AGREEMENT OR ANY OTHER LOAN DOCUMENT AND FOR ANY COUNTERCLAIM THEREIN.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38" w:name="page139"/>
    <w:bookmarkEnd w:id="138"/>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Guarantee Agreement to be duly executed and delivered as of the date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MO OF DELAWARE,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MO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HOLDINGS,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Guarantee Agreement]</w:t>
      </w:r>
    </w:p>
    <w:p>
      <w:pPr>
        <w:sectPr>
          <w:pgSz w:w="11900" w:h="16838" w:orient="portrait"/>
          <w:cols w:equalWidth="0" w:num="1">
            <w:col w:w="11400"/>
          </w:cols>
          <w:pgMar w:left="240" w:top="280" w:right="25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ADDRESSES OF GUARANTORS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 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(215) 286-1700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 286-7794</w:t>
      </w:r>
    </w:p>
    <w:p>
      <w:pPr>
        <w:sectPr>
          <w:pgSz w:w="11900" w:h="16838" w:orient="portrait"/>
          <w:cols w:equalWidth="0" w:num="1">
            <w:col w:w="11420"/>
          </w:cols>
          <w:pgMar w:left="240" w:top="280" w:right="239" w:bottom="1440" w:gutter="0" w:footer="0" w:header="0"/>
        </w:sectPr>
      </w:pPr>
    </w:p>
    <w:bookmarkStart w:id="140" w:name="page141"/>
    <w:bookmarkEnd w:id="140"/>
    <w:tbl>
      <w:tblPr>
        <w:tblLayout w:type="fixed"/>
        <w:tblInd w:w="92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Annex 1 to</w:t>
            </w:r>
          </w:p>
        </w:tc>
      </w:tr>
      <w:tr>
        <w:trPr>
          <w:trHeight w:val="184"/>
        </w:trPr>
        <w:tc>
          <w:tcPr>
            <w:tcW w:w="33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w w:val="85"/>
              </w:rPr>
              <w:t>Guarantee Agreement</w:t>
            </w:r>
          </w:p>
        </w:tc>
      </w:tr>
      <w:tr>
        <w:trPr>
          <w:trHeight w:val="358"/>
        </w:trPr>
        <w:tc>
          <w:tcPr>
            <w:tcW w:w="3360" w:type="dxa"/>
            <w:vAlign w:val="bottom"/>
          </w:tcPr>
          <w:p>
            <w:pPr>
              <w:spacing w:after="0"/>
              <w:rPr>
                <w:sz w:val="20"/>
                <w:szCs w:val="20"/>
                <w:color w:val="auto"/>
              </w:rPr>
            </w:pPr>
            <w:r>
              <w:rPr>
                <w:rFonts w:ascii="Arial" w:cs="Arial" w:eastAsia="Arial" w:hAnsi="Arial"/>
                <w:sz w:val="18"/>
                <w:szCs w:val="18"/>
                <w:color w:val="auto"/>
                <w:w w:val="99"/>
              </w:rPr>
              <w:t>ASSUMPTION AGREEMENT, dated as of</w:t>
            </w:r>
          </w:p>
        </w:tc>
        <w:tc>
          <w:tcPr>
            <w:tcW w:w="2000" w:type="dxa"/>
            <w:vAlign w:val="bottom"/>
          </w:tcPr>
          <w:p>
            <w:pPr>
              <w:ind w:left="300"/>
              <w:spacing w:after="0"/>
              <w:rPr>
                <w:sz w:val="20"/>
                <w:szCs w:val="20"/>
                <w:color w:val="auto"/>
              </w:rPr>
            </w:pPr>
            <w:r>
              <w:rPr>
                <w:rFonts w:ascii="Arial" w:cs="Arial" w:eastAsia="Arial" w:hAnsi="Arial"/>
                <w:sz w:val="18"/>
                <w:szCs w:val="18"/>
                <w:color w:val="auto"/>
              </w:rPr>
              <w:t>, 201  , made by</w:t>
            </w:r>
          </w:p>
        </w:tc>
        <w:tc>
          <w:tcPr>
            <w:tcW w:w="5140" w:type="dxa"/>
            <w:vAlign w:val="bottom"/>
            <w:gridSpan w:val="4"/>
          </w:tcPr>
          <w:p>
            <w:pPr>
              <w:jc w:val="right"/>
              <w:ind w:right="12"/>
              <w:spacing w:after="0"/>
              <w:rPr>
                <w:sz w:val="20"/>
                <w:szCs w:val="20"/>
                <w:color w:val="auto"/>
              </w:rPr>
            </w:pPr>
            <w:r>
              <w:rPr>
                <w:rFonts w:ascii="Arial" w:cs="Arial" w:eastAsia="Arial" w:hAnsi="Arial"/>
                <w:sz w:val="18"/>
                <w:szCs w:val="18"/>
                <w:color w:val="auto"/>
                <w:w w:val="99"/>
              </w:rPr>
              <w:t>(the “Additional Guarantor”), in favor of JPMorgan Chase Bank,</w:t>
            </w:r>
          </w:p>
        </w:tc>
      </w:tr>
      <w:tr>
        <w:trPr>
          <w:trHeight w:val="20"/>
        </w:trPr>
        <w:tc>
          <w:tcPr>
            <w:tcW w:w="3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80"/>
        <w:spacing w:after="0" w:line="332" w:lineRule="auto"/>
        <w:rPr>
          <w:sz w:val="20"/>
          <w:szCs w:val="20"/>
          <w:color w:val="auto"/>
        </w:rPr>
      </w:pPr>
      <w:r>
        <w:rPr>
          <w:rFonts w:ascii="Arial" w:cs="Arial" w:eastAsia="Arial" w:hAnsi="Arial"/>
          <w:sz w:val="16"/>
          <w:szCs w:val="16"/>
          <w:color w:val="auto"/>
        </w:rPr>
        <w:t>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banks and other financial institutions or entities (the “</w:t>
      </w:r>
      <w:r>
        <w:rPr>
          <w:rFonts w:ascii="Arial" w:cs="Arial" w:eastAsia="Arial" w:hAnsi="Arial"/>
          <w:sz w:val="16"/>
          <w:szCs w:val="16"/>
          <w:u w:val="single" w:color="auto"/>
          <w:color w:val="auto"/>
        </w:rPr>
        <w:t>Lenders</w:t>
      </w:r>
      <w:r>
        <w:rPr>
          <w:rFonts w:ascii="Arial" w:cs="Arial" w:eastAsia="Arial" w:hAnsi="Arial"/>
          <w:sz w:val="16"/>
          <w:szCs w:val="16"/>
          <w:color w:val="auto"/>
        </w:rPr>
        <w:t>”) parties to the Credit Agreement referred to below. All capitalized terms not defined herein shall have the meaning ascribed to them in such Credit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WHEREAS, COMCAST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COMCAST CABLE COMMUNICATIONS, LLC, the Lenders and the Administrative Agent are parties to that certain Credit Agreement, dated as of June 6, 2012 (as amended, supplemented or otherwise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4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WHEREAS, in connection with the Credit Agreement, the Borrower and certain of its Affiliates (other than the Additional Guarantor) have entered into the Guarantee Agreement, dated as of June 6, 2012 (as amended, supplemented or otherwise modified from time to time, the “</w:t>
      </w:r>
      <w:r>
        <w:rPr>
          <w:rFonts w:ascii="Arial" w:cs="Arial" w:eastAsia="Arial" w:hAnsi="Arial"/>
          <w:sz w:val="18"/>
          <w:szCs w:val="18"/>
          <w:u w:val="single" w:color="auto"/>
          <w:color w:val="auto"/>
        </w:rPr>
        <w:t>Guarantee Agreement</w:t>
      </w:r>
      <w:r>
        <w:rPr>
          <w:rFonts w:ascii="Arial" w:cs="Arial" w:eastAsia="Arial" w:hAnsi="Arial"/>
          <w:sz w:val="18"/>
          <w:szCs w:val="18"/>
          <w:color w:val="auto"/>
        </w:rPr>
        <w:t>”) in favor of the Administrative Agent for the benefit of the Lenders;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Credit Agreement requires the Additional Guarantor to become a party to the Guarantee Agreement;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Additional Guarantor has agreed to execute and deliver this Assumption Agreement in order to become a party to the Guarantee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IT IS AGREED:</w:t>
      </w:r>
    </w:p>
    <w:p>
      <w:pPr>
        <w:spacing w:after="0" w:line="171" w:lineRule="exact"/>
        <w:rPr>
          <w:sz w:val="20"/>
          <w:szCs w:val="20"/>
          <w:color w:val="auto"/>
        </w:rPr>
      </w:pPr>
    </w:p>
    <w:p>
      <w:pPr>
        <w:ind w:firstLine="921"/>
        <w:spacing w:after="0" w:line="298" w:lineRule="auto"/>
        <w:tabs>
          <w:tab w:leader="none" w:pos="1088"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Guarantee Agreement</w:t>
      </w:r>
      <w:r>
        <w:rPr>
          <w:rFonts w:ascii="Arial" w:cs="Arial" w:eastAsia="Arial" w:hAnsi="Arial"/>
          <w:sz w:val="16"/>
          <w:szCs w:val="16"/>
          <w:color w:val="auto"/>
        </w:rPr>
        <w:t>. By executing and delivering this Assumption Agreement, the Additional Guarantor, as provided in Section 3.14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of a Guarantor thereunder. The information set forth in Annex 1-A hereto is hereby added to the information set forth in Schedule 1 to the Guarantee Agreement.</w:t>
      </w:r>
    </w:p>
    <w:p>
      <w:pPr>
        <w:spacing w:after="0" w:line="112" w:lineRule="exact"/>
        <w:rPr>
          <w:rFonts w:ascii="Arial" w:cs="Arial" w:eastAsia="Arial" w:hAnsi="Arial"/>
          <w:sz w:val="16"/>
          <w:szCs w:val="16"/>
          <w:color w:val="auto"/>
        </w:rPr>
      </w:pPr>
    </w:p>
    <w:p>
      <w:pPr>
        <w:ind w:right="860" w:firstLine="921"/>
        <w:spacing w:after="0" w:line="268" w:lineRule="auto"/>
        <w:tabs>
          <w:tab w:leader="none" w:pos="108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ASSUMPTION AGREEMENT SHALL BE GOVERNED BY, AND CONSTRUED AND INTERPRETED IN ACCORDANCE WITH, THE LAW OF THE STATE OF NEW YORK.</w:t>
      </w:r>
    </w:p>
    <w:p>
      <w:pPr>
        <w:sectPr>
          <w:pgSz w:w="11900" w:h="16838" w:orient="portrait"/>
          <w:cols w:equalWidth="0" w:num="1">
            <w:col w:w="11420"/>
          </w:cols>
          <w:pgMar w:left="240" w:top="280" w:right="239" w:bottom="1440" w:gutter="0" w:footer="0" w:header="0"/>
        </w:sectPr>
      </w:pPr>
    </w:p>
    <w:bookmarkStart w:id="141" w:name="page142"/>
    <w:bookmarkEnd w:id="141"/>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Assumption Agreement to be duly executed and delivered as of the date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[ADDITIONAL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240" w:top="280" w:right="67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1-A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Assumption Agreement</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u w:val="single" w:color="auto"/>
          <w:color w:val="auto"/>
        </w:rPr>
        <w:t>Supplement to Schedule 1</w:t>
      </w:r>
    </w:p>
    <w:p>
      <w:pPr>
        <w:sectPr>
          <w:pgSz w:w="11900" w:h="16838" w:orient="portrait"/>
          <w:cols w:equalWidth="0" w:num="1">
            <w:col w:w="10220"/>
          </w:cols>
          <w:pgMar w:left="1440" w:top="280" w:right="23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REQUEST FOR EXTENSION OF CREDIT</w:t>
      </w:r>
    </w:p>
    <w:p>
      <w:pPr>
        <w:spacing w:after="0" w:line="171" w:lineRule="exact"/>
        <w:rPr>
          <w:sz w:val="20"/>
          <w:szCs w:val="20"/>
          <w:color w:val="auto"/>
        </w:rPr>
      </w:pPr>
    </w:p>
    <w:p>
      <w:pPr>
        <w:ind w:left="9940"/>
        <w:spacing w:after="0"/>
        <w:tabs>
          <w:tab w:leader="none" w:pos="10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JPMorgan Chase Bank, N.A.,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Reference is made to that certain Credit Agreement dated as of June 6, 2012, among Comcast Corporation, a Pennsylvania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w:t>
      </w:r>
      <w:r>
        <w:rPr>
          <w:rFonts w:ascii="Arial" w:cs="Arial" w:eastAsia="Arial" w:hAnsi="Arial"/>
          <w:sz w:val="16"/>
          <w:szCs w:val="16"/>
          <w:color w:val="auto"/>
        </w:rPr>
        <w:t>”), Comcast Cable Communications, LLC, a Delaware limited liability company, as a Co-Borrower, Lenders from time to time party thereto,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 as Administrative Agent and an Issuing Lender (as amended, restated, extended, supplemented or otherwise modified in writing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“Agreement”; the terms defined therein being used herein as therein defined).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undersigned Responsible Officer hereby requests (select one):</w:t>
      </w:r>
    </w:p>
    <w:p>
      <w:pPr>
        <w:spacing w:after="0" w:line="171" w:lineRule="exact"/>
        <w:rPr>
          <w:sz w:val="20"/>
          <w:szCs w:val="20"/>
          <w:color w:val="auto"/>
        </w:rPr>
      </w:pPr>
    </w:p>
    <w:p>
      <w:pPr>
        <w:ind w:left="1160" w:hanging="239"/>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A Borrowing of Revolving Loans</w:t>
      </w:r>
    </w:p>
    <w:p>
      <w:pPr>
        <w:spacing w:after="0" w:line="171" w:lineRule="exact"/>
        <w:rPr>
          <w:sz w:val="20"/>
          <w:szCs w:val="20"/>
          <w:color w:val="auto"/>
        </w:rPr>
      </w:pPr>
    </w:p>
    <w:p>
      <w:pPr>
        <w:ind w:left="1160" w:hanging="239"/>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A Conversion or Continuation of Revolving Loans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1060" w:type="dxa"/>
            <w:vAlign w:val="bottom"/>
          </w:tcPr>
          <w:p>
            <w:pPr>
              <w:ind w:left="20"/>
              <w:spacing w:after="0"/>
              <w:rPr>
                <w:sz w:val="20"/>
                <w:szCs w:val="20"/>
                <w:color w:val="auto"/>
              </w:rPr>
            </w:pPr>
            <w:r>
              <w:rPr>
                <w:rFonts w:ascii="Arial" w:cs="Arial" w:eastAsia="Arial" w:hAnsi="Arial"/>
                <w:sz w:val="18"/>
                <w:szCs w:val="18"/>
                <w:color w:val="auto"/>
              </w:rPr>
              <w:t>On</w:t>
            </w:r>
          </w:p>
        </w:tc>
        <w:tc>
          <w:tcPr>
            <w:tcW w:w="2840" w:type="dxa"/>
            <w:vAlign w:val="bottom"/>
            <w:gridSpan w:val="2"/>
          </w:tcPr>
          <w:p>
            <w:pPr>
              <w:jc w:val="right"/>
              <w:ind w:right="1412"/>
              <w:spacing w:after="0"/>
              <w:rPr>
                <w:sz w:val="20"/>
                <w:szCs w:val="20"/>
                <w:color w:val="auto"/>
              </w:rPr>
            </w:pPr>
            <w:r>
              <w:rPr>
                <w:rFonts w:ascii="Arial" w:cs="Arial" w:eastAsia="Arial" w:hAnsi="Arial"/>
                <w:sz w:val="18"/>
                <w:szCs w:val="18"/>
                <w:color w:val="auto"/>
                <w:w w:val="92"/>
              </w:rPr>
              <w:t>(a Business Day).</w:t>
            </w:r>
          </w:p>
        </w:tc>
        <w:tc>
          <w:tcPr>
            <w:tcW w:w="108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378"/>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1480" w:type="dxa"/>
            <w:vAlign w:val="bottom"/>
            <w:gridSpan w:val="2"/>
          </w:tcPr>
          <w:p>
            <w:pPr>
              <w:ind w:left="20"/>
              <w:spacing w:after="0"/>
              <w:rPr>
                <w:sz w:val="20"/>
                <w:szCs w:val="20"/>
                <w:color w:val="auto"/>
              </w:rPr>
            </w:pPr>
            <w:r>
              <w:rPr>
                <w:rFonts w:ascii="Arial" w:cs="Arial" w:eastAsia="Arial" w:hAnsi="Arial"/>
                <w:sz w:val="18"/>
                <w:szCs w:val="18"/>
                <w:color w:val="auto"/>
                <w:w w:val="99"/>
              </w:rPr>
              <w:t>In the amount of $</w:t>
            </w:r>
          </w:p>
        </w:tc>
        <w:tc>
          <w:tcPr>
            <w:tcW w:w="2420" w:type="dxa"/>
            <w:vAlign w:val="bottom"/>
          </w:tcPr>
          <w:p>
            <w:pPr>
              <w:jc w:val="right"/>
              <w:ind w:right="211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78"/>
        </w:trPr>
        <w:tc>
          <w:tcPr>
            <w:tcW w:w="16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1060" w:type="dxa"/>
            <w:vAlign w:val="bottom"/>
          </w:tcPr>
          <w:p>
            <w:pPr>
              <w:ind w:left="20"/>
              <w:spacing w:after="0"/>
              <w:rPr>
                <w:sz w:val="20"/>
                <w:szCs w:val="20"/>
                <w:color w:val="auto"/>
              </w:rPr>
            </w:pPr>
            <w:r>
              <w:rPr>
                <w:rFonts w:ascii="Arial" w:cs="Arial" w:eastAsia="Arial" w:hAnsi="Arial"/>
                <w:sz w:val="18"/>
                <w:szCs w:val="18"/>
                <w:color w:val="auto"/>
                <w:w w:val="95"/>
              </w:rPr>
              <w:t>Comprised of</w:t>
            </w:r>
          </w:p>
        </w:tc>
        <w:tc>
          <w:tcPr>
            <w:tcW w:w="420" w:type="dxa"/>
            <w:vAlign w:val="bottom"/>
          </w:tcPr>
          <w:p>
            <w:pPr>
              <w:spacing w:after="0"/>
              <w:rPr>
                <w:sz w:val="24"/>
                <w:szCs w:val="24"/>
                <w:color w:val="auto"/>
              </w:rPr>
            </w:pPr>
          </w:p>
        </w:tc>
        <w:tc>
          <w:tcPr>
            <w:tcW w:w="2420" w:type="dxa"/>
            <w:vAlign w:val="bottom"/>
          </w:tcPr>
          <w:p>
            <w:pPr>
              <w:jc w:val="right"/>
              <w:ind w:right="132"/>
              <w:spacing w:after="0"/>
              <w:rPr>
                <w:sz w:val="20"/>
                <w:szCs w:val="20"/>
                <w:color w:val="auto"/>
              </w:rPr>
            </w:pPr>
            <w:r>
              <w:rPr>
                <w:rFonts w:ascii="Arial" w:cs="Arial" w:eastAsia="Arial" w:hAnsi="Arial"/>
                <w:sz w:val="18"/>
                <w:szCs w:val="18"/>
                <w:color w:val="auto"/>
              </w:rPr>
              <w:t>.[type of Loan requested]</w:t>
            </w:r>
          </w:p>
        </w:tc>
        <w:tc>
          <w:tcPr>
            <w:tcW w:w="108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78"/>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3900" w:type="dxa"/>
            <w:vAlign w:val="bottom"/>
            <w:gridSpan w:val="3"/>
          </w:tcPr>
          <w:p>
            <w:pPr>
              <w:ind w:left="20"/>
              <w:spacing w:after="0"/>
              <w:rPr>
                <w:sz w:val="20"/>
                <w:szCs w:val="20"/>
                <w:color w:val="auto"/>
              </w:rPr>
            </w:pPr>
            <w:r>
              <w:rPr>
                <w:rFonts w:ascii="Arial" w:cs="Arial" w:eastAsia="Arial" w:hAnsi="Arial"/>
                <w:sz w:val="18"/>
                <w:szCs w:val="18"/>
                <w:color w:val="auto"/>
                <w:w w:val="91"/>
              </w:rPr>
              <w:t>For Eurodollar Rate Loans: with an Interest Period of</w:t>
            </w:r>
          </w:p>
        </w:tc>
        <w:tc>
          <w:tcPr>
            <w:tcW w:w="1080" w:type="dxa"/>
            <w:vAlign w:val="bottom"/>
          </w:tcPr>
          <w:p>
            <w:pPr>
              <w:ind w:left="140"/>
              <w:spacing w:after="0"/>
              <w:rPr>
                <w:sz w:val="20"/>
                <w:szCs w:val="20"/>
                <w:color w:val="auto"/>
              </w:rPr>
            </w:pPr>
            <w:r>
              <w:rPr>
                <w:rFonts w:ascii="Arial" w:cs="Arial" w:eastAsia="Arial" w:hAnsi="Arial"/>
                <w:sz w:val="18"/>
                <w:szCs w:val="18"/>
                <w:color w:val="auto"/>
                <w:w w:val="99"/>
              </w:rPr>
              <w:t>months</w:t>
            </w:r>
            <w:r>
              <w:rPr>
                <w:rFonts w:ascii="Arial" w:cs="Arial" w:eastAsia="Arial" w:hAnsi="Arial"/>
                <w:sz w:val="11"/>
                <w:szCs w:val="11"/>
                <w:color w:val="auto"/>
                <w:w w:val="99"/>
              </w:rPr>
              <w:t>1</w:t>
            </w:r>
            <w:r>
              <w:rPr>
                <w:rFonts w:ascii="Arial" w:cs="Arial" w:eastAsia="Arial" w:hAnsi="Arial"/>
                <w:sz w:val="18"/>
                <w:szCs w:val="18"/>
                <w:color w:val="auto"/>
                <w:w w:val="99"/>
              </w:rPr>
              <w:t xml:space="preserve"> (or</w:t>
            </w:r>
          </w:p>
        </w:tc>
        <w:tc>
          <w:tcPr>
            <w:tcW w:w="4960" w:type="dxa"/>
            <w:vAlign w:val="bottom"/>
          </w:tcPr>
          <w:p>
            <w:pPr>
              <w:ind w:left="140"/>
              <w:spacing w:after="0"/>
              <w:rPr>
                <w:sz w:val="20"/>
                <w:szCs w:val="20"/>
                <w:color w:val="auto"/>
              </w:rPr>
            </w:pPr>
            <w:r>
              <w:rPr>
                <w:rFonts w:ascii="Arial" w:cs="Arial" w:eastAsia="Arial" w:hAnsi="Arial"/>
                <w:sz w:val="18"/>
                <w:szCs w:val="18"/>
                <w:color w:val="auto"/>
                <w:w w:val="88"/>
              </w:rPr>
              <w:t>days, if for an Interest Period of less than one month). The foregoing</w:t>
            </w:r>
          </w:p>
        </w:tc>
      </w:tr>
    </w:tbl>
    <w:p>
      <w:pPr>
        <w:jc w:val="both"/>
        <w:ind w:right="420"/>
        <w:spacing w:after="0" w:line="261" w:lineRule="auto"/>
        <w:rPr>
          <w:sz w:val="20"/>
          <w:szCs w:val="20"/>
          <w:color w:val="auto"/>
        </w:rPr>
      </w:pPr>
      <w:r>
        <w:rPr>
          <w:rFonts w:ascii="Arial" w:cs="Arial" w:eastAsia="Arial" w:hAnsi="Arial"/>
          <w:sz w:val="18"/>
          <w:szCs w:val="18"/>
          <w:color w:val="auto"/>
        </w:rPr>
        <w:t>request complies with the requirements of Section 2 of the Agreement. If the requested Extension of Credit is a Borrowing of Loans, the undersigned hereby certifies that the following statements will be true on the date of the requested Extension of Credit:</w:t>
      </w:r>
    </w:p>
    <w:p>
      <w:pPr>
        <w:spacing w:after="0" w:line="57" w:lineRule="exact"/>
        <w:rPr>
          <w:sz w:val="20"/>
          <w:szCs w:val="20"/>
          <w:color w:val="auto"/>
        </w:rPr>
      </w:pPr>
    </w:p>
    <w:p>
      <w:pPr>
        <w:ind w:left="1500" w:firstLine="389"/>
        <w:spacing w:after="0" w:line="256" w:lineRule="auto"/>
        <w:tabs>
          <w:tab w:leader="none" w:pos="21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representations and warranties of Borrower contained in Section 5 (other than Sections 5.04(b) and 5.05) of the Agreement are correct in all material respects on and as of the date hereof as if made on and as of such date, except to the extent any such representation and warranty specifically relates to any earlier date, in which case such representation and warranty shall have been correct on and as of such earlier date; and</w:t>
      </w:r>
    </w:p>
    <w:p>
      <w:pPr>
        <w:spacing w:after="0" w:line="62" w:lineRule="exact"/>
        <w:rPr>
          <w:rFonts w:ascii="Arial" w:cs="Arial" w:eastAsia="Arial" w:hAnsi="Arial"/>
          <w:sz w:val="18"/>
          <w:szCs w:val="18"/>
          <w:color w:val="auto"/>
        </w:rPr>
      </w:pPr>
    </w:p>
    <w:p>
      <w:pPr>
        <w:ind w:left="2140" w:hanging="251"/>
        <w:spacing w:after="0"/>
        <w:tabs>
          <w:tab w:leader="none" w:pos="2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Default or Event of Default exists or would result from the requested Extension of Credit or the use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22"/>
          <w:szCs w:val="22"/>
          <w:color w:val="auto"/>
          <w:vertAlign w:val="superscript"/>
        </w:rPr>
      </w:pPr>
      <w:r>
        <w:rPr>
          <w:rFonts w:ascii="Arial" w:cs="Arial" w:eastAsia="Arial" w:hAnsi="Arial"/>
          <w:sz w:val="18"/>
          <w:szCs w:val="18"/>
          <w:color w:val="auto"/>
        </w:rPr>
        <w:t>One, two, three, six, or subject to availability to each Lender, nine or twelve months</w:t>
      </w:r>
    </w:p>
    <w:p>
      <w:pPr>
        <w:sectPr>
          <w:pgSz w:w="11900" w:h="16838" w:orient="portrait"/>
          <w:cols w:equalWidth="0" w:num="1">
            <w:col w:w="11420"/>
          </w:cols>
          <w:pgMar w:left="240" w:top="280" w:right="239" w:bottom="1440" w:gutter="0" w:footer="0" w:header="0"/>
        </w:sectPr>
      </w:pPr>
    </w:p>
    <w:bookmarkStart w:id="144" w:name="page145"/>
    <w:bookmarkEnd w:id="14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OR CO-BORROWER]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280" w:right="1440"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COMPLIANCE CERTIFICATE</w:t>
      </w:r>
    </w:p>
    <w:p>
      <w:pPr>
        <w:spacing w:after="0" w:line="171" w:lineRule="exact"/>
        <w:rPr>
          <w:sz w:val="20"/>
          <w:szCs w:val="20"/>
          <w:color w:val="auto"/>
        </w:rPr>
      </w:pPr>
    </w:p>
    <w:tbl>
      <w:tblPr>
        <w:tblLayout w:type="fixed"/>
        <w:tblInd w:w="8500" w:type="dxa"/>
        <w:tblCellMar>
          <w:top w:w="0" w:type="dxa"/>
          <w:left w:w="0" w:type="dxa"/>
          <w:bottom w:w="0" w:type="dxa"/>
          <w:right w:w="0" w:type="dxa"/>
        </w:tblCellMar>
      </w:tblPr>
      <w:tr>
        <w:trPr>
          <w:trHeight w:val="222"/>
        </w:trPr>
        <w:tc>
          <w:tcPr>
            <w:tcW w:w="2100" w:type="dxa"/>
            <w:vAlign w:val="bottom"/>
          </w:tcPr>
          <w:p>
            <w:pPr>
              <w:spacing w:after="0"/>
              <w:rPr>
                <w:sz w:val="20"/>
                <w:szCs w:val="20"/>
                <w:color w:val="auto"/>
              </w:rPr>
            </w:pPr>
            <w:r>
              <w:rPr>
                <w:rFonts w:ascii="Arial" w:cs="Arial" w:eastAsia="Arial" w:hAnsi="Arial"/>
                <w:sz w:val="18"/>
                <w:szCs w:val="18"/>
                <w:color w:val="auto"/>
              </w:rPr>
              <w:t>Financial Statement Date:</w:t>
            </w:r>
          </w:p>
        </w:tc>
        <w:tc>
          <w:tcPr>
            <w:tcW w:w="640" w:type="dxa"/>
            <w:vAlign w:val="bottom"/>
          </w:tcPr>
          <w:p>
            <w:pPr>
              <w:jc w:val="right"/>
              <w:spacing w:after="0"/>
              <w:rPr>
                <w:sz w:val="20"/>
                <w:szCs w:val="20"/>
                <w:color w:val="auto"/>
              </w:rPr>
            </w:pPr>
            <w:r>
              <w:rPr>
                <w:rFonts w:ascii="Arial" w:cs="Arial" w:eastAsia="Arial" w:hAnsi="Arial"/>
                <w:sz w:val="18"/>
                <w:szCs w:val="18"/>
                <w:color w:val="auto"/>
              </w:rPr>
              <w:t>, 201</w:t>
            </w:r>
          </w:p>
        </w:tc>
      </w:tr>
    </w:tbl>
    <w:p>
      <w:pPr>
        <w:spacing w:after="0" w:line="1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JPMorgan Chase Bank, N.A.,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80" w:firstLine="913"/>
        <w:spacing w:after="0" w:line="298" w:lineRule="auto"/>
        <w:rPr>
          <w:sz w:val="20"/>
          <w:szCs w:val="20"/>
          <w:color w:val="auto"/>
        </w:rPr>
      </w:pPr>
      <w:r>
        <w:rPr>
          <w:rFonts w:ascii="Arial" w:cs="Arial" w:eastAsia="Arial" w:hAnsi="Arial"/>
          <w:sz w:val="16"/>
          <w:szCs w:val="16"/>
          <w:color w:val="auto"/>
        </w:rPr>
        <w:t>Reference is made to that certain Credit Agreement dated as of June 6, 2012, among Comcast Corporation, a Pennsylvania corporation (“Borrower”), Comcast Cable Communications, LLC, a Delaware limited liability company, as a Co-Borrower, Lenders from time to time party thereto, and JPMorgan Chase Bank, N.A., as Administrative Agent and an Issuing Lender (as amended, restated, extended, supplemented or otherwise modified in writing from time to time, the “Agreement”; the terms defined therein being used herein as therein defined).</w:t>
      </w:r>
    </w:p>
    <w:p>
      <w:pPr>
        <w:sectPr>
          <w:pgSz w:w="11900" w:h="16838" w:orient="portrait"/>
          <w:cols w:equalWidth="0" w:num="1">
            <w:col w:w="11400"/>
          </w:cols>
          <w:pgMar w:left="240" w:top="280" w:right="259" w:bottom="1440" w:gutter="0" w:footer="0" w:header="0"/>
        </w:sectPr>
      </w:pPr>
    </w:p>
    <w:p>
      <w:pPr>
        <w:spacing w:after="0" w:line="113"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The undersigned Responsible Officer hereby certifies as of the date hereof that he is the execute and deliver this Certificate to Administrative Agent on behalf of Borrower, and that: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of Borrower, and that, as such, he is authorized to</w:t>
      </w:r>
    </w:p>
    <w:p>
      <w:pPr>
        <w:spacing w:after="0" w:line="421" w:lineRule="exact"/>
        <w:rPr>
          <w:sz w:val="20"/>
          <w:szCs w:val="20"/>
          <w:color w:val="auto"/>
        </w:rPr>
      </w:pPr>
    </w:p>
    <w:p>
      <w:pPr>
        <w:sectPr>
          <w:pgSz w:w="11900" w:h="16838" w:orient="portrait"/>
          <w:cols w:equalWidth="0" w:num="2">
            <w:col w:w="7080" w:space="620"/>
            <w:col w:w="3700"/>
          </w:cols>
          <w:pgMar w:left="240" w:top="280" w:right="25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[Use following for fiscal year-end financial statements]</w:t>
      </w:r>
    </w:p>
    <w:p>
      <w:pPr>
        <w:sectPr>
          <w:pgSz w:w="11900" w:h="16838" w:orient="portrait"/>
          <w:cols w:equalWidth="0" w:num="1">
            <w:col w:w="11400"/>
          </w:cols>
          <w:pgMar w:left="240" w:top="280" w:right="259" w:bottom="1440" w:gutter="0" w:footer="0" w:header="0"/>
          <w:type w:val="continuous"/>
        </w:sectPr>
      </w:pP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 Attached hereto as Annex 1 are the year-end audited financial statements of Borrower and its consolidated Subsidiaries required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6.01(a)(i) of the Agreement for the fiscal year of Borrower ended as of the above date, together with the report and opinion of independent certified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accountants required by such section.</w:t>
      </w:r>
    </w:p>
    <w:p>
      <w:pPr>
        <w:spacing w:after="0" w:line="165" w:lineRule="exact"/>
        <w:rPr>
          <w:sz w:val="20"/>
          <w:szCs w:val="20"/>
          <w:color w:val="auto"/>
        </w:rPr>
      </w:pPr>
    </w:p>
    <w:p>
      <w:pPr>
        <w:jc w:val="both"/>
        <w:ind w:right="20" w:firstLine="921"/>
        <w:spacing w:after="0" w:line="256" w:lineRule="auto"/>
        <w:tabs>
          <w:tab w:leader="none" w:pos="108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Attached hereto as Annex 2 are the year-end audited financial statements of the Restricted Group required by Section 6.01(a)(ii) of the Agreement for the fiscal year of Borrower ended as of the above date. Such financial statements fairly present the financial condition, results of operations and cash flows of the Restricted Group in accordance with GAAP as at such date and for such period, except for the exclusion of the Unrestricted Subsidiaries and except for the absence of footnotes.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[Use following for fiscal quarter-end financial statements]</w:t>
      </w:r>
    </w:p>
    <w:p>
      <w:pPr>
        <w:spacing w:after="0" w:line="171" w:lineRule="exact"/>
        <w:rPr>
          <w:sz w:val="20"/>
          <w:szCs w:val="20"/>
          <w:color w:val="auto"/>
        </w:rPr>
      </w:pPr>
    </w:p>
    <w:p>
      <w:pPr>
        <w:jc w:val="both"/>
        <w:ind w:right="80" w:firstLine="921"/>
        <w:spacing w:after="0" w:line="256" w:lineRule="auto"/>
        <w:tabs>
          <w:tab w:leader="none" w:pos="108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Attached hereto as Annex 1 are the unaudited financial statements of Borrower and its consolidated Subsidiaries required by Section 6.01(b)(i) of the Agreement for the fiscal quarter of Borrower ended as of the above date. Such financial statements fairly present the financial condition, results of operations and cash flows of Borrower and its consolidated Subsidiaries in accordance with GAAP as at such date and for such periods, subject only to pro forma adjustments and normal year-end audit adjustments and the absence of footnotes.</w:t>
      </w:r>
    </w:p>
    <w:p>
      <w:pPr>
        <w:spacing w:after="0" w:line="143" w:lineRule="exact"/>
        <w:rPr>
          <w:rFonts w:ascii="Arial" w:cs="Arial" w:eastAsia="Arial" w:hAnsi="Arial"/>
          <w:sz w:val="18"/>
          <w:szCs w:val="18"/>
          <w:color w:val="auto"/>
        </w:rPr>
      </w:pPr>
    </w:p>
    <w:p>
      <w:pPr>
        <w:ind w:firstLine="921"/>
        <w:spacing w:after="0" w:line="298" w:lineRule="auto"/>
        <w:tabs>
          <w:tab w:leader="none" w:pos="108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Attached hereto as Annex 2 are the unaudited financial statements of the Restricted Group required by Section 6.01(b)(ii) of the Agreement for the fiscal quarter of Borrower ended as of the above date. Such financial statements fairly present the financial condition, results of operations and cash flows of the Restricted Group in accordance with GAAP as at such date and for such periods, subject only to pro forma adjustments and normal year-end audit adjustments and the absence of footnotes and except for the exclusion of the Unrestricted Subsidiaries.</w:t>
      </w:r>
    </w:p>
    <w:p>
      <w:pPr>
        <w:sectPr>
          <w:pgSz w:w="11900" w:h="16838" w:orient="portrait"/>
          <w:cols w:equalWidth="0" w:num="1">
            <w:col w:w="11400"/>
          </w:cols>
          <w:pgMar w:left="240" w:top="280" w:right="259" w:bottom="1440" w:gutter="0" w:footer="0" w:header="0"/>
          <w:type w:val="continuous"/>
        </w:sectPr>
      </w:pPr>
    </w:p>
    <w:bookmarkStart w:id="146" w:name="page147"/>
    <w:bookmarkEnd w:id="146"/>
    <w:p>
      <w:pPr>
        <w:ind w:firstLine="921"/>
        <w:spacing w:after="0" w:line="370" w:lineRule="auto"/>
        <w:tabs>
          <w:tab w:leader="none" w:pos="1088" w:val="left"/>
        </w:tabs>
        <w:numPr>
          <w:ilvl w:val="0"/>
          <w:numId w:val="12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has reviewed and is familiar with the terms of the Agreement and has made, or has caused to be made under his supervision, a detailed review of the transactions and conditions (financial or otherwise) of Borrower during the accounting period covered by the attached financial statements.</w:t>
      </w:r>
    </w:p>
    <w:p>
      <w:pPr>
        <w:spacing w:after="0" w:line="62" w:lineRule="exact"/>
        <w:rPr>
          <w:rFonts w:ascii="Arial" w:cs="Arial" w:eastAsia="Arial" w:hAnsi="Arial"/>
          <w:sz w:val="15"/>
          <w:szCs w:val="15"/>
          <w:color w:val="auto"/>
        </w:rPr>
      </w:pPr>
    </w:p>
    <w:p>
      <w:pPr>
        <w:ind w:right="80" w:firstLine="921"/>
        <w:spacing w:after="0" w:line="268" w:lineRule="auto"/>
        <w:tabs>
          <w:tab w:leader="none" w:pos="108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review of the activities of Borrower during such fiscal period has been made under my supervision with a view to determining whether during such fiscal period Borrower performed and observed its Obligations under the Loan Documents, and</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[select one:]</w:t>
      </w:r>
    </w:p>
    <w:p>
      <w:pPr>
        <w:spacing w:after="0" w:line="171"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[to the best knowledge of the undersigned during such fiscal period, Borrower performed and observed each covenant and condition of the Loan Documents applicable to it.]</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[the following covenants or conditions have not been performed or observed and the following is a list of each such Default or Event of Default and its nature and status:]</w:t>
      </w:r>
    </w:p>
    <w:p>
      <w:pPr>
        <w:spacing w:after="0" w:line="132" w:lineRule="exact"/>
        <w:rPr>
          <w:sz w:val="20"/>
          <w:szCs w:val="20"/>
          <w:color w:val="auto"/>
        </w:rPr>
      </w:pPr>
    </w:p>
    <w:p>
      <w:pPr>
        <w:jc w:val="both"/>
        <w:ind w:right="180" w:firstLine="921"/>
        <w:spacing w:after="0" w:line="306" w:lineRule="auto"/>
        <w:tabs>
          <w:tab w:leader="none" w:pos="108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financial covenant analyses and information set forth on Annex 3 attached hereto are true and accurate. Such analyses and information set forth the necessary adjustments to exclude the Indebtedness and EBITDA attributed to Unrestricted Subsidiaries and give pro forma effect (in accordance with Section 1.07 of the Agreement) to Material Acquisitions and Material Dispositions made during the period covered thereby.</w:t>
      </w:r>
    </w:p>
    <w:p>
      <w:pPr>
        <w:spacing w:after="0" w:line="107"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5880" w:type="dxa"/>
            <w:vAlign w:val="bottom"/>
          </w:tcPr>
          <w:p>
            <w:pPr>
              <w:spacing w:after="0"/>
              <w:rPr>
                <w:sz w:val="20"/>
                <w:szCs w:val="20"/>
                <w:color w:val="auto"/>
              </w:rPr>
            </w:pPr>
            <w:r>
              <w:rPr>
                <w:rFonts w:ascii="Arial" w:cs="Arial" w:eastAsia="Arial" w:hAnsi="Arial"/>
                <w:sz w:val="18"/>
                <w:szCs w:val="18"/>
                <w:color w:val="auto"/>
                <w:w w:val="95"/>
              </w:rPr>
              <w:t>IN WITNESS WHEREOF, the undersigned has executed this Certificate as of</w:t>
            </w:r>
          </w:p>
        </w:tc>
        <w:tc>
          <w:tcPr>
            <w:tcW w:w="960" w:type="dxa"/>
            <w:vAlign w:val="bottom"/>
          </w:tcPr>
          <w:p>
            <w:pPr>
              <w:jc w:val="right"/>
              <w:spacing w:after="0"/>
              <w:rPr>
                <w:sz w:val="20"/>
                <w:szCs w:val="20"/>
                <w:color w:val="auto"/>
              </w:rPr>
            </w:pPr>
            <w:r>
              <w:rPr>
                <w:rFonts w:ascii="Arial" w:cs="Arial" w:eastAsia="Arial" w:hAnsi="Arial"/>
                <w:sz w:val="18"/>
                <w:szCs w:val="18"/>
                <w:color w:val="auto"/>
              </w:rPr>
              <w:t>, 201  .</w:t>
            </w:r>
          </w:p>
        </w:tc>
      </w:tr>
    </w:tbl>
    <w:p>
      <w:pPr>
        <w:spacing w:after="0" w:line="19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FINANCIAL STATEMENTS OF BORROWER AND ITS SUBSIDIARIES</w:t>
      </w:r>
    </w:p>
    <w:p>
      <w:pPr>
        <w:sectPr>
          <w:pgSz w:w="11900" w:h="16838" w:orient="portrait"/>
          <w:cols w:equalWidth="0" w:num="1">
            <w:col w:w="9019"/>
          </w:cols>
          <w:pgMar w:left="1440" w:top="280" w:right="1440" w:bottom="1440" w:gutter="0" w:footer="0" w:header="0"/>
        </w:sectPr>
      </w:pPr>
    </w:p>
    <w:bookmarkStart w:id="148" w:name="page149"/>
    <w:bookmarkEnd w:id="148"/>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2</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FINANCIAL STATEMENTS OF RESTRICTED GROUP</w:t>
      </w:r>
    </w:p>
    <w:p>
      <w:pPr>
        <w:sectPr>
          <w:pgSz w:w="11900" w:h="16838" w:orient="portrait"/>
          <w:cols w:equalWidth="0" w:num="1">
            <w:col w:w="9019"/>
          </w:cols>
          <w:pgMar w:left="1440" w:top="280" w:right="1440"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Set forth detailed calculations</w:t>
      </w:r>
    </w:p>
    <w:p>
      <w:pPr>
        <w:sectPr>
          <w:pgSz w:w="11900" w:h="16838" w:orient="portrait"/>
          <w:cols w:equalWidth="0" w:num="1">
            <w:col w:w="9019"/>
          </w:cols>
          <w:pgMar w:left="1440" w:top="280" w:right="1440"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ASSIGNMENT AND ASSUMPTION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between the Assignor named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the Assignee named below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Credit Agreement identified below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43" w:lineRule="exact"/>
        <w:rPr>
          <w:sz w:val="20"/>
          <w:szCs w:val="20"/>
          <w:color w:val="auto"/>
        </w:rPr>
      </w:pPr>
    </w:p>
    <w:p>
      <w:pPr>
        <w:ind w:right="20" w:firstLine="913"/>
        <w:spacing w:after="0" w:line="302" w:lineRule="auto"/>
        <w:rPr>
          <w:sz w:val="20"/>
          <w:szCs w:val="20"/>
          <w:color w:val="auto"/>
        </w:rPr>
      </w:pPr>
      <w:r>
        <w:rPr>
          <w:rFonts w:ascii="Arial" w:cs="Arial" w:eastAsia="Arial" w:hAnsi="Arial"/>
          <w:sz w:val="15"/>
          <w:szCs w:val="15"/>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w:t>
      </w:r>
    </w:p>
    <w:p>
      <w:pPr>
        <w:spacing w:after="0" w:line="2" w:lineRule="exact"/>
        <w:rPr>
          <w:sz w:val="20"/>
          <w:szCs w:val="20"/>
          <w:color w:val="auto"/>
        </w:rPr>
      </w:pPr>
    </w:p>
    <w:p>
      <w:pPr>
        <w:ind w:right="40" w:firstLine="8"/>
        <w:spacing w:after="0" w:line="252" w:lineRule="auto"/>
        <w:tabs>
          <w:tab w:leader="none" w:pos="2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187" w:lineRule="exact"/>
        <w:rPr>
          <w:sz w:val="20"/>
          <w:szCs w:val="20"/>
          <w:color w:val="auto"/>
        </w:rPr>
      </w:pPr>
    </w:p>
    <w:p>
      <w:pPr>
        <w:ind w:left="480" w:hanging="472"/>
        <w:spacing w:after="0"/>
        <w:tabs>
          <w:tab w:leader="none" w:pos="4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Assignor:</w:t>
      </w:r>
    </w:p>
    <w:p>
      <w:pPr>
        <w:spacing w:after="0" w:line="144" w:lineRule="exact"/>
        <w:rPr>
          <w:rFonts w:ascii="Arial" w:cs="Arial" w:eastAsia="Arial" w:hAnsi="Arial"/>
          <w:sz w:val="18"/>
          <w:szCs w:val="18"/>
          <w:color w:val="auto"/>
        </w:rPr>
      </w:pPr>
    </w:p>
    <w:p>
      <w:pPr>
        <w:ind w:left="480" w:hanging="472"/>
        <w:spacing w:after="0"/>
        <w:tabs>
          <w:tab w:leader="none" w:pos="4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Assignee:</w:t>
      </w:r>
    </w:p>
    <w:p>
      <w:pPr>
        <w:spacing w:after="0" w:line="144" w:lineRule="exact"/>
        <w:rPr>
          <w:rFonts w:ascii="Arial" w:cs="Arial" w:eastAsia="Arial" w:hAnsi="Arial"/>
          <w:sz w:val="18"/>
          <w:szCs w:val="18"/>
          <w:color w:val="auto"/>
        </w:rPr>
      </w:pPr>
    </w:p>
    <w:p>
      <w:pPr>
        <w:ind w:left="480" w:hanging="472"/>
        <w:spacing w:after="0"/>
        <w:tabs>
          <w:tab w:leader="none" w:pos="4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-434340</wp:posOffset>
            </wp:positionV>
            <wp:extent cx="27527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-211455</wp:posOffset>
            </wp:positionV>
            <wp:extent cx="27527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10795</wp:posOffset>
            </wp:positionV>
            <wp:extent cx="27527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4.</w:t>
            </w:r>
          </w:p>
        </w:tc>
        <w:tc>
          <w:tcPr>
            <w:tcW w:w="2020" w:type="dxa"/>
            <w:vAlign w:val="bottom"/>
          </w:tcPr>
          <w:p>
            <w:pPr>
              <w:ind w:left="160"/>
              <w:spacing w:after="0"/>
              <w:rPr>
                <w:sz w:val="20"/>
                <w:szCs w:val="20"/>
                <w:color w:val="auto"/>
              </w:rPr>
            </w:pPr>
            <w:r>
              <w:rPr>
                <w:rFonts w:ascii="Arial" w:cs="Arial" w:eastAsia="Arial" w:hAnsi="Arial"/>
                <w:sz w:val="18"/>
                <w:szCs w:val="18"/>
                <w:color w:val="auto"/>
              </w:rPr>
              <w:t>Administrative Agent:</w:t>
            </w:r>
          </w:p>
        </w:tc>
        <w:tc>
          <w:tcPr>
            <w:tcW w:w="8820" w:type="dxa"/>
            <w:vAlign w:val="bottom"/>
          </w:tcPr>
          <w:p>
            <w:pPr>
              <w:ind w:left="300"/>
              <w:spacing w:after="0"/>
              <w:rPr>
                <w:sz w:val="20"/>
                <w:szCs w:val="20"/>
                <w:color w:val="auto"/>
              </w:rPr>
            </w:pPr>
            <w:r>
              <w:rPr>
                <w:rFonts w:ascii="Arial" w:cs="Arial" w:eastAsia="Arial" w:hAnsi="Arial"/>
                <w:sz w:val="18"/>
                <w:szCs w:val="18"/>
                <w:color w:val="auto"/>
              </w:rPr>
              <w:t>JPMorgan Chase Bank, N.A., as administrative agent under the Credit Agreement</w:t>
            </w:r>
          </w:p>
        </w:tc>
      </w:tr>
      <w:tr>
        <w:trPr>
          <w:trHeight w:val="318"/>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5.</w:t>
            </w:r>
          </w:p>
        </w:tc>
        <w:tc>
          <w:tcPr>
            <w:tcW w:w="2020" w:type="dxa"/>
            <w:vAlign w:val="bottom"/>
          </w:tcPr>
          <w:p>
            <w:pPr>
              <w:ind w:left="160"/>
              <w:spacing w:after="0"/>
              <w:rPr>
                <w:sz w:val="20"/>
                <w:szCs w:val="20"/>
                <w:color w:val="auto"/>
              </w:rPr>
            </w:pPr>
            <w:r>
              <w:rPr>
                <w:rFonts w:ascii="Arial" w:cs="Arial" w:eastAsia="Arial" w:hAnsi="Arial"/>
                <w:sz w:val="18"/>
                <w:szCs w:val="18"/>
                <w:color w:val="auto"/>
              </w:rPr>
              <w:t>Credit Agreement:</w:t>
            </w:r>
          </w:p>
        </w:tc>
        <w:tc>
          <w:tcPr>
            <w:tcW w:w="8820" w:type="dxa"/>
            <w:vAlign w:val="bottom"/>
          </w:tcPr>
          <w:p>
            <w:pPr>
              <w:ind w:left="300"/>
              <w:spacing w:after="0"/>
              <w:rPr>
                <w:sz w:val="20"/>
                <w:szCs w:val="20"/>
                <w:color w:val="auto"/>
              </w:rPr>
            </w:pPr>
            <w:r>
              <w:rPr>
                <w:rFonts w:ascii="Arial" w:cs="Arial" w:eastAsia="Arial" w:hAnsi="Arial"/>
                <w:sz w:val="18"/>
                <w:szCs w:val="18"/>
                <w:color w:val="auto"/>
                <w:w w:val="88"/>
              </w:rPr>
              <w:t>The Credit Agreement dated as of June 6, 2012 among Comcast Corporation, Comcast Cable Communications, LLC, the</w:t>
            </w:r>
          </w:p>
        </w:tc>
      </w:tr>
      <w:tr>
        <w:trPr>
          <w:trHeight w:val="222"/>
        </w:trPr>
        <w:tc>
          <w:tcPr>
            <w:tcW w:w="3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820" w:type="dxa"/>
            <w:vAlign w:val="bottom"/>
          </w:tcPr>
          <w:p>
            <w:pPr>
              <w:ind w:left="300"/>
              <w:spacing w:after="0"/>
              <w:rPr>
                <w:sz w:val="20"/>
                <w:szCs w:val="20"/>
                <w:color w:val="auto"/>
              </w:rPr>
            </w:pPr>
            <w:r>
              <w:rPr>
                <w:rFonts w:ascii="Arial" w:cs="Arial" w:eastAsia="Arial" w:hAnsi="Arial"/>
                <w:sz w:val="18"/>
                <w:szCs w:val="18"/>
                <w:color w:val="auto"/>
              </w:rPr>
              <w:t>Lenders party thereto and JPMorgan Chase Bank, N.A., as Administrative Agent and an Issuing Lender</w:t>
            </w:r>
          </w:p>
        </w:tc>
      </w:tr>
    </w:tbl>
    <w:p>
      <w:pPr>
        <w:sectPr>
          <w:pgSz w:w="11900" w:h="16838" w:orient="portrait"/>
          <w:cols w:equalWidth="0" w:num="1">
            <w:col w:w="11420"/>
          </w:cols>
          <w:pgMar w:left="240" w:top="280" w:right="239" w:bottom="1440" w:gutter="0" w:footer="0" w:header="0"/>
        </w:sectPr>
      </w:pPr>
    </w:p>
    <w:bookmarkStart w:id="151" w:name="page152"/>
    <w:bookmarkEnd w:id="151"/>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139700</wp:posOffset>
            </wp:positionV>
            <wp:extent cx="6080125" cy="946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80125" cy="9461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328295</wp:posOffset>
            </wp:positionV>
            <wp:extent cx="6080125" cy="946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8012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260"/>
        <w:spacing w:after="0" w:line="268" w:lineRule="auto"/>
        <w:rPr>
          <w:sz w:val="20"/>
          <w:szCs w:val="20"/>
          <w:color w:val="auto"/>
        </w:rPr>
      </w:pPr>
      <w:r>
        <w:rPr>
          <w:rFonts w:ascii="Arial" w:cs="Arial" w:eastAsia="Arial" w:hAnsi="Arial"/>
          <w:sz w:val="18"/>
          <w:szCs w:val="18"/>
          <w:color w:val="auto"/>
        </w:rPr>
        <w:t>Effective Date: , 201 [TO BE INSERTED BY ADMINISTRATIVE AGENT AND WHICH SHALL BE THE EFFECTIVE DATE OF RECORDATION OF TRANSFER IN THE REGISTER THEREFOR.]</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Loan Parties and their Affiliates or their respective securities) will be made available and who may receive such information in accordance with the Assignee’s compliance procedures and applicable laws, including Federal and state securities 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22"/>
          <w:szCs w:val="22"/>
          <w:color w:val="auto"/>
          <w:vertAlign w:val="superscript"/>
        </w:rPr>
      </w:pPr>
      <w:r>
        <w:rPr>
          <w:rFonts w:ascii="Arial" w:cs="Arial" w:eastAsia="Arial" w:hAnsi="Arial"/>
          <w:sz w:val="18"/>
          <w:szCs w:val="18"/>
          <w:color w:val="auto"/>
        </w:rPr>
        <w:t>Fill in either “Revolving Commitment” or “Revolving Loans”.</w:t>
      </w:r>
    </w:p>
    <w:p>
      <w:pPr>
        <w:ind w:left="460" w:hanging="452"/>
        <w:spacing w:after="0" w:line="221" w:lineRule="auto"/>
        <w:tabs>
          <w:tab w:leader="none" w:pos="460" w:val="left"/>
        </w:tabs>
        <w:numPr>
          <w:ilvl w:val="0"/>
          <w:numId w:val="134"/>
        </w:numPr>
        <w:rPr>
          <w:rFonts w:ascii="Arial" w:cs="Arial" w:eastAsia="Arial" w:hAnsi="Arial"/>
          <w:sz w:val="22"/>
          <w:szCs w:val="22"/>
          <w:color w:val="auto"/>
          <w:vertAlign w:val="superscript"/>
        </w:rPr>
      </w:pPr>
      <w:r>
        <w:rPr>
          <w:rFonts w:ascii="Arial" w:cs="Arial" w:eastAsia="Arial" w:hAnsi="Arial"/>
          <w:sz w:val="18"/>
          <w:szCs w:val="18"/>
          <w:color w:val="auto"/>
        </w:rPr>
        <w:t>Set forth, to at least 9 decimals, as a percentage of the Commitment/Loans of all Lenders.</w:t>
      </w:r>
    </w:p>
    <w:p>
      <w:pPr>
        <w:sectPr>
          <w:pgSz w:w="11900" w:h="16838" w:orient="portrait"/>
          <w:cols w:equalWidth="0" w:num="1">
            <w:col w:w="11420"/>
          </w:cols>
          <w:pgMar w:left="240" w:top="279"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Consented to and Accepted: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jc w:val="center"/>
        <w:ind w:right="9179"/>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1"/>
          <w:szCs w:val="11"/>
          <w:color w:val="auto"/>
        </w:rPr>
        <w:t>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as 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 as 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Issuing Lender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an Issuing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9"/>
          <w:szCs w:val="19"/>
          <w:color w:val="auto"/>
          <w:vertAlign w:val="superscript"/>
        </w:rPr>
      </w:pPr>
      <w:r>
        <w:rPr>
          <w:rFonts w:ascii="Arial" w:cs="Arial" w:eastAsia="Arial" w:hAnsi="Arial"/>
          <w:sz w:val="15"/>
          <w:szCs w:val="15"/>
          <w:color w:val="auto"/>
        </w:rPr>
        <w:t>Borrower consent is required for assignments to non-Lenders.</w:t>
      </w:r>
    </w:p>
    <w:p>
      <w:pPr>
        <w:sectPr>
          <w:pgSz w:w="11900" w:h="16838" w:orient="portrait"/>
          <w:cols w:equalWidth="0" w:num="1">
            <w:col w:w="10219"/>
          </w:cols>
          <w:pgMar w:left="240" w:top="280" w:right="1440" w:bottom="1440" w:gutter="0" w:footer="0" w:header="0"/>
        </w:sectPr>
      </w:pPr>
    </w:p>
    <w:bookmarkStart w:id="153" w:name="page154"/>
    <w:bookmarkEnd w:id="153"/>
    <w:p>
      <w:pPr>
        <w:ind w:left="76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 TO ASSIGNMENT AND ASSUMPTION</w:t>
      </w:r>
    </w:p>
    <w:p>
      <w:pPr>
        <w:spacing w:after="0" w:line="194" w:lineRule="exact"/>
        <w:rPr>
          <w:sz w:val="20"/>
          <w:szCs w:val="20"/>
          <w:color w:val="auto"/>
        </w:rPr>
      </w:pPr>
    </w:p>
    <w:p>
      <w:pPr>
        <w:ind w:right="300" w:firstLine="913"/>
        <w:spacing w:after="0" w:line="256" w:lineRule="auto"/>
        <w:rPr>
          <w:sz w:val="20"/>
          <w:szCs w:val="20"/>
          <w:color w:val="auto"/>
        </w:rPr>
      </w:pPr>
      <w:r>
        <w:rPr>
          <w:rFonts w:ascii="Arial" w:cs="Arial" w:eastAsia="Arial" w:hAnsi="Arial"/>
          <w:sz w:val="18"/>
          <w:szCs w:val="18"/>
          <w:color w:val="auto"/>
        </w:rPr>
        <w:t>Credit Agreement dated as of June 6, 2012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Comcast Cable Communications, LLC, a Delaware limited liability company (as “</w:t>
      </w:r>
      <w:r>
        <w:rPr>
          <w:rFonts w:ascii="Arial" w:cs="Arial" w:eastAsia="Arial" w:hAnsi="Arial"/>
          <w:sz w:val="18"/>
          <w:szCs w:val="18"/>
          <w:u w:val="single" w:color="auto"/>
          <w:color w:val="auto"/>
        </w:rPr>
        <w:t>Co-Borrower</w:t>
      </w:r>
      <w:r>
        <w:rPr>
          <w:rFonts w:ascii="Arial" w:cs="Arial" w:eastAsia="Arial" w:hAnsi="Arial"/>
          <w:sz w:val="18"/>
          <w:szCs w:val="18"/>
          <w:color w:val="auto"/>
        </w:rPr>
        <w:t>”), the several banks and other financial institutions or entities from time to time parties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165" w:lineRule="exact"/>
        <w:rPr>
          <w:sz w:val="20"/>
          <w:szCs w:val="20"/>
          <w:color w:val="auto"/>
        </w:rPr>
      </w:pPr>
    </w:p>
    <w:p>
      <w:pPr>
        <w:ind w:left="1100" w:hanging="179"/>
        <w:spacing w:after="0"/>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Borrower, Co-Borrower, any of their respective Subsidiaries or Affiliates or any other Person obligated in respect of any Loan Document or (iv) the performance or observance by Borrower, Co-Borrower, any of their respective Subsidiaries or Affiliates or any other Person of any of their respective obligations under any Loan Document.</w:t>
      </w:r>
    </w:p>
    <w:p>
      <w:pPr>
        <w:spacing w:after="0" w:line="118" w:lineRule="exact"/>
        <w:rPr>
          <w:sz w:val="20"/>
          <w:szCs w:val="20"/>
          <w:color w:val="auto"/>
        </w:rPr>
      </w:pPr>
    </w:p>
    <w:p>
      <w:pPr>
        <w:ind w:right="120" w:firstLine="913"/>
        <w:spacing w:after="0" w:line="303"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Assignee</w:t>
      </w:r>
      <w:r>
        <w:rPr>
          <w:rFonts w:ascii="Arial" w:cs="Arial" w:eastAsia="Arial" w:hAnsi="Arial"/>
          <w:sz w:val="15"/>
          <w:szCs w:val="15"/>
          <w:color w:val="auto"/>
        </w:rPr>
        <w:t>.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w:t>
      </w:r>
    </w:p>
    <w:p>
      <w:pPr>
        <w:spacing w:after="0" w:line="1" w:lineRule="exact"/>
        <w:rPr>
          <w:sz w:val="20"/>
          <w:szCs w:val="20"/>
          <w:color w:val="auto"/>
        </w:rPr>
      </w:pPr>
    </w:p>
    <w:p>
      <w:pPr>
        <w:ind w:right="40" w:firstLine="8"/>
        <w:spacing w:after="0" w:line="286" w:lineRule="auto"/>
        <w:tabs>
          <w:tab w:leader="none" w:pos="30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6.01 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(including, without limitation, Section 10.20),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24" w:lineRule="exact"/>
        <w:rPr>
          <w:rFonts w:ascii="Arial" w:cs="Arial" w:eastAsia="Arial" w:hAnsi="Arial"/>
          <w:sz w:val="16"/>
          <w:szCs w:val="16"/>
          <w:color w:val="auto"/>
        </w:rPr>
      </w:pPr>
    </w:p>
    <w:p>
      <w:pPr>
        <w:ind w:right="640" w:firstLine="921"/>
        <w:spacing w:after="0" w:line="268" w:lineRule="auto"/>
        <w:tabs>
          <w:tab w:leader="none" w:pos="1088"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Administrative Agent shall make all payments in respect of the Assigned Interest (including payments of principal, interest, fees and other</w:t>
      </w:r>
    </w:p>
    <w:p>
      <w:pPr>
        <w:sectPr>
          <w:pgSz w:w="11900" w:h="16838" w:orient="portrait"/>
          <w:cols w:equalWidth="0" w:num="1">
            <w:col w:w="11420"/>
          </w:cols>
          <w:pgMar w:left="240" w:top="280" w:right="239" w:bottom="1440" w:gutter="0" w:footer="0" w:header="0"/>
        </w:sectPr>
      </w:pPr>
    </w:p>
    <w:bookmarkStart w:id="154" w:name="page155"/>
    <w:bookmarkEnd w:id="15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to Assignor for amounts which have accrued to but excluding the Effective Date and to the Assignee for amounts which have accrued from and after the Effective Date.</w:t>
      </w:r>
    </w:p>
    <w:p>
      <w:pPr>
        <w:spacing w:after="0" w:line="132" w:lineRule="exact"/>
        <w:rPr>
          <w:sz w:val="20"/>
          <w:szCs w:val="20"/>
          <w:color w:val="auto"/>
        </w:rPr>
      </w:pPr>
    </w:p>
    <w:p>
      <w:pPr>
        <w:ind w:right="180" w:firstLine="921"/>
        <w:spacing w:after="0" w:line="255" w:lineRule="auto"/>
        <w:tabs>
          <w:tab w:leader="none" w:pos="1088"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email or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400"/>
          </w:cols>
          <w:pgMar w:left="240" w:top="280" w:right="259" w:bottom="1440" w:gutter="0" w:footer="0" w:header="0"/>
        </w:sectPr>
      </w:pPr>
    </w:p>
    <w:bookmarkStart w:id="155" w:name="page156"/>
    <w:bookmarkEnd w:id="155"/>
    <w:p>
      <w:pPr>
        <w:ind w:left="5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E-1</w:t>
      </w:r>
    </w:p>
    <w:p>
      <w:pPr>
        <w:spacing w:after="0" w:line="17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FORM OF</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LENDER SUPPLEMENT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Reference is made to the Credit Agreement dated as of June 6, 2012 (as amended, supplemented or otherwise modified from time to time,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Comcast Corporation, a Pennsylvania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Comcast Cable Communications, LLC, a Delaware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liability company (the “</w:t>
      </w:r>
      <w:r>
        <w:rPr>
          <w:rFonts w:ascii="Arial" w:cs="Arial" w:eastAsia="Arial" w:hAnsi="Arial"/>
          <w:sz w:val="16"/>
          <w:szCs w:val="16"/>
          <w:u w:val="single" w:color="auto"/>
          <w:color w:val="auto"/>
        </w:rPr>
        <w:t>Co-Borrower</w:t>
      </w:r>
      <w:r>
        <w:rPr>
          <w:rFonts w:ascii="Arial" w:cs="Arial" w:eastAsia="Arial" w:hAnsi="Arial"/>
          <w:sz w:val="16"/>
          <w:szCs w:val="16"/>
          <w:color w:val="auto"/>
        </w:rPr>
        <w:t>”), the several banks and other financial institutions or entities from time to time party thereto, JPMorgan Chase Bank, 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Administrative Agent and Citibank, N.A., as Syndication Agent. Unless otherwise defined herein, terms defined in the Credit Agreement and used herein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the meanings given to them in the Credit Agreement.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New Lender identified on Schedule l hereto (the “</w:t>
      </w:r>
      <w:r>
        <w:rPr>
          <w:rFonts w:ascii="Arial" w:cs="Arial" w:eastAsia="Arial" w:hAnsi="Arial"/>
          <w:sz w:val="18"/>
          <w:szCs w:val="18"/>
          <w:u w:val="single" w:color="auto"/>
          <w:color w:val="auto"/>
        </w:rPr>
        <w:t>New Lender</w:t>
      </w:r>
      <w:r>
        <w:rPr>
          <w:rFonts w:ascii="Arial" w:cs="Arial" w:eastAsia="Arial" w:hAnsi="Arial"/>
          <w:sz w:val="18"/>
          <w:szCs w:val="18"/>
          <w:color w:val="auto"/>
        </w:rPr>
        <w:t>”), the Administrative Agent and the Borrower agree as follows:</w:t>
      </w:r>
    </w:p>
    <w:p>
      <w:pPr>
        <w:spacing w:after="0" w:line="171" w:lineRule="exact"/>
        <w:rPr>
          <w:sz w:val="20"/>
          <w:szCs w:val="20"/>
          <w:color w:val="auto"/>
        </w:rPr>
      </w:pPr>
    </w:p>
    <w:p>
      <w:pPr>
        <w:jc w:val="both"/>
        <w:ind w:right="420" w:firstLine="913"/>
        <w:spacing w:after="0" w:line="259" w:lineRule="auto"/>
        <w:rPr>
          <w:sz w:val="20"/>
          <w:szCs w:val="20"/>
          <w:color w:val="auto"/>
        </w:rPr>
      </w:pPr>
      <w:r>
        <w:rPr>
          <w:rFonts w:ascii="Arial" w:cs="Arial" w:eastAsia="Arial" w:hAnsi="Arial"/>
          <w:sz w:val="18"/>
          <w:szCs w:val="18"/>
          <w:color w:val="auto"/>
        </w:rPr>
        <w:t>The New Lender hereby irrevocably makes a Revolving Commitment to the Borrower in the amount set forth on Schedule 1 hereto (the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w:t>
      </w:r>
      <w:r>
        <w:rPr>
          <w:rFonts w:ascii="Arial" w:cs="Arial" w:eastAsia="Arial" w:hAnsi="Arial"/>
          <w:sz w:val="18"/>
          <w:szCs w:val="18"/>
          <w:color w:val="auto"/>
        </w:rPr>
        <w:t>”) pursuant to Section 2.01(b) of the Credit Agreement. From and after the Effective Date (as defined below), the New Lender will be a Lender under the Credit Agreement with respect to the New Commitment.</w:t>
      </w:r>
    </w:p>
    <w:p>
      <w:pPr>
        <w:spacing w:after="0" w:line="14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Administrative Agent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Credit Agreement; and (b) makes no representation or warranty and assumes no responsibility with respect to the financial condition of the Borrower, any of its Subsidiaries or any other obligor or the performance or observance by the Borrower, any of its Subsidiaries or any other obligor of any of their respective obligations under the Credit Agreement or any other instrument or document furnished pursuant hereto or thereto.</w:t>
      </w:r>
    </w:p>
    <w:p>
      <w:pPr>
        <w:spacing w:after="0" w:line="116" w:lineRule="exact"/>
        <w:rPr>
          <w:sz w:val="20"/>
          <w:szCs w:val="20"/>
          <w:color w:val="auto"/>
        </w:rPr>
      </w:pPr>
    </w:p>
    <w:p>
      <w:pPr>
        <w:ind w:firstLine="913"/>
        <w:spacing w:after="0" w:line="309" w:lineRule="auto"/>
        <w:rPr>
          <w:sz w:val="20"/>
          <w:szCs w:val="20"/>
          <w:color w:val="auto"/>
        </w:rPr>
      </w:pPr>
      <w:r>
        <w:rPr>
          <w:rFonts w:ascii="Arial" w:cs="Arial" w:eastAsia="Arial" w:hAnsi="Arial"/>
          <w:sz w:val="15"/>
          <w:szCs w:val="15"/>
          <w:color w:val="auto"/>
        </w:rPr>
        <w:t>The New Lender (a) represents and warrants that it is legally authorized to enter into this New Lender Supplement; (b) confirms that it has received a copy of the Credit Agreement, together with copies of the most recent financial statements delivered pursuant to Section 6.01 of the Credit Agreement and such other documents and information as it has deemed appropriate to make its own credit analysis and decision to enter into this New Lender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pacing w:after="0" w:line="108"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The effective date of this New Lender Supplement shall be the Effective Date of the New Commitment described in Schedule 1 hereto (the “</w:t>
      </w:r>
      <w:r>
        <w:rPr>
          <w:rFonts w:ascii="Arial" w:cs="Arial" w:eastAsia="Arial" w:hAnsi="Arial"/>
          <w:sz w:val="16"/>
          <w:szCs w:val="16"/>
          <w:u w:val="single" w:color="auto"/>
          <w:color w:val="auto"/>
        </w:rPr>
        <w:t>Effective Date</w:t>
      </w:r>
      <w:r>
        <w:rPr>
          <w:rFonts w:ascii="Arial" w:cs="Arial" w:eastAsia="Arial" w:hAnsi="Arial"/>
          <w:sz w:val="16"/>
          <w:szCs w:val="16"/>
          <w:color w:val="auto"/>
        </w:rPr>
        <w:t>”). Following the execution of this New Lender Supplement by each of the New Lender and the Borrower, it will be delivered to the Administrative Agent for acceptance and recording by it pursuant to the Credit Agreement, effective as of the Effective Date (which shall not, unless otherwise agreed to by the Administrative Agent, be earlier than five Business Days after the date of such acceptance and recording by the Administrative Agent).</w:t>
      </w:r>
    </w:p>
    <w:p>
      <w:pPr>
        <w:spacing w:after="0" w:line="113"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Upon such acceptance and recording, from and after the Effective Date, the Administrative Agent shall make all payments in respect of the New Commitment (including payments of</w:t>
      </w:r>
    </w:p>
    <w:p>
      <w:pPr>
        <w:sectPr>
          <w:pgSz w:w="11900" w:h="16838" w:orient="portrait"/>
          <w:cols w:equalWidth="0" w:num="1">
            <w:col w:w="11400"/>
          </w:cols>
          <w:pgMar w:left="240" w:top="280" w:right="25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interest, fees and other amounts) to the New Lender for amounts which have accrued on and subsequent to the Effective Date.</w:t>
      </w:r>
    </w:p>
    <w:p>
      <w:pPr>
        <w:spacing w:after="0" w:line="194"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From and after the Effective Date, the New Lender shall be a party to the Credit Agreement and, to the extent provided in this New Lender Supplement, have the rights and obligations of a Lender thereunder and shall be bound by the provisions thereof.</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New Lender Supplement shall be governed by and construed and interpreted in accordance with the laws of the State of New York.</w:t>
      </w:r>
    </w:p>
    <w:p>
      <w:pPr>
        <w:sectPr>
          <w:pgSz w:w="11900" w:h="16838" w:orient="portrait"/>
          <w:cols w:equalWidth="0" w:num="1">
            <w:col w:w="11180"/>
          </w:cols>
          <w:pgMar w:left="240" w:top="280" w:right="479" w:bottom="1440" w:gutter="0" w:footer="0" w:header="0"/>
        </w:sectPr>
      </w:pPr>
    </w:p>
    <w:p>
      <w:pPr>
        <w:spacing w:after="0" w:line="19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IN WITNESS WHEREOF, the parties hereto have caused this New Lender Supplement to be executed as of</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201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by their respective</w:t>
      </w:r>
    </w:p>
    <w:p>
      <w:pPr>
        <w:spacing w:after="0" w:line="38" w:lineRule="exact"/>
        <w:rPr>
          <w:sz w:val="20"/>
          <w:szCs w:val="20"/>
          <w:color w:val="auto"/>
        </w:rPr>
      </w:pPr>
    </w:p>
    <w:p>
      <w:pPr>
        <w:sectPr>
          <w:pgSz w:w="11900" w:h="16838" w:orient="portrait"/>
          <w:cols w:equalWidth="0" w:num="3">
            <w:col w:w="8580" w:space="720"/>
            <w:col w:w="360" w:space="220"/>
            <w:col w:w="1300"/>
          </w:cols>
          <w:pgMar w:left="240" w:top="280" w:right="479" w:bottom="1440" w:gutter="0" w:footer="0" w:header="0"/>
          <w:type w:val="continuous"/>
        </w:sectPr>
      </w:pPr>
    </w:p>
    <w:p>
      <w:pPr>
        <w:spacing w:after="0"/>
        <w:rPr>
          <w:sz w:val="20"/>
          <w:szCs w:val="20"/>
          <w:color w:val="auto"/>
        </w:rPr>
      </w:pPr>
      <w:r>
        <w:rPr>
          <w:rFonts w:ascii="Arial" w:cs="Arial" w:eastAsia="Arial" w:hAnsi="Arial"/>
          <w:sz w:val="18"/>
          <w:szCs w:val="18"/>
          <w:color w:val="auto"/>
        </w:rPr>
        <w:t>duly authorized officers on Schedule 1 hereto.</w:t>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6"/>
          <w:szCs w:val="16"/>
          <w:i w:val="1"/>
          <w:iCs w:val="1"/>
          <w:color w:val="auto"/>
        </w:rPr>
        <w:t>[Remainder of page intentionally left blank. Schedule 1 to follow.]</w:t>
      </w:r>
    </w:p>
    <w:p>
      <w:pPr>
        <w:sectPr>
          <w:pgSz w:w="11900" w:h="16838" w:orient="portrait"/>
          <w:cols w:equalWidth="0" w:num="1">
            <w:col w:w="11180"/>
          </w:cols>
          <w:pgMar w:left="240" w:top="280" w:right="479" w:bottom="1440" w:gutter="0" w:footer="0" w:header="0"/>
          <w:type w:val="continuous"/>
        </w:sectPr>
      </w:pPr>
    </w:p>
    <w:bookmarkStart w:id="157" w:name="page158"/>
    <w:bookmarkEnd w:id="157"/>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to New Lender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Name of New Lender: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New Commitment:</w:t>
      </w:r>
    </w:p>
    <w:p>
      <w:pPr>
        <w:spacing w:after="0" w:line="171" w:lineRule="exact"/>
        <w:rPr>
          <w:sz w:val="20"/>
          <w:szCs w:val="20"/>
          <w:color w:val="auto"/>
        </w:rPr>
      </w:pPr>
    </w:p>
    <w:p>
      <w:pPr>
        <w:spacing w:after="0"/>
        <w:tabs>
          <w:tab w:leader="none" w:pos="3000" w:val="left"/>
        </w:tabs>
        <w:rPr>
          <w:sz w:val="20"/>
          <w:szCs w:val="20"/>
          <w:color w:val="auto"/>
        </w:rPr>
      </w:pPr>
      <w:r>
        <w:rPr>
          <w:rFonts w:ascii="Arial" w:cs="Arial" w:eastAsia="Arial" w:hAnsi="Arial"/>
          <w:sz w:val="18"/>
          <w:szCs w:val="18"/>
          <w:color w:val="auto"/>
        </w:rPr>
        <w:t>Principal Amount of New Commitment:</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[NAME OF NEW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r>
      <w:tr>
        <w:trPr>
          <w:trHeight w:val="222"/>
        </w:trPr>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94"/>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20" w:type="dxa"/>
            <w:vAlign w:val="bottom"/>
          </w:tcPr>
          <w:p>
            <w:pPr>
              <w:jc w:val="right"/>
              <w:ind w:right="2532"/>
              <w:spacing w:after="0"/>
              <w:rPr>
                <w:sz w:val="20"/>
                <w:szCs w:val="20"/>
                <w:color w:val="auto"/>
              </w:rPr>
            </w:pPr>
            <w:r>
              <w:rPr>
                <w:rFonts w:ascii="Arial" w:cs="Arial" w:eastAsia="Arial" w:hAnsi="Arial"/>
                <w:sz w:val="18"/>
                <w:szCs w:val="18"/>
                <w:color w:val="auto"/>
                <w:w w:val="79"/>
              </w:rPr>
              <w:t>],</w:t>
            </w:r>
          </w:p>
        </w:tc>
      </w:tr>
      <w:tr>
        <w:trPr>
          <w:trHeight w:val="235"/>
        </w:trPr>
        <w:tc>
          <w:tcPr>
            <w:tcW w:w="1660" w:type="dxa"/>
            <w:vAlign w:val="bottom"/>
            <w:gridSpan w:val="3"/>
          </w:tcPr>
          <w:p>
            <w:pPr>
              <w:spacing w:after="0"/>
              <w:rPr>
                <w:sz w:val="20"/>
                <w:szCs w:val="20"/>
                <w:color w:val="auto"/>
              </w:rPr>
            </w:pPr>
            <w:r>
              <w:rPr>
                <w:rFonts w:ascii="Arial" w:cs="Arial" w:eastAsia="Arial" w:hAnsi="Arial"/>
                <w:sz w:val="18"/>
                <w:szCs w:val="18"/>
                <w:color w:val="auto"/>
                <w:w w:val="98"/>
              </w:rPr>
              <w:t>as an Issuing Lender</w:t>
            </w:r>
          </w:p>
        </w:tc>
        <w:tc>
          <w:tcPr>
            <w:tcW w:w="2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47"/>
        </w:trPr>
        <w:tc>
          <w:tcPr>
            <w:tcW w:w="1660" w:type="dxa"/>
            <w:vAlign w:val="bottom"/>
            <w:gridSpan w:val="3"/>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r>
      <w:tr>
        <w:trPr>
          <w:trHeight w:val="222"/>
        </w:trPr>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ectPr>
          <w:pgSz w:w="11900" w:h="16838" w:orient="portrait"/>
          <w:cols w:equalWidth="0" w:num="1">
            <w:col w:w="10219"/>
          </w:cols>
          <w:pgMar w:left="240" w:top="280" w:right="1440"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INCREASED REVOLVING COMMITMENT ACTIVATION NOTICE</w:t>
      </w:r>
    </w:p>
    <w:p>
      <w:pPr>
        <w:spacing w:after="0" w:line="165" w:lineRule="exact"/>
        <w:rPr>
          <w:sz w:val="20"/>
          <w:szCs w:val="20"/>
          <w:color w:val="auto"/>
        </w:rPr>
      </w:pPr>
    </w:p>
    <w:p>
      <w:pPr>
        <w:ind w:right="260" w:firstLine="913"/>
        <w:spacing w:after="0" w:line="255" w:lineRule="auto"/>
        <w:rPr>
          <w:sz w:val="20"/>
          <w:szCs w:val="20"/>
          <w:color w:val="auto"/>
        </w:rPr>
      </w:pPr>
      <w:r>
        <w:rPr>
          <w:rFonts w:ascii="Arial" w:cs="Arial" w:eastAsia="Arial" w:hAnsi="Arial"/>
          <w:sz w:val="18"/>
          <w:szCs w:val="18"/>
          <w:color w:val="auto"/>
        </w:rPr>
        <w:t>Reference is made to the Credit Agreement, dated as of June 6, 2012 (as amended, supplemented or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Comcast Corporation, a Pennsylvania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Comcast Cable Communications, LLC, a Delaware limited liability company (the “</w:t>
      </w:r>
      <w:r>
        <w:rPr>
          <w:rFonts w:ascii="Arial" w:cs="Arial" w:eastAsia="Arial" w:hAnsi="Arial"/>
          <w:sz w:val="18"/>
          <w:szCs w:val="18"/>
          <w:u w:val="single" w:color="auto"/>
          <w:color w:val="auto"/>
        </w:rPr>
        <w:t>Co-Borrower</w:t>
      </w:r>
      <w:r>
        <w:rPr>
          <w:rFonts w:ascii="Arial" w:cs="Arial" w:eastAsia="Arial" w:hAnsi="Arial"/>
          <w:sz w:val="18"/>
          <w:szCs w:val="18"/>
          <w:color w:val="auto"/>
        </w:rPr>
        <w:t>”), the several banks and other financial institutions or entities from time to time party thereto, JPMorgan Chase Bank, N.A., as Administrative Agent and Citibank, N.A., as Syndication Agent. Unless otherwise defined herein, terms defined in the Credit Agreement and used herein shall have the meanings given to them in the Credit Agreement.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Increasing Lender identified on Schedule l hereto (the “</w:t>
      </w:r>
      <w:r>
        <w:rPr>
          <w:rFonts w:ascii="Arial" w:cs="Arial" w:eastAsia="Arial" w:hAnsi="Arial"/>
          <w:sz w:val="16"/>
          <w:szCs w:val="16"/>
          <w:u w:val="single" w:color="auto"/>
          <w:color w:val="auto"/>
        </w:rPr>
        <w:t>Increasing Lender</w:t>
      </w:r>
      <w:r>
        <w:rPr>
          <w:rFonts w:ascii="Arial" w:cs="Arial" w:eastAsia="Arial" w:hAnsi="Arial"/>
          <w:sz w:val="16"/>
          <w:szCs w:val="16"/>
          <w:color w:val="auto"/>
        </w:rPr>
        <w:t>”), the Administrative Agent and the Borrower agree as follows:</w:t>
      </w:r>
    </w:p>
    <w:p>
      <w:pPr>
        <w:spacing w:after="0" w:line="194"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The Increasing Lender hereby irrevocably increases its Revolving Commitment to the Borrower by the amount set forth on Schedule 1 hereto under the heading “Principal Amount of Increased Revolving Commitment” (the “</w:t>
      </w:r>
      <w:r>
        <w:rPr>
          <w:rFonts w:ascii="Arial" w:cs="Arial" w:eastAsia="Arial" w:hAnsi="Arial"/>
          <w:sz w:val="16"/>
          <w:szCs w:val="16"/>
          <w:u w:val="single" w:color="auto"/>
          <w:color w:val="auto"/>
        </w:rPr>
        <w:t>Increased Revolving Commitment</w:t>
      </w:r>
      <w:r>
        <w:rPr>
          <w:rFonts w:ascii="Arial" w:cs="Arial" w:eastAsia="Arial" w:hAnsi="Arial"/>
          <w:sz w:val="16"/>
          <w:szCs w:val="16"/>
          <w:color w:val="auto"/>
        </w:rPr>
        <w:t>”) pursuant to Section 2.01(b) of the Credit Agreement. From and after the Effective Date (as defined below), the Increasing Lender will be a Lender under the Credit Agreement with respect to the Increased Revolving Commitment as well as its existing Revolving Commitment under the Credit Agreement.</w:t>
      </w:r>
    </w:p>
    <w:p>
      <w:pPr>
        <w:spacing w:after="0" w:line="11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The Administrative Agent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Credit Agreement; and (b) makes no representation or warranty and assumes no responsibility with respect to the financial condition of the Borrower, any of its Subsidiaries or any other obligor or the performance or observance by the Borrower, any of its Subsidiaries or any other obligor of any of their respective obligations under the Credit Agreement or any other instrument or document furnished pursuant hereto or thereto.</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Increasing Lender (a) represents and warrants that it is legally authorized to enter into this Increased Revolving Commitment Activation Notice;</w:t>
      </w:r>
    </w:p>
    <w:p>
      <w:pPr>
        <w:spacing w:after="0" w:line="38" w:lineRule="exact"/>
        <w:rPr>
          <w:sz w:val="20"/>
          <w:szCs w:val="20"/>
          <w:color w:val="auto"/>
        </w:rPr>
      </w:pPr>
    </w:p>
    <w:p>
      <w:pPr>
        <w:ind w:right="20" w:firstLine="8"/>
        <w:spacing w:after="0" w:line="281" w:lineRule="auto"/>
        <w:tabs>
          <w:tab w:leader="none" w:pos="24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confirms that it has received a copy of the Credit Agreement, together with copies of the most recent financial statements delivered pursuant to Section 6.01 of the Credit Agreement and such other documents and information as it has deemed appropriate to make its own credit analysis and decision to enter into this Increased Revolving Commitment Activation Notice;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w:t>
      </w:r>
    </w:p>
    <w:p>
      <w:pPr>
        <w:spacing w:after="0" w:line="4" w:lineRule="exact"/>
        <w:rPr>
          <w:rFonts w:ascii="Arial" w:cs="Arial" w:eastAsia="Arial" w:hAnsi="Arial"/>
          <w:sz w:val="16"/>
          <w:szCs w:val="16"/>
          <w:color w:val="auto"/>
        </w:rPr>
      </w:pPr>
    </w:p>
    <w:p>
      <w:pPr>
        <w:ind w:right="140" w:firstLine="8"/>
        <w:spacing w:after="0" w:line="261" w:lineRule="auto"/>
        <w:tabs>
          <w:tab w:leader="none" w:pos="23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agrees that it will be bound by the provisions of the Credit Agreement and will perform in accordance with its terms all the obligations which by the terms of the Credit Agreement are required to be performed by it as a Lender.</w:t>
      </w:r>
    </w:p>
    <w:p>
      <w:pPr>
        <w:spacing w:after="0" w:line="138"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The effective date of this Increased Revolving Commitment Activation Notice shall be the increased revolving commitment closing date set forth Schedule 1 hereto (the “</w:t>
      </w:r>
      <w:r>
        <w:rPr>
          <w:rFonts w:ascii="Arial" w:cs="Arial" w:eastAsia="Arial" w:hAnsi="Arial"/>
          <w:sz w:val="16"/>
          <w:szCs w:val="16"/>
          <w:u w:val="single" w:color="auto"/>
          <w:color w:val="auto"/>
        </w:rPr>
        <w:t>Increased Revolving Commitment Closing Date</w:t>
      </w:r>
      <w:r>
        <w:rPr>
          <w:rFonts w:ascii="Arial" w:cs="Arial" w:eastAsia="Arial" w:hAnsi="Arial"/>
          <w:sz w:val="16"/>
          <w:szCs w:val="16"/>
          <w:color w:val="auto"/>
        </w:rPr>
        <w:t>”). Following the execution of this Increased Revolving Commitment Activation Notice by each of the Increasing Lender and the Borrower, it will be delivered to the Administrative Agent for acceptance and recording by it pursuant to the Credit Agreement, effective as of the Increased Revolving Commitment Closing Date (which shall not, unless otherwise agreed to by the</w:t>
      </w:r>
    </w:p>
    <w:p>
      <w:pPr>
        <w:sectPr>
          <w:pgSz w:w="11900" w:h="16838" w:orient="portrait"/>
          <w:cols w:equalWidth="0" w:num="1">
            <w:col w:w="11420"/>
          </w:cols>
          <w:pgMar w:left="240" w:top="280"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 be earlier than five Business Days after the date of such acceptance and recording by the Administrative Agent).</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Upon such acceptance and recording, from and after the Effective Date, the Administrative Agent shall make all payments in respect of the Increased Revolving Commitment (including payments of principal, interest, fees and other amounts) to the Increasing Lender for amounts which have accrued on and subsequent to the Effective Date.</w:t>
      </w:r>
    </w:p>
    <w:p>
      <w:pPr>
        <w:spacing w:after="0" w:line="140"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This Increased Revolving Commitment Activation Notice shall be governed by and construed and interpreted in accordance with the laws of the State of New York.</w:t>
      </w:r>
    </w:p>
    <w:p>
      <w:pPr>
        <w:sectPr>
          <w:pgSz w:w="11900" w:h="16838" w:orient="portrait"/>
          <w:cols w:equalWidth="0" w:num="1">
            <w:col w:w="11400"/>
          </w:cols>
          <w:pgMar w:left="240" w:top="280" w:right="259" w:bottom="1440" w:gutter="0" w:footer="0" w:header="0"/>
        </w:sectPr>
      </w:pPr>
    </w:p>
    <w:p>
      <w:pPr>
        <w:spacing w:after="0" w:line="13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IN WITNESS WHEREOF, the parties hereto have caused this Commitment Increase Supplement to be executed as of</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 201</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by their</w:t>
      </w:r>
    </w:p>
    <w:p>
      <w:pPr>
        <w:spacing w:after="0" w:line="38" w:lineRule="exact"/>
        <w:rPr>
          <w:sz w:val="20"/>
          <w:szCs w:val="20"/>
          <w:color w:val="auto"/>
        </w:rPr>
      </w:pPr>
    </w:p>
    <w:p>
      <w:pPr>
        <w:sectPr>
          <w:pgSz w:w="11900" w:h="16838" w:orient="portrait"/>
          <w:cols w:equalWidth="0" w:num="3">
            <w:col w:w="9280" w:space="720"/>
            <w:col w:w="340" w:space="220"/>
            <w:col w:w="840"/>
          </w:cols>
          <w:pgMar w:left="240" w:top="280" w:right="259" w:bottom="1440" w:gutter="0" w:footer="0" w:header="0"/>
          <w:type w:val="continuous"/>
        </w:sectPr>
      </w:pPr>
    </w:p>
    <w:p>
      <w:pPr>
        <w:spacing w:after="0"/>
        <w:rPr>
          <w:sz w:val="20"/>
          <w:szCs w:val="20"/>
          <w:color w:val="auto"/>
        </w:rPr>
      </w:pPr>
      <w:r>
        <w:rPr>
          <w:rFonts w:ascii="Arial" w:cs="Arial" w:eastAsia="Arial" w:hAnsi="Arial"/>
          <w:sz w:val="18"/>
          <w:szCs w:val="18"/>
          <w:color w:val="auto"/>
        </w:rPr>
        <w:t>respective duly authorized officers on Schedule 1 hereto.</w:t>
      </w:r>
    </w:p>
    <w:p>
      <w:pPr>
        <w:spacing w:after="0" w:line="165" w:lineRule="exact"/>
        <w:rPr>
          <w:sz w:val="20"/>
          <w:szCs w:val="20"/>
          <w:color w:val="auto"/>
        </w:rPr>
      </w:pPr>
    </w:p>
    <w:p>
      <w:pPr>
        <w:ind w:left="3380"/>
        <w:spacing w:after="0"/>
        <w:rPr>
          <w:sz w:val="20"/>
          <w:szCs w:val="20"/>
          <w:color w:val="auto"/>
        </w:rPr>
      </w:pPr>
      <w:r>
        <w:rPr>
          <w:rFonts w:ascii="Arial" w:cs="Arial" w:eastAsia="Arial" w:hAnsi="Arial"/>
          <w:sz w:val="16"/>
          <w:szCs w:val="16"/>
          <w:i w:val="1"/>
          <w:iCs w:val="1"/>
          <w:color w:val="auto"/>
        </w:rPr>
        <w:t>[Remainder of page intentionally left blank. Schedule 1 to follow.]</w:t>
      </w:r>
    </w:p>
    <w:p>
      <w:pPr>
        <w:sectPr>
          <w:pgSz w:w="11900" w:h="16838" w:orient="portrait"/>
          <w:cols w:equalWidth="0" w:num="1">
            <w:col w:w="11400"/>
          </w:cols>
          <w:pgMar w:left="240" w:top="280" w:right="259" w:bottom="1440" w:gutter="0" w:footer="0" w:header="0"/>
          <w:type w:val="continuous"/>
        </w:sectPr>
      </w:pPr>
    </w:p>
    <w:bookmarkStart w:id="160" w:name="page161"/>
    <w:bookmarkEnd w:id="160"/>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Increased Revolving Commitment Activation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of Increasing Lender: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Increased Revolving Commitment Closing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89"/>
              </w:rPr>
              <w:t>Principal</w:t>
            </w:r>
          </w:p>
        </w:tc>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Total Amount of Revolving Commitment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3"/>
              </w:rPr>
              <w:t>Amount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7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7"/>
              </w:rPr>
              <w:t>of Increasing Lender</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8"/>
              </w:rPr>
              <w:t>Increased Revolving Commitment:</w:t>
            </w:r>
          </w:p>
        </w:tc>
        <w:tc>
          <w:tcPr>
            <w:tcW w:w="2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7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9"/>
              </w:rPr>
              <w:t>(including Increased Revolving Commitment):</w:t>
            </w:r>
          </w:p>
        </w:tc>
        <w:tc>
          <w:tcPr>
            <w:tcW w:w="0" w:type="dxa"/>
            <w:vAlign w:val="bottom"/>
          </w:tcPr>
          <w:p>
            <w:pPr>
              <w:spacing w:after="0"/>
              <w:rPr>
                <w:sz w:val="1"/>
                <w:szCs w:val="1"/>
                <w:color w:val="auto"/>
              </w:rPr>
            </w:pPr>
          </w:p>
        </w:tc>
      </w:tr>
      <w:tr>
        <w:trPr>
          <w:trHeight w:val="102"/>
        </w:trPr>
        <w:tc>
          <w:tcPr>
            <w:tcW w:w="380" w:type="dxa"/>
            <w:vAlign w:val="bottom"/>
            <w:vMerge w:val="restart"/>
          </w:tcPr>
          <w:p>
            <w:pPr>
              <w:spacing w:after="0"/>
              <w:rPr>
                <w:sz w:val="8"/>
                <w:szCs w:val="8"/>
                <w:color w:val="auto"/>
              </w:rPr>
            </w:pPr>
          </w:p>
        </w:tc>
        <w:tc>
          <w:tcPr>
            <w:tcW w:w="146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20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6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204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jc w:val="right"/>
              <w:ind w:right="2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4380" w:type="dxa"/>
            <w:vAlign w:val="bottom"/>
            <w:gridSpan w:val="4"/>
          </w:tcPr>
          <w:p>
            <w:pPr>
              <w:spacing w:after="0"/>
              <w:rPr>
                <w:sz w:val="20"/>
                <w:szCs w:val="20"/>
                <w:color w:val="auto"/>
              </w:rPr>
            </w:pPr>
            <w:r>
              <w:rPr>
                <w:rFonts w:ascii="Arial" w:cs="Arial" w:eastAsia="Arial" w:hAnsi="Arial"/>
                <w:sz w:val="18"/>
                <w:szCs w:val="18"/>
                <w:color w:val="auto"/>
              </w:rPr>
              <w:t>[NAME OF INCREASING LENDER]</w:t>
            </w: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380" w:type="dxa"/>
            <w:vAlign w:val="bottom"/>
            <w:gridSpan w:val="4"/>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380" w:type="dxa"/>
            <w:vAlign w:val="bottom"/>
            <w:gridSpan w:val="4"/>
          </w:tcPr>
          <w:p>
            <w:pPr>
              <w:spacing w:after="0"/>
              <w:rPr>
                <w:sz w:val="20"/>
                <w:szCs w:val="20"/>
                <w:color w:val="auto"/>
              </w:rPr>
            </w:pPr>
            <w:r>
              <w:rPr>
                <w:rFonts w:ascii="Arial" w:cs="Arial" w:eastAsia="Arial" w:hAnsi="Arial"/>
                <w:sz w:val="18"/>
                <w:szCs w:val="18"/>
                <w:color w:val="auto"/>
              </w:rPr>
              <w:t>COMCAST CORPORATION</w:t>
            </w: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380" w:type="dxa"/>
            <w:vAlign w:val="bottom"/>
            <w:gridSpan w:val="4"/>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20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380" w:type="dxa"/>
            <w:vAlign w:val="bottom"/>
            <w:gridSpan w:val="4"/>
          </w:tcPr>
          <w:p>
            <w:pPr>
              <w:spacing w:after="0"/>
              <w:rPr>
                <w:sz w:val="20"/>
                <w:szCs w:val="20"/>
                <w:color w:val="auto"/>
              </w:rPr>
            </w:pPr>
            <w:r>
              <w:rPr>
                <w:rFonts w:ascii="Arial" w:cs="Arial" w:eastAsia="Arial" w:hAnsi="Arial"/>
                <w:sz w:val="18"/>
                <w:szCs w:val="18"/>
                <w:color w:val="auto"/>
              </w:rPr>
              <w:t>Accepted:</w:t>
            </w: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380" w:type="dxa"/>
            <w:vAlign w:val="bottom"/>
            <w:gridSpan w:val="4"/>
          </w:tcPr>
          <w:p>
            <w:pPr>
              <w:spacing w:after="0"/>
              <w:rPr>
                <w:sz w:val="20"/>
                <w:szCs w:val="20"/>
                <w:color w:val="auto"/>
              </w:rPr>
            </w:pPr>
            <w:r>
              <w:rPr>
                <w:rFonts w:ascii="Arial" w:cs="Arial" w:eastAsia="Arial" w:hAnsi="Arial"/>
                <w:sz w:val="18"/>
                <w:szCs w:val="18"/>
                <w:color w:val="auto"/>
              </w:rPr>
              <w:t>JPMORGAN CHASE BANK, N.A.,</w:t>
            </w: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80" w:type="dxa"/>
            <w:vAlign w:val="bottom"/>
            <w:gridSpan w:val="4"/>
          </w:tcPr>
          <w:p>
            <w:pPr>
              <w:spacing w:after="0"/>
              <w:rPr>
                <w:sz w:val="20"/>
                <w:szCs w:val="20"/>
                <w:color w:val="auto"/>
              </w:rPr>
            </w:pPr>
            <w:r>
              <w:rPr>
                <w:rFonts w:ascii="Arial" w:cs="Arial" w:eastAsia="Arial" w:hAnsi="Arial"/>
                <w:sz w:val="18"/>
                <w:szCs w:val="18"/>
                <w:color w:val="auto"/>
              </w:rPr>
              <w:t>as Administrative Agent</w:t>
            </w: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4380" w:type="dxa"/>
            <w:vAlign w:val="bottom"/>
            <w:gridSpan w:val="4"/>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20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0" w:right="1440"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DEFERRED COMPENSATION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BACKGROUND AND COVERAGE OF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and Adoption of Plan</w:t>
      </w:r>
      <w:r>
        <w:rPr>
          <w:rFonts w:ascii="Arial" w:cs="Arial" w:eastAsia="Arial" w:hAnsi="Arial"/>
          <w:sz w:val="18"/>
          <w:szCs w:val="18"/>
          <w:color w:val="auto"/>
        </w:rPr>
        <w:t>.</w:t>
      </w:r>
    </w:p>
    <w:p>
      <w:pPr>
        <w:spacing w:after="0" w:line="171"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Amendment and Restatement of the Plan</w:t>
      </w:r>
      <w:r>
        <w:rPr>
          <w:rFonts w:ascii="Arial" w:cs="Arial" w:eastAsia="Arial" w:hAnsi="Arial"/>
          <w:sz w:val="16"/>
          <w:szCs w:val="16"/>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effective May 30, 2012. The Plan has previously been amended and restated from time to time,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to make desirable changes to the rules of the Plan.</w:t>
      </w:r>
    </w:p>
    <w:p>
      <w:pPr>
        <w:spacing w:after="0" w:line="12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Prior Plan</w:t>
      </w:r>
      <w:r>
        <w:rPr>
          <w:rFonts w:ascii="Arial" w:cs="Arial" w:eastAsia="Arial" w:hAnsi="Arial"/>
          <w:sz w:val="18"/>
          <w:szCs w:val="18"/>
          <w:color w:val="auto"/>
        </w:rPr>
        <w:t>. Prior to the Effective Date,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the Effective Date will be available to be deferred pursuant to the Plan, subject to its terms and conditions.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Section 409A.</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Plan Unfunded and Limited to Outside Directors, Directors Emeriti and Select Group of Management or Highly Compensated Employees</w:t>
      </w:r>
      <w:r>
        <w:rPr>
          <w:rFonts w:ascii="Arial" w:cs="Arial" w:eastAsia="Arial" w:hAnsi="Arial"/>
          <w:sz w:val="18"/>
          <w:szCs w:val="18"/>
          <w:color w:val="auto"/>
        </w:rPr>
        <w:t>. The Plan is unfunded and is maintained primarily for the purpose of providing Outside Directors, Directors Emeriti and a select group of management or highly compensated employees the opportunity to defer the receipt of compensation otherwise payable to such Outside Directors, Directors Emeriti and eligible employees in accordance with the terms of the Plan.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DEFINITIONS</w:t>
      </w:r>
    </w:p>
    <w:p>
      <w:pPr>
        <w:spacing w:after="0" w:line="1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ectPr>
          <w:pgSz w:w="11900" w:h="16838" w:orient="portrait"/>
          <w:cols w:equalWidth="0" w:num="1">
            <w:col w:w="11420"/>
          </w:cols>
          <w:pgMar w:left="240" w:top="125" w:right="239" w:bottom="1440" w:gutter="0" w:footer="0" w:header="0"/>
        </w:sectPr>
      </w:pPr>
    </w:p>
    <w:bookmarkStart w:id="162" w:name="page163"/>
    <w:bookmarkEnd w:id="1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or a Director Emeritus; and</w:t>
      </w:r>
    </w:p>
    <w:p>
      <w:pPr>
        <w:spacing w:after="0" w:line="171" w:lineRule="exact"/>
        <w:rPr>
          <w:rFonts w:ascii="Arial" w:cs="Arial" w:eastAsia="Arial" w:hAnsi="Arial"/>
          <w:sz w:val="18"/>
          <w:szCs w:val="18"/>
          <w:color w:val="auto"/>
        </w:rPr>
      </w:pPr>
    </w:p>
    <w:p>
      <w:pPr>
        <w:ind w:left="460" w:right="3400" w:firstLine="461"/>
        <w:spacing w:after="0" w:line="438" w:lineRule="auto"/>
        <w:tabs>
          <w:tab w:leader="none" w:pos="11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 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 (as defined in Section 3.1(a)(ii)).</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171" w:lineRule="exact"/>
        <w:rPr>
          <w:sz w:val="20"/>
          <w:szCs w:val="20"/>
          <w:color w:val="auto"/>
        </w:rPr>
      </w:pPr>
    </w:p>
    <w:p>
      <w:pPr>
        <w:ind w:right="240" w:firstLine="921"/>
        <w:spacing w:after="0" w:line="332" w:lineRule="auto"/>
        <w:tabs>
          <w:tab w:leader="none" w:pos="115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Except as otherwise provided in Sections 2.6(b), the Applicable Interest Rate means the interest rate that, when compounded daily pursuant to rules established by the Administrator from time to time, is mathematically equivalent to 12% per annum, compounded annually.</w:t>
      </w:r>
    </w:p>
    <w:p>
      <w:pPr>
        <w:spacing w:after="0" w:line="85" w:lineRule="exact"/>
        <w:rPr>
          <w:rFonts w:ascii="Arial" w:cs="Arial" w:eastAsia="Arial" w:hAnsi="Arial"/>
          <w:sz w:val="16"/>
          <w:szCs w:val="16"/>
          <w:color w:val="auto"/>
        </w:rPr>
      </w:pPr>
    </w:p>
    <w:p>
      <w:pPr>
        <w:ind w:right="100" w:firstLine="921"/>
        <w:spacing w:after="0" w:line="255" w:lineRule="auto"/>
        <w:tabs>
          <w:tab w:leader="none" w:pos="116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Beneficiary</w:t>
      </w:r>
      <w:r>
        <w:rPr>
          <w:rFonts w:ascii="Arial" w:cs="Arial" w:eastAsia="Arial" w:hAnsi="Arial"/>
          <w:sz w:val="16"/>
          <w:szCs w:val="16"/>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63" w:name="page164"/>
    <w:bookmarkEnd w:id="1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Company Stock</w:t>
      </w:r>
      <w:r>
        <w:rPr>
          <w:rFonts w:ascii="Arial" w:cs="Arial" w:eastAsia="Arial" w:hAnsi="Arial"/>
          <w:sz w:val="16"/>
          <w:szCs w:val="16"/>
          <w:color w:val="auto"/>
        </w:rPr>
        <w:t>” means with respect to amounts credited to the Company Stock Fund pursuant to deferral elections by Outside Directors or Directors Emeriti made pursuant to Section 3.1(a), Comcast Corporation Class A Common Stock, par value $0.01, including a fractional share, 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2.13. The Committee’s adjustment shall be effective and binding for all purposes of the Plan.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 provided that dividends and other distributions paid with respect to Company Stock after December 31, 2007 shall be deemed to be reinvested in additional hypothetical shares of Company Stock as of the payment date for such dividends and other distributions, based on the Fair Market Value of Company Stock as of such payment date, and provided further that dividends and other distributions paid with respect to Company Stock after May 30, 2012 shall be credited to the Income Fund.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171" w:lineRule="exact"/>
        <w:rPr>
          <w:sz w:val="20"/>
          <w:szCs w:val="20"/>
          <w:color w:val="auto"/>
        </w:rPr>
      </w:pPr>
    </w:p>
    <w:p>
      <w:pPr>
        <w:ind w:right="540" w:firstLine="921"/>
        <w:spacing w:after="0" w:line="332" w:lineRule="auto"/>
        <w:tabs>
          <w:tab w:leader="none" w:pos="115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the case of an Outside Director, the total remuneration payable in cash or payable in Company Stock (as elected by an Outside Director pursuant to the Comcast Corporation 2002 Non-Employee Director Compensation Plan) for services as a member of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64" w:name="page165"/>
    <w:bookmarkEnd w:id="1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and as a member of any Committee of the Board and in the case of a Director Emeritus, the total remuneration payable in cash for services to the Board.</w:t>
      </w:r>
    </w:p>
    <w:p>
      <w:pPr>
        <w:spacing w:after="0" w:line="194" w:lineRule="exact"/>
        <w:rPr>
          <w:sz w:val="20"/>
          <w:szCs w:val="20"/>
          <w:color w:val="auto"/>
        </w:rPr>
      </w:pPr>
    </w:p>
    <w:p>
      <w:pPr>
        <w:ind w:left="1160" w:hanging="239"/>
        <w:spacing w:after="0"/>
        <w:tabs>
          <w:tab w:leader="none" w:pos="11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In the case of an Eligible Employee, the total cash remuneration for services payable by a Participating Company, excluding (i) Severance Pay,</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sales commissions or other similar payments or awards, including payments earned under any sales incentive arrangement for employees of NBCUniversal,</w:t>
      </w:r>
    </w:p>
    <w:p>
      <w:pPr>
        <w:spacing w:after="0" w:line="32" w:lineRule="exact"/>
        <w:rPr>
          <w:rFonts w:ascii="Arial" w:cs="Arial" w:eastAsia="Arial" w:hAnsi="Arial"/>
          <w:sz w:val="16"/>
          <w:szCs w:val="16"/>
          <w:color w:val="auto"/>
        </w:rPr>
      </w:pPr>
    </w:p>
    <w:p>
      <w:pPr>
        <w:ind w:right="140" w:firstLine="8"/>
        <w:spacing w:after="0" w:line="261" w:lineRule="auto"/>
        <w:tabs>
          <w:tab w:leader="none" w:pos="30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bonuses earned under any program designated by the Company’s Programming Division as a “long-term incentive plan” and (iv) bonuses earned under any long-term incentive plan for employees of NBCUniversal.</w:t>
      </w:r>
    </w:p>
    <w:p>
      <w:pPr>
        <w:spacing w:after="0" w:line="13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or Director Emeritus, a Participant whose service as an Outside Director or Director Emeritus, is terminated by death.</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Director Emeritus</w:t>
      </w:r>
      <w:r>
        <w:rPr>
          <w:rFonts w:ascii="Arial" w:cs="Arial" w:eastAsia="Arial" w:hAnsi="Arial"/>
          <w:sz w:val="18"/>
          <w:szCs w:val="18"/>
          <w:color w:val="auto"/>
        </w:rPr>
        <w:t>” means an individual designated by the Board, in its sole discretion, as Director Emeritus, pursuant to the Board’s Director Emeritus Policy.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71" w:lineRule="exact"/>
        <w:rPr>
          <w:sz w:val="20"/>
          <w:szCs w:val="20"/>
          <w:color w:val="auto"/>
        </w:rPr>
      </w:pPr>
    </w:p>
    <w:p>
      <w:pPr>
        <w:ind w:right="340" w:firstLine="921"/>
        <w:spacing w:after="0" w:line="332" w:lineRule="auto"/>
        <w:tabs>
          <w:tab w:leader="none" w:pos="115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85" w:lineRule="exact"/>
        <w:rPr>
          <w:rFonts w:ascii="Arial" w:cs="Arial" w:eastAsia="Arial" w:hAnsi="Arial"/>
          <w:sz w:val="16"/>
          <w:szCs w:val="16"/>
          <w:color w:val="auto"/>
        </w:rPr>
      </w:pPr>
    </w:p>
    <w:p>
      <w:pPr>
        <w:ind w:right="100" w:firstLine="921"/>
        <w:spacing w:after="0" w:line="259" w:lineRule="auto"/>
        <w:tabs>
          <w:tab w:leader="none" w:pos="116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171" w:lineRule="exact"/>
        <w:rPr>
          <w:sz w:val="20"/>
          <w:szCs w:val="20"/>
          <w:color w:val="auto"/>
        </w:rPr>
      </w:pPr>
    </w:p>
    <w:p>
      <w:pPr>
        <w:ind w:right="120" w:firstLine="921"/>
        <w:spacing w:after="0" w:line="268" w:lineRule="auto"/>
        <w:tabs>
          <w:tab w:leader="none" w:pos="115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or Director Emeritus, a Participant whose service as an Outside Director or Director Emeritus, is terminated by reason of Disability;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65" w:name="page166"/>
    <w:bookmarkEnd w:id="16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The duly-appointed legal guardian of an individual described in Section 2.21(a) acting on behalf of such individual.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means any judgment, decree or order (including approval of a property settlement agreement) which:</w:t>
      </w:r>
    </w:p>
    <w:p>
      <w:pPr>
        <w:spacing w:after="0" w:line="171" w:lineRule="exact"/>
        <w:rPr>
          <w:sz w:val="20"/>
          <w:szCs w:val="20"/>
          <w:color w:val="auto"/>
        </w:rPr>
      </w:pPr>
    </w:p>
    <w:p>
      <w:pPr>
        <w:ind w:left="1160" w:hanging="239"/>
        <w:spacing w:after="0"/>
        <w:tabs>
          <w:tab w:leader="none" w:pos="11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Relates to the provision of child support, alimony payments or marital property rights to a spouse or former spouse of a Participant; and</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Is made pursuant to a State domestic relations law (including a community property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Grandfathered Employee;</w:t>
      </w:r>
    </w:p>
    <w:p>
      <w:pPr>
        <w:spacing w:after="0" w:line="171" w:lineRule="exact"/>
        <w:rPr>
          <w:rFonts w:ascii="Arial" w:cs="Arial" w:eastAsia="Arial" w:hAnsi="Arial"/>
          <w:sz w:val="18"/>
          <w:szCs w:val="18"/>
          <w:color w:val="auto"/>
        </w:rPr>
      </w:pPr>
    </w:p>
    <w:p>
      <w:pPr>
        <w:ind w:right="60" w:firstLine="921"/>
        <w:spacing w:after="0" w:line="268" w:lineRule="auto"/>
        <w:tabs>
          <w:tab w:leader="none" w:pos="116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New Key Employee;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Committee, in its discretion, as an Eligible Employee;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provided, in each case, that such individual’s Compensation is administered under the Company’s common payroll system.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332" w:lineRule="auto"/>
        <w:tabs>
          <w:tab w:leader="none" w:pos="115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85" w:lineRule="exact"/>
        <w:rPr>
          <w:rFonts w:ascii="Arial" w:cs="Arial" w:eastAsia="Arial" w:hAnsi="Arial"/>
          <w:sz w:val="16"/>
          <w:szCs w:val="16"/>
          <w:color w:val="auto"/>
        </w:rPr>
      </w:pPr>
    </w:p>
    <w:p>
      <w:pPr>
        <w:ind w:firstLine="921"/>
        <w:spacing w:after="0" w:line="259" w:lineRule="auto"/>
        <w:tabs>
          <w:tab w:leader="none" w:pos="116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 in good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faith.</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Grandfathered Employee</w:t>
      </w:r>
      <w:r>
        <w:rPr>
          <w:rFonts w:ascii="Arial" w:cs="Arial" w:eastAsia="Arial" w:hAnsi="Arial"/>
          <w:sz w:val="18"/>
          <w:szCs w:val="18"/>
          <w:color w:val="auto"/>
        </w:rPr>
        <w:t>” means:</w:t>
      </w:r>
    </w:p>
    <w:p>
      <w:pPr>
        <w:spacing w:after="0" w:line="171" w:lineRule="exact"/>
        <w:rPr>
          <w:sz w:val="20"/>
          <w:szCs w:val="20"/>
          <w:color w:val="auto"/>
        </w:rPr>
      </w:pPr>
    </w:p>
    <w:p>
      <w:pPr>
        <w:ind w:right="380" w:firstLine="921"/>
        <w:spacing w:after="0" w:line="268" w:lineRule="auto"/>
        <w:tabs>
          <w:tab w:leader="none" w:pos="115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employee of a Participating Company who, as of December 31, 1989, was eligible to participate in the Prior Plan and who has been in continuous service to the Company or an Affiliate since December 31, 1989.</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66" w:name="page167"/>
    <w:bookmarkEnd w:id="166"/>
    <w:p>
      <w:pPr>
        <w:ind w:right="80" w:firstLine="921"/>
        <w:spacing w:after="0" w:line="259" w:lineRule="auto"/>
        <w:tabs>
          <w:tab w:leader="none" w:pos="1162"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employee of a Participating Company who was, at any time before January 1, 1995, eligible to participate in the Comcast Corporation Deferred Compensation Plan and whose Annual Rate of Pay is $90,000 or more as of both (i) the date on which an Initial Election is filed with the Administrator and (ii) the first day of each calendar year beginning after December 31, 1994.</w:t>
      </w:r>
    </w:p>
    <w:p>
      <w:pPr>
        <w:spacing w:after="0" w:line="140" w:lineRule="exact"/>
        <w:rPr>
          <w:rFonts w:ascii="Arial" w:cs="Arial" w:eastAsia="Arial" w:hAnsi="Arial"/>
          <w:sz w:val="18"/>
          <w:szCs w:val="18"/>
          <w:color w:val="auto"/>
        </w:rPr>
      </w:pPr>
    </w:p>
    <w:p>
      <w:pPr>
        <w:ind w:right="20" w:firstLine="921"/>
        <w:spacing w:after="0" w:line="259" w:lineRule="auto"/>
        <w:tabs>
          <w:tab w:leader="none" w:pos="115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individual who was an employee of an entity that was a Participating Company in the Prior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140" w:lineRule="exact"/>
        <w:rPr>
          <w:rFonts w:ascii="Arial" w:cs="Arial" w:eastAsia="Arial" w:hAnsi="Arial"/>
          <w:sz w:val="18"/>
          <w:szCs w:val="18"/>
          <w:color w:val="auto"/>
        </w:rPr>
      </w:pPr>
    </w:p>
    <w:p>
      <w:pPr>
        <w:ind w:right="40" w:firstLine="921"/>
        <w:spacing w:after="0" w:line="256" w:lineRule="auto"/>
        <w:tabs>
          <w:tab w:leader="none" w:pos="116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Participant constitute an unforeseeable emergency and thus a Hardship within the meaning of this Paragraph 2.24.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Paragraph 2.24 for all Participants in similar circumstances.</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or Director Emeritus and is not actively employed by a Participating Company.</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2.28.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Administrator, filed with the Administrator in accordance with Article 3, pursuant to which an Outside Director, Director Emeritus or an Eligible Employee may:</w:t>
      </w:r>
    </w:p>
    <w:p>
      <w:pPr>
        <w:spacing w:after="0" w:line="132" w:lineRule="exact"/>
        <w:rPr>
          <w:sz w:val="20"/>
          <w:szCs w:val="20"/>
          <w:color w:val="auto"/>
        </w:rPr>
      </w:pPr>
    </w:p>
    <w:p>
      <w:pPr>
        <w:ind w:right="100" w:firstLine="921"/>
        <w:spacing w:after="0" w:line="259" w:lineRule="auto"/>
        <w:tabs>
          <w:tab w:leader="none" w:pos="11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Elect to defer any portion of the Compensation payable for the performance of services as an Outside Director, Director Emeritus or as an Eligible Employee following the time that such election is filed, provided that the maximum amount of Base Salary available for deferral shall be determined net of required withholdings and deductions 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by the Administrator in its sole discretion, but shall in no event be less than 85% of the Participant’s Base Salary; and</w:t>
      </w:r>
    </w:p>
    <w:p>
      <w:pPr>
        <w:spacing w:after="0" w:line="171" w:lineRule="exact"/>
        <w:rPr>
          <w:sz w:val="20"/>
          <w:szCs w:val="20"/>
          <w:color w:val="auto"/>
        </w:rPr>
      </w:pPr>
    </w:p>
    <w:p>
      <w:pPr>
        <w:ind w:left="1160" w:hanging="239"/>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w:t>
      </w:r>
    </w:p>
    <w:p>
      <w:pPr>
        <w:spacing w:after="0" w:line="171" w:lineRule="exact"/>
        <w:rPr>
          <w:sz w:val="20"/>
          <w:szCs w:val="20"/>
          <w:color w:val="auto"/>
        </w:rPr>
      </w:pPr>
    </w:p>
    <w:p>
      <w:pPr>
        <w:ind w:right="1100" w:firstLine="921"/>
        <w:spacing w:after="0" w:line="268" w:lineRule="auto"/>
        <w:tabs>
          <w:tab w:leader="none" w:pos="115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who becomes an employee of a Participating Company and has an Annual Rate of Pay of $200,000 or more as of his employment commencement date,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who has an Annual Rate of Pay that is increased to $200,000 or more and who, immediately preceding such increase, was not an Eligible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171" w:lineRule="exact"/>
        <w:rPr>
          <w:sz w:val="20"/>
          <w:szCs w:val="20"/>
          <w:color w:val="auto"/>
        </w:rPr>
      </w:pPr>
    </w:p>
    <w:p>
      <w:pPr>
        <w:ind w:right="540" w:firstLine="921"/>
        <w:spacing w:after="0" w:line="332" w:lineRule="auto"/>
        <w:tabs>
          <w:tab w:leader="none" w:pos="115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85" w:lineRule="exact"/>
        <w:rPr>
          <w:rFonts w:ascii="Arial" w:cs="Arial" w:eastAsia="Arial" w:hAnsi="Arial"/>
          <w:sz w:val="16"/>
          <w:szCs w:val="16"/>
          <w:color w:val="auto"/>
        </w:rPr>
      </w:pPr>
    </w:p>
    <w:p>
      <w:pPr>
        <w:ind w:right="360" w:firstLine="921"/>
        <w:spacing w:after="0" w:line="268" w:lineRule="auto"/>
        <w:tabs>
          <w:tab w:leader="none" w:pos="116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a Participant who is an Outside Director or Director Emeritus immediately preceding his termination of service, the Participant’s normal retirement from the Board.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2.33.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2.34. “</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the Company and each Affiliate of the Company designated by the Committee in which the Company owns, directly or indirectly, 50 percent or more of the voting interests or value. Notwithstanding the foregoing, the Administrator may delegate its authority to designate an eligible Affiliate as a Participating Company under this Section 2.34 to an officer of the Company or committee of two or more officers of the Company.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2.36. “</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Participant may earn Performance-Based Compensation.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68" w:name="page169"/>
    <w:bookmarkEnd w:id="1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2.38. “</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2005 Deferred Compensation Plan, as set forth herein, and as amended from time to time.</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2002 Deferred Compensation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2.44.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19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Initial Elections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320" w:firstLine="1492"/>
        <w:spacing w:after="0" w:line="291" w:lineRule="auto"/>
        <w:tabs>
          <w:tab w:leader="none" w:pos="1693" w:val="left"/>
        </w:tabs>
        <w:numPr>
          <w:ilvl w:val="1"/>
          <w:numId w:val="157"/>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Each Outside Director, Director Emeritus and Eligible Employee shall have the right to defer Compensation by filing an Initial Election with respect to Compensation that he would otherwise be entitled to receive for a calendar year at the time and in the manner described in this Article 3. The Compensation of such Outside Director, Director Emeritus or Eligible Employee for a calendar year shall be reduced in an amount equal to the portion of the Compensation deferred by such Outside Director, Director Emeritus or Eligible Employee for such calendar year pursuant to such Outside Director’s, Director Emeritus’s or Eligible Employee’s Initial Election. Such reduction shall be effected on a pro rata basis from each periodic installment payment of such Outside Director’s, Director Emeritus’s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69" w:name="page170"/>
    <w:bookmarkEnd w:id="169"/>
    <w:p>
      <w:pPr>
        <w:ind w:right="4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Eligible Employee’s Compensation for the calendar year (in accordance with the general pay practices of the Participating Company), and credited, as a bookkeeping entry, to such Outside Director’s, Director Emeritus’s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43" w:lineRule="exact"/>
        <w:rPr>
          <w:sz w:val="20"/>
          <w:szCs w:val="20"/>
          <w:color w:val="auto"/>
        </w:rPr>
      </w:pPr>
    </w:p>
    <w:p>
      <w:pPr>
        <w:ind w:firstLine="1492"/>
        <w:spacing w:after="0" w:line="290" w:lineRule="auto"/>
        <w:tabs>
          <w:tab w:leader="none" w:pos="1742"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Employees of NBCUniversal, LLC and its Subsidiaries</w:t>
      </w:r>
      <w:r>
        <w:rPr>
          <w:rFonts w:ascii="Arial" w:cs="Arial" w:eastAsia="Arial" w:hAnsi="Arial"/>
          <w:sz w:val="16"/>
          <w:szCs w:val="16"/>
          <w:color w:val="auto"/>
        </w:rPr>
        <w:t>. Effective and contingent upon the closing (the “Closing”) of the transactions contemplated by the Master Agreement, NBCUniversal, LLC and its subsidiaries (collectively, “NBCUniversal”) shall be Participating Companies, provided that employees of NBCUniversal who are “Eligible Employees” shall be eligible to make Initial Elections under the Plan only to the extent provided in this Section 3(a)(ii). For this purpose, the term “Master Agreement” means the Master Agreement, dated as of December 3, 2009, by and among: General Electric Company, a New York corporation; NBCUniversal, Inc., a Delaware corporation; Comcast; and, Navy, LLC, a Delaware limited liability company. The following employees of NBCUniversal shall be eligible to make Initial Elections with respect to calendar years beginning after 2010, provided that they are otherwise so eligible under the rules of the Plan other than this Section 3(a)(ii):</w:t>
      </w:r>
    </w:p>
    <w:p>
      <w:pPr>
        <w:spacing w:after="0" w:line="118" w:lineRule="exact"/>
        <w:rPr>
          <w:rFonts w:ascii="Arial" w:cs="Arial" w:eastAsia="Arial" w:hAnsi="Arial"/>
          <w:sz w:val="16"/>
          <w:szCs w:val="16"/>
          <w:color w:val="auto"/>
        </w:rPr>
      </w:pPr>
    </w:p>
    <w:p>
      <w:pPr>
        <w:ind w:right="120" w:firstLine="1948"/>
        <w:spacing w:after="0" w:line="298" w:lineRule="auto"/>
        <w:tabs>
          <w:tab w:leader="none" w:pos="2228" w:val="left"/>
        </w:tabs>
        <w:numPr>
          <w:ilvl w:val="1"/>
          <w:numId w:val="158"/>
        </w:numPr>
        <w:rPr>
          <w:rFonts w:ascii="Arial" w:cs="Arial" w:eastAsia="Arial" w:hAnsi="Arial"/>
          <w:sz w:val="16"/>
          <w:szCs w:val="16"/>
          <w:color w:val="auto"/>
        </w:rPr>
      </w:pPr>
      <w:r>
        <w:rPr>
          <w:rFonts w:ascii="Arial" w:cs="Arial" w:eastAsia="Arial" w:hAnsi="Arial"/>
          <w:sz w:val="16"/>
          <w:szCs w:val="16"/>
          <w:color w:val="auto"/>
        </w:rPr>
        <w:t>For 2011, except as otherwise provided by the Committee, (x) a “First Day Employee” of NBCUniversal who was an Eligible Employee as of December 31, 2010 and who, on or before December 31, 2010, has not filed an “Opt-In Election” with the Committee or its delegate and (y) an employee of NBCUniversal other than a “First Day Employee,” who was an Eligible Employee as of December 31, 2010 and (z) an employee of NBCUniversal who (I) becomes a New Key Employee in 2011 and (II) is assigned to a payroll of Comcast Corporation, as determined by the Committee or its delegate.</w:t>
      </w:r>
    </w:p>
    <w:p>
      <w:pPr>
        <w:spacing w:after="0" w:line="112" w:lineRule="exact"/>
        <w:rPr>
          <w:rFonts w:ascii="Arial" w:cs="Arial" w:eastAsia="Arial" w:hAnsi="Arial"/>
          <w:sz w:val="16"/>
          <w:szCs w:val="16"/>
          <w:color w:val="auto"/>
        </w:rPr>
      </w:pPr>
    </w:p>
    <w:p>
      <w:pPr>
        <w:jc w:val="both"/>
        <w:ind w:right="160" w:firstLine="1948"/>
        <w:spacing w:after="0" w:line="294" w:lineRule="auto"/>
        <w:tabs>
          <w:tab w:leader="none" w:pos="2218" w:val="left"/>
        </w:tabs>
        <w:numPr>
          <w:ilvl w:val="1"/>
          <w:numId w:val="158"/>
        </w:numPr>
        <w:rPr>
          <w:rFonts w:ascii="Arial" w:cs="Arial" w:eastAsia="Arial" w:hAnsi="Arial"/>
          <w:sz w:val="16"/>
          <w:szCs w:val="16"/>
          <w:color w:val="auto"/>
        </w:rPr>
      </w:pPr>
      <w:r>
        <w:rPr>
          <w:rFonts w:ascii="Arial" w:cs="Arial" w:eastAsia="Arial" w:hAnsi="Arial"/>
          <w:sz w:val="16"/>
          <w:szCs w:val="16"/>
          <w:color w:val="auto"/>
        </w:rPr>
        <w:t>For years beginning after 2011, except as otherwise provided by the Committee, (x) an employee of NBCUniversal other than a First-Day Employee who (I) is an Eligible Employee as of December 31, 2011 and (II) on or before December 31, 2011, has not filed an “Opt-In Election” with the Committee or its delegate and (y) an employee of NBCUniversal who (I) is an Eligible Employee as of December 31</w:t>
      </w:r>
      <w:r>
        <w:rPr>
          <w:rFonts w:ascii="Arial" w:cs="Arial" w:eastAsia="Arial" w:hAnsi="Arial"/>
          <w:sz w:val="10"/>
          <w:szCs w:val="10"/>
          <w:color w:val="auto"/>
        </w:rPr>
        <w:t>st</w:t>
      </w:r>
      <w:r>
        <w:rPr>
          <w:rFonts w:ascii="Arial" w:cs="Arial" w:eastAsia="Arial" w:hAnsi="Arial"/>
          <w:sz w:val="16"/>
          <w:szCs w:val="16"/>
          <w:color w:val="auto"/>
        </w:rPr>
        <w:t xml:space="preserve"> of any year beginning after 2011, (II) transferred employment to NBCUniversal directly from the Company or a Subsidiary other than NBCUniversal and (III) on or before December 31</w:t>
      </w:r>
      <w:r>
        <w:rPr>
          <w:rFonts w:ascii="Arial" w:cs="Arial" w:eastAsia="Arial" w:hAnsi="Arial"/>
          <w:sz w:val="10"/>
          <w:szCs w:val="10"/>
          <w:color w:val="auto"/>
        </w:rPr>
        <w:t>st</w:t>
      </w:r>
      <w:r>
        <w:rPr>
          <w:rFonts w:ascii="Arial" w:cs="Arial" w:eastAsia="Arial" w:hAnsi="Arial"/>
          <w:sz w:val="16"/>
          <w:szCs w:val="16"/>
          <w:color w:val="auto"/>
        </w:rPr>
        <w:t xml:space="preserve"> of the year such transfer of employment becomes effective, has not filed an “Opt-In Election” with the Committee or its delegate.</w:t>
      </w:r>
    </w:p>
    <w:p>
      <w:pPr>
        <w:spacing w:after="0" w:line="115" w:lineRule="exact"/>
        <w:rPr>
          <w:rFonts w:ascii="Arial" w:cs="Arial" w:eastAsia="Arial" w:hAnsi="Arial"/>
          <w:sz w:val="16"/>
          <w:szCs w:val="16"/>
          <w:color w:val="auto"/>
        </w:rPr>
      </w:pPr>
    </w:p>
    <w:p>
      <w:pPr>
        <w:ind w:left="1800" w:hanging="308"/>
        <w:spacing w:after="0"/>
        <w:tabs>
          <w:tab w:leader="none" w:pos="18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Special Definitions and Rules Applicable to NBCUniversal</w:t>
      </w:r>
      <w:r>
        <w:rPr>
          <w:rFonts w:ascii="Arial" w:cs="Arial" w:eastAsia="Arial" w:hAnsi="Arial"/>
          <w:sz w:val="18"/>
          <w:szCs w:val="18"/>
          <w:color w:val="auto"/>
        </w:rPr>
        <w:t>. For purposes of Section 3(a)(ii):</w:t>
      </w:r>
    </w:p>
    <w:p>
      <w:pPr>
        <w:spacing w:after="0" w:line="171" w:lineRule="exact"/>
        <w:rPr>
          <w:rFonts w:ascii="Arial" w:cs="Arial" w:eastAsia="Arial" w:hAnsi="Arial"/>
          <w:sz w:val="18"/>
          <w:szCs w:val="18"/>
          <w:color w:val="auto"/>
        </w:rPr>
      </w:pPr>
    </w:p>
    <w:p>
      <w:pPr>
        <w:ind w:right="100" w:firstLine="1948"/>
        <w:spacing w:after="0" w:line="306" w:lineRule="auto"/>
        <w:tabs>
          <w:tab w:leader="none" w:pos="2228"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 “First Day Employee” is an individual who is an Eligible Employee as of December 31, 2010 and who has been designated by the Committee or its delegate as an employee who is expected to have senior leadership responsibilities for NBCUniversal effective on the Closing or shortly thereafter in a capacity that is different from the capacity in which such employee served immediately before the Closing.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70" w:name="page171"/>
    <w:bookmarkEnd w:id="170"/>
    <w:p>
      <w:pPr>
        <w:ind w:right="40" w:firstLine="1948"/>
        <w:spacing w:after="0" w:line="291" w:lineRule="auto"/>
        <w:tabs>
          <w:tab w:leader="none" w:pos="2218" w:val="left"/>
        </w:tabs>
        <w:numPr>
          <w:ilvl w:val="1"/>
          <w:numId w:val="1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“Opt-In Election” is an irrevocable one-time election by an Eligible Employee on a form approved by the Committee or its delegate to become a Participant in one or more retirement or deferred compensation arrangements expected to be sponsored for the benefit of employees of NBCUniversal, as may be designated by the Committee or its delegate, effective for years beginning after the date of such Opt-In Election. For avoidance of doubt, all individuals who have filed an Opt-In Election shall be treated as an Active Participant for all other purposes of the Plan with respect such individual’s Account, if any, including but not limited to the provisions of the Plan relating to Subsequent Elections, and shall be treated as actively employed for purposes of the definition of the term “Applicable Interest Rate” until such individual ceases to be employed by the Company or an Affiliate.</w:t>
      </w:r>
    </w:p>
    <w:p>
      <w:pPr>
        <w:spacing w:after="0" w:line="120" w:lineRule="exact"/>
        <w:rPr>
          <w:rFonts w:ascii="Arial" w:cs="Arial" w:eastAsia="Arial" w:hAnsi="Arial"/>
          <w:sz w:val="16"/>
          <w:szCs w:val="16"/>
          <w:color w:val="auto"/>
        </w:rPr>
      </w:pPr>
    </w:p>
    <w:p>
      <w:pPr>
        <w:ind w:right="480" w:firstLine="921"/>
        <w:spacing w:after="0" w:line="259" w:lineRule="auto"/>
        <w:tabs>
          <w:tab w:leader="none" w:pos="1161"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Filing of Initial Election: General</w:t>
      </w:r>
      <w:r>
        <w:rPr>
          <w:rFonts w:ascii="Arial" w:cs="Arial" w:eastAsia="Arial" w:hAnsi="Arial"/>
          <w:sz w:val="16"/>
          <w:szCs w:val="16"/>
          <w:color w:val="auto"/>
        </w:rPr>
        <w:t>. An Initial Election shall be made on the form provided by the Administrator for this purpose. Except as provided in Section 3.3, no such Initial Election shall be effective with respect to Compensation other than Performance-Based Compensation unless it is filed with the Administrator on or before December 31 of the calendar year preceding the calendar year to which the Initial Election applies. 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9" w:lineRule="auto"/>
        <w:tabs>
          <w:tab w:leader="none" w:pos="1152"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New Key Employees</w:t>
      </w:r>
      <w:r>
        <w:rPr>
          <w:rFonts w:ascii="Arial" w:cs="Arial" w:eastAsia="Arial" w:hAnsi="Arial"/>
          <w:sz w:val="16"/>
          <w:szCs w:val="16"/>
          <w:color w:val="auto"/>
        </w:rPr>
        <w:t>. Notwithstanding Section 3.1 and Section 3.2, a New Key Employee may elect to defer Compensation by filing an Initial Election with respect to (i) base salary portion of his Compensation that he would otherwise be entitled to receive based on services performed in the calendar year in which the New Key Employee was hired or promoted, beginning with the payroll period next following the filing of an Initial Election with the Administrator and before the close of such calendar year, and (ii) the Performance-Based Compensation that he would otherwise be entitled to receive based on services performed for Performance Periods that include the calendar year in which the New Key Employee was hired or promoted and after the filing of the Initial Election. Such Initial Election must be filed with the Administrator within 30 days of such New Key Employee’s date of hire or within 30 days of the date such New Key Employee first becomes eligible to participate in the Plan. Any Initial Election by such New Key Employee for succeeding calendar years shall be made in accordance with Section 3.1 and Section 3.2.</w:t>
      </w:r>
    </w:p>
    <w:p>
      <w:pPr>
        <w:spacing w:after="0" w:line="118" w:lineRule="exact"/>
        <w:rPr>
          <w:rFonts w:ascii="Arial" w:cs="Arial" w:eastAsia="Arial" w:hAnsi="Arial"/>
          <w:sz w:val="16"/>
          <w:szCs w:val="16"/>
          <w:color w:val="auto"/>
        </w:rPr>
      </w:pPr>
    </w:p>
    <w:p>
      <w:pPr>
        <w:ind w:right="40" w:firstLine="921"/>
        <w:spacing w:after="0" w:line="259" w:lineRule="auto"/>
        <w:tabs>
          <w:tab w:leader="none" w:pos="1161"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New Outside Directors</w:t>
      </w:r>
      <w:r>
        <w:rPr>
          <w:rFonts w:ascii="Arial" w:cs="Arial" w:eastAsia="Arial" w:hAnsi="Arial"/>
          <w:sz w:val="18"/>
          <w:szCs w:val="18"/>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71" w:name="page172"/>
    <w:bookmarkEnd w:id="17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(provided that such Outside Director is not a member of the Board immediately preceding such effective date), beginning with Compensation earned following the filing of an Initial Election with the Administrator and before the close of such calendar year. Such Initial 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 A separate Initial Election may be made for each calendar year as to which an Outside Director, Director Emeritus or Eligible Employee desires to defer such Outside Director’s, Director Emeritus’s or Eligible Employee’s Compensation. The failure of an Outside Director, Director Emeritus or Eligible Employee to make an Initial Election for any calendar year shall not affect such Outside Director’s or Eligible Employee’s right to make an Initial Election for any other calendar year.</w:t>
      </w:r>
    </w:p>
    <w:p>
      <w:pPr>
        <w:spacing w:after="0" w:line="143" w:lineRule="exact"/>
        <w:rPr>
          <w:sz w:val="20"/>
          <w:szCs w:val="20"/>
          <w:color w:val="auto"/>
        </w:rPr>
      </w:pPr>
    </w:p>
    <w:p>
      <w:pPr>
        <w:ind w:firstLine="921"/>
        <w:spacing w:after="0" w:line="291" w:lineRule="auto"/>
        <w:tabs>
          <w:tab w:leader="none" w:pos="1152"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Initial Election of Distribution Date</w:t>
      </w:r>
      <w:r>
        <w:rPr>
          <w:rFonts w:ascii="Arial" w:cs="Arial" w:eastAsia="Arial" w:hAnsi="Arial"/>
          <w:sz w:val="16"/>
          <w:szCs w:val="16"/>
          <w:color w:val="auto"/>
        </w:rPr>
        <w:t>. Each Outside Director, Director Emeritus or Eligible Employee shall, contemporaneously with an Initial Election, also elect the time of payment of the amount of the deferred Compensation to which such Initial Election relates; provided, however, that, except as otherwise specifically provided by the Plan,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date the compensation subject to the Initial Election would be paid but for the Initial Election. Further, each Outside Director, Director Emeritus or Eligible Employee may select with each Initial Election the manner of distribution in accordance with Article 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Subsequent Elections</w:t>
      </w:r>
      <w:r>
        <w:rPr>
          <w:rFonts w:ascii="Arial" w:cs="Arial" w:eastAsia="Arial" w:hAnsi="Arial"/>
          <w:sz w:val="16"/>
          <w:szCs w:val="16"/>
          <w:color w:val="auto"/>
        </w:rPr>
        <w:t>. No Subsequent Election shall be effective until 12 months after the date on which such Subsequent Election is made.</w:t>
      </w:r>
    </w:p>
    <w:p>
      <w:pPr>
        <w:spacing w:after="0" w:line="194" w:lineRule="exact"/>
        <w:rPr>
          <w:sz w:val="20"/>
          <w:szCs w:val="20"/>
          <w:color w:val="auto"/>
        </w:rPr>
      </w:pPr>
    </w:p>
    <w:p>
      <w:pPr>
        <w:ind w:right="260" w:firstLine="921"/>
        <w:spacing w:after="0" w:line="298" w:lineRule="auto"/>
        <w:tabs>
          <w:tab w:leader="none" w:pos="1152"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Active Participants</w:t>
      </w:r>
      <w:r>
        <w:rPr>
          <w:rFonts w:ascii="Arial" w:cs="Arial" w:eastAsia="Arial" w:hAnsi="Arial"/>
          <w:sz w:val="16"/>
          <w:szCs w:val="16"/>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3.5(a) shall not be limited.</w:t>
      </w:r>
    </w:p>
    <w:p>
      <w:pPr>
        <w:spacing w:after="0" w:line="112" w:lineRule="exact"/>
        <w:rPr>
          <w:rFonts w:ascii="Arial" w:cs="Arial" w:eastAsia="Arial" w:hAnsi="Arial"/>
          <w:sz w:val="16"/>
          <w:szCs w:val="16"/>
          <w:color w:val="auto"/>
        </w:rPr>
      </w:pPr>
    </w:p>
    <w:p>
      <w:pPr>
        <w:ind w:right="40" w:firstLine="921"/>
        <w:spacing w:after="0" w:line="255" w:lineRule="auto"/>
        <w:tabs>
          <w:tab w:leader="none" w:pos="1161"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Inactive Participants</w:t>
      </w:r>
      <w:r>
        <w:rPr>
          <w:rFonts w:ascii="Arial" w:cs="Arial" w:eastAsia="Arial" w:hAnsi="Arial"/>
          <w:sz w:val="18"/>
          <w:szCs w:val="18"/>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Surviving Spouses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72" w:name="page173"/>
    <w:bookmarkEnd w:id="172"/>
    <w:p>
      <w:pPr>
        <w:ind w:firstLine="1492"/>
        <w:spacing w:after="0" w:line="253" w:lineRule="auto"/>
        <w:tabs>
          <w:tab w:leader="none" w:pos="1693"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Election</w:t>
      </w:r>
      <w:r>
        <w:rPr>
          <w:rFonts w:ascii="Arial" w:cs="Arial" w:eastAsia="Arial" w:hAnsi="Arial"/>
          <w:sz w:val="18"/>
          <w:szCs w:val="18"/>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3.5(c)(ii), with respect to all or any part of the Deceased Participant’s Account. Subsequent Elections pursuant to this Section 3.5(c)(ii) may specify different changes with respect to different parts of the Deceased Participant’s Account.</w:t>
      </w:r>
    </w:p>
    <w:p>
      <w:pPr>
        <w:spacing w:after="0" w:line="147" w:lineRule="exact"/>
        <w:rPr>
          <w:rFonts w:ascii="Arial" w:cs="Arial" w:eastAsia="Arial" w:hAnsi="Arial"/>
          <w:sz w:val="18"/>
          <w:szCs w:val="18"/>
          <w:color w:val="auto"/>
        </w:rPr>
      </w:pPr>
    </w:p>
    <w:p>
      <w:pPr>
        <w:ind w:left="1160" w:hanging="239"/>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Beneficiary of a Deceased Participant Other Than a Surviving Spouse.</w:t>
      </w:r>
    </w:p>
    <w:p>
      <w:pPr>
        <w:spacing w:after="0" w:line="171" w:lineRule="exact"/>
        <w:rPr>
          <w:rFonts w:ascii="Arial" w:cs="Arial" w:eastAsia="Arial" w:hAnsi="Arial"/>
          <w:sz w:val="18"/>
          <w:szCs w:val="18"/>
          <w:color w:val="auto"/>
        </w:rPr>
      </w:pPr>
    </w:p>
    <w:p>
      <w:pPr>
        <w:ind w:right="40" w:firstLine="1492"/>
        <w:spacing w:after="0" w:line="291" w:lineRule="auto"/>
        <w:tabs>
          <w:tab w:leader="none" w:pos="1693"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Subsequent Election</w:t>
      </w:r>
      <w:r>
        <w:rPr>
          <w:rFonts w:ascii="Arial" w:cs="Arial" w:eastAsia="Arial" w:hAnsi="Arial"/>
          <w:sz w:val="16"/>
          <w:szCs w:val="16"/>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 previously-elected payment date. A Beneficiary may make one (1) Subsequent Election under this Section 3.5(d)(i), with respect to all or any part of the Deceased Participant’s Account. Subsequent Elections pursuant to this Section 3.5(d)(i) may specify different changes with respect to different parts of the Deceased Participant’s Account.</w:t>
      </w:r>
    </w:p>
    <w:p>
      <w:pPr>
        <w:spacing w:after="0" w:line="120" w:lineRule="exact"/>
        <w:rPr>
          <w:rFonts w:ascii="Arial" w:cs="Arial" w:eastAsia="Arial" w:hAnsi="Arial"/>
          <w:sz w:val="16"/>
          <w:szCs w:val="16"/>
          <w:color w:val="auto"/>
        </w:rPr>
      </w:pPr>
    </w:p>
    <w:p>
      <w:pPr>
        <w:ind w:right="80" w:firstLine="921"/>
        <w:spacing w:after="0" w:line="291" w:lineRule="auto"/>
        <w:tabs>
          <w:tab w:leader="none" w:pos="1152"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120" w:lineRule="exact"/>
        <w:rPr>
          <w:rFonts w:ascii="Arial" w:cs="Arial" w:eastAsia="Arial" w:hAnsi="Arial"/>
          <w:sz w:val="16"/>
          <w:szCs w:val="16"/>
          <w:color w:val="auto"/>
        </w:rPr>
      </w:pPr>
    </w:p>
    <w:p>
      <w:pPr>
        <w:ind w:right="80" w:firstLine="921"/>
        <w:spacing w:after="0" w:line="259" w:lineRule="auto"/>
        <w:tabs>
          <w:tab w:leader="none" w:pos="1132"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Most Recently Filed Initial Election or Subsequent Election Controlling</w:t>
      </w:r>
      <w:r>
        <w:rPr>
          <w:rFonts w:ascii="Arial" w:cs="Arial" w:eastAsia="Arial" w:hAnsi="Arial"/>
          <w:sz w:val="18"/>
          <w:szCs w:val="18"/>
          <w:color w:val="auto"/>
        </w:rPr>
        <w:t>. Except as otherwise specifically provided by the Plan,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Discretion to Provide for Distribution in Full Upon or Following a Change of Control</w:t>
      </w:r>
      <w:r>
        <w:rPr>
          <w:rFonts w:ascii="Arial" w:cs="Arial" w:eastAsia="Arial" w:hAnsi="Arial"/>
          <w:sz w:val="18"/>
          <w:szCs w:val="18"/>
          <w:color w:val="auto"/>
        </w:rPr>
        <w:t>. To the extent permitted by Section 409A, in connection with a Change of Control, and for the 12-month period following a Change of Control, the Committee may exercise its discretion to terminate the Plan and, notwithstanding any other provision of the Plan or the terms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73" w:name="page174"/>
    <w:bookmarkEnd w:id="173"/>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any Initial Election or Subsequent Election, distribute the Account balance of each Participant in full and thereby effect the revocation of any outstanding Initial Elections or Subsequent Elections.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171" w:lineRule="exact"/>
        <w:rPr>
          <w:sz w:val="20"/>
          <w:szCs w:val="20"/>
          <w:color w:val="auto"/>
        </w:rPr>
      </w:pPr>
    </w:p>
    <w:p>
      <w:pPr>
        <w:ind w:right="180" w:firstLine="921"/>
        <w:spacing w:after="0" w:line="298" w:lineRule="auto"/>
        <w:tabs>
          <w:tab w:leader="none" w:pos="115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Section 409A, the Administrator shall apply the terms of Section 3.7(b) to the Decedent’s Account unless the Decedent affirmatively has elected, in writing, filed with the Administrator, to waive the application of Section 3.7(b).</w:t>
      </w:r>
    </w:p>
    <w:p>
      <w:pPr>
        <w:spacing w:after="0" w:line="112" w:lineRule="exact"/>
        <w:rPr>
          <w:rFonts w:ascii="Arial" w:cs="Arial" w:eastAsia="Arial" w:hAnsi="Arial"/>
          <w:sz w:val="16"/>
          <w:szCs w:val="16"/>
          <w:color w:val="auto"/>
        </w:rPr>
      </w:pPr>
    </w:p>
    <w:p>
      <w:pPr>
        <w:ind w:right="220" w:firstLine="921"/>
        <w:spacing w:after="0" w:line="268" w:lineRule="auto"/>
        <w:tabs>
          <w:tab w:leader="none" w:pos="116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 but only to the extent permitted under Section 409A:</w:t>
      </w:r>
    </w:p>
    <w:p>
      <w:pPr>
        <w:spacing w:after="0" w:line="131" w:lineRule="exact"/>
        <w:rPr>
          <w:rFonts w:ascii="Arial" w:cs="Arial" w:eastAsia="Arial" w:hAnsi="Arial"/>
          <w:sz w:val="18"/>
          <w:szCs w:val="18"/>
          <w:color w:val="auto"/>
        </w:rPr>
      </w:pPr>
    </w:p>
    <w:p>
      <w:pPr>
        <w:ind w:firstLine="1492"/>
        <w:spacing w:after="0" w:line="268" w:lineRule="auto"/>
        <w:tabs>
          <w:tab w:leader="none" w:pos="169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31" w:lineRule="exact"/>
        <w:rPr>
          <w:rFonts w:ascii="Arial" w:cs="Arial" w:eastAsia="Arial" w:hAnsi="Arial"/>
          <w:sz w:val="18"/>
          <w:szCs w:val="18"/>
          <w:color w:val="auto"/>
        </w:rPr>
      </w:pPr>
    </w:p>
    <w:p>
      <w:pPr>
        <w:ind w:right="120" w:firstLine="1492"/>
        <w:spacing w:after="0" w:line="268" w:lineRule="auto"/>
        <w:tabs>
          <w:tab w:leader="none" w:pos="174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31" w:lineRule="exact"/>
        <w:rPr>
          <w:rFonts w:ascii="Arial" w:cs="Arial" w:eastAsia="Arial" w:hAnsi="Arial"/>
          <w:sz w:val="18"/>
          <w:szCs w:val="18"/>
          <w:color w:val="auto"/>
        </w:rPr>
      </w:pPr>
    </w:p>
    <w:p>
      <w:pPr>
        <w:ind w:right="280" w:firstLine="1492"/>
        <w:spacing w:after="0" w:line="298" w:lineRule="auto"/>
        <w:tabs>
          <w:tab w:leader="none" w:pos="1791"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12" w:lineRule="exact"/>
        <w:rPr>
          <w:rFonts w:ascii="Arial" w:cs="Arial" w:eastAsia="Arial" w:hAnsi="Arial"/>
          <w:sz w:val="16"/>
          <w:szCs w:val="16"/>
          <w:color w:val="auto"/>
        </w:rPr>
      </w:pPr>
    </w:p>
    <w:p>
      <w:pPr>
        <w:ind w:right="140" w:firstLine="1492"/>
        <w:spacing w:after="0" w:line="291" w:lineRule="auto"/>
        <w:tabs>
          <w:tab w:leader="none" w:pos="1781" w:val="left"/>
        </w:tabs>
        <w:numPr>
          <w:ilvl w:val="1"/>
          <w:numId w:val="166"/>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174" w:name="page175"/>
    <w:bookmarkEnd w:id="174"/>
    <w:p>
      <w:pPr>
        <w:ind w:firstLine="1492"/>
        <w:spacing w:after="0" w:line="332" w:lineRule="auto"/>
        <w:tabs>
          <w:tab w:leader="none" w:pos="1732" w:val="left"/>
        </w:tabs>
        <w:numPr>
          <w:ilvl w:val="0"/>
          <w:numId w:val="1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85" w:lineRule="exact"/>
        <w:rPr>
          <w:rFonts w:ascii="Arial" w:cs="Arial" w:eastAsia="Arial" w:hAnsi="Arial"/>
          <w:sz w:val="16"/>
          <w:szCs w:val="16"/>
          <w:color w:val="auto"/>
        </w:rPr>
      </w:pPr>
    </w:p>
    <w:p>
      <w:pPr>
        <w:ind w:right="20" w:firstLine="1492"/>
        <w:spacing w:after="0" w:line="268" w:lineRule="auto"/>
        <w:tabs>
          <w:tab w:leader="none" w:pos="178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Within 30 days after the Death Tax Clearance Date or upon the payment date designated in the Decedent’s Initial Election or Subsequent Election, if later, the Administrator shall pay the Decedent’s Account to the Beneficiary.</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Company Credits</w:t>
      </w:r>
      <w:r>
        <w:rPr>
          <w:rFonts w:ascii="Arial" w:cs="Arial" w:eastAsia="Arial" w:hAnsi="Arial"/>
          <w:sz w:val="16"/>
          <w:szCs w:val="16"/>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Committee, as a bookkeeping entry to such Eligible Employee’s Account in accordance with Section 5.1. From and after the date Company Credits are allocated as designated by the Committee, Company Credits shall be credited with income, gains and losses on the same basis as all other amounts credited to the Participant’s Account pursuant to Section 5.2.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10"/>
          <w:szCs w:val="10"/>
          <w:color w:val="auto"/>
        </w:rPr>
        <w:t>nd</w:t>
      </w:r>
      <w:r>
        <w:rPr>
          <w:rFonts w:ascii="Arial" w:cs="Arial" w:eastAsia="Arial" w:hAnsi="Arial"/>
          <w:sz w:val="16"/>
          <w:szCs w:val="16"/>
          <w:color w:val="auto"/>
        </w:rPr>
        <w:t xml:space="preserve"> of the third calendar year beginning after the Plan Year with respect to which the Company Credits were authorized, unless the Participant timely designates another time and form of payment that is a permissible time and form of payment for amounts subject to an Initial Election under Section 3.4(a)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w:t>
      </w:r>
    </w:p>
    <w:p>
      <w:pPr>
        <w:spacing w:after="0" w:line="171" w:lineRule="exact"/>
        <w:rPr>
          <w:sz w:val="20"/>
          <w:szCs w:val="20"/>
          <w:color w:val="auto"/>
        </w:rPr>
      </w:pPr>
    </w:p>
    <w:p>
      <w:pPr>
        <w:jc w:val="both"/>
        <w:ind w:right="620" w:firstLine="913"/>
        <w:spacing w:after="0" w:line="298" w:lineRule="auto"/>
        <w:rPr>
          <w:sz w:val="20"/>
          <w:szCs w:val="20"/>
          <w:color w:val="auto"/>
        </w:rPr>
      </w:pPr>
      <w:r>
        <w:rPr>
          <w:rFonts w:ascii="Arial" w:cs="Arial" w:eastAsia="Arial" w:hAnsi="Arial"/>
          <w:sz w:val="16"/>
          <w:szCs w:val="16"/>
          <w:color w:val="auto"/>
        </w:rPr>
        <w:t xml:space="preserve">3.9.1. </w:t>
      </w: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13"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3.9.2.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For purposes of the Plan, a transfer of an employee between two employers, each of which is a Company, shall not be deemed a termination of employment. A Participant who is a Non-Employee Director shall be treated as having terminated employment on the Participant’s termination of service as a Non-Employee Director, provided that if such a Participant is designated as a Director Emeritus upon termination of service as a Non-Employee Director, such Participant shall not be treated as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having terminated employment until the Participant’s termination of service as a Director Emeritus.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 – MANNER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right="160" w:firstLine="8"/>
        <w:spacing w:after="0" w:line="261" w:lineRule="auto"/>
        <w:tabs>
          <w:tab w:leader="none" w:pos="25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substantially equal monthly or annual installments over a five (5), ten (10) or fifteen (15) year period. Installment distributions payable in the form of shares of Company Stock shall be rounded to the nearest whole share.</w:t>
      </w:r>
    </w:p>
    <w:p>
      <w:pPr>
        <w:spacing w:after="0" w:line="137" w:lineRule="exact"/>
        <w:rPr>
          <w:rFonts w:ascii="Arial" w:cs="Arial" w:eastAsia="Arial" w:hAnsi="Arial"/>
          <w:sz w:val="18"/>
          <w:szCs w:val="18"/>
          <w:color w:val="auto"/>
        </w:rPr>
      </w:pPr>
    </w:p>
    <w:p>
      <w:pPr>
        <w:ind w:left="1160" w:hanging="239"/>
        <w:spacing w:after="0"/>
        <w:tabs>
          <w:tab w:leader="none" w:pos="116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To the extent permitted by Section 409A, notwithstanding any Initial Election, Subsequent Election or any other provision of the Plan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164" w:lineRule="exact"/>
        <w:rPr>
          <w:rFonts w:ascii="Arial" w:cs="Arial" w:eastAsia="Arial" w:hAnsi="Arial"/>
          <w:sz w:val="16"/>
          <w:szCs w:val="16"/>
          <w:color w:val="auto"/>
        </w:rPr>
      </w:pPr>
    </w:p>
    <w:p>
      <w:pPr>
        <w:ind w:right="80" w:firstLine="1492"/>
        <w:spacing w:after="0" w:line="259" w:lineRule="auto"/>
        <w:tabs>
          <w:tab w:leader="none" w:pos="1693" w:val="left"/>
        </w:tabs>
        <w:numPr>
          <w:ilvl w:val="2"/>
          <w:numId w:val="169"/>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2"/>
          <w:numId w:val="169"/>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4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Determination of Account Balances for Purposes of Distribution</w:t>
      </w:r>
      <w:r>
        <w:rPr>
          <w:rFonts w:ascii="Arial" w:cs="Arial" w:eastAsia="Arial" w:hAnsi="Arial"/>
          <w:sz w:val="18"/>
          <w:szCs w:val="18"/>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Company Stock Fund and Income Fund, as applicable, through the date immediately preceding the date on which the distribution request is transmitted to the recordkeeper.</w:t>
      </w:r>
    </w:p>
    <w:p>
      <w:pPr>
        <w:spacing w:after="0" w:line="14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 Change in Time and Form of Election Pursuant to Special Section 409A Transition Rules</w:t>
      </w:r>
      <w:r>
        <w:rPr>
          <w:rFonts w:ascii="Arial" w:cs="Arial" w:eastAsia="Arial" w:hAnsi="Arial"/>
          <w:sz w:val="18"/>
          <w:szCs w:val="18"/>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40" w:lineRule="exact"/>
        <w:rPr>
          <w:sz w:val="20"/>
          <w:szCs w:val="20"/>
          <w:color w:val="auto"/>
        </w:rPr>
      </w:pPr>
    </w:p>
    <w:p>
      <w:pPr>
        <w:ind w:right="20" w:firstLine="921"/>
        <w:spacing w:after="0" w:line="268" w:lineRule="auto"/>
        <w:tabs>
          <w:tab w:leader="none" w:pos="11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76" w:name="page177"/>
    <w:bookmarkEnd w:id="176"/>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40" w:lineRule="exact"/>
        <w:rPr>
          <w:sz w:val="20"/>
          <w:szCs w:val="20"/>
          <w:color w:val="auto"/>
        </w:rPr>
      </w:pPr>
    </w:p>
    <w:p>
      <w:pPr>
        <w:ind w:right="120" w:firstLine="921"/>
        <w:spacing w:after="0" w:line="294" w:lineRule="auto"/>
        <w:tabs>
          <w:tab w:leader="none" w:pos="116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Pursuant to Final Treasury Regulations issued under section 409A of the Code, to the extent provided by the Committee or its delegate:</w:t>
      </w:r>
    </w:p>
    <w:p>
      <w:pPr>
        <w:spacing w:after="0" w:line="194" w:lineRule="exact"/>
        <w:rPr>
          <w:rFonts w:ascii="Arial" w:cs="Arial" w:eastAsia="Arial" w:hAnsi="Arial"/>
          <w:sz w:val="16"/>
          <w:szCs w:val="16"/>
          <w:color w:val="auto"/>
        </w:rPr>
      </w:pPr>
    </w:p>
    <w:p>
      <w:pPr>
        <w:ind w:right="20" w:firstLine="1492"/>
        <w:spacing w:after="0" w:line="291" w:lineRule="auto"/>
        <w:tabs>
          <w:tab w:leader="none" w:pos="1693"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 Participant may, during the period extending from January 1, 2007 to December 31, 2007, with respect to all or any portion of his or her account under the 2005 Plan that is scheduled to be paid after December 31, 2007, and with respect to all or any portion of his or her account under the Prior Plan that is scheduled to be paid after December 31, 2007, make new payment elections as to the form and timing of payment of such amounts as may be permitted under this Plan, provided that following the completion of such new payment election, amounts previously credited under the Prior Plan shall not be treated as grandfathered benefits under the Prior Plan, but instead shall be treated as non-grandfathered benefits, subject to the rules of this Plan, and provided that no portion of the benefit subject to such an election shall be payable before January 1, 2008.</w:t>
      </w:r>
    </w:p>
    <w:p>
      <w:pPr>
        <w:spacing w:after="0" w:line="120" w:lineRule="exact"/>
        <w:rPr>
          <w:rFonts w:ascii="Arial" w:cs="Arial" w:eastAsia="Arial" w:hAnsi="Arial"/>
          <w:sz w:val="16"/>
          <w:szCs w:val="16"/>
          <w:color w:val="auto"/>
        </w:rPr>
      </w:pPr>
    </w:p>
    <w:p>
      <w:pPr>
        <w:ind w:firstLine="1492"/>
        <w:spacing w:after="0" w:line="291" w:lineRule="auto"/>
        <w:tabs>
          <w:tab w:leader="none" w:pos="1742"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 Participant may, during the period extending from January 1, 2008 to December 31, 2008, with respect to all or any portion of his or her account under the 2005 Plan that is scheduled to be paid after December 31, 2008, and with respect to all or any portion of his or her account under the Prior Plan that is scheduled to be paid after December 31, 2008, make new payment elections as to the form and timing of payment of such amounts as may be permitted under this Plan, provided that following the completion of such new payment election, amounts previously credited under the Prior Plan shall not be treated as grandfathered benefits under the Prior Plan, but instead shall be treated as non-grandfathered benefits, subject to the rules of this Plan, and provided that no portion of the benefit subject to such an election shall be payable before January 1, 2009.</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 – BOOK ACCOUNTS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A Deferred Compensation Account shall be established for each Outside Director, Director Emeritus and Eligible Employee when such Outside Director, Director Emeritus or Eligible Employee becomes a Participant. Compensation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77" w:name="page178"/>
    <w:bookmarkEnd w:id="17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pursuant to the Plan shall be credited to the Account on the date such Compensation would otherwise have been payable to the Participant.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171" w:lineRule="exact"/>
        <w:rPr>
          <w:sz w:val="20"/>
          <w:szCs w:val="20"/>
          <w:color w:val="auto"/>
        </w:rPr>
      </w:pPr>
    </w:p>
    <w:p>
      <w:pPr>
        <w:ind w:right="620" w:firstLine="921"/>
        <w:spacing w:after="0" w:line="268" w:lineRule="auto"/>
        <w:tabs>
          <w:tab w:leader="none" w:pos="1152"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131" w:lineRule="exact"/>
        <w:rPr>
          <w:rFonts w:ascii="Arial" w:cs="Arial" w:eastAsia="Arial" w:hAnsi="Arial"/>
          <w:sz w:val="18"/>
          <w:szCs w:val="18"/>
          <w:color w:val="auto"/>
        </w:rPr>
      </w:pPr>
    </w:p>
    <w:p>
      <w:pPr>
        <w:jc w:val="both"/>
        <w:ind w:right="20" w:firstLine="921"/>
        <w:spacing w:after="0" w:line="259" w:lineRule="auto"/>
        <w:tabs>
          <w:tab w:leader="none" w:pos="1161"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140" w:lineRule="exact"/>
        <w:rPr>
          <w:rFonts w:ascii="Arial" w:cs="Arial" w:eastAsia="Arial" w:hAnsi="Arial"/>
          <w:sz w:val="18"/>
          <w:szCs w:val="18"/>
          <w:color w:val="auto"/>
        </w:rPr>
      </w:pPr>
    </w:p>
    <w:p>
      <w:pPr>
        <w:ind w:right="200" w:firstLine="921"/>
        <w:spacing w:after="0" w:line="256" w:lineRule="auto"/>
        <w:tabs>
          <w:tab w:leader="none" w:pos="1152"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143" w:lineRule="exact"/>
        <w:rPr>
          <w:rFonts w:ascii="Arial" w:cs="Arial" w:eastAsia="Arial" w:hAnsi="Arial"/>
          <w:sz w:val="18"/>
          <w:szCs w:val="18"/>
          <w:color w:val="auto"/>
        </w:rPr>
      </w:pPr>
    </w:p>
    <w:p>
      <w:pPr>
        <w:ind w:firstLine="921"/>
        <w:spacing w:after="0" w:line="289" w:lineRule="auto"/>
        <w:tabs>
          <w:tab w:leader="none" w:pos="1161"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eliminate any priority or preferred position of a Participant in a bankruptcy matter with respect to claims for wages.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Non-Alienation</w:t>
      </w:r>
      <w:r>
        <w:rPr>
          <w:rFonts w:ascii="Arial" w:cs="Arial" w:eastAsia="Arial" w:hAnsi="Arial"/>
          <w:sz w:val="18"/>
          <w:szCs w:val="18"/>
          <w:color w:val="auto"/>
        </w:rPr>
        <w:t>.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Domestic Relations Orders</w:t>
      </w:r>
      <w:r>
        <w:rPr>
          <w:rFonts w:ascii="Arial" w:cs="Arial" w:eastAsia="Arial" w:hAnsi="Arial"/>
          <w:sz w:val="18"/>
          <w:szCs w:val="18"/>
          <w:color w:val="auto"/>
        </w:rPr>
        <w:t>. Notwithstanding any other provision of the Plan or the terms of any Initial Election or Subsequent Election, the Plan shall honor the terms of a Domestic Relations Order if the Administrator or its delegate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 soon as administratively practicable following the determination that the Domestic Relations Order meets the conditions for approval.</w:t>
      </w:r>
    </w:p>
    <w:p>
      <w:pPr>
        <w:spacing w:after="0" w:line="14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Payee Designation</w:t>
      </w:r>
      <w:r>
        <w:rPr>
          <w:rFonts w:ascii="Arial" w:cs="Arial" w:eastAsia="Arial" w:hAnsi="Arial"/>
          <w:sz w:val="18"/>
          <w:szCs w:val="18"/>
          <w:color w:val="auto"/>
        </w:rPr>
        <w:t>.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 – DEATH OF PARTICIPANT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defer the time of payment pursuant to Section 3.5.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79" w:name="page180"/>
    <w:bookmarkEnd w:id="179"/>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 HARDSHIP AND OTHER ACCELERATION EVENTS</w:t>
      </w:r>
    </w:p>
    <w:p>
      <w:pPr>
        <w:spacing w:after="0" w:line="17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Hardship</w:t>
      </w:r>
      <w:r>
        <w:rPr>
          <w:rFonts w:ascii="Arial" w:cs="Arial" w:eastAsia="Arial" w:hAnsi="Arial"/>
          <w:sz w:val="16"/>
          <w:szCs w:val="16"/>
          <w:color w:val="auto"/>
        </w:rPr>
        <w:t>. 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85"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Participant’s Account may be made: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8.2.1. To fulfill a domestic relations order (as defined in section 414(p)(1)(B) of the Code) to the extent permitted by Treasury Regulations 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1.409A-3(j)(4)(ii) or any successor provision of law).</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8.2.2. To the extent necessary to comply with laws relating to avoidance of conflicts of interest, as provided in Treasury Regulation section 1.409A-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3(j)(4)(iii) (or any successor provision of law).</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8.2.3. To pay employment taxes to the extent permitted by Treasury Regulation section 1.409A-3(j)(4)(vi) (or any successor provision of law).</w:t>
      </w:r>
    </w:p>
    <w:p>
      <w:pPr>
        <w:spacing w:after="0" w:line="194"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8.2.4. In connection with the recognition of income as the result of a failure to comply with Section 409A, to the extent permitted by Treasury Regulation section 1.409A-3(j)(4)(vii) (or any successor provision of law).</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8.2.5. To pay state, local or foreign taxes to the extent permitted by Treasury Regulation section 1.409A-3(j)(4)(xi) (or any successor provision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6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8.2.6. 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80" w:name="page181"/>
    <w:bookmarkEnd w:id="18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8.2.7. In connection with a bona fide dispute as to a Participant’s right to payment, to the extent permitted by Treasury Regulation section 1.409A-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3(j)(4)(xiv) (or any successor provision of law).</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INTERPRETATION</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32" w:lineRule="exact"/>
        <w:rPr>
          <w:sz w:val="20"/>
          <w:szCs w:val="20"/>
          <w:color w:val="auto"/>
        </w:rPr>
      </w:pPr>
    </w:p>
    <w:p>
      <w:pPr>
        <w:ind w:left="1160" w:hanging="239"/>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71" w:lineRule="exact"/>
        <w:rPr>
          <w:rFonts w:ascii="Arial" w:cs="Arial" w:eastAsia="Arial" w:hAnsi="Arial"/>
          <w:sz w:val="18"/>
          <w:szCs w:val="18"/>
          <w:color w:val="auto"/>
        </w:rPr>
      </w:pPr>
    </w:p>
    <w:p>
      <w:pPr>
        <w:ind w:right="100" w:firstLine="921"/>
        <w:spacing w:after="0" w:line="268" w:lineRule="auto"/>
        <w:tabs>
          <w:tab w:leader="none" w:pos="115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81" w:name="page182"/>
    <w:bookmarkEnd w:id="181"/>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OneComcastCenter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of Rate of Credited Earnings</w:t>
      </w:r>
      <w:r>
        <w:rPr>
          <w:rFonts w:ascii="Arial" w:cs="Arial" w:eastAsia="Arial" w:hAnsi="Arial"/>
          <w:sz w:val="16"/>
          <w:szCs w:val="16"/>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WITHHOLDING OF TAXES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82" w:name="page183"/>
    <w:bookmarkEnd w:id="18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 – MISCELLANEOUS PROVISIONS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No Right to Continued Employment</w:t>
      </w:r>
      <w:r>
        <w:rPr>
          <w:rFonts w:ascii="Arial" w:cs="Arial" w:eastAsia="Arial" w:hAnsi="Arial"/>
          <w:sz w:val="16"/>
          <w:szCs w:val="16"/>
          <w:color w:val="auto"/>
        </w:rPr>
        <w:t>. Nothing contained herein shall be construed as conferring upon any Participant the right to remain in service as an Outside Director or Director Emeritus or in the employment of a Participating Company as an executive or in any other capacity.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8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13 – EFFECTIVE DATE</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effective date of this amendment and restatement of the Plan shall be May 30, 2012, except to the extent otherwise provided in the Plan. The original effective date of the Plan is January 1, 2005.</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WITNESS WHEREOF, COMCAST CORPORATION has caused this Plan to be executed by its officers thereunto duly authorized, and its corporate seal to be affixed hereto, as of the 30th day of May,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24"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74"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2002 RESTRICTED STOCK PLAN</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(As Amended And Restated, Effective May 30, 2012)</w:t>
      </w:r>
    </w:p>
    <w:p>
      <w:pPr>
        <w:spacing w:after="0" w:line="212" w:lineRule="exact"/>
        <w:rPr>
          <w:sz w:val="20"/>
          <w:szCs w:val="20"/>
          <w:color w:val="auto"/>
        </w:rPr>
      </w:pPr>
    </w:p>
    <w:p>
      <w:pPr>
        <w:ind w:left="446" w:hanging="446"/>
        <w:spacing w:after="0"/>
        <w:tabs>
          <w:tab w:leader="none" w:pos="446"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96" w:lineRule="exact"/>
        <w:rPr>
          <w:rFonts w:ascii="Arial" w:cs="Arial" w:eastAsia="Arial" w:hAnsi="Arial"/>
          <w:sz w:val="18"/>
          <w:szCs w:val="18"/>
          <w:b w:val="1"/>
          <w:bCs w:val="1"/>
          <w:color w:val="auto"/>
        </w:rPr>
      </w:pPr>
    </w:p>
    <w:p>
      <w:pPr>
        <w:ind w:left="6" w:right="140" w:firstLine="443"/>
        <w:spacing w:after="0" w:line="256" w:lineRule="auto"/>
        <w:tabs>
          <w:tab w:leader="none" w:pos="683"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Plan</w:t>
      </w:r>
      <w:r>
        <w:rPr>
          <w:rFonts w:ascii="Arial" w:cs="Arial" w:eastAsia="Arial" w:hAnsi="Arial"/>
          <w:sz w:val="18"/>
          <w:szCs w:val="18"/>
          <w:color w:val="auto"/>
        </w:rPr>
        <w:t>. COMCAST CORPORATION, a Pennsylvania corporation, hereby amends and restates the Comcast Corporation 2002 Restricted Stock Plan (the “Plan”), effective May 30, 2012.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62" w:lineRule="exact"/>
        <w:rPr>
          <w:rFonts w:ascii="Arial" w:cs="Arial" w:eastAsia="Arial" w:hAnsi="Arial"/>
          <w:sz w:val="18"/>
          <w:szCs w:val="18"/>
          <w:color w:val="auto"/>
        </w:rPr>
      </w:pPr>
    </w:p>
    <w:p>
      <w:pPr>
        <w:ind w:left="6" w:right="80" w:firstLine="443"/>
        <w:spacing w:after="0" w:line="289" w:lineRule="auto"/>
        <w:tabs>
          <w:tab w:leader="none" w:pos="693"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37" w:lineRule="exact"/>
        <w:rPr>
          <w:rFonts w:ascii="Arial" w:cs="Arial" w:eastAsia="Arial" w:hAnsi="Arial"/>
          <w:sz w:val="16"/>
          <w:szCs w:val="16"/>
          <w:color w:val="auto"/>
        </w:rPr>
      </w:pPr>
    </w:p>
    <w:p>
      <w:pPr>
        <w:ind w:left="6" w:right="380" w:firstLine="443"/>
        <w:spacing w:after="0" w:line="259" w:lineRule="auto"/>
        <w:tabs>
          <w:tab w:leader="none" w:pos="683"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59" w:lineRule="exact"/>
        <w:rPr>
          <w:rFonts w:ascii="Arial" w:cs="Arial" w:eastAsia="Arial" w:hAnsi="Arial"/>
          <w:sz w:val="18"/>
          <w:szCs w:val="18"/>
          <w:color w:val="auto"/>
        </w:rPr>
      </w:pPr>
    </w:p>
    <w:p>
      <w:pPr>
        <w:jc w:val="both"/>
        <w:ind w:left="6" w:right="80" w:firstLine="443"/>
        <w:spacing w:after="0" w:line="294" w:lineRule="auto"/>
        <w:tabs>
          <w:tab w:leader="none" w:pos="693"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Deferral Provisions of Plan Unfunded and Limited to Select Group of Management or Highly Compensated Employees</w:t>
      </w:r>
      <w:r>
        <w:rPr>
          <w:rFonts w:ascii="Arial" w:cs="Arial" w:eastAsia="Arial" w:hAnsi="Arial"/>
          <w:sz w:val="16"/>
          <w:szCs w:val="16"/>
          <w:color w:val="auto"/>
        </w:rPr>
        <w:t>.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ectPr>
          <w:pgSz w:w="11900" w:h="16838" w:orient="portrait"/>
          <w:cols w:equalWidth="0" w:num="1">
            <w:col w:w="10966"/>
          </w:cols>
          <w:pgMar w:left="694" w:top="125" w:right="239" w:bottom="1440" w:gutter="0" w:footer="0" w:header="0"/>
        </w:sectPr>
      </w:pPr>
    </w:p>
    <w:bookmarkStart w:id="184" w:name="page185"/>
    <w:bookmarkEnd w:id="184"/>
    <w:p>
      <w:pPr>
        <w:ind w:left="446" w:hanging="446"/>
        <w:spacing w:after="0"/>
        <w:tabs>
          <w:tab w:leader="none" w:pos="446"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w:t>
      </w:r>
    </w:p>
    <w:p>
      <w:pPr>
        <w:spacing w:after="0" w:line="96" w:lineRule="exact"/>
        <w:rPr>
          <w:rFonts w:ascii="Arial" w:cs="Arial" w:eastAsia="Arial" w:hAnsi="Arial"/>
          <w:sz w:val="18"/>
          <w:szCs w:val="18"/>
          <w:b w:val="1"/>
          <w:bCs w:val="1"/>
          <w:color w:val="auto"/>
        </w:rPr>
      </w:pPr>
    </w:p>
    <w:p>
      <w:pPr>
        <w:ind w:left="686" w:hanging="237"/>
        <w:spacing w:after="0"/>
        <w:tabs>
          <w:tab w:leader="none" w:pos="686" w:val="left"/>
        </w:tabs>
        <w:numPr>
          <w:ilvl w:val="1"/>
          <w:numId w:val="175"/>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6" w:right="100" w:firstLine="443"/>
        <w:spacing w:after="0" w:line="323" w:lineRule="auto"/>
        <w:tabs>
          <w:tab w:leader="none" w:pos="693" w:val="left"/>
        </w:tabs>
        <w:numPr>
          <w:ilvl w:val="1"/>
          <w:numId w:val="1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Account</w:t>
      </w:r>
      <w:r>
        <w:rPr>
          <w:rFonts w:ascii="Arial" w:cs="Arial" w:eastAsia="Arial" w:hAnsi="Arial"/>
          <w:sz w:val="15"/>
          <w:szCs w:val="15"/>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an amount equal to the Fair Market Value of Deferred Stock Units with respect to which a Diversification Election has been made and interest thereon are deemed credited, reduced by distributions in accordance with the Plan.</w:t>
      </w:r>
    </w:p>
    <w:p>
      <w:pPr>
        <w:spacing w:after="0" w:line="16" w:lineRule="exact"/>
        <w:rPr>
          <w:rFonts w:ascii="Arial" w:cs="Arial" w:eastAsia="Arial" w:hAnsi="Arial"/>
          <w:sz w:val="15"/>
          <w:szCs w:val="15"/>
          <w:color w:val="auto"/>
        </w:rPr>
      </w:pPr>
    </w:p>
    <w:p>
      <w:pPr>
        <w:ind w:left="686" w:hanging="237"/>
        <w:spacing w:after="0"/>
        <w:tabs>
          <w:tab w:leader="none" w:pos="686"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90" w:lineRule="exact"/>
        <w:rPr>
          <w:rFonts w:ascii="Arial" w:cs="Arial" w:eastAsia="Arial" w:hAnsi="Arial"/>
          <w:sz w:val="18"/>
          <w:szCs w:val="18"/>
          <w:color w:val="auto"/>
        </w:rPr>
      </w:pPr>
    </w:p>
    <w:p>
      <w:pPr>
        <w:jc w:val="both"/>
        <w:ind w:left="6" w:right="60" w:firstLine="443"/>
        <w:spacing w:after="0" w:line="298" w:lineRule="auto"/>
        <w:tabs>
          <w:tab w:leader="none" w:pos="693" w:val="left"/>
        </w:tabs>
        <w:numPr>
          <w:ilvl w:val="1"/>
          <w:numId w:val="1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31" w:lineRule="exact"/>
        <w:rPr>
          <w:rFonts w:ascii="Arial" w:cs="Arial" w:eastAsia="Arial" w:hAnsi="Arial"/>
          <w:sz w:val="16"/>
          <w:szCs w:val="16"/>
          <w:color w:val="auto"/>
        </w:rPr>
      </w:pPr>
    </w:p>
    <w:p>
      <w:pPr>
        <w:ind w:left="6" w:right="120" w:firstLine="443"/>
        <w:spacing w:after="0" w:line="268" w:lineRule="auto"/>
        <w:tabs>
          <w:tab w:leader="none" w:pos="68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50" w:lineRule="exact"/>
        <w:rPr>
          <w:rFonts w:ascii="Arial" w:cs="Arial" w:eastAsia="Arial" w:hAnsi="Arial"/>
          <w:sz w:val="18"/>
          <w:szCs w:val="18"/>
          <w:color w:val="auto"/>
        </w:rPr>
      </w:pPr>
    </w:p>
    <w:p>
      <w:pPr>
        <w:ind w:left="666" w:hanging="217"/>
        <w:spacing w:after="0"/>
        <w:tabs>
          <w:tab w:leader="none" w:pos="666"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175"/>
        </w:numPr>
        <w:rPr>
          <w:rFonts w:ascii="Arial" w:cs="Arial" w:eastAsia="Arial" w:hAnsi="Arial"/>
          <w:sz w:val="18"/>
          <w:szCs w:val="18"/>
          <w:color w:val="auto"/>
        </w:rPr>
      </w:pPr>
      <w:r>
        <w:rPr>
          <w:rFonts w:ascii="Arial" w:cs="Arial" w:eastAsia="Arial" w:hAnsi="Arial"/>
          <w:sz w:val="18"/>
          <w:szCs w:val="18"/>
          <w:color w:val="auto"/>
        </w:rPr>
        <w:t>Except as otherwise provided in Paragraph 2(f)(ii):</w:t>
      </w:r>
    </w:p>
    <w:p>
      <w:pPr>
        <w:spacing w:after="0" w:line="90" w:lineRule="exact"/>
        <w:rPr>
          <w:rFonts w:ascii="Arial" w:cs="Arial" w:eastAsia="Arial" w:hAnsi="Arial"/>
          <w:sz w:val="18"/>
          <w:szCs w:val="18"/>
          <w:color w:val="auto"/>
        </w:rPr>
      </w:pPr>
    </w:p>
    <w:p>
      <w:pPr>
        <w:ind w:left="1926" w:hanging="441"/>
        <w:spacing w:after="0" w:line="294" w:lineRule="auto"/>
        <w:tabs>
          <w:tab w:leader="none" w:pos="1926" w:val="left"/>
        </w:tabs>
        <w:numPr>
          <w:ilvl w:val="3"/>
          <w:numId w:val="175"/>
        </w:numPr>
        <w:rPr>
          <w:rFonts w:ascii="Arial" w:cs="Arial" w:eastAsia="Arial" w:hAnsi="Arial"/>
          <w:sz w:val="16"/>
          <w:szCs w:val="16"/>
          <w:color w:val="auto"/>
        </w:rPr>
      </w:pPr>
      <w:r>
        <w:rPr>
          <w:rFonts w:ascii="Arial" w:cs="Arial" w:eastAsia="Arial" w:hAnsi="Arial"/>
          <w:sz w:val="16"/>
          <w:szCs w:val="16"/>
          <w:color w:val="auto"/>
        </w:rPr>
        <w:t>the Applicable Interest Rate with respect to amounts credited to the Income Fund that are attributable to (1) dividends and other distributions credited with respect to Deferred Stock Units that are deferred pursuant to Initial Elections made before January 1, 2010 and (2) Diversification Elections and Special Diversification Elections made before January 1, 2010 shall be the interest rate that, when compounded annually pursuant to rules established by the Committee from time to time, is mathematically equivalent to 8% per annum, or such other interest rate established by the Committee from time to time;</w:t>
      </w:r>
    </w:p>
    <w:p>
      <w:pPr>
        <w:spacing w:after="0" w:line="34" w:lineRule="exact"/>
        <w:rPr>
          <w:rFonts w:ascii="Arial" w:cs="Arial" w:eastAsia="Arial" w:hAnsi="Arial"/>
          <w:sz w:val="16"/>
          <w:szCs w:val="16"/>
          <w:color w:val="auto"/>
        </w:rPr>
      </w:pPr>
    </w:p>
    <w:p>
      <w:pPr>
        <w:ind w:left="1926" w:hanging="441"/>
        <w:spacing w:after="0" w:line="268" w:lineRule="auto"/>
        <w:tabs>
          <w:tab w:leader="none" w:pos="1926" w:val="left"/>
        </w:tabs>
        <w:numPr>
          <w:ilvl w:val="3"/>
          <w:numId w:val="175"/>
        </w:numPr>
        <w:rPr>
          <w:rFonts w:ascii="Arial" w:cs="Arial" w:eastAsia="Arial" w:hAnsi="Arial"/>
          <w:sz w:val="18"/>
          <w:szCs w:val="18"/>
          <w:color w:val="auto"/>
        </w:rPr>
      </w:pPr>
      <w:r>
        <w:rPr>
          <w:rFonts w:ascii="Arial" w:cs="Arial" w:eastAsia="Arial" w:hAnsi="Arial"/>
          <w:sz w:val="18"/>
          <w:szCs w:val="18"/>
          <w:color w:val="auto"/>
        </w:rPr>
        <w:t>the Applicable Interest Rate with respect to amounts credited to the Income Fund that are attributable to (1) dividends and other distributions credited with respect to</w:t>
      </w:r>
    </w:p>
    <w:p>
      <w:pPr>
        <w:spacing w:after="0" w:line="11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6"/>
          </w:cols>
          <w:pgMar w:left="694" w:top="274" w:right="299" w:bottom="1440" w:gutter="0" w:footer="0" w:header="0"/>
        </w:sectPr>
      </w:pPr>
    </w:p>
    <w:bookmarkStart w:id="185" w:name="page186"/>
    <w:bookmarkEnd w:id="185"/>
    <w:p>
      <w:pPr>
        <w:ind w:left="1940"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Stock Units that are deferred pursuant to Initial Elections made on or after January 1, 2010 and (2) Diversification Elections and Special Diversification Elections made on or after January 1, 2010 shall be the “Applicable Interest Rate” under the Comcast Corporation 2005 Deferred Compensation Plan as in effect for active participants in such Plan from time to time.</w:t>
      </w:r>
    </w:p>
    <w:p>
      <w:pPr>
        <w:spacing w:after="0" w:line="26" w:lineRule="exact"/>
        <w:rPr>
          <w:sz w:val="20"/>
          <w:szCs w:val="20"/>
          <w:color w:val="auto"/>
        </w:rPr>
      </w:pPr>
    </w:p>
    <w:p>
      <w:pPr>
        <w:ind w:left="1480" w:right="80"/>
        <w:spacing w:after="0" w:line="259" w:lineRule="auto"/>
        <w:rPr>
          <w:sz w:val="20"/>
          <w:szCs w:val="20"/>
          <w:color w:val="auto"/>
        </w:rPr>
      </w:pPr>
      <w:r>
        <w:rPr>
          <w:rFonts w:ascii="Arial" w:cs="Arial" w:eastAsia="Arial" w:hAnsi="Arial"/>
          <w:sz w:val="18"/>
          <w:szCs w:val="18"/>
          <w:color w:val="auto"/>
        </w:rPr>
        <w:t>The effective date of any reduction in the Applicable Interest Rate shall not precede the later of: (A) the 30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the Committee’s action to establish a reduced rate; or (B) the lapse of 24 full calendar months from the date of the most recent adjustment of the Applicable Interest Rate by the Committee.</w:t>
      </w:r>
    </w:p>
    <w:p>
      <w:pPr>
        <w:spacing w:after="0" w:line="59" w:lineRule="exact"/>
        <w:rPr>
          <w:sz w:val="20"/>
          <w:szCs w:val="20"/>
          <w:color w:val="auto"/>
        </w:rPr>
      </w:pPr>
    </w:p>
    <w:p>
      <w:pPr>
        <w:ind w:left="1460" w:hanging="440"/>
        <w:spacing w:after="0" w:line="290" w:lineRule="auto"/>
        <w:tabs>
          <w:tab w:leader="none" w:pos="146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Effective for the period beginning as soon as administratively practicable following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2(f)(ii) to an officer of the Company or committee of two or more officers of the Company.</w:t>
      </w:r>
    </w:p>
    <w:p>
      <w:pPr>
        <w:spacing w:after="0" w:line="37" w:lineRule="exact"/>
        <w:rPr>
          <w:rFonts w:ascii="Arial" w:cs="Arial" w:eastAsia="Arial" w:hAnsi="Arial"/>
          <w:sz w:val="16"/>
          <w:szCs w:val="16"/>
          <w:color w:val="auto"/>
        </w:rPr>
      </w:pPr>
    </w:p>
    <w:p>
      <w:pPr>
        <w:ind w:right="40" w:firstLine="443"/>
        <w:spacing w:after="0" w:line="268" w:lineRule="auto"/>
        <w:tabs>
          <w:tab w:leader="none" w:pos="68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LLC) by the Company.</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40" w:hanging="440"/>
        <w:spacing w:after="0" w:line="256" w:lineRule="auto"/>
        <w:tabs>
          <w:tab w:leader="none" w:pos="14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For all purposes of the Plan other than Paragraph 8,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186" w:name="page187"/>
    <w:bookmarkEnd w:id="186"/>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completion of one or more proposed transactions. The Board’s determination shall be final and binding.</w:t>
      </w:r>
    </w:p>
    <w:p>
      <w:pPr>
        <w:spacing w:after="0" w:line="90" w:lineRule="exact"/>
        <w:rPr>
          <w:sz w:val="20"/>
          <w:szCs w:val="20"/>
          <w:color w:val="auto"/>
        </w:rPr>
      </w:pPr>
    </w:p>
    <w:p>
      <w:pPr>
        <w:ind w:left="1460" w:right="60" w:hanging="440"/>
        <w:spacing w:after="0" w:line="332" w:lineRule="auto"/>
        <w:tabs>
          <w:tab w:leader="none" w:pos="146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For purposes of Paragraph 8, any transaction or series of transactions that constitutes a change in the ownership or effective control or a change in the ownership of a substantial portion of the assets of the Company, within the meaning of Section 409A.</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90" w:lineRule="exact"/>
        <w:rPr>
          <w:rFonts w:ascii="Arial" w:cs="Arial" w:eastAsia="Arial" w:hAnsi="Arial"/>
          <w:sz w:val="18"/>
          <w:szCs w:val="18"/>
          <w:color w:val="auto"/>
        </w:rPr>
      </w:pPr>
    </w:p>
    <w:p>
      <w:pPr>
        <w:ind w:right="160" w:firstLine="443"/>
        <w:spacing w:after="0" w:line="256" w:lineRule="auto"/>
        <w:tabs>
          <w:tab w:leader="none" w:pos="6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62" w:lineRule="exact"/>
        <w:rPr>
          <w:rFonts w:ascii="Arial" w:cs="Arial" w:eastAsia="Arial" w:hAnsi="Arial"/>
          <w:sz w:val="18"/>
          <w:szCs w:val="18"/>
          <w:color w:val="auto"/>
        </w:rPr>
      </w:pPr>
    </w:p>
    <w:p>
      <w:pPr>
        <w:ind w:right="200" w:firstLine="443"/>
        <w:spacing w:after="0" w:line="332" w:lineRule="auto"/>
        <w:tabs>
          <w:tab w:leader="none" w:pos="73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provided that all references to the Committee shall be treated as references to the Committee’s delegate with respect to any Award granted within the scope of the delegate’s authority pursuant to Paragraph 5(f).</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90" w:lineRule="exact"/>
        <w:rPr>
          <w:rFonts w:ascii="Arial" w:cs="Arial" w:eastAsia="Arial" w:hAnsi="Arial"/>
          <w:sz w:val="18"/>
          <w:szCs w:val="18"/>
          <w:color w:val="auto"/>
        </w:rPr>
      </w:pPr>
    </w:p>
    <w:p>
      <w:pPr>
        <w:ind w:right="20" w:firstLine="443"/>
        <w:spacing w:after="0" w:line="268" w:lineRule="auto"/>
        <w:tabs>
          <w:tab w:leader="none" w:pos="68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50" w:lineRule="exact"/>
        <w:rPr>
          <w:rFonts w:ascii="Arial" w:cs="Arial" w:eastAsia="Arial" w:hAnsi="Arial"/>
          <w:sz w:val="18"/>
          <w:szCs w:val="18"/>
          <w:color w:val="auto"/>
        </w:rPr>
      </w:pPr>
    </w:p>
    <w:p>
      <w:pPr>
        <w:ind w:firstLine="443"/>
        <w:spacing w:after="0" w:line="287" w:lineRule="auto"/>
        <w:tabs>
          <w:tab w:leader="none" w:pos="68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 provided that dividends and other distributions paid with respect to Common Stock or Special Common Stock after December 31, 2011 shall be credited with interest at the Applicable Interest Rate commencing as of the date on which dividends or other distributions are paid.</w:t>
      </w:r>
    </w:p>
    <w:p>
      <w:pPr>
        <w:spacing w:after="0" w:line="41" w:lineRule="exact"/>
        <w:rPr>
          <w:rFonts w:ascii="Arial" w:cs="Arial" w:eastAsia="Arial" w:hAnsi="Arial"/>
          <w:sz w:val="16"/>
          <w:szCs w:val="16"/>
          <w:color w:val="auto"/>
        </w:rPr>
      </w:pPr>
    </w:p>
    <w:p>
      <w:pPr>
        <w:ind w:left="700" w:hanging="257"/>
        <w:spacing w:after="0"/>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187" w:name="page188"/>
    <w:bookmarkEnd w:id="187"/>
    <w:p>
      <w:pPr>
        <w:ind w:left="1120" w:hanging="217"/>
        <w:spacing w:after="0"/>
        <w:tabs>
          <w:tab w:leader="none" w:pos="11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920" w:hanging="440"/>
        <w:spacing w:after="0" w:line="268" w:lineRule="auto"/>
        <w:tabs>
          <w:tab w:leader="none" w:pos="19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(A) the date on which an Initial Election is filed with the Committee; and (B) the first day of the calendar year in which such Initial Election filed.</w:t>
      </w:r>
    </w:p>
    <w:p>
      <w:pPr>
        <w:spacing w:after="0" w:line="50" w:lineRule="exact"/>
        <w:rPr>
          <w:rFonts w:ascii="Arial" w:cs="Arial" w:eastAsia="Arial" w:hAnsi="Arial"/>
          <w:sz w:val="18"/>
          <w:szCs w:val="18"/>
          <w:color w:val="auto"/>
        </w:rPr>
      </w:pPr>
    </w:p>
    <w:p>
      <w:pPr>
        <w:ind w:left="1920" w:right="560" w:hanging="440"/>
        <w:spacing w:after="0" w:line="332" w:lineRule="auto"/>
        <w:tabs>
          <w:tab w:leader="none" w:pos="192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An Eligible Employee whose Annual Rate of Pay is $125,000 as of each of: (A) June 30, 2002; (B) the date on which an Initial Election is filed with the Committee; and (C) the first day of each calendar year beginning after December 31, 2002.</w:t>
      </w:r>
    </w:p>
    <w:p>
      <w:pPr>
        <w:spacing w:after="0" w:line="4" w:lineRule="exact"/>
        <w:rPr>
          <w:rFonts w:ascii="Arial" w:cs="Arial" w:eastAsia="Arial" w:hAnsi="Arial"/>
          <w:sz w:val="16"/>
          <w:szCs w:val="16"/>
          <w:color w:val="auto"/>
        </w:rPr>
      </w:pPr>
    </w:p>
    <w:p>
      <w:pPr>
        <w:ind w:left="1920" w:hanging="440"/>
        <w:spacing w:after="0"/>
        <w:tabs>
          <w:tab w:leader="none" w:pos="19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90" w:lineRule="exact"/>
        <w:rPr>
          <w:rFonts w:ascii="Arial" w:cs="Arial" w:eastAsia="Arial" w:hAnsi="Arial"/>
          <w:sz w:val="18"/>
          <w:szCs w:val="18"/>
          <w:color w:val="auto"/>
        </w:rPr>
      </w:pPr>
    </w:p>
    <w:p>
      <w:pPr>
        <w:ind w:left="1920" w:right="20" w:hanging="440"/>
        <w:spacing w:after="0" w:line="268" w:lineRule="auto"/>
        <w:tabs>
          <w:tab w:leader="none" w:pos="19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anything in this Paragraph 2(s) to the contrary, except as otherwise provided by the Committee or its delegate, no Grantee who is an employee of NBCUniversal, LLC, a Delaware limited liability company, and its subsidiaries (collectively, “NBCUniversal”) shall be a Deferral Eligible Employee with respect to any Award granted to such Grantee on or after January 29, 2011.</w:t>
      </w:r>
    </w:p>
    <w:p>
      <w:pPr>
        <w:spacing w:after="0" w:line="59" w:lineRule="exact"/>
        <w:rPr>
          <w:sz w:val="20"/>
          <w:szCs w:val="20"/>
          <w:color w:val="auto"/>
        </w:rPr>
      </w:pPr>
    </w:p>
    <w:p>
      <w:pPr>
        <w:ind w:left="1120" w:hanging="217"/>
        <w:spacing w:after="0"/>
        <w:tabs>
          <w:tab w:leader="none" w:pos="11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920" w:hanging="440"/>
        <w:spacing w:after="0" w:line="259" w:lineRule="auto"/>
        <w:tabs>
          <w:tab w:leader="none" w:pos="19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 calendar year period; or</w:t>
      </w:r>
    </w:p>
    <w:p>
      <w:pPr>
        <w:spacing w:after="0" w:line="59" w:lineRule="exact"/>
        <w:rPr>
          <w:rFonts w:ascii="Arial" w:cs="Arial" w:eastAsia="Arial" w:hAnsi="Arial"/>
          <w:sz w:val="18"/>
          <w:szCs w:val="18"/>
          <w:color w:val="auto"/>
        </w:rPr>
      </w:pPr>
    </w:p>
    <w:p>
      <w:pPr>
        <w:ind w:left="1920" w:right="100" w:hanging="440"/>
        <w:spacing w:after="0" w:line="268" w:lineRule="auto"/>
        <w:tabs>
          <w:tab w:leader="none" w:pos="19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If different from the definition in Paragraph 2(u)(i) above, “Disability” as it may be defined in such Grantee’s employment agreement between the Grantee and the Company or an Affiliate, if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88" w:name="page189"/>
    <w:bookmarkEnd w:id="188"/>
    <w:p>
      <w:pPr>
        <w:ind w:left="700" w:hanging="257"/>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2(v)(i) acting on behalf of such individual.</w:t>
      </w:r>
    </w:p>
    <w:p>
      <w:pPr>
        <w:spacing w:after="0" w:line="90" w:lineRule="exact"/>
        <w:rPr>
          <w:rFonts w:ascii="Arial" w:cs="Arial" w:eastAsia="Arial" w:hAnsi="Arial"/>
          <w:sz w:val="18"/>
          <w:szCs w:val="18"/>
          <w:color w:val="auto"/>
        </w:rPr>
      </w:pPr>
    </w:p>
    <w:p>
      <w:pPr>
        <w:ind w:firstLine="443"/>
        <w:spacing w:after="0" w:line="259" w:lineRule="auto"/>
        <w:tabs>
          <w:tab w:leader="none" w:pos="72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or a Subsequent Election.</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100" w:hanging="440"/>
        <w:spacing w:after="0" w:line="357" w:lineRule="auto"/>
        <w:tabs>
          <w:tab w:leader="none" w:pos="1460" w:val="left"/>
        </w:tabs>
        <w:numPr>
          <w:ilvl w:val="1"/>
          <w:numId w:val="182"/>
        </w:numPr>
        <w:rPr>
          <w:rFonts w:ascii="Arial" w:cs="Arial" w:eastAsia="Arial" w:hAnsi="Arial"/>
          <w:sz w:val="15"/>
          <w:szCs w:val="15"/>
          <w:color w:val="auto"/>
        </w:rPr>
      </w:pPr>
      <w:r>
        <w:rPr>
          <w:rFonts w:ascii="Arial" w:cs="Arial" w:eastAsia="Arial" w:hAnsi="Arial"/>
          <w:sz w:val="15"/>
          <w:szCs w:val="15"/>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ind w:left="1460" w:right="260" w:hanging="440"/>
        <w:spacing w:after="0" w:line="259" w:lineRule="auto"/>
        <w:tabs>
          <w:tab w:leader="none" w:pos="14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59" w:lineRule="exact"/>
        <w:rPr>
          <w:rFonts w:ascii="Arial" w:cs="Arial" w:eastAsia="Arial" w:hAnsi="Arial"/>
          <w:sz w:val="18"/>
          <w:szCs w:val="18"/>
          <w:color w:val="auto"/>
        </w:rPr>
      </w:pPr>
    </w:p>
    <w:p>
      <w:pPr>
        <w:ind w:left="1460" w:hanging="440"/>
        <w:spacing w:after="0"/>
        <w:tabs>
          <w:tab w:leader="none" w:pos="146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113" w:lineRule="exact"/>
        <w:rPr>
          <w:sz w:val="20"/>
          <w:szCs w:val="20"/>
          <w:color w:val="auto"/>
        </w:rPr>
      </w:pPr>
    </w:p>
    <w:p>
      <w:pPr>
        <w:ind w:right="520" w:firstLine="443"/>
        <w:spacing w:after="0" w:line="332" w:lineRule="auto"/>
        <w:tabs>
          <w:tab w:leader="none" w:pos="75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Member</w:t>
      </w:r>
      <w:r>
        <w:rPr>
          <w:rFonts w:ascii="Arial" w:cs="Arial" w:eastAsia="Arial" w:hAnsi="Arial"/>
          <w:sz w:val="16"/>
          <w:szCs w:val="16"/>
          <w:color w:val="auto"/>
        </w:rPr>
        <w:t>” has the meaning given to such term in General Instructions A.1(a)(5) to Form S-8 under the Securities Act of 1933, as amended, and any successor thereto.</w:t>
      </w:r>
    </w:p>
    <w:p>
      <w:pPr>
        <w:spacing w:after="0" w:line="4" w:lineRule="exact"/>
        <w:rPr>
          <w:rFonts w:ascii="Arial" w:cs="Arial" w:eastAsia="Arial" w:hAnsi="Arial"/>
          <w:sz w:val="16"/>
          <w:szCs w:val="16"/>
          <w:color w:val="auto"/>
        </w:rPr>
      </w:pPr>
    </w:p>
    <w:p>
      <w:pPr>
        <w:ind w:right="60" w:firstLine="443"/>
        <w:spacing w:after="0" w:line="268" w:lineRule="auto"/>
        <w:tabs>
          <w:tab w:leader="none" w:pos="77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amounts described in Paragraph 1(b) that were deferred under the Plan and that were earned and vested before January 1, 2005.</w:t>
      </w:r>
    </w:p>
    <w:p>
      <w:pPr>
        <w:spacing w:after="0" w:line="50" w:lineRule="exact"/>
        <w:rPr>
          <w:rFonts w:ascii="Arial" w:cs="Arial" w:eastAsia="Arial" w:hAnsi="Arial"/>
          <w:sz w:val="18"/>
          <w:szCs w:val="18"/>
          <w:color w:val="auto"/>
        </w:rPr>
      </w:pPr>
    </w:p>
    <w:p>
      <w:pPr>
        <w:ind w:left="760" w:hanging="317"/>
        <w:spacing w:after="0"/>
        <w:tabs>
          <w:tab w:leader="none" w:pos="7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90" w:lineRule="exact"/>
        <w:rPr>
          <w:rFonts w:ascii="Arial" w:cs="Arial" w:eastAsia="Arial" w:hAnsi="Arial"/>
          <w:sz w:val="18"/>
          <w:szCs w:val="18"/>
          <w:color w:val="auto"/>
        </w:rPr>
      </w:pPr>
    </w:p>
    <w:p>
      <w:pPr>
        <w:ind w:left="780" w:hanging="337"/>
        <w:spacing w:after="0"/>
        <w:tabs>
          <w:tab w:leader="none" w:pos="78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Hardship</w:t>
      </w:r>
      <w:r>
        <w:rPr>
          <w:rFonts w:ascii="Arial" w:cs="Arial" w:eastAsia="Arial" w:hAnsi="Arial"/>
          <w:sz w:val="15"/>
          <w:szCs w:val="15"/>
          <w:color w:val="auto"/>
        </w:rPr>
        <w:t>” means an “unforeseeable emergency,” as defined in Section 409A. The Committee shall determine whether the circumstances of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Grantee</w:t>
      </w:r>
    </w:p>
    <w:p>
      <w:pPr>
        <w:spacing w:after="0" w:line="15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700" w:top="280" w:right="299" w:bottom="1440" w:gutter="0" w:footer="0" w:header="0"/>
        </w:sectPr>
      </w:pPr>
    </w:p>
    <w:bookmarkStart w:id="189" w:name="page190"/>
    <w:bookmarkEnd w:id="189"/>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35" w:lineRule="exact"/>
        <w:rPr>
          <w:sz w:val="20"/>
          <w:szCs w:val="20"/>
          <w:color w:val="auto"/>
        </w:rPr>
      </w:pPr>
    </w:p>
    <w:p>
      <w:pPr>
        <w:ind w:right="80" w:firstLine="443"/>
        <w:spacing w:after="0" w:line="290" w:lineRule="auto"/>
        <w:tabs>
          <w:tab w:leader="none" w:pos="75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Section 2(b) and Section 2(p). Notwithstanding any other provision of the Plan to the contrary, for purposes of determining the time and form of payment of amounts credited to the Income Fund, the rules of the Comcast Corporation 2005 Deferred Compensation Plan shall apply on the same basis as if such amounts were credited to a participant’s account under such Deferred Compensation Plan.</w:t>
      </w:r>
    </w:p>
    <w:p>
      <w:pPr>
        <w:spacing w:after="0" w:line="37" w:lineRule="exact"/>
        <w:rPr>
          <w:rFonts w:ascii="Arial" w:cs="Arial" w:eastAsia="Arial" w:hAnsi="Arial"/>
          <w:sz w:val="16"/>
          <w:szCs w:val="16"/>
          <w:color w:val="auto"/>
        </w:rPr>
      </w:pPr>
    </w:p>
    <w:p>
      <w:pPr>
        <w:ind w:right="20" w:firstLine="443"/>
        <w:spacing w:after="0" w:line="259" w:lineRule="auto"/>
        <w:tabs>
          <w:tab w:leader="none" w:pos="71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59" w:lineRule="exact"/>
        <w:rPr>
          <w:rFonts w:ascii="Arial" w:cs="Arial" w:eastAsia="Arial" w:hAnsi="Arial"/>
          <w:sz w:val="18"/>
          <w:szCs w:val="18"/>
          <w:color w:val="auto"/>
        </w:rPr>
      </w:pPr>
    </w:p>
    <w:p>
      <w:pPr>
        <w:ind w:right="40" w:firstLine="443"/>
        <w:spacing w:after="0" w:line="259" w:lineRule="auto"/>
        <w:tabs>
          <w:tab w:leader="none" w:pos="77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59" w:lineRule="exact"/>
        <w:rPr>
          <w:rFonts w:ascii="Arial" w:cs="Arial" w:eastAsia="Arial" w:hAnsi="Arial"/>
          <w:sz w:val="18"/>
          <w:szCs w:val="18"/>
          <w:color w:val="auto"/>
        </w:rPr>
      </w:pPr>
    </w:p>
    <w:p>
      <w:pPr>
        <w:ind w:right="480" w:firstLine="443"/>
        <w:spacing w:after="0" w:line="268" w:lineRule="auto"/>
        <w:tabs>
          <w:tab w:leader="none" w:pos="77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50" w:lineRule="exact"/>
        <w:rPr>
          <w:rFonts w:ascii="Arial" w:cs="Arial" w:eastAsia="Arial" w:hAnsi="Arial"/>
          <w:sz w:val="18"/>
          <w:szCs w:val="18"/>
          <w:color w:val="auto"/>
        </w:rPr>
      </w:pPr>
    </w:p>
    <w:p>
      <w:pPr>
        <w:ind w:right="540" w:firstLine="443"/>
        <w:spacing w:after="0" w:line="268" w:lineRule="auto"/>
        <w:tabs>
          <w:tab w:leader="none" w:pos="69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left="1460" w:right="20" w:hanging="440"/>
        <w:spacing w:after="0" w:line="259" w:lineRule="auto"/>
        <w:tabs>
          <w:tab w:leader="none" w:pos="14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80" w:right="279" w:bottom="1440" w:gutter="0" w:footer="0" w:header="0"/>
        </w:sectPr>
      </w:pPr>
    </w:p>
    <w:bookmarkStart w:id="190" w:name="page191"/>
    <w:bookmarkEnd w:id="190"/>
    <w:p>
      <w:pPr>
        <w:ind w:left="1460" w:hanging="440"/>
        <w:spacing w:after="0"/>
        <w:tabs>
          <w:tab w:leader="none" w:pos="1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excess, if any of:</w:t>
      </w:r>
    </w:p>
    <w:p>
      <w:pPr>
        <w:spacing w:after="0" w:line="90" w:lineRule="exact"/>
        <w:rPr>
          <w:rFonts w:ascii="Arial" w:cs="Arial" w:eastAsia="Arial" w:hAnsi="Arial"/>
          <w:sz w:val="18"/>
          <w:szCs w:val="18"/>
          <w:color w:val="auto"/>
        </w:rPr>
      </w:pPr>
    </w:p>
    <w:p>
      <w:pPr>
        <w:ind w:left="1920" w:hanging="441"/>
        <w:spacing w:after="0" w:line="268" w:lineRule="auto"/>
        <w:tabs>
          <w:tab w:leader="none" w:pos="19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other than the Shares described in Paragraph 2(jj)(i); over</w:t>
      </w:r>
    </w:p>
    <w:p>
      <w:pPr>
        <w:spacing w:after="0" w:line="50" w:lineRule="exact"/>
        <w:rPr>
          <w:rFonts w:ascii="Arial" w:cs="Arial" w:eastAsia="Arial" w:hAnsi="Arial"/>
          <w:sz w:val="18"/>
          <w:szCs w:val="18"/>
          <w:color w:val="auto"/>
        </w:rPr>
      </w:pPr>
    </w:p>
    <w:p>
      <w:pPr>
        <w:ind w:left="1920" w:hanging="441"/>
        <w:spacing w:after="0"/>
        <w:tabs>
          <w:tab w:leader="none" w:pos="19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120" w:hanging="253"/>
        <w:spacing w:after="0"/>
        <w:tabs>
          <w:tab w:leader="none" w:pos="2120" w:val="left"/>
        </w:tabs>
        <w:numPr>
          <w:ilvl w:val="2"/>
          <w:numId w:val="185"/>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for less than six months; plus</w:t>
      </w:r>
    </w:p>
    <w:p>
      <w:pPr>
        <w:spacing w:after="0" w:line="113" w:lineRule="exact"/>
        <w:rPr>
          <w:rFonts w:ascii="Arial" w:cs="Arial" w:eastAsia="Arial" w:hAnsi="Arial"/>
          <w:sz w:val="16"/>
          <w:szCs w:val="16"/>
          <w:color w:val="auto"/>
        </w:rPr>
      </w:pPr>
    </w:p>
    <w:p>
      <w:pPr>
        <w:ind w:left="1480" w:right="220" w:firstLine="387"/>
        <w:spacing w:after="0" w:line="259" w:lineRule="auto"/>
        <w:tabs>
          <w:tab w:leader="none" w:pos="2107" w:val="left"/>
        </w:tabs>
        <w:numPr>
          <w:ilvl w:val="2"/>
          <w:numId w:val="185"/>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that has, within the preceding six months, been the subject of a withholding certification pursuant to Paragraph 9(c)(ii) or any similar withholding certification under any other Comcast Plan; plus</w:t>
      </w:r>
    </w:p>
    <w:p>
      <w:pPr>
        <w:spacing w:after="0" w:line="59" w:lineRule="exact"/>
        <w:rPr>
          <w:rFonts w:ascii="Arial" w:cs="Arial" w:eastAsia="Arial" w:hAnsi="Arial"/>
          <w:sz w:val="18"/>
          <w:szCs w:val="18"/>
          <w:color w:val="auto"/>
        </w:rPr>
      </w:pPr>
    </w:p>
    <w:p>
      <w:pPr>
        <w:ind w:left="1480" w:right="180" w:firstLine="387"/>
        <w:spacing w:after="0" w:line="298" w:lineRule="auto"/>
        <w:tabs>
          <w:tab w:leader="none" w:pos="2107" w:val="left"/>
        </w:tabs>
        <w:numPr>
          <w:ilvl w:val="2"/>
          <w:numId w:val="185"/>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31" w:lineRule="exact"/>
        <w:rPr>
          <w:rFonts w:ascii="Arial" w:cs="Arial" w:eastAsia="Arial" w:hAnsi="Arial"/>
          <w:sz w:val="16"/>
          <w:szCs w:val="16"/>
          <w:color w:val="auto"/>
        </w:rPr>
      </w:pPr>
    </w:p>
    <w:p>
      <w:pPr>
        <w:jc w:val="both"/>
        <w:ind w:left="1480" w:right="260" w:firstLine="387"/>
        <w:spacing w:after="0" w:line="335" w:lineRule="auto"/>
        <w:tabs>
          <w:tab w:leader="none" w:pos="2107" w:val="left"/>
        </w:tabs>
        <w:numPr>
          <w:ilvl w:val="2"/>
          <w:numId w:val="185"/>
        </w:numPr>
        <w:rPr>
          <w:rFonts w:ascii="Arial" w:cs="Arial" w:eastAsia="Arial" w:hAnsi="Arial"/>
          <w:sz w:val="15"/>
          <w:szCs w:val="15"/>
          <w:color w:val="auto"/>
        </w:rPr>
      </w:pPr>
      <w:r>
        <w:rPr>
          <w:rFonts w:ascii="Arial" w:cs="Arial" w:eastAsia="Arial" w:hAnsi="Arial"/>
          <w:sz w:val="15"/>
          <w:szCs w:val="15"/>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For purposes of this Paragraph 2(jj),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provided that Shares of Common Stock or Special Common Stock that otherwise qualify as “Other Available Shares” under this Paragraph 2(jj),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 Grantee or such Grantee’s Family Member immediately before the consummation of the AT&amp;T Broadband Transaction that became Shares as a result of the AT&amp;T Broadband Transaction.</w:t>
      </w:r>
    </w:p>
    <w:p>
      <w:pPr>
        <w:spacing w:after="0" w:line="37" w:lineRule="exact"/>
        <w:rPr>
          <w:sz w:val="20"/>
          <w:szCs w:val="20"/>
          <w:color w:val="auto"/>
        </w:rPr>
      </w:pPr>
    </w:p>
    <w:p>
      <w:pPr>
        <w:ind w:left="5160" w:right="4100" w:hanging="4717"/>
        <w:spacing w:after="0" w:line="440" w:lineRule="auto"/>
        <w:tabs>
          <w:tab w:leader="none" w:pos="78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 -8-</w:t>
      </w:r>
    </w:p>
    <w:p>
      <w:pPr>
        <w:sectPr>
          <w:pgSz w:w="11900" w:h="16838" w:orient="portrait"/>
          <w:cols w:equalWidth="0" w:num="1">
            <w:col w:w="10920"/>
          </w:cols>
          <w:pgMar w:left="700" w:top="280" w:right="279" w:bottom="1440" w:gutter="0" w:footer="0" w:header="0"/>
        </w:sectPr>
      </w:pPr>
    </w:p>
    <w:bookmarkStart w:id="191" w:name="page192"/>
    <w:bookmarkEnd w:id="191"/>
    <w:p>
      <w:pPr>
        <w:ind w:left="700" w:hanging="257"/>
        <w:spacing w:after="0"/>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90" w:lineRule="exact"/>
        <w:rPr>
          <w:rFonts w:ascii="Arial" w:cs="Arial" w:eastAsia="Arial" w:hAnsi="Arial"/>
          <w:sz w:val="18"/>
          <w:szCs w:val="18"/>
          <w:color w:val="auto"/>
        </w:rPr>
      </w:pPr>
    </w:p>
    <w:p>
      <w:pPr>
        <w:ind w:left="880" w:hanging="437"/>
        <w:spacing w:after="0"/>
        <w:tabs>
          <w:tab w:leader="none" w:pos="8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Grantee may earn Performance-Based Compensation.</w:t>
      </w:r>
    </w:p>
    <w:p>
      <w:pPr>
        <w:spacing w:after="0" w:line="113" w:lineRule="exact"/>
        <w:rPr>
          <w:rFonts w:ascii="Arial" w:cs="Arial" w:eastAsia="Arial" w:hAnsi="Arial"/>
          <w:sz w:val="16"/>
          <w:szCs w:val="16"/>
          <w:color w:val="auto"/>
        </w:rPr>
      </w:pPr>
    </w:p>
    <w:p>
      <w:pPr>
        <w:ind w:left="780" w:hanging="337"/>
        <w:spacing w:after="0"/>
        <w:tabs>
          <w:tab w:leader="none" w:pos="7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90" w:lineRule="exact"/>
        <w:rPr>
          <w:rFonts w:ascii="Arial" w:cs="Arial" w:eastAsia="Arial" w:hAnsi="Arial"/>
          <w:sz w:val="18"/>
          <w:szCs w:val="18"/>
          <w:color w:val="auto"/>
        </w:rPr>
      </w:pPr>
    </w:p>
    <w:p>
      <w:pPr>
        <w:ind w:left="780" w:hanging="337"/>
        <w:spacing w:after="0"/>
        <w:tabs>
          <w:tab w:leader="none" w:pos="7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90" w:lineRule="exact"/>
        <w:rPr>
          <w:rFonts w:ascii="Arial" w:cs="Arial" w:eastAsia="Arial" w:hAnsi="Arial"/>
          <w:sz w:val="18"/>
          <w:szCs w:val="18"/>
          <w:color w:val="auto"/>
        </w:rPr>
      </w:pPr>
    </w:p>
    <w:p>
      <w:pPr>
        <w:ind w:right="120" w:firstLine="443"/>
        <w:spacing w:after="0" w:line="256" w:lineRule="auto"/>
        <w:tabs>
          <w:tab w:leader="none" w:pos="77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w:t>
      </w:r>
      <w:r>
        <w:rPr>
          <w:rFonts w:ascii="Arial" w:cs="Arial" w:eastAsia="Arial" w:hAnsi="Arial"/>
          <w:sz w:val="18"/>
          <w:szCs w:val="18"/>
          <w:color w:val="auto"/>
        </w:rPr>
        <w:t xml:space="preserve"> </w:t>
      </w:r>
      <w:r>
        <w:rPr>
          <w:rFonts w:ascii="Arial" w:cs="Arial" w:eastAsia="Arial" w:hAnsi="Arial"/>
          <w:sz w:val="18"/>
          <w:szCs w:val="18"/>
          <w:u w:val="single" w:color="auto"/>
          <w:color w:val="auto"/>
        </w:rPr>
        <w:t>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90" w:lineRule="exact"/>
        <w:rPr>
          <w:rFonts w:ascii="Arial" w:cs="Arial" w:eastAsia="Arial" w:hAnsi="Arial"/>
          <w:sz w:val="18"/>
          <w:szCs w:val="18"/>
          <w:color w:val="auto"/>
        </w:rPr>
      </w:pPr>
    </w:p>
    <w:p>
      <w:pPr>
        <w:ind w:left="720" w:hanging="277"/>
        <w:spacing w:after="0"/>
        <w:tabs>
          <w:tab w:leader="none" w:pos="7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 unit that entitles the Grantee, upon the Vesting Date set forth in an Award, to receive one Share.</w:t>
      </w:r>
    </w:p>
    <w:p>
      <w:pPr>
        <w:spacing w:after="0" w:line="113" w:lineRule="exact"/>
        <w:rPr>
          <w:rFonts w:ascii="Arial" w:cs="Arial" w:eastAsia="Arial" w:hAnsi="Arial"/>
          <w:sz w:val="16"/>
          <w:szCs w:val="16"/>
          <w:color w:val="auto"/>
        </w:rPr>
      </w:pPr>
    </w:p>
    <w:p>
      <w:pPr>
        <w:ind w:left="740" w:hanging="297"/>
        <w:spacing w:after="0"/>
        <w:tabs>
          <w:tab w:leader="none" w:pos="7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Retired Grantee</w:t>
      </w:r>
      <w:r>
        <w:rPr>
          <w:rFonts w:ascii="Arial" w:cs="Arial" w:eastAsia="Arial" w:hAnsi="Arial"/>
          <w:sz w:val="16"/>
          <w:szCs w:val="16"/>
          <w:color w:val="auto"/>
        </w:rPr>
        <w:t>” means a Grantee who has terminated employment pursuant to a Normal Retirement.</w:t>
      </w:r>
    </w:p>
    <w:p>
      <w:pPr>
        <w:spacing w:after="0" w:line="113" w:lineRule="exact"/>
        <w:rPr>
          <w:rFonts w:ascii="Arial" w:cs="Arial" w:eastAsia="Arial" w:hAnsi="Arial"/>
          <w:sz w:val="16"/>
          <w:szCs w:val="16"/>
          <w:color w:val="auto"/>
        </w:rPr>
      </w:pPr>
    </w:p>
    <w:p>
      <w:pPr>
        <w:ind w:left="700" w:hanging="257"/>
        <w:spacing w:after="0"/>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90" w:lineRule="exact"/>
        <w:rPr>
          <w:rFonts w:ascii="Arial" w:cs="Arial" w:eastAsia="Arial" w:hAnsi="Arial"/>
          <w:sz w:val="18"/>
          <w:szCs w:val="18"/>
          <w:color w:val="auto"/>
        </w:rPr>
      </w:pPr>
    </w:p>
    <w:p>
      <w:pPr>
        <w:ind w:left="780" w:hanging="337"/>
        <w:spacing w:after="0"/>
        <w:tabs>
          <w:tab w:leader="none" w:pos="7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83" w:lineRule="exact"/>
        <w:rPr>
          <w:rFonts w:ascii="Arial" w:cs="Arial" w:eastAsia="Arial" w:hAnsi="Arial"/>
          <w:sz w:val="16"/>
          <w:szCs w:val="16"/>
          <w:color w:val="auto"/>
        </w:rPr>
      </w:pPr>
    </w:p>
    <w:p>
      <w:pPr>
        <w:ind w:left="780" w:hanging="337"/>
        <w:spacing w:after="0"/>
        <w:tabs>
          <w:tab w:leader="none" w:pos="7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except as provided in Paragraph 2(vv)(ii), a share or shares of Common Stock.</w:t>
      </w:r>
    </w:p>
    <w:p>
      <w:pPr>
        <w:spacing w:after="0" w:line="90" w:lineRule="exact"/>
        <w:rPr>
          <w:rFonts w:ascii="Arial" w:cs="Arial" w:eastAsia="Arial" w:hAnsi="Arial"/>
          <w:sz w:val="18"/>
          <w:szCs w:val="18"/>
          <w:color w:val="auto"/>
        </w:rPr>
      </w:pPr>
    </w:p>
    <w:p>
      <w:pPr>
        <w:ind w:left="1460" w:hanging="440"/>
        <w:spacing w:after="0" w:line="259" w:lineRule="auto"/>
        <w:tabs>
          <w:tab w:leader="none" w:pos="14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with respect to Awards granted before the consummation of the AT&amp;T Broadband Transaction as to which a Vesting Date has not occurred, and for purposes of Paragraphs 2(jj) and 9(c), the term “Share” or “Shares” also means a share or shares of Special Common Stock.</w:t>
      </w:r>
    </w:p>
    <w:p>
      <w:pPr>
        <w:spacing w:after="0" w:line="59" w:lineRule="exact"/>
        <w:rPr>
          <w:rFonts w:ascii="Arial" w:cs="Arial" w:eastAsia="Arial" w:hAnsi="Arial"/>
          <w:sz w:val="18"/>
          <w:szCs w:val="18"/>
          <w:color w:val="auto"/>
        </w:rPr>
      </w:pPr>
    </w:p>
    <w:p>
      <w:pPr>
        <w:ind w:left="860" w:hanging="417"/>
        <w:spacing w:after="0"/>
        <w:tabs>
          <w:tab w:leader="none" w:pos="8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192" w:name="page193"/>
    <w:bookmarkEnd w:id="192"/>
    <w:p>
      <w:pPr>
        <w:ind w:left="6" w:firstLine="443"/>
        <w:spacing w:after="0" w:line="256" w:lineRule="auto"/>
        <w:tabs>
          <w:tab w:leader="none" w:pos="781"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Award,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or its delegate in accordance with Paragraph 8(k)(ii).</w:t>
      </w:r>
    </w:p>
    <w:p>
      <w:pPr>
        <w:spacing w:after="0" w:line="62" w:lineRule="exact"/>
        <w:rPr>
          <w:rFonts w:ascii="Arial" w:cs="Arial" w:eastAsia="Arial" w:hAnsi="Arial"/>
          <w:sz w:val="18"/>
          <w:szCs w:val="18"/>
          <w:color w:val="auto"/>
        </w:rPr>
      </w:pPr>
    </w:p>
    <w:p>
      <w:pPr>
        <w:ind w:left="6" w:right="140" w:firstLine="443"/>
        <w:spacing w:after="0" w:line="306" w:lineRule="auto"/>
        <w:tabs>
          <w:tab w:leader="none" w:pos="781" w:val="left"/>
        </w:tabs>
        <w:numPr>
          <w:ilvl w:val="0"/>
          <w:numId w:val="1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Subsequent Election</w:t>
      </w:r>
      <w:r>
        <w:rPr>
          <w:rFonts w:ascii="Arial" w:cs="Arial" w:eastAsia="Arial" w:hAnsi="Arial"/>
          <w:sz w:val="16"/>
          <w:szCs w:val="16"/>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25" w:lineRule="exact"/>
        <w:rPr>
          <w:rFonts w:ascii="Arial" w:cs="Arial" w:eastAsia="Arial" w:hAnsi="Arial"/>
          <w:sz w:val="16"/>
          <w:szCs w:val="16"/>
          <w:color w:val="auto"/>
        </w:rPr>
      </w:pPr>
    </w:p>
    <w:p>
      <w:pPr>
        <w:ind w:left="6" w:right="60" w:firstLine="443"/>
        <w:spacing w:after="0" w:line="268" w:lineRule="auto"/>
        <w:tabs>
          <w:tab w:leader="none" w:pos="76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51" w:lineRule="exact"/>
        <w:rPr>
          <w:sz w:val="20"/>
          <w:szCs w:val="20"/>
          <w:color w:val="auto"/>
        </w:rPr>
      </w:pPr>
    </w:p>
    <w:p>
      <w:pPr>
        <w:ind w:left="6" w:right="260" w:firstLine="443"/>
        <w:spacing w:after="0" w:line="332" w:lineRule="auto"/>
        <w:tabs>
          <w:tab w:leader="none" w:pos="839" w:val="left"/>
        </w:tabs>
        <w:numPr>
          <w:ilvl w:val="1"/>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Successor-in-Interest</w:t>
      </w:r>
      <w:r>
        <w:rPr>
          <w:rFonts w:ascii="Arial" w:cs="Arial" w:eastAsia="Arial" w:hAnsi="Arial"/>
          <w:sz w:val="16"/>
          <w:szCs w:val="16"/>
          <w:color w:val="auto"/>
        </w:rPr>
        <w:t>” means the estate or beneficiary to whom the right to payment under the Plan shall have passed by will or the laws of descent and distribution.</w:t>
      </w:r>
    </w:p>
    <w:p>
      <w:pPr>
        <w:spacing w:after="0" w:line="4" w:lineRule="exact"/>
        <w:rPr>
          <w:rFonts w:ascii="Arial" w:cs="Arial" w:eastAsia="Arial" w:hAnsi="Arial"/>
          <w:sz w:val="16"/>
          <w:szCs w:val="16"/>
          <w:color w:val="auto"/>
        </w:rPr>
      </w:pPr>
    </w:p>
    <w:p>
      <w:pPr>
        <w:ind w:left="866" w:hanging="417"/>
        <w:spacing w:after="0"/>
        <w:tabs>
          <w:tab w:leader="none" w:pos="866" w:val="left"/>
        </w:tabs>
        <w:numPr>
          <w:ilvl w:val="1"/>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466" w:hanging="440"/>
        <w:spacing w:after="0"/>
        <w:tabs>
          <w:tab w:leader="none" w:pos="1466" w:val="left"/>
        </w:tabs>
        <w:numPr>
          <w:ilvl w:val="2"/>
          <w:numId w:val="189"/>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189"/>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90" w:lineRule="exact"/>
        <w:rPr>
          <w:rFonts w:ascii="Arial" w:cs="Arial" w:eastAsia="Arial" w:hAnsi="Arial"/>
          <w:sz w:val="18"/>
          <w:szCs w:val="18"/>
          <w:color w:val="auto"/>
        </w:rPr>
      </w:pPr>
    </w:p>
    <w:p>
      <w:pPr>
        <w:ind w:left="6" w:right="80" w:firstLine="443"/>
        <w:spacing w:after="0" w:line="268" w:lineRule="auto"/>
        <w:tabs>
          <w:tab w:leader="none" w:pos="83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50" w:lineRule="exact"/>
        <w:rPr>
          <w:rFonts w:ascii="Arial" w:cs="Arial" w:eastAsia="Arial" w:hAnsi="Arial"/>
          <w:sz w:val="18"/>
          <w:szCs w:val="18"/>
          <w:color w:val="auto"/>
        </w:rPr>
      </w:pPr>
    </w:p>
    <w:p>
      <w:pPr>
        <w:ind w:left="6" w:right="420" w:firstLine="443"/>
        <w:spacing w:after="0" w:line="332" w:lineRule="auto"/>
        <w:tabs>
          <w:tab w:leader="none" w:pos="869" w:val="left"/>
        </w:tabs>
        <w:numPr>
          <w:ilvl w:val="1"/>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as applicable: (i) the date on which the restrictions imposed on a Share of Restricted Stock lapse or (ii) the date on which the Grantee vests in a Restricted Stock Unit.</w:t>
      </w:r>
    </w:p>
    <w:p>
      <w:pPr>
        <w:spacing w:after="0" w:line="4" w:lineRule="exact"/>
        <w:rPr>
          <w:rFonts w:ascii="Arial" w:cs="Arial" w:eastAsia="Arial" w:hAnsi="Arial"/>
          <w:sz w:val="16"/>
          <w:szCs w:val="16"/>
          <w:color w:val="auto"/>
        </w:rPr>
      </w:pPr>
    </w:p>
    <w:p>
      <w:pPr>
        <w:ind w:left="846" w:hanging="397"/>
        <w:spacing w:after="0"/>
        <w:tabs>
          <w:tab w:leader="none" w:pos="846" w:val="left"/>
        </w:tabs>
        <w:numPr>
          <w:ilvl w:val="1"/>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means the Securities Act of 1933, as amended.</w:t>
      </w:r>
    </w:p>
    <w:p>
      <w:pPr>
        <w:spacing w:after="0" w:line="113" w:lineRule="exact"/>
        <w:rPr>
          <w:rFonts w:ascii="Arial" w:cs="Arial" w:eastAsia="Arial" w:hAnsi="Arial"/>
          <w:sz w:val="16"/>
          <w:szCs w:val="16"/>
          <w:color w:val="auto"/>
        </w:rPr>
      </w:pPr>
    </w:p>
    <w:p>
      <w:pPr>
        <w:ind w:left="786" w:hanging="337"/>
        <w:spacing w:after="0"/>
        <w:tabs>
          <w:tab w:leader="none" w:pos="78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86" w:lineRule="exact"/>
        <w:rPr>
          <w:rFonts w:ascii="Arial" w:cs="Arial" w:eastAsia="Arial" w:hAnsi="Arial"/>
          <w:sz w:val="18"/>
          <w:szCs w:val="18"/>
          <w:color w:val="auto"/>
        </w:rPr>
      </w:pPr>
    </w:p>
    <w:p>
      <w:pPr>
        <w:ind w:left="446" w:hanging="446"/>
        <w:spacing w:after="0"/>
        <w:tabs>
          <w:tab w:leader="none" w:pos="446"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96" w:lineRule="exact"/>
        <w:rPr>
          <w:rFonts w:ascii="Arial" w:cs="Arial" w:eastAsia="Arial" w:hAnsi="Arial"/>
          <w:sz w:val="18"/>
          <w:szCs w:val="18"/>
          <w:b w:val="1"/>
          <w:bCs w:val="1"/>
          <w:color w:val="auto"/>
        </w:rPr>
      </w:pPr>
    </w:p>
    <w:p>
      <w:pPr>
        <w:ind w:left="446"/>
        <w:spacing w:after="0"/>
        <w:rPr>
          <w:rFonts w:ascii="Arial" w:cs="Arial" w:eastAsia="Arial" w:hAnsi="Arial"/>
          <w:sz w:val="18"/>
          <w:szCs w:val="18"/>
          <w:b w:val="1"/>
          <w:bCs w:val="1"/>
          <w:color w:val="auto"/>
        </w:rPr>
      </w:pPr>
      <w:r>
        <w:rPr>
          <w:rFonts w:ascii="Arial" w:cs="Arial" w:eastAsia="Arial" w:hAnsi="Arial"/>
          <w:sz w:val="18"/>
          <w:szCs w:val="18"/>
          <w:color w:val="auto"/>
        </w:rPr>
        <w:t>Rights that may be granted under the Plan are:</w:t>
      </w:r>
    </w:p>
    <w:p>
      <w:pPr>
        <w:spacing w:after="0" w:line="90" w:lineRule="exact"/>
        <w:rPr>
          <w:rFonts w:ascii="Arial" w:cs="Arial" w:eastAsia="Arial" w:hAnsi="Arial"/>
          <w:sz w:val="18"/>
          <w:szCs w:val="18"/>
          <w:b w:val="1"/>
          <w:bCs w:val="1"/>
          <w:color w:val="auto"/>
        </w:rPr>
      </w:pPr>
    </w:p>
    <w:p>
      <w:pPr>
        <w:ind w:left="6" w:right="80" w:firstLine="443"/>
        <w:spacing w:after="0" w:line="268" w:lineRule="auto"/>
        <w:tabs>
          <w:tab w:leader="none" w:pos="68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6"/>
          </w:cols>
          <w:pgMar w:left="694" w:top="280" w:right="259" w:bottom="1440" w:gutter="0" w:footer="0" w:header="0"/>
        </w:sectPr>
      </w:pPr>
    </w:p>
    <w:bookmarkStart w:id="193" w:name="page194"/>
    <w:bookmarkEnd w:id="193"/>
    <w:p>
      <w:pPr>
        <w:jc w:val="both"/>
        <w:ind w:left="6" w:right="400" w:firstLine="443"/>
        <w:spacing w:after="0" w:line="259" w:lineRule="auto"/>
        <w:tabs>
          <w:tab w:leader="none" w:pos="693" w:val="left"/>
        </w:tabs>
        <w:numPr>
          <w:ilvl w:val="1"/>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2.0 million Shares.</w:t>
      </w:r>
    </w:p>
    <w:p>
      <w:pPr>
        <w:spacing w:after="0" w:line="255" w:lineRule="exact"/>
        <w:rPr>
          <w:rFonts w:ascii="Arial" w:cs="Arial" w:eastAsia="Arial" w:hAnsi="Arial"/>
          <w:sz w:val="18"/>
          <w:szCs w:val="18"/>
          <w:color w:val="auto"/>
        </w:rPr>
      </w:pPr>
    </w:p>
    <w:p>
      <w:pPr>
        <w:ind w:left="446" w:hanging="446"/>
        <w:spacing w:after="0"/>
        <w:tabs>
          <w:tab w:leader="none" w:pos="446"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96" w:lineRule="exact"/>
        <w:rPr>
          <w:rFonts w:ascii="Arial" w:cs="Arial" w:eastAsia="Arial" w:hAnsi="Arial"/>
          <w:sz w:val="18"/>
          <w:szCs w:val="18"/>
          <w:b w:val="1"/>
          <w:bCs w:val="1"/>
          <w:color w:val="auto"/>
        </w:rPr>
      </w:pPr>
    </w:p>
    <w:p>
      <w:pPr>
        <w:jc w:val="both"/>
        <w:ind w:left="6" w:right="40" w:firstLine="443"/>
        <w:spacing w:after="0" w:line="259" w:lineRule="auto"/>
        <w:tabs>
          <w:tab w:leader="none" w:pos="68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Subject to adjustment as provided in Paragraph 10, not more than 96.5 million Shares in the aggregate may be issued under the Plan pursuant to the grant of Awards. The Shares issued under the Plan may, at the Company’s option, be either Shares held in treasury or Shares originally issued for such purpose.</w:t>
      </w:r>
    </w:p>
    <w:p>
      <w:pPr>
        <w:spacing w:after="0" w:line="59" w:lineRule="exact"/>
        <w:rPr>
          <w:rFonts w:ascii="Arial" w:cs="Arial" w:eastAsia="Arial" w:hAnsi="Arial"/>
          <w:sz w:val="18"/>
          <w:szCs w:val="18"/>
          <w:color w:val="auto"/>
        </w:rPr>
      </w:pPr>
    </w:p>
    <w:p>
      <w:pPr>
        <w:jc w:val="both"/>
        <w:ind w:left="6" w:firstLine="443"/>
        <w:spacing w:after="0" w:line="306" w:lineRule="auto"/>
        <w:tabs>
          <w:tab w:leader="none" w:pos="693" w:val="left"/>
        </w:tabs>
        <w:numPr>
          <w:ilvl w:val="1"/>
          <w:numId w:val="192"/>
        </w:numPr>
        <w:rPr>
          <w:rFonts w:ascii="Arial" w:cs="Arial" w:eastAsia="Arial" w:hAnsi="Arial"/>
          <w:sz w:val="16"/>
          <w:szCs w:val="16"/>
          <w:color w:val="auto"/>
        </w:rPr>
      </w:pPr>
      <w:r>
        <w:rPr>
          <w:rFonts w:ascii="Arial" w:cs="Arial" w:eastAsia="Arial" w:hAnsi="Arial"/>
          <w:sz w:val="16"/>
          <w:szCs w:val="16"/>
          <w:color w:val="auto"/>
        </w:rPr>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222" w:lineRule="exact"/>
        <w:rPr>
          <w:rFonts w:ascii="Arial" w:cs="Arial" w:eastAsia="Arial" w:hAnsi="Arial"/>
          <w:sz w:val="16"/>
          <w:szCs w:val="16"/>
          <w:color w:val="auto"/>
        </w:rPr>
      </w:pPr>
    </w:p>
    <w:p>
      <w:pPr>
        <w:ind w:left="446" w:hanging="446"/>
        <w:spacing w:after="0"/>
        <w:tabs>
          <w:tab w:leader="none" w:pos="446"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left="6" w:right="20" w:firstLine="443"/>
        <w:spacing w:after="0" w:line="259" w:lineRule="auto"/>
        <w:tabs>
          <w:tab w:leader="none" w:pos="683"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59" w:lineRule="exact"/>
        <w:rPr>
          <w:rFonts w:ascii="Arial" w:cs="Arial" w:eastAsia="Arial" w:hAnsi="Arial"/>
          <w:sz w:val="18"/>
          <w:szCs w:val="18"/>
          <w:color w:val="auto"/>
        </w:rPr>
      </w:pPr>
    </w:p>
    <w:p>
      <w:pPr>
        <w:ind w:left="706" w:hanging="257"/>
        <w:spacing w:after="0"/>
        <w:tabs>
          <w:tab w:leader="none" w:pos="706"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Subject to the express terms and conditions set forth in the Plan, the Committee shall have the power, from time to time, to:</w:t>
      </w:r>
    </w:p>
    <w:p>
      <w:pPr>
        <w:spacing w:after="0" w:line="113" w:lineRule="exact"/>
        <w:rPr>
          <w:rFonts w:ascii="Arial" w:cs="Arial" w:eastAsia="Arial" w:hAnsi="Arial"/>
          <w:sz w:val="16"/>
          <w:szCs w:val="16"/>
          <w:color w:val="auto"/>
        </w:rPr>
      </w:pPr>
    </w:p>
    <w:p>
      <w:pPr>
        <w:ind w:left="1466" w:hanging="440"/>
        <w:spacing w:after="0" w:line="256" w:lineRule="auto"/>
        <w:tabs>
          <w:tab w:leader="none" w:pos="1466" w:val="left"/>
        </w:tabs>
        <w:numPr>
          <w:ilvl w:val="2"/>
          <w:numId w:val="192"/>
        </w:numPr>
        <w:rPr>
          <w:rFonts w:ascii="Arial" w:cs="Arial" w:eastAsia="Arial" w:hAnsi="Arial"/>
          <w:sz w:val="18"/>
          <w:szCs w:val="18"/>
          <w:color w:val="auto"/>
        </w:rPr>
      </w:pPr>
      <w:r>
        <w:rPr>
          <w:rFonts w:ascii="Arial" w:cs="Arial" w:eastAsia="Arial" w:hAnsi="Arial"/>
          <w:sz w:val="18"/>
          <w:szCs w:val="18"/>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62" w:lineRule="exact"/>
        <w:rPr>
          <w:rFonts w:ascii="Arial" w:cs="Arial" w:eastAsia="Arial" w:hAnsi="Arial"/>
          <w:sz w:val="18"/>
          <w:szCs w:val="18"/>
          <w:color w:val="auto"/>
        </w:rPr>
      </w:pPr>
    </w:p>
    <w:p>
      <w:pPr>
        <w:ind w:left="1466" w:right="320" w:hanging="440"/>
        <w:spacing w:after="0" w:line="268" w:lineRule="auto"/>
        <w:tabs>
          <w:tab w:leader="none" w:pos="1466" w:val="left"/>
        </w:tabs>
        <w:numPr>
          <w:ilvl w:val="2"/>
          <w:numId w:val="192"/>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90" w:lineRule="exact"/>
        <w:rPr>
          <w:sz w:val="20"/>
          <w:szCs w:val="20"/>
          <w:color w:val="auto"/>
        </w:rPr>
      </w:pPr>
    </w:p>
    <w:p>
      <w:pPr>
        <w:ind w:left="6" w:right="320" w:firstLine="443"/>
        <w:spacing w:after="0" w:line="259" w:lineRule="auto"/>
        <w:tabs>
          <w:tab w:leader="none" w:pos="683"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27"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6"/>
          </w:cols>
          <w:pgMar w:left="694" w:top="280" w:right="339" w:bottom="1440" w:gutter="0" w:footer="0" w:header="0"/>
        </w:sectPr>
      </w:pPr>
    </w:p>
    <w:bookmarkStart w:id="194" w:name="page195"/>
    <w:bookmarkEnd w:id="194"/>
    <w:p>
      <w:pPr>
        <w:ind w:left="6" w:right="100" w:firstLine="443"/>
        <w:spacing w:after="0" w:line="298" w:lineRule="auto"/>
        <w:tabs>
          <w:tab w:leader="none" w:pos="693"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31" w:lineRule="exact"/>
        <w:rPr>
          <w:rFonts w:ascii="Arial" w:cs="Arial" w:eastAsia="Arial" w:hAnsi="Arial"/>
          <w:sz w:val="16"/>
          <w:szCs w:val="16"/>
          <w:color w:val="auto"/>
        </w:rPr>
      </w:pPr>
    </w:p>
    <w:p>
      <w:pPr>
        <w:ind w:left="6" w:right="140" w:firstLine="443"/>
        <w:spacing w:after="0" w:line="294" w:lineRule="auto"/>
        <w:tabs>
          <w:tab w:leader="none" w:pos="683"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34" w:lineRule="exact"/>
        <w:rPr>
          <w:rFonts w:ascii="Arial" w:cs="Arial" w:eastAsia="Arial" w:hAnsi="Arial"/>
          <w:sz w:val="16"/>
          <w:szCs w:val="16"/>
          <w:color w:val="auto"/>
        </w:rPr>
      </w:pPr>
    </w:p>
    <w:p>
      <w:pPr>
        <w:ind w:left="6" w:right="100" w:firstLine="443"/>
        <w:spacing w:after="0" w:line="256" w:lineRule="auto"/>
        <w:tabs>
          <w:tab w:leader="none" w:pos="664"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Committee may delegate its authority with respect to the grant, amendment, interpretation and administration of grants and awards of restricted stock and restricted stock units to a person, persons or committee, in its sole and absolute discretion. Actions taken by the Committee’s duly-authorized delegate shall have the same force and effect as actions taken by the Committee. Any delegation of authority pursuant to this Paragraph 5(f) shall continue in effect until the earliest of:</w:t>
      </w:r>
    </w:p>
    <w:p>
      <w:pPr>
        <w:spacing w:after="0" w:line="62" w:lineRule="exact"/>
        <w:rPr>
          <w:rFonts w:ascii="Arial" w:cs="Arial" w:eastAsia="Arial" w:hAnsi="Arial"/>
          <w:sz w:val="18"/>
          <w:szCs w:val="18"/>
          <w:color w:val="auto"/>
        </w:rPr>
      </w:pPr>
    </w:p>
    <w:p>
      <w:pPr>
        <w:ind w:left="1466" w:hanging="440"/>
        <w:spacing w:after="0"/>
        <w:tabs>
          <w:tab w:leader="none" w:pos="1466" w:val="left"/>
        </w:tabs>
        <w:numPr>
          <w:ilvl w:val="2"/>
          <w:numId w:val="194"/>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90" w:lineRule="exact"/>
        <w:rPr>
          <w:rFonts w:ascii="Arial" w:cs="Arial" w:eastAsia="Arial" w:hAnsi="Arial"/>
          <w:sz w:val="18"/>
          <w:szCs w:val="18"/>
          <w:color w:val="auto"/>
        </w:rPr>
      </w:pPr>
    </w:p>
    <w:p>
      <w:pPr>
        <w:ind w:left="1466" w:right="340" w:hanging="440"/>
        <w:spacing w:after="0" w:line="332" w:lineRule="auto"/>
        <w:tabs>
          <w:tab w:leader="none" w:pos="1466" w:val="left"/>
        </w:tabs>
        <w:numPr>
          <w:ilvl w:val="2"/>
          <w:numId w:val="194"/>
        </w:numPr>
        <w:rPr>
          <w:rFonts w:ascii="Arial" w:cs="Arial" w:eastAsia="Arial" w:hAnsi="Arial"/>
          <w:sz w:val="16"/>
          <w:szCs w:val="16"/>
          <w:color w:val="auto"/>
        </w:rPr>
      </w:pPr>
      <w:r>
        <w:rPr>
          <w:rFonts w:ascii="Arial" w:cs="Arial" w:eastAsia="Arial" w:hAnsi="Arial"/>
          <w:sz w:val="16"/>
          <w:szCs w:val="16"/>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4" w:lineRule="exact"/>
        <w:rPr>
          <w:rFonts w:ascii="Arial" w:cs="Arial" w:eastAsia="Arial" w:hAnsi="Arial"/>
          <w:sz w:val="16"/>
          <w:szCs w:val="16"/>
          <w:color w:val="auto"/>
        </w:rPr>
      </w:pPr>
    </w:p>
    <w:p>
      <w:pPr>
        <w:ind w:left="1466" w:hanging="440"/>
        <w:spacing w:after="0"/>
        <w:tabs>
          <w:tab w:leader="none" w:pos="1466"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286" w:lineRule="exact"/>
        <w:rPr>
          <w:rFonts w:ascii="Arial" w:cs="Arial" w:eastAsia="Arial" w:hAnsi="Arial"/>
          <w:sz w:val="18"/>
          <w:szCs w:val="18"/>
          <w:color w:val="auto"/>
        </w:rPr>
      </w:pPr>
    </w:p>
    <w:p>
      <w:pPr>
        <w:ind w:left="446" w:hanging="446"/>
        <w:spacing w:after="0"/>
        <w:tabs>
          <w:tab w:leader="none" w:pos="446"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rFonts w:ascii="Arial" w:cs="Arial" w:eastAsia="Arial" w:hAnsi="Arial"/>
          <w:sz w:val="18"/>
          <w:szCs w:val="18"/>
          <w:b w:val="1"/>
          <w:bCs w:val="1"/>
          <w:color w:val="auto"/>
        </w:rPr>
      </w:pPr>
    </w:p>
    <w:p>
      <w:pPr>
        <w:ind w:left="446"/>
        <w:spacing w:after="0"/>
        <w:rPr>
          <w:rFonts w:ascii="Arial" w:cs="Arial" w:eastAsia="Arial" w:hAnsi="Arial"/>
          <w:sz w:val="18"/>
          <w:szCs w:val="18"/>
          <w:b w:val="1"/>
          <w:bCs w:val="1"/>
          <w:color w:val="auto"/>
        </w:rPr>
      </w:pPr>
      <w:r>
        <w:rPr>
          <w:rFonts w:ascii="Arial" w:cs="Arial" w:eastAsia="Arial" w:hAnsi="Arial"/>
          <w:sz w:val="18"/>
          <w:szCs w:val="18"/>
          <w:color w:val="auto"/>
        </w:rPr>
        <w:t>Awards may be granted only to Eligible Employees and Non-Employee Directors.</w:t>
      </w:r>
    </w:p>
    <w:p>
      <w:pPr>
        <w:spacing w:after="0" w:line="286" w:lineRule="exact"/>
        <w:rPr>
          <w:rFonts w:ascii="Arial" w:cs="Arial" w:eastAsia="Arial" w:hAnsi="Arial"/>
          <w:sz w:val="18"/>
          <w:szCs w:val="18"/>
          <w:b w:val="1"/>
          <w:bCs w:val="1"/>
          <w:color w:val="auto"/>
        </w:rPr>
      </w:pPr>
    </w:p>
    <w:p>
      <w:pPr>
        <w:ind w:left="446" w:hanging="446"/>
        <w:spacing w:after="0"/>
        <w:tabs>
          <w:tab w:leader="none" w:pos="446"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 AWARDS</w:t>
      </w:r>
    </w:p>
    <w:p>
      <w:pPr>
        <w:spacing w:after="0" w:line="96" w:lineRule="exact"/>
        <w:rPr>
          <w:sz w:val="20"/>
          <w:szCs w:val="20"/>
          <w:color w:val="auto"/>
        </w:rPr>
      </w:pPr>
    </w:p>
    <w:p>
      <w:pPr>
        <w:ind w:left="6" w:firstLine="438"/>
        <w:spacing w:after="0" w:line="256"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3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6"/>
          </w:cols>
          <w:pgMar w:left="694" w:top="280" w:right="239" w:bottom="1440" w:gutter="0" w:footer="0" w:header="0"/>
        </w:sectPr>
      </w:pPr>
    </w:p>
    <w:bookmarkStart w:id="195" w:name="page196"/>
    <w:bookmarkEnd w:id="195"/>
    <w:p>
      <w:pPr>
        <w:ind w:right="2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and conditions of Awards shall be set forth in writing as determined from time to time by the Committee, consistent, however, with the following:</w:t>
      </w:r>
    </w:p>
    <w:p>
      <w:pPr>
        <w:spacing w:after="0" w:line="51" w:lineRule="exact"/>
        <w:rPr>
          <w:sz w:val="20"/>
          <w:szCs w:val="20"/>
          <w:color w:val="auto"/>
        </w:rPr>
      </w:pPr>
    </w:p>
    <w:p>
      <w:pPr>
        <w:ind w:left="680" w:hanging="237"/>
        <w:spacing w:after="0"/>
        <w:tabs>
          <w:tab w:leader="none" w:pos="68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on or before May 11, 2021.</w:t>
      </w:r>
    </w:p>
    <w:p>
      <w:pPr>
        <w:spacing w:after="0" w:line="90" w:lineRule="exact"/>
        <w:rPr>
          <w:rFonts w:ascii="Arial" w:cs="Arial" w:eastAsia="Arial" w:hAnsi="Arial"/>
          <w:sz w:val="18"/>
          <w:szCs w:val="18"/>
          <w:color w:val="auto"/>
        </w:rPr>
      </w:pPr>
    </w:p>
    <w:p>
      <w:pPr>
        <w:ind w:right="140" w:firstLine="443"/>
        <w:spacing w:after="0" w:line="268" w:lineRule="auto"/>
        <w:tabs>
          <w:tab w:leader="none" w:pos="687"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50" w:lineRule="exact"/>
        <w:rPr>
          <w:rFonts w:ascii="Arial" w:cs="Arial" w:eastAsia="Arial" w:hAnsi="Arial"/>
          <w:sz w:val="18"/>
          <w:szCs w:val="18"/>
          <w:color w:val="auto"/>
        </w:rPr>
      </w:pPr>
    </w:p>
    <w:p>
      <w:pPr>
        <w:jc w:val="both"/>
        <w:ind w:right="160" w:firstLine="443"/>
        <w:spacing w:after="0" w:line="298" w:lineRule="auto"/>
        <w:tabs>
          <w:tab w:leader="none" w:pos="677"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 issued to each Grantee in respect of Restricted Stock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31" w:lineRule="exact"/>
        <w:rPr>
          <w:rFonts w:ascii="Arial" w:cs="Arial" w:eastAsia="Arial" w:hAnsi="Arial"/>
          <w:sz w:val="16"/>
          <w:szCs w:val="16"/>
          <w:color w:val="auto"/>
        </w:rPr>
      </w:pPr>
    </w:p>
    <w:p>
      <w:pPr>
        <w:ind w:right="400" w:firstLine="443"/>
        <w:spacing w:after="0" w:line="357" w:lineRule="auto"/>
        <w:tabs>
          <w:tab w:leader="none" w:pos="687" w:val="left"/>
        </w:tabs>
        <w:numPr>
          <w:ilvl w:val="0"/>
          <w:numId w:val="196"/>
        </w:numPr>
        <w:rPr>
          <w:rFonts w:ascii="Arial" w:cs="Arial" w:eastAsia="Arial" w:hAnsi="Arial"/>
          <w:sz w:val="15"/>
          <w:szCs w:val="15"/>
          <w:color w:val="auto"/>
        </w:rPr>
      </w:pPr>
      <w:r>
        <w:rPr>
          <w:rFonts w:ascii="Arial" w:cs="Arial" w:eastAsia="Arial" w:hAnsi="Arial"/>
          <w:sz w:val="15"/>
          <w:szCs w:val="15"/>
          <w:u w:val="single" w:color="auto"/>
          <w:color w:val="auto"/>
        </w:rPr>
        <w:t>Restrictions</w:t>
      </w:r>
      <w:r>
        <w:rPr>
          <w:rFonts w:ascii="Arial" w:cs="Arial" w:eastAsia="Arial" w:hAnsi="Arial"/>
          <w:sz w:val="15"/>
          <w:szCs w:val="15"/>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ind w:firstLine="443"/>
        <w:spacing w:after="0" w:line="288" w:lineRule="auto"/>
        <w:tabs>
          <w:tab w:leader="none" w:pos="677"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Vesting/Lapse of Restrictions</w:t>
      </w:r>
      <w:r>
        <w:rPr>
          <w:rFonts w:ascii="Arial" w:cs="Arial" w:eastAsia="Arial" w:hAnsi="Arial"/>
          <w:sz w:val="16"/>
          <w:szCs w:val="16"/>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 All references to Shares in Awards granted before the consummation of the AT&amp;T Broadband Transaction as to which a Vesting Date has not occurred shall be deemed to be references to Special Common Stock.</w:t>
      </w:r>
    </w:p>
    <w:p>
      <w:pPr>
        <w:spacing w:after="0" w:line="38" w:lineRule="exact"/>
        <w:rPr>
          <w:rFonts w:ascii="Arial" w:cs="Arial" w:eastAsia="Arial" w:hAnsi="Arial"/>
          <w:sz w:val="16"/>
          <w:szCs w:val="16"/>
          <w:color w:val="auto"/>
        </w:rPr>
      </w:pPr>
    </w:p>
    <w:p>
      <w:pPr>
        <w:ind w:right="80" w:firstLine="443"/>
        <w:spacing w:after="0" w:line="306" w:lineRule="auto"/>
        <w:tabs>
          <w:tab w:leader="none" w:pos="657"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196" w:name="page197"/>
    <w:bookmarkEnd w:id="196"/>
    <w:p>
      <w:pPr>
        <w:ind w:left="6" w:right="100" w:firstLine="443"/>
        <w:spacing w:after="0" w:line="335" w:lineRule="auto"/>
        <w:tabs>
          <w:tab w:leader="none" w:pos="693" w:val="left"/>
        </w:tabs>
        <w:numPr>
          <w:ilvl w:val="2"/>
          <w:numId w:val="19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Grantee’s Employment</w:t>
      </w:r>
      <w:r>
        <w:rPr>
          <w:rFonts w:ascii="Arial" w:cs="Arial" w:eastAsia="Arial" w:hAnsi="Arial"/>
          <w:sz w:val="15"/>
          <w:szCs w:val="15"/>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7" w:lineRule="exact"/>
        <w:rPr>
          <w:rFonts w:ascii="Arial" w:cs="Arial" w:eastAsia="Arial" w:hAnsi="Arial"/>
          <w:sz w:val="15"/>
          <w:szCs w:val="15"/>
          <w:color w:val="auto"/>
        </w:rPr>
      </w:pPr>
    </w:p>
    <w:p>
      <w:pPr>
        <w:ind w:left="706" w:hanging="257"/>
        <w:spacing w:after="0"/>
        <w:tabs>
          <w:tab w:leader="none" w:pos="706" w:val="left"/>
        </w:tabs>
        <w:numPr>
          <w:ilvl w:val="2"/>
          <w:numId w:val="197"/>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For purposes of the Plan, the Company may satisfy its obligation to deliver Shares issuable under the Plan either by</w:t>
      </w:r>
    </w:p>
    <w:p>
      <w:pPr>
        <w:spacing w:after="0" w:line="38" w:lineRule="exact"/>
        <w:rPr>
          <w:rFonts w:ascii="Arial" w:cs="Arial" w:eastAsia="Arial" w:hAnsi="Arial"/>
          <w:sz w:val="16"/>
          <w:szCs w:val="16"/>
          <w:color w:val="auto"/>
        </w:rPr>
      </w:pPr>
    </w:p>
    <w:p>
      <w:pPr>
        <w:ind w:left="6" w:right="60" w:firstLine="4"/>
        <w:spacing w:after="0" w:line="287" w:lineRule="auto"/>
        <w:tabs>
          <w:tab w:leader="none" w:pos="216" w:val="left"/>
        </w:tabs>
        <w:numPr>
          <w:ilvl w:val="1"/>
          <w:numId w:val="198"/>
        </w:numPr>
        <w:rPr>
          <w:rFonts w:ascii="Arial" w:cs="Arial" w:eastAsia="Arial" w:hAnsi="Arial"/>
          <w:sz w:val="16"/>
          <w:szCs w:val="16"/>
          <w:color w:val="auto"/>
        </w:rPr>
      </w:pPr>
      <w:r>
        <w:rPr>
          <w:rFonts w:ascii="Arial" w:cs="Arial" w:eastAsia="Arial" w:hAnsi="Arial"/>
          <w:sz w:val="16"/>
          <w:szCs w:val="16"/>
          <w:color w:val="auto"/>
        </w:rPr>
        <w:t>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239" w:lineRule="exact"/>
        <w:rPr>
          <w:rFonts w:ascii="Arial" w:cs="Arial" w:eastAsia="Arial" w:hAnsi="Arial"/>
          <w:sz w:val="16"/>
          <w:szCs w:val="16"/>
          <w:color w:val="auto"/>
        </w:rPr>
      </w:pPr>
    </w:p>
    <w:p>
      <w:pPr>
        <w:ind w:left="446" w:hanging="446"/>
        <w:spacing w:after="0"/>
        <w:tabs>
          <w:tab w:leader="none" w:pos="446"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DEFERRAL ELECTIONS</w:t>
      </w:r>
    </w:p>
    <w:p>
      <w:pPr>
        <w:spacing w:after="0" w:line="96" w:lineRule="exact"/>
        <w:rPr>
          <w:rFonts w:ascii="Arial" w:cs="Arial" w:eastAsia="Arial" w:hAnsi="Arial"/>
          <w:sz w:val="18"/>
          <w:szCs w:val="18"/>
          <w:b w:val="1"/>
          <w:bCs w:val="1"/>
          <w:color w:val="auto"/>
        </w:rPr>
      </w:pPr>
    </w:p>
    <w:p>
      <w:pPr>
        <w:ind w:left="446"/>
        <w:spacing w:after="0"/>
        <w:rPr>
          <w:rFonts w:ascii="Arial" w:cs="Arial" w:eastAsia="Arial" w:hAnsi="Arial"/>
          <w:sz w:val="18"/>
          <w:szCs w:val="18"/>
          <w:b w:val="1"/>
          <w:bCs w:val="1"/>
          <w:color w:val="auto"/>
        </w:rPr>
      </w:pPr>
      <w:r>
        <w:rPr>
          <w:rFonts w:ascii="Arial" w:cs="Arial" w:eastAsia="Arial" w:hAnsi="Arial"/>
          <w:sz w:val="15"/>
          <w:szCs w:val="15"/>
          <w:color w:val="auto"/>
        </w:rPr>
        <w:t>A Grantee may elect to defer the receipt of Shares that would otherwise be issuable with respect to Restricted Stock Units as to which a Vesting Date</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8"/>
          <w:szCs w:val="18"/>
          <w:color w:val="auto"/>
        </w:rPr>
        <w:t>has not occurred, as provided by the Committee in the Award, consistent, however, with the following:</w:t>
      </w:r>
    </w:p>
    <w:p>
      <w:pPr>
        <w:spacing w:after="0" w:line="84" w:lineRule="exact"/>
        <w:rPr>
          <w:sz w:val="20"/>
          <w:szCs w:val="20"/>
          <w:color w:val="auto"/>
        </w:rPr>
      </w:pPr>
    </w:p>
    <w:p>
      <w:pPr>
        <w:ind w:left="686" w:hanging="237"/>
        <w:spacing w:after="0"/>
        <w:tabs>
          <w:tab w:leader="none" w:pos="68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6" w:right="120" w:hanging="440"/>
        <w:spacing w:after="0" w:line="306" w:lineRule="auto"/>
        <w:tabs>
          <w:tab w:leader="none" w:pos="1466"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Election</w:t>
      </w:r>
      <w:r>
        <w:rPr>
          <w:rFonts w:ascii="Arial" w:cs="Arial" w:eastAsia="Arial" w:hAnsi="Arial"/>
          <w:sz w:val="16"/>
          <w:szCs w:val="16"/>
          <w:color w:val="auto"/>
        </w:rPr>
        <w:t>. Each Grantee who is a Non-Employee Director or a Deferral Eligible Employee shall have the right to defer the receipt of some or all of the Shares issuable with respect to Restricted Stock Units as to which a Vesting Date has not yet occurred, by filing an Initial Election to defer the receipt of such Shares on a form provided by the Committee for this purpose.</w:t>
      </w:r>
    </w:p>
    <w:p>
      <w:pPr>
        <w:spacing w:after="0" w:line="25" w:lineRule="exact"/>
        <w:rPr>
          <w:rFonts w:ascii="Arial" w:cs="Arial" w:eastAsia="Arial" w:hAnsi="Arial"/>
          <w:sz w:val="16"/>
          <w:szCs w:val="16"/>
          <w:color w:val="auto"/>
        </w:rPr>
      </w:pPr>
    </w:p>
    <w:p>
      <w:pPr>
        <w:ind w:left="1466" w:right="120" w:hanging="440"/>
        <w:spacing w:after="0" w:line="298" w:lineRule="auto"/>
        <w:tabs>
          <w:tab w:leader="none" w:pos="1466"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Deadline for Initial Election</w:t>
      </w:r>
      <w:r>
        <w:rPr>
          <w:rFonts w:ascii="Arial" w:cs="Arial" w:eastAsia="Arial" w:hAnsi="Arial"/>
          <w:sz w:val="16"/>
          <w:szCs w:val="16"/>
          <w:color w:val="auto"/>
        </w:rPr>
        <w:t>. No Initial Election to defer the receipt of Shares issuable with respect to Restricted Stock Units that are not Performance-Based Compensation shall be effective unless it is filed with the Committee on or before the 30</w:t>
      </w:r>
      <w:r>
        <w:rPr>
          <w:rFonts w:ascii="Arial" w:cs="Arial" w:eastAsia="Arial" w:hAnsi="Arial"/>
          <w:sz w:val="10"/>
          <w:szCs w:val="10"/>
          <w:color w:val="auto"/>
        </w:rPr>
        <w:t>th</w:t>
      </w:r>
      <w:r>
        <w:rPr>
          <w:rFonts w:ascii="Arial" w:cs="Arial" w:eastAsia="Arial" w:hAnsi="Arial"/>
          <w:sz w:val="16"/>
          <w:szCs w:val="16"/>
          <w:color w:val="auto"/>
        </w:rPr>
        <w:t xml:space="preserve"> day following the Date of Grant and 12 or more months in advance of the applicable Vesting Date. No Initial Election to defer the receipt of Shares issuable with respect to Restricted Stock Units that are Performance-Based Compensation shall be effective unless</w:t>
      </w:r>
    </w:p>
    <w:p>
      <w:pPr>
        <w:spacing w:after="0" w:line="99"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6"/>
          </w:cols>
          <w:pgMar w:left="694" w:top="280" w:right="299" w:bottom="1440" w:gutter="0" w:footer="0" w:header="0"/>
        </w:sectPr>
      </w:pPr>
    </w:p>
    <w:bookmarkStart w:id="197" w:name="page198"/>
    <w:bookmarkEnd w:id="197"/>
    <w:p>
      <w:pPr>
        <w:ind w:left="148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filed with the Administrator at least six months before the end of the Performance Period during which such Performance-Based Compensation may be earned.</w:t>
      </w:r>
    </w:p>
    <w:p>
      <w:pPr>
        <w:spacing w:after="0" w:line="51" w:lineRule="exact"/>
        <w:rPr>
          <w:sz w:val="20"/>
          <w:szCs w:val="20"/>
          <w:color w:val="auto"/>
        </w:rPr>
      </w:pPr>
    </w:p>
    <w:p>
      <w:pPr>
        <w:ind w:firstLine="443"/>
        <w:spacing w:after="0" w:line="332" w:lineRule="auto"/>
        <w:tabs>
          <w:tab w:leader="none" w:pos="687"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Effect of Failure of Vesting Date to Occur</w:t>
      </w:r>
      <w:r>
        <w:rPr>
          <w:rFonts w:ascii="Arial" w:cs="Arial" w:eastAsia="Arial" w:hAnsi="Arial"/>
          <w:sz w:val="16"/>
          <w:szCs w:val="16"/>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4" w:lineRule="exact"/>
        <w:rPr>
          <w:rFonts w:ascii="Arial" w:cs="Arial" w:eastAsia="Arial" w:hAnsi="Arial"/>
          <w:sz w:val="16"/>
          <w:szCs w:val="16"/>
          <w:color w:val="auto"/>
        </w:rPr>
      </w:pPr>
    </w:p>
    <w:p>
      <w:pPr>
        <w:ind w:right="120" w:firstLine="443"/>
        <w:spacing w:after="0" w:line="254" w:lineRule="auto"/>
        <w:tabs>
          <w:tab w:leader="none" w:pos="677"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Except as otherwise specifically provided by the Plan,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63" w:lineRule="exact"/>
        <w:rPr>
          <w:rFonts w:ascii="Arial" w:cs="Arial" w:eastAsia="Arial" w:hAnsi="Arial"/>
          <w:sz w:val="18"/>
          <w:szCs w:val="18"/>
          <w:color w:val="auto"/>
        </w:rPr>
      </w:pPr>
    </w:p>
    <w:p>
      <w:pPr>
        <w:ind w:right="120" w:firstLine="443"/>
        <w:spacing w:after="0" w:line="268" w:lineRule="auto"/>
        <w:tabs>
          <w:tab w:leader="none" w:pos="687"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50" w:lineRule="exact"/>
        <w:rPr>
          <w:rFonts w:ascii="Arial" w:cs="Arial" w:eastAsia="Arial" w:hAnsi="Arial"/>
          <w:sz w:val="18"/>
          <w:szCs w:val="18"/>
          <w:color w:val="auto"/>
        </w:rPr>
      </w:pPr>
    </w:p>
    <w:p>
      <w:pPr>
        <w:ind w:left="1460" w:right="40" w:hanging="440"/>
        <w:spacing w:after="0" w:line="254" w:lineRule="auto"/>
        <w:tabs>
          <w:tab w:leader="none" w:pos="14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63" w:lineRule="exact"/>
        <w:rPr>
          <w:rFonts w:ascii="Arial" w:cs="Arial" w:eastAsia="Arial" w:hAnsi="Arial"/>
          <w:sz w:val="18"/>
          <w:szCs w:val="18"/>
          <w:color w:val="auto"/>
        </w:rPr>
      </w:pPr>
    </w:p>
    <w:p>
      <w:pPr>
        <w:ind w:left="1460" w:right="200" w:hanging="440"/>
        <w:spacing w:after="0" w:line="298" w:lineRule="auto"/>
        <w:tabs>
          <w:tab w:leader="none" w:pos="146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A Deceased Grantee’s Successor-in-Interest may elect to file a Subsequent Election to defer the distribution date for the Deceased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Deceased Grantee’s last Election.</w:t>
      </w:r>
    </w:p>
    <w:p>
      <w:pPr>
        <w:spacing w:after="0" w:line="31" w:lineRule="exact"/>
        <w:rPr>
          <w:rFonts w:ascii="Arial" w:cs="Arial" w:eastAsia="Arial" w:hAnsi="Arial"/>
          <w:sz w:val="16"/>
          <w:szCs w:val="16"/>
          <w:color w:val="auto"/>
        </w:rPr>
      </w:pPr>
    </w:p>
    <w:p>
      <w:pPr>
        <w:ind w:left="1460" w:hanging="440"/>
        <w:spacing w:after="0"/>
        <w:tabs>
          <w:tab w:leader="none" w:pos="146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A Retired Grantee may elect to defer the distribution date of the Retired Grantee’s Shares issuable with respect to Restricted Stock</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80" w:right="259" w:bottom="1440" w:gutter="0" w:footer="0" w:header="0"/>
        </w:sectPr>
      </w:pPr>
    </w:p>
    <w:bookmarkStart w:id="198" w:name="page199"/>
    <w:bookmarkEnd w:id="198"/>
    <w:p>
      <w:pPr>
        <w:ind w:left="148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59" w:lineRule="exact"/>
        <w:rPr>
          <w:sz w:val="20"/>
          <w:szCs w:val="20"/>
          <w:color w:val="auto"/>
        </w:rPr>
      </w:pPr>
    </w:p>
    <w:p>
      <w:pPr>
        <w:ind w:right="40" w:firstLine="443"/>
        <w:spacing w:after="0" w:line="298" w:lineRule="auto"/>
        <w:tabs>
          <w:tab w:leader="none" w:pos="677"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 Section 409A,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31" w:lineRule="exact"/>
        <w:rPr>
          <w:rFonts w:ascii="Arial" w:cs="Arial" w:eastAsia="Arial" w:hAnsi="Arial"/>
          <w:sz w:val="16"/>
          <w:szCs w:val="16"/>
          <w:color w:val="auto"/>
        </w:rPr>
      </w:pPr>
    </w:p>
    <w:p>
      <w:pPr>
        <w:jc w:val="both"/>
        <w:ind w:firstLine="443"/>
        <w:spacing w:after="0" w:line="357" w:lineRule="auto"/>
        <w:tabs>
          <w:tab w:leader="none" w:pos="657" w:val="left"/>
        </w:tabs>
        <w:numPr>
          <w:ilvl w:val="0"/>
          <w:numId w:val="202"/>
        </w:numPr>
        <w:rPr>
          <w:rFonts w:ascii="Arial" w:cs="Arial" w:eastAsia="Arial" w:hAnsi="Arial"/>
          <w:sz w:val="15"/>
          <w:szCs w:val="15"/>
          <w:color w:val="auto"/>
        </w:rPr>
      </w:pPr>
      <w:r>
        <w:rPr>
          <w:rFonts w:ascii="Arial" w:cs="Arial" w:eastAsia="Arial" w:hAnsi="Arial"/>
          <w:sz w:val="15"/>
          <w:szCs w:val="15"/>
          <w:u w:val="single" w:color="auto"/>
          <w:color w:val="auto"/>
        </w:rPr>
        <w:t>Hardship</w:t>
      </w:r>
      <w:r>
        <w:rPr>
          <w:rFonts w:ascii="Arial" w:cs="Arial" w:eastAsia="Arial" w:hAnsi="Arial"/>
          <w:sz w:val="15"/>
          <w:szCs w:val="15"/>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ind w:right="240" w:firstLine="443"/>
        <w:spacing w:after="0" w:line="268" w:lineRule="auto"/>
        <w:tabs>
          <w:tab w:leader="none" w:pos="687"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Grantee’s Account may be made:</w:t>
      </w:r>
    </w:p>
    <w:p>
      <w:pPr>
        <w:spacing w:after="0" w:line="50" w:lineRule="exact"/>
        <w:rPr>
          <w:rFonts w:ascii="Arial" w:cs="Arial" w:eastAsia="Arial" w:hAnsi="Arial"/>
          <w:sz w:val="18"/>
          <w:szCs w:val="18"/>
          <w:color w:val="auto"/>
        </w:rPr>
      </w:pPr>
    </w:p>
    <w:p>
      <w:pPr>
        <w:ind w:left="1460" w:right="100" w:hanging="440"/>
        <w:spacing w:after="0" w:line="268" w:lineRule="auto"/>
        <w:tabs>
          <w:tab w:leader="none" w:pos="14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50" w:lineRule="exact"/>
        <w:rPr>
          <w:rFonts w:ascii="Arial" w:cs="Arial" w:eastAsia="Arial" w:hAnsi="Arial"/>
          <w:sz w:val="18"/>
          <w:szCs w:val="18"/>
          <w:color w:val="auto"/>
        </w:rPr>
      </w:pPr>
    </w:p>
    <w:p>
      <w:pPr>
        <w:ind w:left="1460" w:right="80" w:hanging="440"/>
        <w:spacing w:after="0" w:line="268" w:lineRule="auto"/>
        <w:tabs>
          <w:tab w:leader="none" w:pos="14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 1.409A-3(j)(4)(iii) (or any successor provision of law).</w:t>
      </w:r>
    </w:p>
    <w:p>
      <w:pPr>
        <w:spacing w:after="0" w:line="50" w:lineRule="exact"/>
        <w:rPr>
          <w:rFonts w:ascii="Arial" w:cs="Arial" w:eastAsia="Arial" w:hAnsi="Arial"/>
          <w:sz w:val="18"/>
          <w:szCs w:val="18"/>
          <w:color w:val="auto"/>
        </w:rPr>
      </w:pPr>
    </w:p>
    <w:p>
      <w:pPr>
        <w:ind w:left="1460" w:right="220" w:hanging="440"/>
        <w:spacing w:after="0" w:line="268" w:lineRule="auto"/>
        <w:tabs>
          <w:tab w:leader="none" w:pos="14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To pay employment taxes to the extent permitted by Treasury Regulation section 1.409A-3(j)(4)(vi) (or any successor provision of law).</w:t>
      </w:r>
    </w:p>
    <w:p>
      <w:pPr>
        <w:spacing w:after="0" w:line="50" w:lineRule="exact"/>
        <w:rPr>
          <w:rFonts w:ascii="Arial" w:cs="Arial" w:eastAsia="Arial" w:hAnsi="Arial"/>
          <w:sz w:val="18"/>
          <w:szCs w:val="18"/>
          <w:color w:val="auto"/>
        </w:rPr>
      </w:pPr>
    </w:p>
    <w:p>
      <w:pPr>
        <w:ind w:left="1460" w:right="520" w:hanging="440"/>
        <w:spacing w:after="0" w:line="268" w:lineRule="auto"/>
        <w:tabs>
          <w:tab w:leader="none" w:pos="14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50" w:lineRule="exact"/>
        <w:rPr>
          <w:rFonts w:ascii="Arial" w:cs="Arial" w:eastAsia="Arial" w:hAnsi="Arial"/>
          <w:sz w:val="18"/>
          <w:szCs w:val="18"/>
          <w:color w:val="auto"/>
        </w:rPr>
      </w:pPr>
    </w:p>
    <w:p>
      <w:pPr>
        <w:ind w:left="1460" w:right="500" w:hanging="440"/>
        <w:spacing w:after="0" w:line="268" w:lineRule="auto"/>
        <w:tabs>
          <w:tab w:leader="none" w:pos="14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To pay state, local or foreign taxes to the extent permitted by Treasury Regulation section 1.409A-3(j)(4)(xi) (or any successor provision of law).</w:t>
      </w:r>
    </w:p>
    <w:p>
      <w:pPr>
        <w:spacing w:after="0" w:line="50" w:lineRule="exact"/>
        <w:rPr>
          <w:rFonts w:ascii="Arial" w:cs="Arial" w:eastAsia="Arial" w:hAnsi="Arial"/>
          <w:sz w:val="18"/>
          <w:szCs w:val="18"/>
          <w:color w:val="auto"/>
        </w:rPr>
      </w:pPr>
    </w:p>
    <w:p>
      <w:pPr>
        <w:ind w:left="1460" w:right="320" w:hanging="440"/>
        <w:spacing w:after="0" w:line="268" w:lineRule="auto"/>
        <w:tabs>
          <w:tab w:leader="none" w:pos="14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 satisfaction of a debt of a Grantee to a Participating Company where such debt is incurred in the ordinary course of the service relationship between the Grantee and the Participating Company,</w:t>
      </w:r>
    </w:p>
    <w:p>
      <w:pPr>
        <w:spacing w:after="0" w:line="11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700" w:top="280" w:right="339" w:bottom="1440" w:gutter="0" w:footer="0" w:header="0"/>
        </w:sectPr>
      </w:pPr>
    </w:p>
    <w:bookmarkStart w:id="199" w:name="page200"/>
    <w:bookmarkEnd w:id="199"/>
    <w:p>
      <w:pPr>
        <w:jc w:val="center"/>
        <w:ind w:righ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permitted by Treasury Regulation section 1.409A-3(j)(4)(xiii) (or any successor provision of law).</w:t>
      </w:r>
    </w:p>
    <w:p>
      <w:pPr>
        <w:spacing w:after="0" w:line="90" w:lineRule="exact"/>
        <w:rPr>
          <w:sz w:val="20"/>
          <w:szCs w:val="20"/>
          <w:color w:val="auto"/>
        </w:rPr>
      </w:pPr>
    </w:p>
    <w:p>
      <w:pPr>
        <w:ind w:left="1460" w:right="420" w:hanging="440"/>
        <w:spacing w:after="0" w:line="268" w:lineRule="auto"/>
        <w:tabs>
          <w:tab w:leader="none" w:pos="14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In connection with a bona fide dispute as to a Grantee’s right to payment, to the extent permitted by Treasury Regulation section 1.409A-3(j)(4)(xiv) (or any successor provision of law).</w:t>
      </w:r>
    </w:p>
    <w:p>
      <w:pPr>
        <w:spacing w:after="0" w:line="50" w:lineRule="exact"/>
        <w:rPr>
          <w:rFonts w:ascii="Arial" w:cs="Arial" w:eastAsia="Arial" w:hAnsi="Arial"/>
          <w:sz w:val="18"/>
          <w:szCs w:val="18"/>
          <w:color w:val="auto"/>
        </w:rPr>
      </w:pPr>
    </w:p>
    <w:p>
      <w:pPr>
        <w:ind w:right="20" w:firstLine="443"/>
        <w:spacing w:after="0" w:line="255" w:lineRule="auto"/>
        <w:tabs>
          <w:tab w:leader="none" w:pos="687"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8(k).</w:t>
      </w:r>
    </w:p>
    <w:p>
      <w:pPr>
        <w:spacing w:after="0" w:line="61" w:lineRule="exact"/>
        <w:rPr>
          <w:rFonts w:ascii="Arial" w:cs="Arial" w:eastAsia="Arial" w:hAnsi="Arial"/>
          <w:sz w:val="18"/>
          <w:szCs w:val="18"/>
          <w:color w:val="auto"/>
        </w:rPr>
      </w:pPr>
    </w:p>
    <w:p>
      <w:pPr>
        <w:ind w:right="40" w:firstLine="443"/>
        <w:spacing w:after="0" w:line="268" w:lineRule="auto"/>
        <w:tabs>
          <w:tab w:leader="none" w:pos="648"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8(i) to an officer of the Company or committee of two or more officers of the Company.</w:t>
      </w:r>
    </w:p>
    <w:p>
      <w:pPr>
        <w:spacing w:after="0" w:line="50" w:lineRule="exact"/>
        <w:rPr>
          <w:rFonts w:ascii="Arial" w:cs="Arial" w:eastAsia="Arial" w:hAnsi="Arial"/>
          <w:sz w:val="18"/>
          <w:szCs w:val="18"/>
          <w:color w:val="auto"/>
        </w:rPr>
      </w:pPr>
    </w:p>
    <w:p>
      <w:pPr>
        <w:ind w:left="1460" w:hanging="440"/>
        <w:spacing w:after="0" w:line="294" w:lineRule="auto"/>
        <w:tabs>
          <w:tab w:leader="none" w:pos="146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34" w:lineRule="exact"/>
        <w:rPr>
          <w:rFonts w:ascii="Arial" w:cs="Arial" w:eastAsia="Arial" w:hAnsi="Arial"/>
          <w:sz w:val="16"/>
          <w:szCs w:val="16"/>
          <w:color w:val="auto"/>
        </w:rPr>
      </w:pPr>
    </w:p>
    <w:p>
      <w:pPr>
        <w:ind w:left="1460" w:hanging="440"/>
        <w:spacing w:after="0" w:line="291" w:lineRule="auto"/>
        <w:tabs>
          <w:tab w:leader="none" w:pos="146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39" w:lineRule="exact"/>
        <w:rPr>
          <w:rFonts w:ascii="Arial" w:cs="Arial" w:eastAsia="Arial" w:hAnsi="Arial"/>
          <w:sz w:val="16"/>
          <w:szCs w:val="16"/>
          <w:color w:val="auto"/>
        </w:rPr>
      </w:pPr>
    </w:p>
    <w:p>
      <w:pPr>
        <w:ind w:right="80" w:firstLine="443"/>
        <w:spacing w:after="0" w:line="268" w:lineRule="auto"/>
        <w:tabs>
          <w:tab w:leader="none" w:pos="648"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8(k), the value of a Grantee’s Account as of any date shall be determined as if it were invested in the Company Stock Fund.</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700" w:top="280" w:right="299" w:bottom="1440" w:gutter="0" w:footer="0" w:header="0"/>
        </w:sectPr>
      </w:pPr>
    </w:p>
    <w:bookmarkStart w:id="200" w:name="page201"/>
    <w:bookmarkEnd w:id="200"/>
    <w:p>
      <w:pPr>
        <w:ind w:left="257" w:hanging="257"/>
        <w:spacing w:after="0"/>
        <w:tabs>
          <w:tab w:leader="none" w:pos="257"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Diversification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17" w:right="100" w:hanging="440"/>
        <w:spacing w:after="0" w:line="298" w:lineRule="auto"/>
        <w:tabs>
          <w:tab w:leader="none" w:pos="1017"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or its delegate. No approval is required for a Diversification Election other than a Special Diversification Election.</w:t>
      </w:r>
    </w:p>
    <w:p>
      <w:pPr>
        <w:spacing w:after="0" w:line="31" w:lineRule="exact"/>
        <w:rPr>
          <w:rFonts w:ascii="Arial" w:cs="Arial" w:eastAsia="Arial" w:hAnsi="Arial"/>
          <w:sz w:val="16"/>
          <w:szCs w:val="16"/>
          <w:color w:val="auto"/>
        </w:rPr>
      </w:pPr>
    </w:p>
    <w:p>
      <w:pPr>
        <w:ind w:left="1017" w:hanging="440"/>
        <w:spacing w:after="0" w:line="256" w:lineRule="auto"/>
        <w:tabs>
          <w:tab w:leader="none" w:pos="1017" w:val="left"/>
        </w:tabs>
        <w:numPr>
          <w:ilvl w:val="1"/>
          <w:numId w:val="205"/>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or its delegate in its sole discretion. A Special Diversification Election shall only be effective if (and to the extent) approved by the Committee or its delegate.</w:t>
      </w:r>
    </w:p>
    <w:p>
      <w:pPr>
        <w:spacing w:after="0" w:line="62" w:lineRule="exact"/>
        <w:rPr>
          <w:rFonts w:ascii="Arial" w:cs="Arial" w:eastAsia="Arial" w:hAnsi="Arial"/>
          <w:sz w:val="18"/>
          <w:szCs w:val="18"/>
          <w:color w:val="auto"/>
        </w:rPr>
      </w:pPr>
    </w:p>
    <w:p>
      <w:pPr>
        <w:ind w:left="1017" w:hanging="440"/>
        <w:spacing w:after="0" w:line="288" w:lineRule="auto"/>
        <w:tabs>
          <w:tab w:leader="none" w:pos="1017"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No deemed transfers shall be permitted from the Income Fund to the Company Stock Fund. Diversification Elections under this Paragraph 8(k)(iii)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38" w:lineRule="exact"/>
        <w:rPr>
          <w:rFonts w:ascii="Arial" w:cs="Arial" w:eastAsia="Arial" w:hAnsi="Arial"/>
          <w:sz w:val="16"/>
          <w:szCs w:val="16"/>
          <w:color w:val="auto"/>
        </w:rPr>
      </w:pPr>
    </w:p>
    <w:p>
      <w:pPr>
        <w:jc w:val="both"/>
        <w:ind w:left="1017" w:right="60" w:hanging="440"/>
        <w:spacing w:after="0" w:line="298" w:lineRule="auto"/>
        <w:tabs>
          <w:tab w:leader="none" w:pos="1017"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Account balances subject to a Diversification Election under this Paragraph 8(k)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w:t>
      </w:r>
    </w:p>
    <w:p>
      <w:pPr>
        <w:spacing w:after="0" w:line="99" w:lineRule="exact"/>
        <w:rPr>
          <w:sz w:val="20"/>
          <w:szCs w:val="20"/>
          <w:color w:val="auto"/>
        </w:rPr>
      </w:pPr>
    </w:p>
    <w:p>
      <w:pPr>
        <w:ind w:left="4657"/>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97"/>
          </w:cols>
          <w:pgMar w:left="1143" w:top="280" w:right="259" w:bottom="1440" w:gutter="0" w:footer="0" w:header="0"/>
        </w:sectPr>
      </w:pPr>
    </w:p>
    <w:bookmarkStart w:id="201" w:name="page202"/>
    <w:bookmarkEnd w:id="201"/>
    <w:p>
      <w:pPr>
        <w:ind w:left="148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Stock Units at Fair Market Value as of the effective date of a Diversification Election.</w:t>
      </w:r>
    </w:p>
    <w:p>
      <w:pPr>
        <w:spacing w:after="0" w:line="90" w:lineRule="exact"/>
        <w:rPr>
          <w:sz w:val="20"/>
          <w:szCs w:val="20"/>
          <w:color w:val="auto"/>
        </w:rPr>
      </w:pPr>
    </w:p>
    <w:p>
      <w:pPr>
        <w:ind w:left="6" w:firstLine="443"/>
        <w:spacing w:after="0" w:line="318" w:lineRule="auto"/>
        <w:tabs>
          <w:tab w:leader="none" w:pos="654" w:val="left"/>
        </w:tabs>
        <w:numPr>
          <w:ilvl w:val="1"/>
          <w:numId w:val="206"/>
        </w:numPr>
        <w:rPr>
          <w:rFonts w:ascii="Arial" w:cs="Arial" w:eastAsia="Arial" w:hAnsi="Arial"/>
          <w:sz w:val="15"/>
          <w:szCs w:val="15"/>
          <w:color w:val="auto"/>
        </w:rPr>
      </w:pPr>
      <w:r>
        <w:rPr>
          <w:rFonts w:ascii="Arial" w:cs="Arial" w:eastAsia="Arial" w:hAnsi="Arial"/>
          <w:sz w:val="15"/>
          <w:szCs w:val="15"/>
          <w:u w:val="single" w:color="auto"/>
          <w:color w:val="auto"/>
        </w:rPr>
        <w:t>Grantees’ Status as General Creditors</w:t>
      </w:r>
      <w:r>
        <w:rPr>
          <w:rFonts w:ascii="Arial" w:cs="Arial" w:eastAsia="Arial" w:hAnsi="Arial"/>
          <w:sz w:val="15"/>
          <w:szCs w:val="15"/>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8" w:lineRule="exact"/>
        <w:rPr>
          <w:rFonts w:ascii="Arial" w:cs="Arial" w:eastAsia="Arial" w:hAnsi="Arial"/>
          <w:sz w:val="15"/>
          <w:szCs w:val="15"/>
          <w:color w:val="auto"/>
        </w:rPr>
      </w:pPr>
    </w:p>
    <w:p>
      <w:pPr>
        <w:ind w:left="6" w:right="80" w:firstLine="443"/>
        <w:spacing w:after="0" w:line="335" w:lineRule="auto"/>
        <w:tabs>
          <w:tab w:leader="none" w:pos="742" w:val="left"/>
        </w:tabs>
        <w:numPr>
          <w:ilvl w:val="1"/>
          <w:numId w:val="206"/>
        </w:numPr>
        <w:rPr>
          <w:rFonts w:ascii="Arial" w:cs="Arial" w:eastAsia="Arial" w:hAnsi="Arial"/>
          <w:sz w:val="15"/>
          <w:szCs w:val="15"/>
          <w:color w:val="auto"/>
        </w:rPr>
      </w:pPr>
      <w:r>
        <w:rPr>
          <w:rFonts w:ascii="Arial" w:cs="Arial" w:eastAsia="Arial" w:hAnsi="Arial"/>
          <w:sz w:val="15"/>
          <w:szCs w:val="15"/>
          <w:u w:val="single" w:color="auto"/>
          <w:color w:val="auto"/>
        </w:rPr>
        <w:t>Non-Assignability, Etc</w:t>
      </w:r>
      <w:r>
        <w:rPr>
          <w:rFonts w:ascii="Arial" w:cs="Arial" w:eastAsia="Arial" w:hAnsi="Arial"/>
          <w:sz w:val="15"/>
          <w:szCs w:val="15"/>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7" w:lineRule="exact"/>
        <w:rPr>
          <w:rFonts w:ascii="Arial" w:cs="Arial" w:eastAsia="Arial" w:hAnsi="Arial"/>
          <w:sz w:val="15"/>
          <w:szCs w:val="15"/>
          <w:color w:val="auto"/>
        </w:rPr>
      </w:pPr>
    </w:p>
    <w:p>
      <w:pPr>
        <w:ind w:left="6" w:right="240" w:firstLine="443"/>
        <w:spacing w:after="0" w:line="294" w:lineRule="auto"/>
        <w:tabs>
          <w:tab w:leader="none" w:pos="693"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231" w:lineRule="exact"/>
        <w:rPr>
          <w:rFonts w:ascii="Arial" w:cs="Arial" w:eastAsia="Arial" w:hAnsi="Arial"/>
          <w:sz w:val="16"/>
          <w:szCs w:val="16"/>
          <w:color w:val="auto"/>
        </w:rPr>
      </w:pPr>
    </w:p>
    <w:p>
      <w:pPr>
        <w:ind w:left="446" w:hanging="446"/>
        <w:spacing w:after="0"/>
        <w:tabs>
          <w:tab w:leader="none" w:pos="446"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LAWS; TAXES</w:t>
      </w:r>
    </w:p>
    <w:p>
      <w:pPr>
        <w:spacing w:after="0" w:line="96" w:lineRule="exact"/>
        <w:rPr>
          <w:rFonts w:ascii="Arial" w:cs="Arial" w:eastAsia="Arial" w:hAnsi="Arial"/>
          <w:sz w:val="18"/>
          <w:szCs w:val="18"/>
          <w:b w:val="1"/>
          <w:bCs w:val="1"/>
          <w:color w:val="auto"/>
        </w:rPr>
      </w:pPr>
    </w:p>
    <w:p>
      <w:pPr>
        <w:ind w:left="6" w:right="220" w:firstLine="443"/>
        <w:spacing w:after="0" w:line="255" w:lineRule="auto"/>
        <w:tabs>
          <w:tab w:leader="none" w:pos="683"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61" w:lineRule="exact"/>
        <w:rPr>
          <w:rFonts w:ascii="Arial" w:cs="Arial" w:eastAsia="Arial" w:hAnsi="Arial"/>
          <w:sz w:val="18"/>
          <w:szCs w:val="18"/>
          <w:color w:val="auto"/>
        </w:rPr>
      </w:pPr>
    </w:p>
    <w:p>
      <w:pPr>
        <w:ind w:left="6" w:right="160" w:firstLine="443"/>
        <w:spacing w:after="0" w:line="306" w:lineRule="auto"/>
        <w:tabs>
          <w:tab w:leader="none" w:pos="693" w:val="left"/>
        </w:tabs>
        <w:numPr>
          <w:ilvl w:val="1"/>
          <w:numId w:val="207"/>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w:t>
      </w:r>
    </w:p>
    <w:p>
      <w:pPr>
        <w:spacing w:after="0" w:line="93"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6"/>
          </w:cols>
          <w:pgMar w:left="694" w:top="280"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Grantee’s Account until it has been indemnified to its satisfaction for any such tax, charge or assessment.</w:t>
      </w:r>
    </w:p>
    <w:p>
      <w:pPr>
        <w:spacing w:after="0" w:line="90" w:lineRule="exact"/>
        <w:rPr>
          <w:sz w:val="20"/>
          <w:szCs w:val="20"/>
          <w:color w:val="auto"/>
        </w:rPr>
      </w:pPr>
    </w:p>
    <w:p>
      <w:pPr>
        <w:ind w:left="680" w:hanging="237"/>
        <w:spacing w:after="0"/>
        <w:tabs>
          <w:tab w:leader="none" w:pos="68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0" w:right="40" w:hanging="440"/>
        <w:spacing w:after="0" w:line="290" w:lineRule="auto"/>
        <w:tabs>
          <w:tab w:leader="none" w:pos="146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In connection with the grant of any Award, the occurrence of a Vesting Date under any Award or the distribution of a Grantee’s Account, or 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 Company shall have the right to (A) require the Grantee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37" w:lineRule="exact"/>
        <w:rPr>
          <w:rFonts w:ascii="Arial" w:cs="Arial" w:eastAsia="Arial" w:hAnsi="Arial"/>
          <w:sz w:val="16"/>
          <w:szCs w:val="16"/>
          <w:color w:val="auto"/>
        </w:rPr>
      </w:pPr>
    </w:p>
    <w:p>
      <w:pPr>
        <w:ind w:left="1460" w:hanging="440"/>
        <w:spacing w:after="0" w:line="286" w:lineRule="auto"/>
        <w:tabs>
          <w:tab w:leader="none" w:pos="146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Except as otherwise provided in this Paragraph 9(c)(ii), any tax liabilities incurred in connection with grant of any Award, the occurrence of a Vesting Date under any Award under the Plan or the distribution of a Grantee’s Account shall, to the extent such liabilities cannot be satisfied in full by withholding cash payable in connection with such event,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Vesting Date or Account distribution. In all cases, the Shares so withheld by the Company shall have a Fair Market Value that does not exceed the amount of taxes to be withheld minus the cash payment, if any, made by the Grantee or withheld from an Account distribution. Any election pursuant to this</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700" w:top="280" w:right="279" w:bottom="1440" w:gutter="0" w:footer="0" w:header="0"/>
        </w:sectPr>
      </w:pPr>
    </w:p>
    <w:bookmarkStart w:id="203" w:name="page204"/>
    <w:bookmarkEnd w:id="203"/>
    <w:p>
      <w:pPr>
        <w:ind w:left="1486"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35" w:lineRule="exact"/>
        <w:rPr>
          <w:sz w:val="20"/>
          <w:szCs w:val="20"/>
          <w:color w:val="auto"/>
        </w:rPr>
      </w:pPr>
    </w:p>
    <w:p>
      <w:pPr>
        <w:ind w:left="1466" w:hanging="440"/>
        <w:spacing w:after="0" w:line="286" w:lineRule="auto"/>
        <w:tabs>
          <w:tab w:leader="none" w:pos="1466" w:val="left"/>
        </w:tabs>
        <w:numPr>
          <w:ilvl w:val="1"/>
          <w:numId w:val="209"/>
        </w:numPr>
        <w:rPr>
          <w:rFonts w:ascii="Arial" w:cs="Arial" w:eastAsia="Arial" w:hAnsi="Arial"/>
          <w:sz w:val="16"/>
          <w:szCs w:val="16"/>
          <w:color w:val="auto"/>
        </w:rPr>
      </w:pPr>
      <w:r>
        <w:rPr>
          <w:rFonts w:ascii="Arial" w:cs="Arial" w:eastAsia="Arial" w:hAnsi="Arial"/>
          <w:sz w:val="16"/>
          <w:szCs w:val="16"/>
          <w:color w:val="auto"/>
        </w:rPr>
        <w:t>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then, pursuant to Treasury Regulation section 1.409A-3(j)(4)(vi) (or any successor provision of law), in the sole discretion of the Committee or its delegate, Shares subject to such Award may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 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242" w:lineRule="exact"/>
        <w:rPr>
          <w:rFonts w:ascii="Arial" w:cs="Arial" w:eastAsia="Arial" w:hAnsi="Arial"/>
          <w:sz w:val="16"/>
          <w:szCs w:val="16"/>
          <w:color w:val="auto"/>
        </w:rPr>
      </w:pPr>
    </w:p>
    <w:p>
      <w:pPr>
        <w:ind w:left="446" w:hanging="446"/>
        <w:spacing w:after="0"/>
        <w:tabs>
          <w:tab w:leader="none" w:pos="446"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96" w:lineRule="exact"/>
        <w:rPr>
          <w:rFonts w:ascii="Arial" w:cs="Arial" w:eastAsia="Arial" w:hAnsi="Arial"/>
          <w:sz w:val="18"/>
          <w:szCs w:val="18"/>
          <w:b w:val="1"/>
          <w:bCs w:val="1"/>
          <w:color w:val="auto"/>
        </w:rPr>
      </w:pPr>
    </w:p>
    <w:p>
      <w:pPr>
        <w:ind w:left="446"/>
        <w:spacing w:after="0"/>
        <w:rPr>
          <w:rFonts w:ascii="Arial" w:cs="Arial" w:eastAsia="Arial" w:hAnsi="Arial"/>
          <w:sz w:val="18"/>
          <w:szCs w:val="18"/>
          <w:b w:val="1"/>
          <w:bCs w:val="1"/>
          <w:color w:val="auto"/>
        </w:rPr>
      </w:pPr>
      <w:r>
        <w:rPr>
          <w:rFonts w:ascii="Arial" w:cs="Arial" w:eastAsia="Arial" w:hAnsi="Arial"/>
          <w:sz w:val="16"/>
          <w:szCs w:val="16"/>
          <w:color w:val="auto"/>
        </w:rPr>
        <w:t>The aggregate number of Shares and class of Shares as to which Awards may be granted and the number of Shares covered by each outstanding</w:t>
      </w:r>
    </w:p>
    <w:p>
      <w:pPr>
        <w:spacing w:after="0" w:line="38" w:lineRule="exact"/>
        <w:rPr>
          <w:sz w:val="20"/>
          <w:szCs w:val="20"/>
          <w:color w:val="auto"/>
        </w:rPr>
      </w:pPr>
    </w:p>
    <w:p>
      <w:pPr>
        <w:ind w:left="6" w:right="340"/>
        <w:spacing w:after="0" w:line="292" w:lineRule="auto"/>
        <w:rPr>
          <w:sz w:val="20"/>
          <w:szCs w:val="20"/>
          <w:color w:val="auto"/>
        </w:rPr>
      </w:pPr>
      <w:r>
        <w:rPr>
          <w:rFonts w:ascii="Arial" w:cs="Arial" w:eastAsia="Arial" w:hAnsi="Arial"/>
          <w:sz w:val="16"/>
          <w:szCs w:val="16"/>
          <w:color w:val="auto"/>
        </w:rPr>
        <w:t>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w:t>
      </w:r>
    </w:p>
    <w:p>
      <w:pPr>
        <w:spacing w:after="0" w:line="10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6"/>
          </w:cols>
          <w:pgMar w:left="694" w:top="280" w:right="279" w:bottom="1440" w:gutter="0" w:footer="0" w:header="0"/>
        </w:sectPr>
      </w:pPr>
    </w:p>
    <w:bookmarkStart w:id="204" w:name="page205"/>
    <w:bookmarkEnd w:id="204"/>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 to be made under this Paragraph 10 and any such determination by the Committee shall be final, binding and conclusive.</w:t>
      </w:r>
    </w:p>
    <w:p>
      <w:pPr>
        <w:spacing w:after="0" w:line="287" w:lineRule="exact"/>
        <w:rPr>
          <w:sz w:val="20"/>
          <w:szCs w:val="20"/>
          <w:color w:val="auto"/>
        </w:rPr>
      </w:pPr>
    </w:p>
    <w:p>
      <w:pPr>
        <w:ind w:left="446" w:hanging="446"/>
        <w:spacing w:after="0"/>
        <w:tabs>
          <w:tab w:leader="none" w:pos="446"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96" w:lineRule="exact"/>
        <w:rPr>
          <w:sz w:val="20"/>
          <w:szCs w:val="20"/>
          <w:color w:val="auto"/>
        </w:rPr>
      </w:pPr>
    </w:p>
    <w:p>
      <w:pPr>
        <w:ind w:left="6" w:firstLine="438"/>
        <w:spacing w:after="0" w:line="290"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234" w:lineRule="exact"/>
        <w:rPr>
          <w:sz w:val="20"/>
          <w:szCs w:val="20"/>
          <w:color w:val="auto"/>
        </w:rPr>
      </w:pPr>
    </w:p>
    <w:p>
      <w:pPr>
        <w:ind w:left="446" w:hanging="446"/>
        <w:spacing w:after="0"/>
        <w:tabs>
          <w:tab w:leader="none" w:pos="446"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CLAIMS PROCEDURE</w:t>
      </w:r>
    </w:p>
    <w:p>
      <w:pPr>
        <w:spacing w:after="0" w:line="96" w:lineRule="exact"/>
        <w:rPr>
          <w:sz w:val="20"/>
          <w:szCs w:val="20"/>
          <w:color w:val="auto"/>
        </w:rPr>
      </w:pPr>
    </w:p>
    <w:p>
      <w:pPr>
        <w:ind w:left="6" w:right="120" w:firstLine="438"/>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59" w:lineRule="exact"/>
        <w:rPr>
          <w:sz w:val="20"/>
          <w:szCs w:val="20"/>
          <w:color w:val="auto"/>
        </w:rPr>
      </w:pPr>
    </w:p>
    <w:p>
      <w:pPr>
        <w:ind w:left="6" w:right="100" w:firstLine="438"/>
        <w:spacing w:after="0" w:line="268"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51" w:lineRule="exact"/>
        <w:rPr>
          <w:sz w:val="20"/>
          <w:szCs w:val="20"/>
          <w:color w:val="auto"/>
        </w:rPr>
      </w:pPr>
    </w:p>
    <w:p>
      <w:pPr>
        <w:ind w:left="686" w:hanging="237"/>
        <w:spacing w:after="0"/>
        <w:tabs>
          <w:tab w:leader="none" w:pos="68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90" w:lineRule="exact"/>
        <w:rPr>
          <w:rFonts w:ascii="Arial" w:cs="Arial" w:eastAsia="Arial" w:hAnsi="Arial"/>
          <w:sz w:val="18"/>
          <w:szCs w:val="18"/>
          <w:color w:val="auto"/>
        </w:rPr>
      </w:pPr>
    </w:p>
    <w:p>
      <w:pPr>
        <w:ind w:left="706" w:hanging="257"/>
        <w:spacing w:after="0"/>
        <w:tabs>
          <w:tab w:leader="none" w:pos="70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90" w:lineRule="exact"/>
        <w:rPr>
          <w:rFonts w:ascii="Arial" w:cs="Arial" w:eastAsia="Arial" w:hAnsi="Arial"/>
          <w:sz w:val="18"/>
          <w:szCs w:val="18"/>
          <w:color w:val="auto"/>
        </w:rPr>
      </w:pPr>
    </w:p>
    <w:p>
      <w:pPr>
        <w:ind w:left="6" w:right="140" w:firstLine="443"/>
        <w:spacing w:after="0" w:line="268" w:lineRule="auto"/>
        <w:tabs>
          <w:tab w:leader="none" w:pos="68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50" w:lineRule="exact"/>
        <w:rPr>
          <w:rFonts w:ascii="Arial" w:cs="Arial" w:eastAsia="Arial" w:hAnsi="Arial"/>
          <w:sz w:val="18"/>
          <w:szCs w:val="18"/>
          <w:color w:val="auto"/>
        </w:rPr>
      </w:pPr>
    </w:p>
    <w:p>
      <w:pPr>
        <w:ind w:left="706" w:hanging="257"/>
        <w:spacing w:after="0"/>
        <w:tabs>
          <w:tab w:leader="none" w:pos="70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90" w:lineRule="exact"/>
        <w:rPr>
          <w:sz w:val="20"/>
          <w:szCs w:val="20"/>
          <w:color w:val="auto"/>
        </w:rPr>
      </w:pPr>
    </w:p>
    <w:p>
      <w:pPr>
        <w:ind w:left="6" w:firstLine="438"/>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27"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86"/>
          </w:cols>
          <w:pgMar w:left="694" w:top="280" w:right="319" w:bottom="1440" w:gutter="0" w:footer="0" w:header="0"/>
        </w:sectPr>
      </w:pPr>
    </w:p>
    <w:bookmarkStart w:id="205" w:name="page206"/>
    <w:bookmarkEnd w:id="205"/>
    <w:p>
      <w:pPr>
        <w:ind w:left="6" w:right="100" w:firstLine="43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63" w:lineRule="exact"/>
        <w:rPr>
          <w:sz w:val="20"/>
          <w:szCs w:val="20"/>
          <w:color w:val="auto"/>
        </w:rPr>
      </w:pPr>
    </w:p>
    <w:p>
      <w:pPr>
        <w:ind w:left="6" w:right="20" w:firstLine="438"/>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51" w:lineRule="exact"/>
        <w:rPr>
          <w:sz w:val="20"/>
          <w:szCs w:val="20"/>
          <w:color w:val="auto"/>
        </w:rPr>
      </w:pPr>
    </w:p>
    <w:p>
      <w:pPr>
        <w:ind w:left="446"/>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ComcastCorporation</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8"/>
          <w:szCs w:val="18"/>
          <w:color w:val="auto"/>
        </w:rPr>
        <w:t>OneComcastCenter, 52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Philadelphia, PA19103-2838</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Attention: General Counsel</w:t>
      </w:r>
    </w:p>
    <w:p>
      <w:pPr>
        <w:spacing w:after="0" w:line="280" w:lineRule="exact"/>
        <w:rPr>
          <w:sz w:val="20"/>
          <w:szCs w:val="20"/>
          <w:color w:val="auto"/>
        </w:rPr>
      </w:pPr>
    </w:p>
    <w:p>
      <w:pPr>
        <w:ind w:left="446" w:hanging="446"/>
        <w:spacing w:after="0"/>
        <w:tabs>
          <w:tab w:leader="none" w:pos="446"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96" w:lineRule="exact"/>
        <w:rPr>
          <w:sz w:val="20"/>
          <w:szCs w:val="20"/>
          <w:color w:val="auto"/>
        </w:rPr>
      </w:pPr>
    </w:p>
    <w:p>
      <w:pPr>
        <w:ind w:left="6" w:firstLine="438"/>
        <w:spacing w:after="0" w:line="302" w:lineRule="auto"/>
        <w:rPr>
          <w:sz w:val="20"/>
          <w:szCs w:val="20"/>
          <w:color w:val="auto"/>
        </w:rPr>
      </w:pPr>
      <w:r>
        <w:rPr>
          <w:rFonts w:ascii="Arial" w:cs="Arial" w:eastAsia="Arial" w:hAnsi="Arial"/>
          <w:sz w:val="15"/>
          <w:szCs w:val="15"/>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w:t>
      </w:r>
    </w:p>
    <w:p>
      <w:pPr>
        <w:spacing w:after="0" w:line="2" w:lineRule="exact"/>
        <w:rPr>
          <w:sz w:val="20"/>
          <w:szCs w:val="20"/>
          <w:color w:val="auto"/>
        </w:rPr>
      </w:pPr>
    </w:p>
    <w:p>
      <w:pPr>
        <w:ind w:left="6" w:right="120" w:firstLine="4"/>
        <w:spacing w:after="0" w:line="253" w:lineRule="auto"/>
        <w:tabs>
          <w:tab w:leader="none" w:pos="21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3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6"/>
          </w:cols>
          <w:pgMar w:left="694" w:top="280" w:right="259" w:bottom="1440" w:gutter="0" w:footer="0" w:header="0"/>
        </w:sectPr>
      </w:pPr>
    </w:p>
    <w:bookmarkStart w:id="206" w:name="page207"/>
    <w:bookmarkEnd w:id="206"/>
    <w:p>
      <w:pPr>
        <w:ind w:left="446" w:hanging="446"/>
        <w:spacing w:after="0"/>
        <w:tabs>
          <w:tab w:leader="none" w:pos="446"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AND TERMINATION</w:t>
      </w:r>
    </w:p>
    <w:p>
      <w:pPr>
        <w:spacing w:after="0" w:line="96" w:lineRule="exact"/>
        <w:rPr>
          <w:sz w:val="20"/>
          <w:szCs w:val="20"/>
          <w:color w:val="auto"/>
        </w:rPr>
      </w:pPr>
    </w:p>
    <w:p>
      <w:pPr>
        <w:ind w:left="6" w:right="380" w:firstLine="438"/>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248" w:lineRule="exact"/>
        <w:rPr>
          <w:sz w:val="20"/>
          <w:szCs w:val="20"/>
          <w:color w:val="auto"/>
        </w:rPr>
      </w:pPr>
    </w:p>
    <w:p>
      <w:pPr>
        <w:ind w:left="446" w:hanging="446"/>
        <w:spacing w:after="0"/>
        <w:tabs>
          <w:tab w:leader="none" w:pos="446"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96" w:lineRule="exact"/>
        <w:rPr>
          <w:sz w:val="20"/>
          <w:szCs w:val="20"/>
          <w:color w:val="auto"/>
        </w:rPr>
      </w:pPr>
    </w:p>
    <w:p>
      <w:pPr>
        <w:ind w:left="6" w:firstLine="438"/>
        <w:spacing w:after="0" w:line="268" w:lineRule="auto"/>
        <w:rPr>
          <w:sz w:val="20"/>
          <w:szCs w:val="20"/>
          <w:color w:val="auto"/>
        </w:rPr>
      </w:pPr>
      <w:r>
        <w:rPr>
          <w:rFonts w:ascii="Arial" w:cs="Arial" w:eastAsia="Arial" w:hAnsi="Arial"/>
          <w:sz w:val="18"/>
          <w:szCs w:val="18"/>
          <w:color w:val="auto"/>
        </w:rPr>
        <w:t>This amendment and restatement of the Plan shall be effective May 30, 2012. The Plan shall expire on May 11, 2021, unless sooner terminated by the Board.</w:t>
      </w:r>
    </w:p>
    <w:p>
      <w:pPr>
        <w:spacing w:after="0" w:line="248" w:lineRule="exact"/>
        <w:rPr>
          <w:sz w:val="20"/>
          <w:szCs w:val="20"/>
          <w:color w:val="auto"/>
        </w:rPr>
      </w:pPr>
    </w:p>
    <w:p>
      <w:pPr>
        <w:ind w:left="446" w:hanging="446"/>
        <w:spacing w:after="0"/>
        <w:tabs>
          <w:tab w:leader="none" w:pos="446"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b w:val="1"/>
          <w:bCs w:val="1"/>
          <w:color w:val="auto"/>
        </w:rPr>
      </w:pPr>
    </w:p>
    <w:p>
      <w:pPr>
        <w:ind w:left="446" w:right="1200"/>
        <w:spacing w:after="0" w:line="362" w:lineRule="auto"/>
        <w:rPr>
          <w:rFonts w:ascii="Arial" w:cs="Arial" w:eastAsia="Arial" w:hAnsi="Arial"/>
          <w:sz w:val="18"/>
          <w:szCs w:val="18"/>
          <w:b w:val="1"/>
          <w:bCs w:val="1"/>
          <w:color w:val="auto"/>
        </w:rPr>
      </w:pPr>
      <w:r>
        <w:rPr>
          <w:rFonts w:ascii="Arial" w:cs="Arial" w:eastAsia="Arial" w:hAnsi="Arial"/>
          <w:sz w:val="18"/>
          <w:szCs w:val="18"/>
          <w:color w:val="auto"/>
        </w:rPr>
        <w:t>The Plan and all determinations made and actions taken pursuant to the Plan shall be governed in accordance with Pennsylvania law. Executed as of the 30</w:t>
      </w:r>
      <w:r>
        <w:rPr>
          <w:rFonts w:ascii="Arial" w:cs="Arial" w:eastAsia="Arial" w:hAnsi="Arial"/>
          <w:sz w:val="11"/>
          <w:szCs w:val="11"/>
          <w:color w:val="auto"/>
        </w:rPr>
        <w:t>th</w:t>
      </w:r>
      <w:r>
        <w:rPr>
          <w:rFonts w:ascii="Arial" w:cs="Arial" w:eastAsia="Arial" w:hAnsi="Arial"/>
          <w:sz w:val="18"/>
          <w:szCs w:val="18"/>
          <w:color w:val="auto"/>
        </w:rPr>
        <w:t xml:space="preserve"> day of May, 2012.</w:t>
      </w:r>
    </w:p>
    <w:p>
      <w:pPr>
        <w:spacing w:after="0" w:line="91"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406"/>
        <w:spacing w:after="0"/>
        <w:tabs>
          <w:tab w:leader="none" w:pos="6806"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10795</wp:posOffset>
            </wp:positionV>
            <wp:extent cx="263271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24" w:lineRule="exact"/>
        <w:rPr>
          <w:sz w:val="20"/>
          <w:szCs w:val="20"/>
          <w:color w:val="auto"/>
        </w:rPr>
      </w:pPr>
    </w:p>
    <w:p>
      <w:pPr>
        <w:ind w:left="6406"/>
        <w:spacing w:after="0"/>
        <w:tabs>
          <w:tab w:leader="none" w:pos="7266"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4622165</wp:posOffset>
            </wp:positionH>
            <wp:positionV relativeFrom="paragraph">
              <wp:posOffset>10795</wp:posOffset>
            </wp:positionV>
            <wp:extent cx="234124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6"/>
          </w:cols>
          <w:pgMar w:left="694" w:top="274"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NON-EMPLOYEE DIRECTOR COMPENSATION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May 30, 2012)</w:t>
      </w:r>
    </w:p>
    <w:p>
      <w:pPr>
        <w:spacing w:after="0" w:line="206" w:lineRule="exact"/>
        <w:rPr>
          <w:sz w:val="20"/>
          <w:szCs w:val="20"/>
          <w:color w:val="auto"/>
        </w:rPr>
      </w:pPr>
    </w:p>
    <w:p>
      <w:pPr>
        <w:ind w:left="900" w:hanging="446"/>
        <w:spacing w:after="0"/>
        <w:tabs>
          <w:tab w:leader="none" w:pos="90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9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COMCAST CORPORATION, a Pennsylvania corporation, hereby amends and restates the Comcast Corporation 2002 Non-Employee Director Compensation Plan</w:t>
      </w:r>
      <w:r>
        <w:rPr>
          <w:rFonts w:ascii="Arial" w:cs="Arial" w:eastAsia="Arial" w:hAnsi="Arial"/>
          <w:sz w:val="18"/>
          <w:szCs w:val="18"/>
          <w:b w:val="1"/>
          <w:bCs w:val="1"/>
          <w:color w:val="auto"/>
        </w:rPr>
        <w:t>,</w:t>
      </w:r>
      <w:r>
        <w:rPr>
          <w:rFonts w:ascii="Arial" w:cs="Arial" w:eastAsia="Arial" w:hAnsi="Arial"/>
          <w:sz w:val="18"/>
          <w:szCs w:val="18"/>
          <w:color w:val="auto"/>
        </w:rPr>
        <w:t xml:space="preserve"> effective May 30, 2012, except as otherwise specifically provided herein. The purpose of the Plan is to provide Non-Employee Directors of COMCAST CORPORATION (the “Company”) with compensation for services to the Company.</w:t>
      </w:r>
    </w:p>
    <w:p>
      <w:pPr>
        <w:spacing w:after="0" w:line="256" w:lineRule="exact"/>
        <w:rPr>
          <w:sz w:val="20"/>
          <w:szCs w:val="20"/>
          <w:color w:val="auto"/>
        </w:rPr>
      </w:pPr>
    </w:p>
    <w:p>
      <w:pPr>
        <w:ind w:left="900" w:hanging="446"/>
        <w:spacing w:after="0"/>
        <w:tabs>
          <w:tab w:leader="none" w:pos="90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right="300" w:firstLine="921"/>
        <w:spacing w:after="0" w:line="268" w:lineRule="auto"/>
        <w:tabs>
          <w:tab w:leader="none" w:pos="115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Retainer</w:t>
      </w:r>
      <w:r>
        <w:rPr>
          <w:rFonts w:ascii="Arial" w:cs="Arial" w:eastAsia="Arial" w:hAnsi="Arial"/>
          <w:sz w:val="18"/>
          <w:szCs w:val="18"/>
          <w:color w:val="auto"/>
        </w:rPr>
        <w:t>” means the amount payable for service as a Non-Employee Director for a calendar year, as a member of the Board, and as a member of one or more Committees as determined under Paragraph 3(a) of the Plan.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Meeting</w:t>
      </w:r>
      <w:r>
        <w:rPr>
          <w:rFonts w:ascii="Arial" w:cs="Arial" w:eastAsia="Arial" w:hAnsi="Arial"/>
          <w:sz w:val="18"/>
          <w:szCs w:val="18"/>
          <w:color w:val="auto"/>
        </w:rPr>
        <w:t>” means a meeting of the Board, whether in person or by telephone.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duly-constituted committee of the Board.</w:t>
      </w:r>
    </w:p>
    <w:p>
      <w:pPr>
        <w:spacing w:after="0" w:line="171" w:lineRule="exact"/>
        <w:rPr>
          <w:rFonts w:ascii="Arial" w:cs="Arial" w:eastAsia="Arial" w:hAnsi="Arial"/>
          <w:sz w:val="18"/>
          <w:szCs w:val="18"/>
          <w:color w:val="auto"/>
        </w:rPr>
      </w:pPr>
    </w:p>
    <w:p>
      <w:pPr>
        <w:ind w:firstLine="921"/>
        <w:spacing w:after="0" w:line="268" w:lineRule="auto"/>
        <w:tabs>
          <w:tab w:leader="none" w:pos="115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 Meeting</w:t>
      </w:r>
      <w:r>
        <w:rPr>
          <w:rFonts w:ascii="Arial" w:cs="Arial" w:eastAsia="Arial" w:hAnsi="Arial"/>
          <w:sz w:val="18"/>
          <w:szCs w:val="18"/>
          <w:color w:val="auto"/>
        </w:rPr>
        <w:t>” means a meeting of a Committee, whether in person or by telephone, other than a meeting of a Committee that is convened and held during a Board Meeting.</w:t>
      </w:r>
    </w:p>
    <w:p>
      <w:pPr>
        <w:spacing w:after="0" w:line="131" w:lineRule="exact"/>
        <w:rPr>
          <w:rFonts w:ascii="Arial" w:cs="Arial" w:eastAsia="Arial" w:hAnsi="Arial"/>
          <w:sz w:val="18"/>
          <w:szCs w:val="18"/>
          <w:color w:val="auto"/>
        </w:rPr>
      </w:pPr>
    </w:p>
    <w:p>
      <w:pPr>
        <w:ind w:right="60" w:firstLine="921"/>
        <w:spacing w:after="0" w:line="268" w:lineRule="auto"/>
        <w:tabs>
          <w:tab w:leader="none" w:pos="113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jc w:val="both"/>
        <w:ind w:right="80" w:firstLine="921"/>
        <w:spacing w:after="0" w:line="370" w:lineRule="auto"/>
        <w:tabs>
          <w:tab w:leader="none" w:pos="1162" w:val="left"/>
        </w:tabs>
        <w:numPr>
          <w:ilvl w:val="1"/>
          <w:numId w:val="2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Deferred Compensation Plan</w:t>
      </w:r>
      <w:r>
        <w:rPr>
          <w:rFonts w:ascii="Arial" w:cs="Arial" w:eastAsia="Arial" w:hAnsi="Arial"/>
          <w:sz w:val="15"/>
          <w:szCs w:val="15"/>
          <w:color w:val="auto"/>
        </w:rPr>
        <w:t>” means the Comcast Corporation 2005 Deferred Compensation Plan, as amended from time to time, or such other more recently-adopted plan pursuant to which a Non-Employee Director may elect to defer the receipt of compensation for service as a Non-Employee Director.</w:t>
      </w:r>
    </w:p>
    <w:p>
      <w:pPr>
        <w:spacing w:after="0" w:line="62" w:lineRule="exact"/>
        <w:rPr>
          <w:rFonts w:ascii="Arial" w:cs="Arial" w:eastAsia="Arial" w:hAnsi="Arial"/>
          <w:sz w:val="15"/>
          <w:szCs w:val="15"/>
          <w:color w:val="auto"/>
        </w:rPr>
      </w:pPr>
    </w:p>
    <w:p>
      <w:pPr>
        <w:ind w:left="1160" w:hanging="239"/>
        <w:spacing w:after="0"/>
        <w:tabs>
          <w:tab w:leader="none" w:pos="116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Director Emeritus</w:t>
      </w:r>
      <w:r>
        <w:rPr>
          <w:rFonts w:ascii="Arial" w:cs="Arial" w:eastAsia="Arial" w:hAnsi="Arial"/>
          <w:sz w:val="16"/>
          <w:szCs w:val="16"/>
          <w:color w:val="auto"/>
        </w:rPr>
        <w:t>” means an individual designated by the Board, in its sole discretion, as Director Emeritus, pursuant to the Board’s Director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Emeritus Policy.</w:t>
      </w:r>
    </w:p>
    <w:p>
      <w:pPr>
        <w:spacing w:after="0" w:line="164" w:lineRule="exact"/>
        <w:rPr>
          <w:rFonts w:ascii="Arial" w:cs="Arial" w:eastAsia="Arial" w:hAnsi="Arial"/>
          <w:sz w:val="16"/>
          <w:szCs w:val="16"/>
          <w:color w:val="auto"/>
        </w:rPr>
      </w:pPr>
    </w:p>
    <w:p>
      <w:pPr>
        <w:ind w:left="1140" w:hanging="219"/>
        <w:spacing w:after="0"/>
        <w:tabs>
          <w:tab w:leader="none" w:pos="114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ectPr>
          <w:pgSz w:w="11900" w:h="16838" w:orient="portrait"/>
          <w:cols w:equalWidth="0" w:num="1">
            <w:col w:w="11420"/>
          </w:cols>
          <w:pgMar w:left="240" w:top="126" w:right="239" w:bottom="1440" w:gutter="0" w:footer="0" w:header="0"/>
        </w:sectPr>
      </w:pPr>
    </w:p>
    <w:bookmarkStart w:id="208" w:name="page209"/>
    <w:bookmarkEnd w:id="208"/>
    <w:p>
      <w:pPr>
        <w:ind w:right="320" w:firstLine="1492"/>
        <w:spacing w:after="0" w:line="332" w:lineRule="auto"/>
        <w:tabs>
          <w:tab w:leader="none" w:pos="1693" w:val="left"/>
        </w:tabs>
        <w:numPr>
          <w:ilvl w:val="2"/>
          <w:numId w:val="2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85" w:lineRule="exact"/>
        <w:rPr>
          <w:rFonts w:ascii="Arial" w:cs="Arial" w:eastAsia="Arial" w:hAnsi="Arial"/>
          <w:sz w:val="16"/>
          <w:szCs w:val="16"/>
          <w:color w:val="auto"/>
        </w:rPr>
      </w:pPr>
    </w:p>
    <w:p>
      <w:pPr>
        <w:ind w:firstLine="1492"/>
        <w:spacing w:after="0" w:line="370" w:lineRule="auto"/>
        <w:tabs>
          <w:tab w:leader="none" w:pos="1742" w:val="left"/>
        </w:tabs>
        <w:numPr>
          <w:ilvl w:val="2"/>
          <w:numId w:val="221"/>
        </w:numPr>
        <w:rPr>
          <w:rFonts w:ascii="Arial" w:cs="Arial" w:eastAsia="Arial" w:hAnsi="Arial"/>
          <w:sz w:val="15"/>
          <w:szCs w:val="15"/>
          <w:color w:val="auto"/>
        </w:rPr>
      </w:pPr>
      <w:r>
        <w:rPr>
          <w:rFonts w:ascii="Arial" w:cs="Arial" w:eastAsia="Arial" w:hAnsi="Arial"/>
          <w:sz w:val="15"/>
          <w:szCs w:val="15"/>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62" w:lineRule="exact"/>
        <w:rPr>
          <w:rFonts w:ascii="Arial" w:cs="Arial" w:eastAsia="Arial" w:hAnsi="Arial"/>
          <w:sz w:val="15"/>
          <w:szCs w:val="15"/>
          <w:color w:val="auto"/>
        </w:rPr>
      </w:pPr>
    </w:p>
    <w:p>
      <w:pPr>
        <w:ind w:left="1800" w:hanging="308"/>
        <w:spacing w:after="0"/>
        <w:tabs>
          <w:tab w:leader="none" w:pos="1800" w:val="left"/>
        </w:tabs>
        <w:numPr>
          <w:ilvl w:val="2"/>
          <w:numId w:val="221"/>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194" w:lineRule="exact"/>
        <w:rPr>
          <w:rFonts w:ascii="Arial" w:cs="Arial" w:eastAsia="Arial" w:hAnsi="Arial"/>
          <w:sz w:val="16"/>
          <w:szCs w:val="16"/>
          <w:color w:val="auto"/>
        </w:rPr>
      </w:pPr>
    </w:p>
    <w:p>
      <w:pPr>
        <w:ind w:right="560" w:firstLine="921"/>
        <w:spacing w:after="0" w:line="268" w:lineRule="auto"/>
        <w:tabs>
          <w:tab w:leader="none" w:pos="1123"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2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the Comcast Corporation 2002 Non-Employee Director Compensation Plan, as set forth herein, and as amended from time to time.</w:t>
      </w:r>
    </w:p>
    <w:p>
      <w:pPr>
        <w:spacing w:after="0" w:line="205" w:lineRule="exact"/>
        <w:rPr>
          <w:rFonts w:ascii="Arial" w:cs="Arial" w:eastAsia="Arial" w:hAnsi="Arial"/>
          <w:sz w:val="15"/>
          <w:szCs w:val="15"/>
          <w:color w:val="auto"/>
        </w:rPr>
      </w:pPr>
    </w:p>
    <w:p>
      <w:pPr>
        <w:ind w:left="1140" w:hanging="219"/>
        <w:spacing w:after="0"/>
        <w:tabs>
          <w:tab w:leader="none" w:pos="11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71" w:lineRule="exact"/>
        <w:rPr>
          <w:rFonts w:ascii="Arial" w:cs="Arial" w:eastAsia="Arial" w:hAnsi="Arial"/>
          <w:sz w:val="18"/>
          <w:szCs w:val="18"/>
          <w:color w:val="auto"/>
        </w:rPr>
      </w:pPr>
    </w:p>
    <w:p>
      <w:pPr>
        <w:ind w:right="120" w:firstLine="921"/>
        <w:spacing w:after="0" w:line="268" w:lineRule="auto"/>
        <w:tabs>
          <w:tab w:leader="none" w:pos="121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Plan</w:t>
      </w:r>
      <w:r>
        <w:rPr>
          <w:rFonts w:ascii="Arial" w:cs="Arial" w:eastAsia="Arial" w:hAnsi="Arial"/>
          <w:sz w:val="18"/>
          <w:szCs w:val="18"/>
          <w:color w:val="auto"/>
        </w:rPr>
        <w:t>” means the Comcast Corporation 2002 Restricted Stock Plan (or such other more recently-adopted generally applicable plan pursuant to which the Company grants restricted stock or restricted stock units).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Restricted Stock Unit granted under the Restricted Stock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Comcast Corporation Class A Common Stock, par value $0.01.</w:t>
      </w:r>
    </w:p>
    <w:p>
      <w:pPr>
        <w:spacing w:after="0" w:line="286" w:lineRule="exact"/>
        <w:rPr>
          <w:rFonts w:ascii="Arial" w:cs="Arial" w:eastAsia="Arial" w:hAnsi="Arial"/>
          <w:sz w:val="18"/>
          <w:szCs w:val="18"/>
          <w:color w:val="auto"/>
        </w:rPr>
      </w:pPr>
    </w:p>
    <w:p>
      <w:pPr>
        <w:ind w:left="900" w:hanging="446"/>
        <w:spacing w:after="0"/>
        <w:tabs>
          <w:tab w:leader="none" w:pos="90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NON-EMPLOYEE DIRECTOR COMPENSATION</w:t>
      </w:r>
    </w:p>
    <w:p>
      <w:pPr>
        <w:spacing w:after="0" w:line="96" w:lineRule="exact"/>
        <w:rPr>
          <w:rFonts w:ascii="Arial" w:cs="Arial" w:eastAsia="Arial" w:hAnsi="Arial"/>
          <w:sz w:val="18"/>
          <w:szCs w:val="18"/>
          <w:b w:val="1"/>
          <w:bCs w:val="1"/>
          <w:color w:val="auto"/>
        </w:rPr>
      </w:pPr>
    </w:p>
    <w:p>
      <w:pPr>
        <w:ind w:left="1160" w:hanging="239"/>
        <w:spacing w:after="0"/>
        <w:tabs>
          <w:tab w:leader="none" w:pos="1160" w:val="left"/>
        </w:tabs>
        <w:numPr>
          <w:ilvl w:val="1"/>
          <w:numId w:val="223"/>
        </w:numPr>
        <w:rPr>
          <w:rFonts w:ascii="Arial" w:cs="Arial" w:eastAsia="Arial" w:hAnsi="Arial"/>
          <w:sz w:val="16"/>
          <w:szCs w:val="16"/>
          <w:color w:val="auto"/>
        </w:rPr>
      </w:pPr>
      <w:r>
        <w:rPr>
          <w:rFonts w:ascii="Arial" w:cs="Arial" w:eastAsia="Arial" w:hAnsi="Arial"/>
          <w:sz w:val="16"/>
          <w:szCs w:val="16"/>
          <w:u w:val="single" w:color="auto"/>
          <w:color w:val="auto"/>
        </w:rPr>
        <w:t>Non-Employee Director Compensation Package</w:t>
      </w:r>
      <w:r>
        <w:rPr>
          <w:rFonts w:ascii="Arial" w:cs="Arial" w:eastAsia="Arial" w:hAnsi="Arial"/>
          <w:sz w:val="16"/>
          <w:szCs w:val="16"/>
          <w:color w:val="auto"/>
        </w:rPr>
        <w:t>. Non-Employee Directors shall be entitled to payments, grants and awards determined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64" w:lineRule="exact"/>
        <w:rPr>
          <w:rFonts w:ascii="Arial" w:cs="Arial" w:eastAsia="Arial" w:hAnsi="Arial"/>
          <w:sz w:val="16"/>
          <w:szCs w:val="16"/>
          <w:color w:val="auto"/>
        </w:rPr>
      </w:pPr>
    </w:p>
    <w:p>
      <w:pPr>
        <w:ind w:left="1700" w:hanging="208"/>
        <w:spacing w:after="0"/>
        <w:tabs>
          <w:tab w:leader="none" w:pos="1700" w:val="left"/>
        </w:tabs>
        <w:numPr>
          <w:ilvl w:val="2"/>
          <w:numId w:val="223"/>
        </w:numPr>
        <w:rPr>
          <w:rFonts w:ascii="Arial" w:cs="Arial" w:eastAsia="Arial" w:hAnsi="Arial"/>
          <w:sz w:val="18"/>
          <w:szCs w:val="18"/>
          <w:color w:val="auto"/>
        </w:rPr>
      </w:pPr>
      <w:r>
        <w:rPr>
          <w:rFonts w:ascii="Arial" w:cs="Arial" w:eastAsia="Arial" w:hAnsi="Arial"/>
          <w:sz w:val="18"/>
          <w:szCs w:val="18"/>
          <w:u w:val="single" w:color="auto"/>
          <w:color w:val="auto"/>
        </w:rPr>
        <w:t>Annual Retainer</w:t>
      </w:r>
      <w:r>
        <w:rPr>
          <w:rFonts w:ascii="Arial" w:cs="Arial" w:eastAsia="Arial" w:hAnsi="Arial"/>
          <w:sz w:val="18"/>
          <w:szCs w:val="18"/>
          <w:color w:val="auto"/>
        </w:rPr>
        <w:t>. The Annual Retainer for service to the Company as a Non-Employee Director shall be $80,000.</w:t>
      </w:r>
    </w:p>
    <w:p>
      <w:pPr>
        <w:spacing w:after="0" w:line="171" w:lineRule="exact"/>
        <w:rPr>
          <w:rFonts w:ascii="Arial" w:cs="Arial" w:eastAsia="Arial" w:hAnsi="Arial"/>
          <w:sz w:val="18"/>
          <w:szCs w:val="18"/>
          <w:color w:val="auto"/>
        </w:rPr>
      </w:pPr>
    </w:p>
    <w:p>
      <w:pPr>
        <w:ind w:right="100" w:firstLine="1492"/>
        <w:spacing w:after="0" w:line="259" w:lineRule="auto"/>
        <w:tabs>
          <w:tab w:leader="none" w:pos="1742" w:val="left"/>
        </w:tabs>
        <w:numPr>
          <w:ilvl w:val="2"/>
          <w:numId w:val="223"/>
        </w:numPr>
        <w:rPr>
          <w:rFonts w:ascii="Arial" w:cs="Arial" w:eastAsia="Arial" w:hAnsi="Arial"/>
          <w:sz w:val="18"/>
          <w:szCs w:val="18"/>
          <w:color w:val="auto"/>
        </w:rPr>
      </w:pPr>
      <w:r>
        <w:rPr>
          <w:rFonts w:ascii="Arial" w:cs="Arial" w:eastAsia="Arial" w:hAnsi="Arial"/>
          <w:sz w:val="18"/>
          <w:szCs w:val="18"/>
          <w:u w:val="single" w:color="auto"/>
          <w:color w:val="auto"/>
        </w:rPr>
        <w:t>Board Meeting Fee</w:t>
      </w:r>
      <w:r>
        <w:rPr>
          <w:rFonts w:ascii="Arial" w:cs="Arial" w:eastAsia="Arial" w:hAnsi="Arial"/>
          <w:sz w:val="18"/>
          <w:szCs w:val="18"/>
          <w:color w:val="auto"/>
        </w:rPr>
        <w:t>. The fee payable for attendance in person or via telephone at a Board Meeting shall be $2,500. The Board Meeting Fee will also be paid when a member of the Board is asked to attend a meeting or otherwise to conduct business on behalf of the Company in his or her capacity as a Director.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209" w:name="page210"/>
    <w:bookmarkEnd w:id="209"/>
    <w:p>
      <w:pPr>
        <w:ind w:left="1800" w:hanging="308"/>
        <w:spacing w:after="0"/>
        <w:tabs>
          <w:tab w:leader="none" w:pos="1800"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Retainer: Chair – Audit Committee</w:t>
      </w:r>
      <w:r>
        <w:rPr>
          <w:rFonts w:ascii="Arial" w:cs="Arial" w:eastAsia="Arial" w:hAnsi="Arial"/>
          <w:sz w:val="16"/>
          <w:szCs w:val="16"/>
          <w:color w:val="auto"/>
        </w:rPr>
        <w:t>. The Annual Retainer for service as Chair of the Audit Committee shall be $20,000</w:t>
      </w:r>
    </w:p>
    <w:p>
      <w:pPr>
        <w:spacing w:after="0" w:line="194" w:lineRule="exact"/>
        <w:rPr>
          <w:rFonts w:ascii="Arial" w:cs="Arial" w:eastAsia="Arial" w:hAnsi="Arial"/>
          <w:sz w:val="16"/>
          <w:szCs w:val="16"/>
          <w:color w:val="auto"/>
        </w:rPr>
      </w:pPr>
    </w:p>
    <w:p>
      <w:pPr>
        <w:ind w:left="1780" w:hanging="288"/>
        <w:spacing w:after="0"/>
        <w:tabs>
          <w:tab w:leader="none" w:pos="1780"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Annual Retainer: Member – Audit Committee</w:t>
      </w:r>
      <w:r>
        <w:rPr>
          <w:rFonts w:ascii="Arial" w:cs="Arial" w:eastAsia="Arial" w:hAnsi="Arial"/>
          <w:sz w:val="16"/>
          <w:szCs w:val="16"/>
          <w:color w:val="auto"/>
        </w:rPr>
        <w:t>. The Annual Retainer for service as a member of the Audit Committee shall be $10,000.</w:t>
      </w:r>
    </w:p>
    <w:p>
      <w:pPr>
        <w:spacing w:after="0" w:line="194" w:lineRule="exact"/>
        <w:rPr>
          <w:rFonts w:ascii="Arial" w:cs="Arial" w:eastAsia="Arial" w:hAnsi="Arial"/>
          <w:sz w:val="16"/>
          <w:szCs w:val="16"/>
          <w:color w:val="auto"/>
        </w:rPr>
      </w:pPr>
    </w:p>
    <w:p>
      <w:pPr>
        <w:ind w:left="1740" w:hanging="248"/>
        <w:spacing w:after="0"/>
        <w:tabs>
          <w:tab w:leader="none" w:pos="1740"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Annual Retainer: Chair – Compensation Committee</w:t>
      </w:r>
      <w:r>
        <w:rPr>
          <w:rFonts w:ascii="Arial" w:cs="Arial" w:eastAsia="Arial" w:hAnsi="Arial"/>
          <w:sz w:val="16"/>
          <w:szCs w:val="16"/>
          <w:color w:val="auto"/>
        </w:rPr>
        <w:t>. The Annual Retainer for service as Chair of the Compensation Committee shall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$20,000.</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(vi) </w:t>
      </w:r>
      <w:r>
        <w:rPr>
          <w:rFonts w:ascii="Arial" w:cs="Arial" w:eastAsia="Arial" w:hAnsi="Arial"/>
          <w:sz w:val="16"/>
          <w:szCs w:val="16"/>
          <w:u w:val="single" w:color="auto"/>
          <w:color w:val="auto"/>
        </w:rPr>
        <w:t>Annual Retainer: Member – Compensation Committee</w:t>
      </w:r>
      <w:r>
        <w:rPr>
          <w:rFonts w:ascii="Arial" w:cs="Arial" w:eastAsia="Arial" w:hAnsi="Arial"/>
          <w:sz w:val="16"/>
          <w:szCs w:val="16"/>
          <w:color w:val="auto"/>
        </w:rPr>
        <w:t>. The Annual Retainer for service as a member of the Compensation Committee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be $10,000.</w:t>
      </w:r>
    </w:p>
    <w:p>
      <w:pPr>
        <w:spacing w:after="0" w:line="165" w:lineRule="exact"/>
        <w:rPr>
          <w:sz w:val="20"/>
          <w:szCs w:val="20"/>
          <w:color w:val="auto"/>
        </w:rPr>
      </w:pPr>
    </w:p>
    <w:p>
      <w:pPr>
        <w:ind w:right="720" w:firstLine="1492"/>
        <w:spacing w:after="0" w:line="268" w:lineRule="auto"/>
        <w:tabs>
          <w:tab w:leader="none" w:pos="183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Annual Retainer: Chair – Governance and Directors Nominating Committee</w:t>
      </w:r>
      <w:r>
        <w:rPr>
          <w:rFonts w:ascii="Arial" w:cs="Arial" w:eastAsia="Arial" w:hAnsi="Arial"/>
          <w:sz w:val="18"/>
          <w:szCs w:val="18"/>
          <w:color w:val="auto"/>
        </w:rPr>
        <w:t>. The Annual Retainer for service as Chair of the Governance and Directors Nominating Committee shall be $10,000.</w:t>
      </w:r>
    </w:p>
    <w:p>
      <w:pPr>
        <w:spacing w:after="0" w:line="131" w:lineRule="exact"/>
        <w:rPr>
          <w:rFonts w:ascii="Arial" w:cs="Arial" w:eastAsia="Arial" w:hAnsi="Arial"/>
          <w:sz w:val="18"/>
          <w:szCs w:val="18"/>
          <w:color w:val="auto"/>
        </w:rPr>
      </w:pPr>
    </w:p>
    <w:p>
      <w:pPr>
        <w:ind w:right="160" w:firstLine="1492"/>
        <w:spacing w:after="0" w:line="268" w:lineRule="auto"/>
        <w:tabs>
          <w:tab w:leader="none" w:pos="1878"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Annual Retainer: Member – Governance and Directors Nominating Committee</w:t>
      </w:r>
      <w:r>
        <w:rPr>
          <w:rFonts w:ascii="Arial" w:cs="Arial" w:eastAsia="Arial" w:hAnsi="Arial"/>
          <w:sz w:val="18"/>
          <w:szCs w:val="18"/>
          <w:color w:val="auto"/>
        </w:rPr>
        <w:t>. The Annual Retainer for service as a member of the Governance and Directors Nominating Committee shall be $5,000.</w:t>
      </w:r>
    </w:p>
    <w:p>
      <w:pPr>
        <w:spacing w:after="0" w:line="131" w:lineRule="exact"/>
        <w:rPr>
          <w:rFonts w:ascii="Arial" w:cs="Arial" w:eastAsia="Arial" w:hAnsi="Arial"/>
          <w:sz w:val="18"/>
          <w:szCs w:val="18"/>
          <w:color w:val="auto"/>
        </w:rPr>
      </w:pPr>
    </w:p>
    <w:p>
      <w:pPr>
        <w:ind w:right="40" w:firstLine="1492"/>
        <w:spacing w:after="0" w:line="259" w:lineRule="auto"/>
        <w:tabs>
          <w:tab w:leader="none" w:pos="1781"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Annual Retainer: Chair – Any Committee of the Board other than the Audit Committee, the Compensation Committee or the Governance and Directors Nominating Committee</w:t>
      </w:r>
      <w:r>
        <w:rPr>
          <w:rFonts w:ascii="Arial" w:cs="Arial" w:eastAsia="Arial" w:hAnsi="Arial"/>
          <w:sz w:val="18"/>
          <w:szCs w:val="18"/>
          <w:color w:val="auto"/>
        </w:rPr>
        <w:t>. The Annual Retainer for service as the Chair of any committee of the Board other than the Audit Committee, the Compensation Committee or the Governance and Directors Nominating Committee shall be $5,000.</w:t>
      </w:r>
    </w:p>
    <w:p>
      <w:pPr>
        <w:spacing w:after="0" w:line="140" w:lineRule="exact"/>
        <w:rPr>
          <w:rFonts w:ascii="Arial" w:cs="Arial" w:eastAsia="Arial" w:hAnsi="Arial"/>
          <w:sz w:val="18"/>
          <w:szCs w:val="18"/>
          <w:color w:val="auto"/>
        </w:rPr>
      </w:pPr>
    </w:p>
    <w:p>
      <w:pPr>
        <w:ind w:firstLine="1492"/>
        <w:spacing w:after="0" w:line="259" w:lineRule="auto"/>
        <w:tabs>
          <w:tab w:leader="none" w:pos="1732"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Annual Retainer: Member – Any Committee of the Board other than the Audit Committee, the Compensation Committee or the Governance and Directors Nominating Committee</w:t>
      </w:r>
      <w:r>
        <w:rPr>
          <w:rFonts w:ascii="Arial" w:cs="Arial" w:eastAsia="Arial" w:hAnsi="Arial"/>
          <w:sz w:val="18"/>
          <w:szCs w:val="18"/>
          <w:color w:val="auto"/>
        </w:rPr>
        <w:t>. The Annual Retainer for service as a member of any committee of the Board other than the Audit Committee, the Compensation Committee or the Governance and Directors Nominating Committee shall be $2,500.</w:t>
      </w:r>
    </w:p>
    <w:p>
      <w:pPr>
        <w:spacing w:after="0" w:line="140" w:lineRule="exact"/>
        <w:rPr>
          <w:rFonts w:ascii="Arial" w:cs="Arial" w:eastAsia="Arial" w:hAnsi="Arial"/>
          <w:sz w:val="18"/>
          <w:szCs w:val="18"/>
          <w:color w:val="auto"/>
        </w:rPr>
      </w:pPr>
    </w:p>
    <w:p>
      <w:pPr>
        <w:ind w:firstLine="1492"/>
        <w:spacing w:after="0" w:line="259" w:lineRule="auto"/>
        <w:tabs>
          <w:tab w:leader="none" w:pos="1781"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Committee Meeting Fee – Audit Committee, Compensation Committee and Governance and Directors Nominating Committee</w:t>
      </w:r>
      <w:r>
        <w:rPr>
          <w:rFonts w:ascii="Arial" w:cs="Arial" w:eastAsia="Arial" w:hAnsi="Arial"/>
          <w:sz w:val="18"/>
          <w:szCs w:val="18"/>
          <w:color w:val="auto"/>
        </w:rPr>
        <w:t>. The fee payable for attendance in person or via telephone at a Committee Meeting of the Audit Committee, the Compensation Committee or the Governance and Directors Nominating Committee shall be $2,500.</w:t>
      </w:r>
    </w:p>
    <w:p>
      <w:pPr>
        <w:spacing w:after="0" w:line="140" w:lineRule="exact"/>
        <w:rPr>
          <w:rFonts w:ascii="Arial" w:cs="Arial" w:eastAsia="Arial" w:hAnsi="Arial"/>
          <w:sz w:val="18"/>
          <w:szCs w:val="18"/>
          <w:color w:val="auto"/>
        </w:rPr>
      </w:pPr>
    </w:p>
    <w:p>
      <w:pPr>
        <w:ind w:right="200" w:firstLine="1492"/>
        <w:spacing w:after="0" w:line="306" w:lineRule="auto"/>
        <w:tabs>
          <w:tab w:leader="none" w:pos="1830"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Committee Meeting Fee – Any Committee of the Board other than the Audit Committee, the Compensation Committee or the Governance and Directors Nominating Committee</w:t>
      </w:r>
      <w:r>
        <w:rPr>
          <w:rFonts w:ascii="Arial" w:cs="Arial" w:eastAsia="Arial" w:hAnsi="Arial"/>
          <w:sz w:val="16"/>
          <w:szCs w:val="16"/>
          <w:color w:val="auto"/>
        </w:rPr>
        <w:t>. The fee payable for attendance in person or via telephone at a Committee Meeting of any Committee other than the Audit Committee, the Compensation Committee or the Governance and Directors Nominating Committee shall be $1,000.</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210" w:name="page211"/>
    <w:bookmarkEnd w:id="210"/>
    <w:p>
      <w:pPr>
        <w:ind w:firstLine="1492"/>
        <w:spacing w:after="0" w:line="268" w:lineRule="auto"/>
        <w:tabs>
          <w:tab w:leader="none" w:pos="1878"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Grants</w:t>
      </w:r>
      <w:r>
        <w:rPr>
          <w:rFonts w:ascii="Arial" w:cs="Arial" w:eastAsia="Arial" w:hAnsi="Arial"/>
          <w:sz w:val="18"/>
          <w:szCs w:val="18"/>
          <w:color w:val="auto"/>
        </w:rPr>
        <w:t>. Except as otherwise specifically provided below, this Paragraph 3(a)(xiii) shall apply as of November 20, 2011 and as of November 20 of each Plan Year beginning after 2011.</w:t>
      </w:r>
    </w:p>
    <w:p>
      <w:pPr>
        <w:spacing w:after="0" w:line="131" w:lineRule="exact"/>
        <w:rPr>
          <w:rFonts w:ascii="Arial" w:cs="Arial" w:eastAsia="Arial" w:hAnsi="Arial"/>
          <w:sz w:val="18"/>
          <w:szCs w:val="18"/>
          <w:color w:val="auto"/>
        </w:rPr>
      </w:pPr>
    </w:p>
    <w:p>
      <w:pPr>
        <w:jc w:val="both"/>
        <w:ind w:right="40" w:firstLine="1948"/>
        <w:spacing w:after="0" w:line="259" w:lineRule="auto"/>
        <w:tabs>
          <w:tab w:leader="none" w:pos="222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Board shall grant Restricted Stock Units for Shares having a Fair Market Value on the date of grant of $145,000, rounded, if necessary, to the next higher whole Share, provided that with respect to each individual who first becomes a Non-Employee Director on or after July 1, 2011, the Board shall grant Restricted Stock Units for Shares determined as follows:</w:t>
      </w:r>
    </w:p>
    <w:p>
      <w:pPr>
        <w:sectPr>
          <w:pgSz w:w="11900" w:h="16838" w:orient="portrait"/>
          <w:cols w:equalWidth="0" w:num="1">
            <w:col w:w="11360"/>
          </w:cols>
          <w:pgMar w:left="240" w:top="280" w:right="29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of Commencement of Service as a Non-Employee Director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After November 20 of a Plan Year and before the next following February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or after February 20 of a Plan Year and before the next following May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or after May 20 of a Plan Year and before the next following August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or after August 20 of a Plan Year and before the next following November 20</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560"/>
        <w:spacing w:after="0" w:line="318" w:lineRule="auto"/>
        <w:rPr>
          <w:sz w:val="20"/>
          <w:szCs w:val="20"/>
          <w:color w:val="auto"/>
        </w:rPr>
      </w:pPr>
      <w:r>
        <w:rPr>
          <w:rFonts w:ascii="Arial" w:cs="Arial" w:eastAsia="Arial" w:hAnsi="Arial"/>
          <w:sz w:val="15"/>
          <w:szCs w:val="15"/>
          <w:color w:val="auto"/>
        </w:rPr>
        <w:t>Number of Shares Subject to Grant of Restricted Stock Units Shares having a Fair Market Value on the date of grant of $145,000 Shares having a Fair Market Value on the date of grant of $108,750 Shares having a Fair Market Value on the date of grant of $72,500 Shares having a Fair Market Value on the date of grant of $36,250</w:t>
      </w:r>
    </w:p>
    <w:p>
      <w:pPr>
        <w:spacing w:after="0" w:line="100" w:lineRule="exact"/>
        <w:rPr>
          <w:sz w:val="20"/>
          <w:szCs w:val="20"/>
          <w:color w:val="auto"/>
        </w:rPr>
      </w:pPr>
    </w:p>
    <w:p>
      <w:pPr>
        <w:sectPr>
          <w:pgSz w:w="11900" w:h="16838" w:orient="portrait"/>
          <w:cols w:equalWidth="0" w:num="2">
            <w:col w:w="5700" w:space="360"/>
            <w:col w:w="5300"/>
          </w:cols>
          <w:pgMar w:left="240" w:top="280" w:right="299" w:bottom="1440" w:gutter="0" w:footer="0" w:header="0"/>
          <w:type w:val="continuous"/>
        </w:sectPr>
      </w:pPr>
    </w:p>
    <w:p>
      <w:pPr>
        <w:ind w:right="80"/>
        <w:spacing w:after="0" w:line="268" w:lineRule="auto"/>
        <w:rPr>
          <w:sz w:val="20"/>
          <w:szCs w:val="20"/>
          <w:color w:val="auto"/>
        </w:rPr>
      </w:pPr>
      <w:r>
        <w:rPr>
          <w:rFonts w:ascii="Arial" w:cs="Arial" w:eastAsia="Arial" w:hAnsi="Arial"/>
          <w:sz w:val="18"/>
          <w:szCs w:val="18"/>
          <w:color w:val="auto"/>
        </w:rPr>
        <w:t>Each Restricted Stock Unit shall (1) be fully and immediately vested on the date of grant, and (2) bear such other terms and conditions as shall be determined by the Board in its discretion.</w:t>
      </w:r>
    </w:p>
    <w:p>
      <w:pPr>
        <w:spacing w:after="0" w:line="132" w:lineRule="exact"/>
        <w:rPr>
          <w:sz w:val="20"/>
          <w:szCs w:val="20"/>
          <w:color w:val="auto"/>
        </w:rPr>
      </w:pPr>
    </w:p>
    <w:p>
      <w:pPr>
        <w:ind w:right="120" w:firstLine="1948"/>
        <w:spacing w:after="0" w:line="298" w:lineRule="auto"/>
        <w:tabs>
          <w:tab w:leader="none" w:pos="2218" w:val="left"/>
        </w:tabs>
        <w:numPr>
          <w:ilvl w:val="2"/>
          <w:numId w:val="227"/>
        </w:numPr>
        <w:rPr>
          <w:rFonts w:ascii="Arial" w:cs="Arial" w:eastAsia="Arial" w:hAnsi="Arial"/>
          <w:sz w:val="16"/>
          <w:szCs w:val="16"/>
          <w:color w:val="auto"/>
        </w:rPr>
      </w:pPr>
      <w:r>
        <w:rPr>
          <w:rFonts w:ascii="Arial" w:cs="Arial" w:eastAsia="Arial" w:hAnsi="Arial"/>
          <w:sz w:val="16"/>
          <w:szCs w:val="16"/>
          <w:color w:val="auto"/>
        </w:rPr>
        <w:t>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number and class of shares of stock subject to the grant of Restricted Stock Units under the Plan shall be adjusted consistent with the adjustment made pursuant to the Restricted Stock Plan, and such adjustment shall be effective and binding for all purposes of this Plan.</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Payment Practices</w:t>
      </w:r>
      <w:r>
        <w:rPr>
          <w:rFonts w:ascii="Arial" w:cs="Arial" w:eastAsia="Arial" w:hAnsi="Arial"/>
          <w:sz w:val="16"/>
          <w:szCs w:val="16"/>
          <w:color w:val="auto"/>
        </w:rPr>
        <w:t>. Payments, grants and awards described in Paragraph 3(a) of the Plan shall be subject to the following payment practices:</w:t>
      </w:r>
    </w:p>
    <w:p>
      <w:pPr>
        <w:spacing w:after="0" w:line="194" w:lineRule="exact"/>
        <w:rPr>
          <w:rFonts w:ascii="Arial" w:cs="Arial" w:eastAsia="Arial" w:hAnsi="Arial"/>
          <w:sz w:val="16"/>
          <w:szCs w:val="16"/>
          <w:color w:val="auto"/>
        </w:rPr>
      </w:pPr>
    </w:p>
    <w:p>
      <w:pPr>
        <w:ind w:firstLine="1492"/>
        <w:spacing w:after="0" w:line="294" w:lineRule="auto"/>
        <w:tabs>
          <w:tab w:leader="none" w:pos="1693" w:val="left"/>
        </w:tabs>
        <w:numPr>
          <w:ilvl w:val="1"/>
          <w:numId w:val="228"/>
        </w:numPr>
        <w:rPr>
          <w:rFonts w:ascii="Arial" w:cs="Arial" w:eastAsia="Arial" w:hAnsi="Arial"/>
          <w:sz w:val="16"/>
          <w:szCs w:val="16"/>
          <w:color w:val="auto"/>
        </w:rPr>
      </w:pPr>
      <w:r>
        <w:rPr>
          <w:rFonts w:ascii="Arial" w:cs="Arial" w:eastAsia="Arial" w:hAnsi="Arial"/>
          <w:sz w:val="16"/>
          <w:szCs w:val="16"/>
          <w:color w:val="auto"/>
        </w:rPr>
        <w:t>Except to the extent deferred under the Deferred Compensation Plan, Annual Retainer payments described in Paragraphs 3(a)(i), 3(a)(iii), 3(a)(iv), 3(a)(v), 3(a)(vi), 3(a)(vii), 3(a)(viii), 3(a)(ix) and 3(a)(x) are payable as soon as reasonably practicable following the close of each calendar quarter, in arrears. Payments shall be pro-rated for partial years of service as a Non-Employee Director or on a Committee of the Board, so that a Non-Employee Director shall be entitled to one-quarter of each Annual Retainer payment referenced in this Paragraph 3(b)(i) for each calendar quarter within which such Non-Employee Director has one or more days of service as a Non-Employee Director or as a member of a Committee of the Board, as applicable.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type w:val="continuous"/>
        </w:sectPr>
      </w:pPr>
    </w:p>
    <w:bookmarkStart w:id="211" w:name="page212"/>
    <w:bookmarkEnd w:id="211"/>
    <w:p>
      <w:pPr>
        <w:ind w:right="260" w:firstLine="1492"/>
        <w:spacing w:after="0" w:line="332" w:lineRule="auto"/>
        <w:tabs>
          <w:tab w:leader="none" w:pos="1742" w:val="left"/>
        </w:tabs>
        <w:numPr>
          <w:ilvl w:val="1"/>
          <w:numId w:val="2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to the extent deferred under the Deferred Compensation Plan, Meeting Fee payments described in Paragraphs 3(a)(ii), 3(a)(xi) and 3(a)(xii) are payable as soon as reasonably practicable following the close of each calendar quarter, in arrears.</w:t>
      </w:r>
    </w:p>
    <w:p>
      <w:pPr>
        <w:spacing w:after="0" w:line="85" w:lineRule="exact"/>
        <w:rPr>
          <w:rFonts w:ascii="Arial" w:cs="Arial" w:eastAsia="Arial" w:hAnsi="Arial"/>
          <w:sz w:val="16"/>
          <w:szCs w:val="16"/>
          <w:color w:val="auto"/>
        </w:rPr>
      </w:pPr>
    </w:p>
    <w:p>
      <w:pPr>
        <w:ind w:right="140" w:firstLine="1492"/>
        <w:spacing w:after="0" w:line="256" w:lineRule="auto"/>
        <w:tabs>
          <w:tab w:leader="none" w:pos="179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 Non-Employee Director may elect to receive up to 50% of the Annual Retainer amount described in Paragraph 3(a)(i) in the form of Shares issuable pursuant to a grant of fully-vested Restricted Stock Units under the Restricted Stock Plan. The number of Shares payable to a Non-Employee Director shall be determined based on the closing price of Shares on the last business day of each calendar quarter and rounded, if necessary, to the next higher whole Share.</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Special Rules and Payment Practices for Director Emeritus Compensation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492"/>
        <w:spacing w:after="0" w:line="306" w:lineRule="auto"/>
        <w:tabs>
          <w:tab w:leader="none" w:pos="1693" w:val="left"/>
        </w:tabs>
        <w:numPr>
          <w:ilvl w:val="1"/>
          <w:numId w:val="230"/>
        </w:numPr>
        <w:rPr>
          <w:rFonts w:ascii="Arial" w:cs="Arial" w:eastAsia="Arial" w:hAnsi="Arial"/>
          <w:sz w:val="16"/>
          <w:szCs w:val="16"/>
          <w:color w:val="auto"/>
        </w:rPr>
      </w:pPr>
      <w:r>
        <w:rPr>
          <w:rFonts w:ascii="Arial" w:cs="Arial" w:eastAsia="Arial" w:hAnsi="Arial"/>
          <w:sz w:val="16"/>
          <w:szCs w:val="16"/>
          <w:color w:val="auto"/>
        </w:rPr>
        <w:t>Except as otherwise provided in Paragraph 3(c)(ii) and Paragraph 3(c)(iii), for the duration of an individual’s service to the Company as a Director Emeritus, the Director Emeritus such shall be entitled to compensation on the same basis as a Non-Employee Director as described in Paragraph 3(a) and subject to the same payment practices as apply to a Non-Employee Director as described in Paragraph 3(b).</w:t>
      </w:r>
    </w:p>
    <w:p>
      <w:pPr>
        <w:spacing w:after="0" w:line="106" w:lineRule="exact"/>
        <w:rPr>
          <w:rFonts w:ascii="Arial" w:cs="Arial" w:eastAsia="Arial" w:hAnsi="Arial"/>
          <w:sz w:val="16"/>
          <w:szCs w:val="16"/>
          <w:color w:val="auto"/>
        </w:rPr>
      </w:pPr>
    </w:p>
    <w:p>
      <w:pPr>
        <w:ind w:right="100" w:firstLine="1492"/>
        <w:spacing w:after="0" w:line="332" w:lineRule="auto"/>
        <w:tabs>
          <w:tab w:leader="none" w:pos="1742" w:val="left"/>
        </w:tabs>
        <w:numPr>
          <w:ilvl w:val="1"/>
          <w:numId w:val="230"/>
        </w:numPr>
        <w:rPr>
          <w:rFonts w:ascii="Arial" w:cs="Arial" w:eastAsia="Arial" w:hAnsi="Arial"/>
          <w:sz w:val="16"/>
          <w:szCs w:val="16"/>
          <w:color w:val="auto"/>
        </w:rPr>
      </w:pPr>
      <w:r>
        <w:rPr>
          <w:rFonts w:ascii="Arial" w:cs="Arial" w:eastAsia="Arial" w:hAnsi="Arial"/>
          <w:sz w:val="16"/>
          <w:szCs w:val="16"/>
          <w:color w:val="auto"/>
        </w:rPr>
        <w:t>Paragraph 3(b)(iii), relating to a Non-Employee Director’s elect to receive up to 50% of the Annual Retainer amount described in Paragraph 3(a)(i) in the form of Shares, shall not apply to a Director Emeritus. All Annual Retainer payments to a Director Emeritus shall be in the form of cash.</w:t>
      </w:r>
    </w:p>
    <w:p>
      <w:pPr>
        <w:spacing w:after="0" w:line="85" w:lineRule="exact"/>
        <w:rPr>
          <w:rFonts w:ascii="Arial" w:cs="Arial" w:eastAsia="Arial" w:hAnsi="Arial"/>
          <w:sz w:val="16"/>
          <w:szCs w:val="16"/>
          <w:color w:val="auto"/>
        </w:rPr>
      </w:pPr>
    </w:p>
    <w:p>
      <w:pPr>
        <w:ind w:left="1800" w:hanging="308"/>
        <w:spacing w:after="0"/>
        <w:tabs>
          <w:tab w:leader="none" w:pos="18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This Paragraph 3(c)(iii) shall apply to a Director Emeritus in lieu of the Stock Grant provisions of Paragraph 3(a)(xiii). On</w:t>
      </w:r>
    </w:p>
    <w:p>
      <w:pPr>
        <w:spacing w:after="0" w:line="1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November 20, 2011 and each anniversary thereof (or the next following business day if November 20</w:t>
      </w:r>
      <w:r>
        <w:rPr>
          <w:rFonts w:ascii="Arial" w:cs="Arial" w:eastAsia="Arial" w:hAnsi="Arial"/>
          <w:sz w:val="11"/>
          <w:szCs w:val="11"/>
          <w:color w:val="auto"/>
        </w:rPr>
        <w:t>th</w:t>
      </w:r>
      <w:r>
        <w:rPr>
          <w:rFonts w:ascii="Arial" w:cs="Arial" w:eastAsia="Arial" w:hAnsi="Arial"/>
          <w:sz w:val="18"/>
          <w:szCs w:val="18"/>
          <w:color w:val="auto"/>
        </w:rPr>
        <w:t xml:space="preserve"> is not a business day), the Company shall pay each Director Emeritus a single cash lump sum of $145,000.</w:t>
      </w:r>
    </w:p>
    <w:p>
      <w:pPr>
        <w:spacing w:after="0" w:line="253" w:lineRule="exact"/>
        <w:rPr>
          <w:sz w:val="20"/>
          <w:szCs w:val="20"/>
          <w:color w:val="auto"/>
        </w:rPr>
      </w:pPr>
    </w:p>
    <w:p>
      <w:pPr>
        <w:ind w:left="900" w:hanging="446"/>
        <w:spacing w:after="0"/>
        <w:tabs>
          <w:tab w:leader="none" w:pos="90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Plan shall be administered by the Board. Subject to the express terms and conditions set forth in the Plan, the Board shall have the power, from time to time, to interpret the Plan’s provisions, prescribe, amend and rescind rules and regulations for the Plan, and make all other determinations necessary or advisable for the administration of the Plan. The determination of the Board in all matters as stated above shall be conclusive.</w:t>
      </w:r>
    </w:p>
    <w:p>
      <w:pPr>
        <w:spacing w:after="0" w:line="222" w:lineRule="exact"/>
        <w:rPr>
          <w:sz w:val="20"/>
          <w:szCs w:val="20"/>
          <w:color w:val="auto"/>
        </w:rPr>
      </w:pPr>
    </w:p>
    <w:p>
      <w:pPr>
        <w:ind w:left="900" w:hanging="446"/>
        <w:spacing w:after="0"/>
        <w:tabs>
          <w:tab w:leader="none" w:pos="90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12" w:name="page213"/>
    <w:bookmarkEnd w:id="212"/>
    <w:p>
      <w:pPr>
        <w:ind w:left="900" w:hanging="446"/>
        <w:spacing w:after="0"/>
        <w:tabs>
          <w:tab w:leader="none" w:pos="90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AND TERMINATION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Plan may be amended or terminated by the Board at any time. No accrued right to payment as determined under Paragraph 3 shall be affected by any such termination or amendment without the written consent of the affected Non-Employee Director.</w:t>
      </w:r>
    </w:p>
    <w:p>
      <w:pPr>
        <w:spacing w:after="0" w:line="248" w:lineRule="exact"/>
        <w:rPr>
          <w:sz w:val="20"/>
          <w:szCs w:val="20"/>
          <w:color w:val="auto"/>
        </w:rPr>
      </w:pPr>
    </w:p>
    <w:p>
      <w:pPr>
        <w:ind w:left="900" w:hanging="446"/>
        <w:spacing w:after="0"/>
        <w:tabs>
          <w:tab w:leader="none" w:pos="90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effective date of this amendment and restatement of the Plan is May 30, 2012. The original effective date of the Plan is November 18, 2002.</w:t>
      </w:r>
    </w:p>
    <w:p>
      <w:pPr>
        <w:spacing w:after="0" w:line="310" w:lineRule="exact"/>
        <w:rPr>
          <w:sz w:val="20"/>
          <w:szCs w:val="20"/>
          <w:color w:val="auto"/>
        </w:rPr>
      </w:pPr>
    </w:p>
    <w:p>
      <w:pPr>
        <w:ind w:left="900" w:hanging="446"/>
        <w:spacing w:after="0"/>
        <w:tabs>
          <w:tab w:leader="none" w:pos="90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and all determinations made and actions taken pursuant to the Plan shall be governed in accordance with Pennsylvania law.</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32"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74" w:right="419" w:bottom="1440" w:gutter="0" w:footer="0" w:header="0"/>
        </w:sectPr>
      </w:pPr>
    </w:p>
    <w:bookmarkStart w:id="213" w:name="page214"/>
    <w:bookmarkEnd w:id="21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COMCAST CORPORATION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20" w:type="dxa"/>
            <w:vAlign w:val="bottom"/>
            <w:gridSpan w:val="2"/>
          </w:tcPr>
          <w:p>
            <w:pPr>
              <w:ind w:left="3760"/>
              <w:spacing w:after="0"/>
              <w:rPr>
                <w:sz w:val="20"/>
                <w:szCs w:val="20"/>
                <w:color w:val="auto"/>
              </w:rPr>
            </w:pPr>
            <w:r>
              <w:rPr>
                <w:rFonts w:ascii="Arial" w:cs="Arial" w:eastAsia="Arial" w:hAnsi="Arial"/>
                <w:sz w:val="18"/>
                <w:szCs w:val="18"/>
                <w:b w:val="1"/>
                <w:bCs w:val="1"/>
                <w:color w:val="auto"/>
              </w:rPr>
              <w:t>NON-EMPLOYEE DIRECTOR COMPENSATION</w:t>
            </w:r>
          </w:p>
        </w:tc>
      </w:tr>
      <w:tr>
        <w:trPr>
          <w:trHeight w:val="228"/>
        </w:trPr>
        <w:tc>
          <w:tcPr>
            <w:tcW w:w="11120" w:type="dxa"/>
            <w:vAlign w:val="bottom"/>
            <w:gridSpan w:val="2"/>
          </w:tcPr>
          <w:p>
            <w:pPr>
              <w:ind w:left="4420"/>
              <w:spacing w:after="0"/>
              <w:rPr>
                <w:sz w:val="20"/>
                <w:szCs w:val="20"/>
                <w:color w:val="auto"/>
              </w:rPr>
            </w:pPr>
            <w:r>
              <w:rPr>
                <w:rFonts w:ascii="Arial" w:cs="Arial" w:eastAsia="Arial" w:hAnsi="Arial"/>
                <w:sz w:val="18"/>
                <w:szCs w:val="18"/>
                <w:b w:val="1"/>
                <w:bCs w:val="1"/>
                <w:color w:val="auto"/>
              </w:rPr>
              <w:t>EFFECTIVE AS OF JULY 1, 2011</w:t>
            </w:r>
          </w:p>
        </w:tc>
      </w:tr>
      <w:tr>
        <w:trPr>
          <w:trHeight w:val="412"/>
        </w:trPr>
        <w:tc>
          <w:tcPr>
            <w:tcW w:w="5800" w:type="dxa"/>
            <w:vAlign w:val="bottom"/>
          </w:tcPr>
          <w:p>
            <w:pPr>
              <w:spacing w:after="0"/>
              <w:rPr>
                <w:sz w:val="20"/>
                <w:szCs w:val="20"/>
                <w:color w:val="auto"/>
              </w:rPr>
            </w:pPr>
            <w:r>
              <w:rPr>
                <w:rFonts w:ascii="Arial" w:cs="Arial" w:eastAsia="Arial" w:hAnsi="Arial"/>
                <w:sz w:val="18"/>
                <w:szCs w:val="18"/>
                <w:color w:val="auto"/>
              </w:rPr>
              <w:t>Director Annual Retainer</w:t>
            </w:r>
          </w:p>
        </w:tc>
        <w:tc>
          <w:tcPr>
            <w:tcW w:w="5320" w:type="dxa"/>
            <w:vAlign w:val="bottom"/>
          </w:tcPr>
          <w:p>
            <w:pPr>
              <w:ind w:left="260"/>
              <w:spacing w:after="0"/>
              <w:rPr>
                <w:sz w:val="20"/>
                <w:szCs w:val="20"/>
                <w:color w:val="auto"/>
              </w:rPr>
            </w:pPr>
            <w:r>
              <w:rPr>
                <w:rFonts w:ascii="Arial" w:cs="Arial" w:eastAsia="Arial" w:hAnsi="Arial"/>
                <w:sz w:val="18"/>
                <w:szCs w:val="18"/>
                <w:color w:val="auto"/>
                <w:w w:val="88"/>
              </w:rPr>
              <w:t>$80,000, subject to election to receive up to half in the form of Comcast</w:t>
            </w:r>
          </w:p>
        </w:tc>
      </w:tr>
      <w:tr>
        <w:trPr>
          <w:trHeight w:val="216"/>
        </w:trPr>
        <w:tc>
          <w:tcPr>
            <w:tcW w:w="580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Corporation Class A Common Stock</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Board Meeting Fee</w:t>
            </w:r>
            <w:r>
              <w:rPr>
                <w:rFonts w:ascii="Arial" w:cs="Arial" w:eastAsia="Arial" w:hAnsi="Arial"/>
                <w:sz w:val="11"/>
                <w:szCs w:val="11"/>
                <w:color w:val="auto"/>
              </w:rPr>
              <w:t>1</w:t>
            </w:r>
          </w:p>
        </w:tc>
        <w:tc>
          <w:tcPr>
            <w:tcW w:w="5320" w:type="dxa"/>
            <w:vAlign w:val="bottom"/>
          </w:tcPr>
          <w:p>
            <w:pPr>
              <w:ind w:left="260"/>
              <w:spacing w:after="0"/>
              <w:rPr>
                <w:sz w:val="20"/>
                <w:szCs w:val="20"/>
                <w:color w:val="auto"/>
              </w:rPr>
            </w:pPr>
            <w:r>
              <w:rPr>
                <w:rFonts w:ascii="Arial" w:cs="Arial" w:eastAsia="Arial" w:hAnsi="Arial"/>
                <w:sz w:val="18"/>
                <w:szCs w:val="18"/>
                <w:color w:val="auto"/>
              </w:rPr>
              <w:t>$2,500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Audit Committee Annual Retainer – Chair</w:t>
            </w:r>
          </w:p>
        </w:tc>
        <w:tc>
          <w:tcPr>
            <w:tcW w:w="5320" w:type="dxa"/>
            <w:vAlign w:val="bottom"/>
          </w:tcPr>
          <w:p>
            <w:pPr>
              <w:ind w:left="260"/>
              <w:spacing w:after="0"/>
              <w:rPr>
                <w:sz w:val="20"/>
                <w:szCs w:val="20"/>
                <w:color w:val="auto"/>
              </w:rPr>
            </w:pPr>
            <w:r>
              <w:rPr>
                <w:rFonts w:ascii="Arial" w:cs="Arial" w:eastAsia="Arial" w:hAnsi="Arial"/>
                <w:sz w:val="18"/>
                <w:szCs w:val="18"/>
                <w:color w:val="auto"/>
              </w:rPr>
              <w:t>$20,000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Compensation Committee Annual Retainer – Chair</w:t>
            </w:r>
          </w:p>
        </w:tc>
        <w:tc>
          <w:tcPr>
            <w:tcW w:w="5320" w:type="dxa"/>
            <w:vAlign w:val="bottom"/>
          </w:tcPr>
          <w:p>
            <w:pPr>
              <w:ind w:left="260"/>
              <w:spacing w:after="0"/>
              <w:rPr>
                <w:sz w:val="20"/>
                <w:szCs w:val="20"/>
                <w:color w:val="auto"/>
              </w:rPr>
            </w:pPr>
            <w:r>
              <w:rPr>
                <w:rFonts w:ascii="Arial" w:cs="Arial" w:eastAsia="Arial" w:hAnsi="Arial"/>
                <w:sz w:val="18"/>
                <w:szCs w:val="18"/>
                <w:color w:val="auto"/>
              </w:rPr>
              <w:t>$20,000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w w:val="97"/>
              </w:rPr>
              <w:t>Governance and Directors Nominating Committee Annual Retainer – Chair</w:t>
            </w:r>
          </w:p>
        </w:tc>
        <w:tc>
          <w:tcPr>
            <w:tcW w:w="5320" w:type="dxa"/>
            <w:vAlign w:val="bottom"/>
          </w:tcPr>
          <w:p>
            <w:pPr>
              <w:ind w:left="260"/>
              <w:spacing w:after="0"/>
              <w:rPr>
                <w:sz w:val="20"/>
                <w:szCs w:val="20"/>
                <w:color w:val="auto"/>
              </w:rPr>
            </w:pPr>
            <w:r>
              <w:rPr>
                <w:rFonts w:ascii="Arial" w:cs="Arial" w:eastAsia="Arial" w:hAnsi="Arial"/>
                <w:sz w:val="18"/>
                <w:szCs w:val="18"/>
                <w:color w:val="auto"/>
              </w:rPr>
              <w:t>$10,000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Committee Annual Retainer – Chair</w:t>
            </w:r>
          </w:p>
        </w:tc>
        <w:tc>
          <w:tcPr>
            <w:tcW w:w="5320" w:type="dxa"/>
            <w:vAlign w:val="bottom"/>
          </w:tcPr>
          <w:p>
            <w:pPr>
              <w:ind w:left="260"/>
              <w:spacing w:after="0"/>
              <w:rPr>
                <w:sz w:val="20"/>
                <w:szCs w:val="20"/>
                <w:color w:val="auto"/>
              </w:rPr>
            </w:pPr>
            <w:r>
              <w:rPr>
                <w:rFonts w:ascii="Arial" w:cs="Arial" w:eastAsia="Arial" w:hAnsi="Arial"/>
                <w:sz w:val="18"/>
                <w:szCs w:val="18"/>
                <w:color w:val="auto"/>
              </w:rPr>
              <w:t>$5,000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Audit Committee Annual Retainer – Member</w:t>
            </w:r>
          </w:p>
        </w:tc>
        <w:tc>
          <w:tcPr>
            <w:tcW w:w="5320" w:type="dxa"/>
            <w:vAlign w:val="bottom"/>
          </w:tcPr>
          <w:p>
            <w:pPr>
              <w:ind w:left="260"/>
              <w:spacing w:after="0"/>
              <w:rPr>
                <w:sz w:val="20"/>
                <w:szCs w:val="20"/>
                <w:color w:val="auto"/>
              </w:rPr>
            </w:pPr>
            <w:r>
              <w:rPr>
                <w:rFonts w:ascii="Arial" w:cs="Arial" w:eastAsia="Arial" w:hAnsi="Arial"/>
                <w:sz w:val="18"/>
                <w:szCs w:val="18"/>
                <w:color w:val="auto"/>
              </w:rPr>
              <w:t>$10,000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Compensation Committee Annual Retainer – Member</w:t>
            </w:r>
          </w:p>
        </w:tc>
        <w:tc>
          <w:tcPr>
            <w:tcW w:w="5320" w:type="dxa"/>
            <w:vAlign w:val="bottom"/>
          </w:tcPr>
          <w:p>
            <w:pPr>
              <w:ind w:left="260"/>
              <w:spacing w:after="0"/>
              <w:rPr>
                <w:sz w:val="20"/>
                <w:szCs w:val="20"/>
                <w:color w:val="auto"/>
              </w:rPr>
            </w:pPr>
            <w:r>
              <w:rPr>
                <w:rFonts w:ascii="Arial" w:cs="Arial" w:eastAsia="Arial" w:hAnsi="Arial"/>
                <w:sz w:val="18"/>
                <w:szCs w:val="18"/>
                <w:color w:val="auto"/>
              </w:rPr>
              <w:t>$10,000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w w:val="93"/>
              </w:rPr>
              <w:t>Governance and Directors Nominating Committee Annual Retainer – Member</w:t>
            </w:r>
          </w:p>
        </w:tc>
        <w:tc>
          <w:tcPr>
            <w:tcW w:w="5320" w:type="dxa"/>
            <w:vAlign w:val="bottom"/>
          </w:tcPr>
          <w:p>
            <w:pPr>
              <w:ind w:left="260"/>
              <w:spacing w:after="0"/>
              <w:rPr>
                <w:sz w:val="20"/>
                <w:szCs w:val="20"/>
                <w:color w:val="auto"/>
              </w:rPr>
            </w:pPr>
            <w:r>
              <w:rPr>
                <w:rFonts w:ascii="Arial" w:cs="Arial" w:eastAsia="Arial" w:hAnsi="Arial"/>
                <w:sz w:val="18"/>
                <w:szCs w:val="18"/>
                <w:color w:val="auto"/>
              </w:rPr>
              <w:t>$5,000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Committee Annual Retainer – Member</w:t>
            </w:r>
          </w:p>
        </w:tc>
        <w:tc>
          <w:tcPr>
            <w:tcW w:w="5320" w:type="dxa"/>
            <w:vAlign w:val="bottom"/>
          </w:tcPr>
          <w:p>
            <w:pPr>
              <w:ind w:left="260"/>
              <w:spacing w:after="0"/>
              <w:rPr>
                <w:sz w:val="20"/>
                <w:szCs w:val="20"/>
                <w:color w:val="auto"/>
              </w:rPr>
            </w:pPr>
            <w:r>
              <w:rPr>
                <w:rFonts w:ascii="Arial" w:cs="Arial" w:eastAsia="Arial" w:hAnsi="Arial"/>
                <w:sz w:val="18"/>
                <w:szCs w:val="18"/>
                <w:color w:val="auto"/>
              </w:rPr>
              <w:t>$2,500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Committee Meeting Fee – Audit Committee</w:t>
            </w:r>
          </w:p>
        </w:tc>
        <w:tc>
          <w:tcPr>
            <w:tcW w:w="5320" w:type="dxa"/>
            <w:vAlign w:val="bottom"/>
          </w:tcPr>
          <w:p>
            <w:pPr>
              <w:ind w:left="260"/>
              <w:spacing w:after="0"/>
              <w:rPr>
                <w:sz w:val="20"/>
                <w:szCs w:val="20"/>
                <w:color w:val="auto"/>
              </w:rPr>
            </w:pPr>
            <w:r>
              <w:rPr>
                <w:rFonts w:ascii="Arial" w:cs="Arial" w:eastAsia="Arial" w:hAnsi="Arial"/>
                <w:sz w:val="18"/>
                <w:szCs w:val="18"/>
                <w:color w:val="auto"/>
              </w:rPr>
              <w:t>$2,500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Committee Meeting Fee – Compensation Committee</w:t>
            </w:r>
          </w:p>
        </w:tc>
        <w:tc>
          <w:tcPr>
            <w:tcW w:w="5320" w:type="dxa"/>
            <w:vAlign w:val="bottom"/>
          </w:tcPr>
          <w:p>
            <w:pPr>
              <w:ind w:left="260"/>
              <w:spacing w:after="0"/>
              <w:rPr>
                <w:sz w:val="20"/>
                <w:szCs w:val="20"/>
                <w:color w:val="auto"/>
              </w:rPr>
            </w:pPr>
            <w:r>
              <w:rPr>
                <w:rFonts w:ascii="Arial" w:cs="Arial" w:eastAsia="Arial" w:hAnsi="Arial"/>
                <w:sz w:val="18"/>
                <w:szCs w:val="18"/>
                <w:color w:val="auto"/>
              </w:rPr>
              <w:t>$2,500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w w:val="94"/>
              </w:rPr>
              <w:t>Committee Meeting Fee – Governance and Directors Nominating Committee</w:t>
            </w:r>
          </w:p>
        </w:tc>
        <w:tc>
          <w:tcPr>
            <w:tcW w:w="5320" w:type="dxa"/>
            <w:vAlign w:val="bottom"/>
          </w:tcPr>
          <w:p>
            <w:pPr>
              <w:ind w:left="260"/>
              <w:spacing w:after="0"/>
              <w:rPr>
                <w:sz w:val="20"/>
                <w:szCs w:val="20"/>
                <w:color w:val="auto"/>
              </w:rPr>
            </w:pPr>
            <w:r>
              <w:rPr>
                <w:rFonts w:ascii="Arial" w:cs="Arial" w:eastAsia="Arial" w:hAnsi="Arial"/>
                <w:sz w:val="18"/>
                <w:szCs w:val="18"/>
                <w:color w:val="auto"/>
              </w:rPr>
              <w:t>$2,500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Committee Meeting Fee – Other Committee</w:t>
            </w:r>
          </w:p>
        </w:tc>
        <w:tc>
          <w:tcPr>
            <w:tcW w:w="5320" w:type="dxa"/>
            <w:vAlign w:val="bottom"/>
          </w:tcPr>
          <w:p>
            <w:pPr>
              <w:ind w:left="260"/>
              <w:spacing w:after="0"/>
              <w:rPr>
                <w:sz w:val="20"/>
                <w:szCs w:val="20"/>
                <w:color w:val="auto"/>
              </w:rPr>
            </w:pPr>
            <w:r>
              <w:rPr>
                <w:rFonts w:ascii="Arial" w:cs="Arial" w:eastAsia="Arial" w:hAnsi="Arial"/>
                <w:sz w:val="18"/>
                <w:szCs w:val="18"/>
                <w:color w:val="auto"/>
              </w:rPr>
              <w:t>$1,000</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Annual Restricted Stock Unit Grant</w:t>
            </w:r>
          </w:p>
        </w:tc>
        <w:tc>
          <w:tcPr>
            <w:tcW w:w="5320" w:type="dxa"/>
            <w:vAlign w:val="bottom"/>
          </w:tcPr>
          <w:p>
            <w:pPr>
              <w:ind w:left="260"/>
              <w:spacing w:after="0"/>
              <w:rPr>
                <w:sz w:val="20"/>
                <w:szCs w:val="20"/>
                <w:color w:val="auto"/>
              </w:rPr>
            </w:pPr>
            <w:r>
              <w:rPr>
                <w:rFonts w:ascii="Arial" w:cs="Arial" w:eastAsia="Arial" w:hAnsi="Arial"/>
                <w:sz w:val="18"/>
                <w:szCs w:val="18"/>
                <w:color w:val="auto"/>
                <w:w w:val="93"/>
              </w:rPr>
              <w:t>Shares having a Fair Market Value on the date of grant of $145,000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20" w:hanging="452"/>
        <w:spacing w:after="0" w:line="228" w:lineRule="auto"/>
        <w:tabs>
          <w:tab w:leader="none" w:pos="460" w:val="left"/>
        </w:tabs>
        <w:numPr>
          <w:ilvl w:val="0"/>
          <w:numId w:val="236"/>
        </w:numPr>
        <w:rPr>
          <w:rFonts w:ascii="Arial" w:cs="Arial" w:eastAsia="Arial" w:hAnsi="Arial"/>
          <w:sz w:val="22"/>
          <w:szCs w:val="22"/>
          <w:color w:val="auto"/>
          <w:vertAlign w:val="superscript"/>
        </w:rPr>
      </w:pPr>
      <w:r>
        <w:rPr>
          <w:rFonts w:ascii="Arial" w:cs="Arial" w:eastAsia="Arial" w:hAnsi="Arial"/>
          <w:sz w:val="18"/>
          <w:szCs w:val="18"/>
          <w:color w:val="auto"/>
        </w:rPr>
        <w:t>Fee will also be paid when a member of the Board is asked to attend a meeting or otherwise to conduct business on behalf of the Company in his/her capacity as Director.</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240" w:top="274" w:right="5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ind w:left="10340"/>
        <w:spacing w:after="0"/>
        <w:rPr>
          <w:sz w:val="20"/>
          <w:szCs w:val="20"/>
          <w:color w:val="auto"/>
        </w:rPr>
      </w:pPr>
      <w:r>
        <w:rPr>
          <w:rFonts w:ascii="Arial" w:cs="Arial" w:eastAsia="Arial" w:hAnsi="Arial"/>
          <w:sz w:val="16"/>
          <w:szCs w:val="16"/>
          <w:color w:val="auto"/>
        </w:rPr>
        <w:t>August 1,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F029D3"/>
    <w:multiLevelType w:val="hybridMultilevel"/>
    <w:lvl w:ilvl="0">
      <w:lvlJc w:val="left"/>
      <w:lvlText w:val="☒"/>
      <w:numFmt w:val="bullet"/>
      <w:start w:val="1"/>
    </w:lvl>
  </w:abstractNum>
  <w:abstractNum w:abstractNumId="1">
    <w:nsid w:val="5675FF36"/>
    <w:multiLevelType w:val="hybridMultilevel"/>
    <w:lvl w:ilvl="0">
      <w:lvlJc w:val="left"/>
      <w:lvlText w:val="☐"/>
      <w:numFmt w:val="bullet"/>
      <w:start w:val="1"/>
    </w:lvl>
  </w:abstractNum>
  <w:abstractNum w:abstractNumId="2">
    <w:nsid w:val="3DD15094"/>
    <w:multiLevelType w:val="hybridMultilevel"/>
    <w:lvl w:ilvl="0">
      <w:lvlJc w:val="left"/>
      <w:lvlText w:val="•"/>
      <w:numFmt w:val="bullet"/>
      <w:start w:val="1"/>
    </w:lvl>
  </w:abstractNum>
  <w:abstractNum w:abstractNumId="3">
    <w:nsid w:val="3DB012B3"/>
    <w:multiLevelType w:val="hybridMultilevel"/>
    <w:lvl w:ilvl="0">
      <w:lvlJc w:val="left"/>
      <w:lvlText w:val="(%1)"/>
      <w:numFmt w:val="lowerRoman"/>
      <w:start w:val="2"/>
    </w:lvl>
  </w:abstractNum>
  <w:abstractNum w:abstractNumId="4">
    <w:nsid w:val="2708C9AF"/>
    <w:multiLevelType w:val="hybridMultilevel"/>
    <w:lvl w:ilvl="0">
      <w:lvlJc w:val="left"/>
      <w:lvlText w:val="•"/>
      <w:numFmt w:val="bullet"/>
      <w:start w:val="1"/>
    </w:lvl>
  </w:abstractNum>
  <w:abstractNum w:abstractNumId="5">
    <w:nsid w:val="5B25ACE2"/>
    <w:multiLevelType w:val="hybridMultilevel"/>
    <w:lvl w:ilvl="0">
      <w:lvlJc w:val="left"/>
      <w:lvlText w:val="•"/>
      <w:numFmt w:val="bullet"/>
      <w:start w:val="1"/>
    </w:lvl>
  </w:abstractNum>
  <w:abstractNum w:abstractNumId="6">
    <w:nsid w:val="175DFCF0"/>
    <w:multiLevelType w:val="hybridMultilevel"/>
    <w:lvl w:ilvl="0">
      <w:lvlJc w:val="left"/>
      <w:lvlText w:val="(%1)"/>
      <w:numFmt w:val="lowerLetter"/>
      <w:start w:val="1"/>
    </w:lvl>
  </w:abstractNum>
  <w:abstractNum w:abstractNumId="7">
    <w:nsid w:val="4F97E3E4"/>
    <w:multiLevelType w:val="hybridMultilevel"/>
    <w:lvl w:ilvl="0">
      <w:lvlJc w:val="left"/>
      <w:lvlText w:val="•"/>
      <w:numFmt w:val="bullet"/>
      <w:start w:val="1"/>
    </w:lvl>
  </w:abstractNum>
  <w:abstractNum w:abstractNumId="8">
    <w:nsid w:val="53B0A9E"/>
    <w:multiLevelType w:val="hybridMultilevel"/>
    <w:lvl w:ilvl="0">
      <w:lvlJc w:val="left"/>
      <w:lvlText w:val="(%1)"/>
      <w:numFmt w:val="lowerLetter"/>
      <w:start w:val="1"/>
    </w:lvl>
  </w:abstractNum>
  <w:abstractNum w:abstractNumId="9">
    <w:nsid w:val="34FD6B4F"/>
    <w:multiLevelType w:val="hybridMultilevel"/>
    <w:lvl w:ilvl="0">
      <w:lvlJc w:val="left"/>
      <w:lvlText w:val="(%1)"/>
      <w:numFmt w:val="lowerLetter"/>
      <w:start w:val="2"/>
    </w:lvl>
  </w:abstractNum>
  <w:abstractNum w:abstractNumId="10">
    <w:nsid w:val="5915FF32"/>
    <w:multiLevelType w:val="hybridMultilevel"/>
    <w:lvl w:ilvl="0">
      <w:lvlJc w:val="left"/>
      <w:lvlText w:val="(%1)"/>
      <w:numFmt w:val="lowerLetter"/>
      <w:start w:val="5"/>
    </w:lvl>
    <w:lvl w:ilvl="1">
      <w:lvlJc w:val="left"/>
      <w:lvlText w:val="•"/>
      <w:numFmt w:val="bullet"/>
      <w:start w:val="1"/>
    </w:lvl>
  </w:abstractNum>
  <w:abstractNum w:abstractNumId="11">
    <w:nsid w:val="56438D15"/>
    <w:multiLevelType w:val="hybridMultilevel"/>
    <w:lvl w:ilvl="0">
      <w:lvlJc w:val="left"/>
      <w:lvlText w:val="(%1)"/>
      <w:numFmt w:val="decimal"/>
      <w:start w:val="24"/>
    </w:lvl>
  </w:abstractNum>
  <w:abstractNum w:abstractNumId="12">
    <w:nsid w:val="519E3149"/>
    <w:multiLevelType w:val="hybridMultilevel"/>
    <w:lvl w:ilvl="0">
      <w:lvlJc w:val="left"/>
      <w:lvlText w:val="%1"/>
      <w:numFmt w:val="decimal"/>
      <w:start w:val="33"/>
    </w:lvl>
  </w:abstractNum>
  <w:abstractNum w:abstractNumId="13">
    <w:nsid w:val="2C6E4AFD"/>
    <w:multiLevelType w:val="hybridMultilevel"/>
    <w:lvl w:ilvl="0">
      <w:lvlJc w:val="left"/>
      <w:lvlText w:val="%1"/>
      <w:numFmt w:val="decimal"/>
      <w:start w:val="48"/>
    </w:lvl>
  </w:abstractNum>
  <w:abstractNum w:abstractNumId="14">
    <w:nsid w:val="17A1B582"/>
    <w:multiLevelType w:val="hybridMultilevel"/>
    <w:lvl w:ilvl="0">
      <w:lvlJc w:val="left"/>
      <w:lvlText w:val="(%1)"/>
      <w:numFmt w:val="lowerLetter"/>
      <w:start w:val="1"/>
    </w:lvl>
  </w:abstractNum>
  <w:abstractNum w:abstractNumId="15">
    <w:nsid w:val="4DF72E4E"/>
    <w:multiLevelType w:val="hybridMultilevel"/>
    <w:lvl w:ilvl="0">
      <w:lvlJc w:val="left"/>
      <w:lvlText w:val="(%1)"/>
      <w:numFmt w:val="lowerLetter"/>
      <w:start w:val="2"/>
    </w:lvl>
  </w:abstractNum>
  <w:abstractNum w:abstractNumId="16">
    <w:nsid w:val="5046B5A9"/>
    <w:multiLevelType w:val="hybridMultilevel"/>
    <w:lvl w:ilvl="0">
      <w:lvlJc w:val="left"/>
      <w:lvlText w:val="(%1)"/>
      <w:numFmt w:val="lowerLetter"/>
      <w:start w:val="1"/>
    </w:lvl>
  </w:abstractNum>
  <w:abstractNum w:abstractNumId="17">
    <w:nsid w:val="5D888A08"/>
    <w:multiLevelType w:val="hybridMultilevel"/>
    <w:lvl w:ilvl="0">
      <w:lvlJc w:val="left"/>
      <w:lvlText w:val="(%1)"/>
      <w:numFmt w:val="lowerLetter"/>
      <w:start w:val="1"/>
    </w:lvl>
  </w:abstractNum>
  <w:abstractNum w:abstractNumId="18">
    <w:nsid w:val="2A082C70"/>
    <w:multiLevelType w:val="hybridMultilevel"/>
    <w:lvl w:ilvl="0">
      <w:lvlJc w:val="left"/>
      <w:lvlText w:val="(%1)"/>
      <w:numFmt w:val="lowerLetter"/>
      <w:start w:val="1"/>
    </w:lvl>
  </w:abstractNum>
  <w:abstractNum w:abstractNumId="19">
    <w:nsid w:val="5EC6AFD4"/>
    <w:multiLevelType w:val="hybridMultilevel"/>
    <w:lvl w:ilvl="0">
      <w:lvlJc w:val="left"/>
      <w:lvlText w:val="(%1)"/>
      <w:numFmt w:val="lowerLetter"/>
      <w:start w:val="1"/>
    </w:lvl>
  </w:abstractNum>
  <w:abstractNum w:abstractNumId="20">
    <w:nsid w:val="19E21BB2"/>
    <w:multiLevelType w:val="hybridMultilevel"/>
    <w:lvl w:ilvl="0">
      <w:lvlJc w:val="left"/>
      <w:lvlText w:val="(%1)"/>
      <w:numFmt w:val="lowerLetter"/>
      <w:start w:val="1"/>
    </w:lvl>
  </w:abstractNum>
  <w:abstractNum w:abstractNumId="21">
    <w:nsid w:val="75E0858A"/>
    <w:multiLevelType w:val="hybridMultilevel"/>
    <w:lvl w:ilvl="0">
      <w:lvlJc w:val="left"/>
      <w:lvlText w:val="%1"/>
      <w:numFmt w:val="decimal"/>
      <w:start w:val="31"/>
    </w:lvl>
  </w:abstractNum>
  <w:abstractNum w:abstractNumId="22">
    <w:nsid w:val="57A61A29"/>
    <w:multiLevelType w:val="hybridMultilevel"/>
    <w:lvl w:ilvl="0">
      <w:lvlJc w:val="left"/>
      <w:lvlText w:val="%1"/>
      <w:numFmt w:val="decimal"/>
      <w:start w:val="101"/>
    </w:lvl>
  </w:abstractNum>
  <w:abstractNum w:abstractNumId="23">
    <w:nsid w:val="5399C654"/>
    <w:multiLevelType w:val="hybridMultilevel"/>
    <w:lvl w:ilvl="0">
      <w:lvlJc w:val="left"/>
      <w:lvlText w:val="A"/>
      <w:numFmt w:val="bullet"/>
      <w:start w:val="1"/>
    </w:lvl>
  </w:abstractNum>
  <w:abstractNum w:abstractNumId="24">
    <w:nsid w:val="20EE1348"/>
    <w:multiLevelType w:val="hybridMultilevel"/>
    <w:lvl w:ilvl="0">
      <w:lvlJc w:val="left"/>
      <w:lvlText w:val="B"/>
      <w:numFmt w:val="bullet"/>
      <w:start w:val="1"/>
    </w:lvl>
  </w:abstractNum>
  <w:abstractNum w:abstractNumId="25">
    <w:nsid w:val="4427069A"/>
    <w:multiLevelType w:val="hybridMultilevel"/>
    <w:lvl w:ilvl="0">
      <w:lvlJc w:val="left"/>
      <w:lvlText w:val="A"/>
      <w:numFmt w:val="bullet"/>
      <w:start w:val="1"/>
    </w:lvl>
  </w:abstractNum>
  <w:abstractNum w:abstractNumId="26">
    <w:nsid w:val="B37E80A"/>
    <w:multiLevelType w:val="hybridMultilevel"/>
    <w:lvl w:ilvl="0">
      <w:lvlJc w:val="left"/>
      <w:lvlText w:val="(%1)"/>
      <w:numFmt w:val="lowerLetter"/>
      <w:start w:val="2"/>
    </w:lvl>
  </w:abstractNum>
  <w:abstractNum w:abstractNumId="27">
    <w:nsid w:val="2157F6BC"/>
    <w:multiLevelType w:val="hybridMultilevel"/>
    <w:lvl w:ilvl="0">
      <w:lvlJc w:val="left"/>
      <w:lvlText w:val="(%1)"/>
      <w:numFmt w:val="lowerLetter"/>
      <w:start w:val="5"/>
    </w:lvl>
  </w:abstractNum>
  <w:abstractNum w:abstractNumId="28">
    <w:nsid w:val="704E1DD5"/>
    <w:multiLevelType w:val="hybridMultilevel"/>
    <w:lvl w:ilvl="0">
      <w:lvlJc w:val="left"/>
      <w:lvlText w:val="(%1)"/>
      <w:numFmt w:val="lowerLetter"/>
      <w:start w:val="2"/>
    </w:lvl>
  </w:abstractNum>
  <w:abstractNum w:abstractNumId="29">
    <w:nsid w:val="57D2F10E"/>
    <w:multiLevelType w:val="hybridMultilevel"/>
    <w:lvl w:ilvl="0">
      <w:lvlJc w:val="left"/>
      <w:lvlText w:val="(%1)"/>
      <w:numFmt w:val="lowerLetter"/>
      <w:start w:val="1"/>
    </w:lvl>
  </w:abstractNum>
  <w:abstractNum w:abstractNumId="30">
    <w:nsid w:val="BFFAE18"/>
    <w:multiLevelType w:val="hybridMultilevel"/>
    <w:lvl w:ilvl="0">
      <w:lvlJc w:val="left"/>
      <w:lvlText w:val="(%1)"/>
      <w:numFmt w:val="lowerLetter"/>
      <w:start w:val="2"/>
    </w:lvl>
  </w:abstractNum>
  <w:abstractNum w:abstractNumId="31">
    <w:nsid w:val="E3E47A8"/>
    <w:multiLevelType w:val="hybridMultilevel"/>
    <w:lvl w:ilvl="0">
      <w:lvlJc w:val="left"/>
      <w:lvlText w:val="(%1)"/>
      <w:numFmt w:val="lowerLetter"/>
      <w:start w:val="5"/>
    </w:lvl>
  </w:abstractNum>
  <w:abstractNum w:abstractNumId="32">
    <w:nsid w:val="2E48F044"/>
    <w:multiLevelType w:val="hybridMultilevel"/>
    <w:lvl w:ilvl="0">
      <w:lvlJc w:val="left"/>
      <w:lvlText w:val="(%1)"/>
      <w:numFmt w:val="lowerLetter"/>
      <w:start w:val="1"/>
    </w:lvl>
  </w:abstractNum>
  <w:abstractNum w:abstractNumId="33">
    <w:nsid w:val="49D0FEAC"/>
    <w:multiLevelType w:val="hybridMultilevel"/>
    <w:lvl w:ilvl="0">
      <w:lvlJc w:val="left"/>
      <w:lvlText w:val="(%1)"/>
      <w:numFmt w:val="lowerRoman"/>
      <w:start w:val="1"/>
    </w:lvl>
  </w:abstractNum>
  <w:abstractNum w:abstractNumId="34">
    <w:nsid w:val="4BEE5A5B"/>
    <w:multiLevelType w:val="hybridMultilevel"/>
    <w:lvl w:ilvl="0">
      <w:lvlJc w:val="left"/>
      <w:lvlText w:val="(%1)"/>
      <w:numFmt w:val="lowerRoman"/>
      <w:start w:val="2"/>
    </w:lvl>
  </w:abstractNum>
  <w:abstractNum w:abstractNumId="35">
    <w:nsid w:val="5551B9F3"/>
    <w:multiLevelType w:val="hybridMultilevel"/>
    <w:lvl w:ilvl="0">
      <w:lvlJc w:val="left"/>
      <w:lvlText w:val="(%1)"/>
      <w:numFmt w:val="lowerRoman"/>
      <w:start w:val="2"/>
    </w:lvl>
  </w:abstractNum>
  <w:abstractNum w:abstractNumId="36">
    <w:nsid w:val="24F6AB8E"/>
    <w:multiLevelType w:val="hybridMultilevel"/>
    <w:lvl w:ilvl="0">
      <w:lvlJc w:val="left"/>
      <w:lvlText w:val="(%1)"/>
      <w:numFmt w:val="lowerLetter"/>
      <w:start w:val="1"/>
    </w:lvl>
  </w:abstractNum>
  <w:abstractNum w:abstractNumId="37">
    <w:nsid w:val="634C574C"/>
    <w:multiLevelType w:val="hybridMultilevel"/>
    <w:lvl w:ilvl="0">
      <w:lvlJc w:val="left"/>
      <w:lvlText w:val="(%1)"/>
      <w:numFmt w:val="lowerLetter"/>
      <w:start w:val="1"/>
    </w:lvl>
  </w:abstractNum>
  <w:abstractNum w:abstractNumId="38">
    <w:nsid w:val="24E99DD7"/>
    <w:multiLevelType w:val="hybridMultilevel"/>
    <w:lvl w:ilvl="0">
      <w:lvlJc w:val="left"/>
      <w:lvlText w:val="(%1)"/>
      <w:numFmt w:val="lowerLetter"/>
      <w:start w:val="4"/>
    </w:lvl>
  </w:abstractNum>
  <w:abstractNum w:abstractNumId="39">
    <w:nsid w:val="2A31B62D"/>
    <w:multiLevelType w:val="hybridMultilevel"/>
    <w:lvl w:ilvl="0">
      <w:lvlJc w:val="left"/>
      <w:lvlText w:val="(%1)"/>
      <w:numFmt w:val="lowerLetter"/>
      <w:start w:val="1"/>
    </w:lvl>
  </w:abstractNum>
  <w:abstractNum w:abstractNumId="40">
    <w:nsid w:val="1849C29B"/>
    <w:multiLevelType w:val="hybridMultilevel"/>
    <w:lvl w:ilvl="0">
      <w:lvlJc w:val="left"/>
      <w:lvlText w:val="(%1)"/>
      <w:numFmt w:val="lowerLetter"/>
      <w:start w:val="2"/>
    </w:lvl>
  </w:abstractNum>
  <w:abstractNum w:abstractNumId="41">
    <w:nsid w:val="7DFF9D09"/>
    <w:multiLevelType w:val="hybridMultilevel"/>
    <w:lvl w:ilvl="0">
      <w:lvlJc w:val="left"/>
      <w:lvlText w:val="(%1)"/>
      <w:numFmt w:val="lowerLetter"/>
      <w:start w:val="1"/>
    </w:lvl>
  </w:abstractNum>
  <w:abstractNum w:abstractNumId="42">
    <w:nsid w:val="754342"/>
    <w:multiLevelType w:val="hybridMultilevel"/>
    <w:lvl w:ilvl="0">
      <w:lvlJc w:val="left"/>
      <w:lvlText w:val="(%1)"/>
      <w:numFmt w:val="lowerLetter"/>
      <w:start w:val="2"/>
    </w:lvl>
  </w:abstractNum>
  <w:abstractNum w:abstractNumId="43">
    <w:nsid w:val="69E7F3E5"/>
    <w:multiLevelType w:val="hybridMultilevel"/>
    <w:lvl w:ilvl="0">
      <w:lvlJc w:val="left"/>
      <w:lvlText w:val="%1"/>
      <w:numFmt w:val="lowerLetter"/>
      <w:start w:val="1"/>
    </w:lvl>
    <w:lvl w:ilvl="1">
      <w:lvlJc w:val="left"/>
      <w:lvlText w:val="(%2)"/>
      <w:numFmt w:val="lowerLetter"/>
      <w:start w:val="5"/>
    </w:lvl>
  </w:abstractNum>
  <w:abstractNum w:abstractNumId="44">
    <w:nsid w:val="2A6DE806"/>
    <w:multiLevelType w:val="hybridMultilevel"/>
    <w:lvl w:ilvl="0">
      <w:lvlJc w:val="left"/>
      <w:lvlText w:val="(%1)"/>
      <w:numFmt w:val="lowerLetter"/>
      <w:start w:val="1"/>
    </w:lvl>
    <w:lvl w:ilvl="1">
      <w:lvlJc w:val="left"/>
      <w:lvlText w:val="(%2)"/>
      <w:numFmt w:val="lowerLetter"/>
      <w:start w:val="6"/>
    </w:lvl>
  </w:abstractNum>
  <w:abstractNum w:abstractNumId="45">
    <w:nsid w:val="1816F8C4"/>
    <w:multiLevelType w:val="hybridMultilevel"/>
    <w:lvl w:ilvl="0">
      <w:lvlJc w:val="left"/>
      <w:lvlText w:val="(%1)"/>
      <w:numFmt w:val="lowerRoman"/>
      <w:start w:val="1"/>
    </w:lvl>
  </w:abstractNum>
  <w:abstractNum w:abstractNumId="46">
    <w:nsid w:val="37DF2233"/>
    <w:multiLevelType w:val="hybridMultilevel"/>
    <w:lvl w:ilvl="0">
      <w:lvlJc w:val="left"/>
      <w:lvlText w:val="(%1)"/>
      <w:numFmt w:val="lowerLetter"/>
      <w:start w:val="8"/>
    </w:lvl>
  </w:abstractNum>
  <w:abstractNum w:abstractNumId="47">
    <w:nsid w:val="7AB49DAF"/>
    <w:multiLevelType w:val="hybridMultilevel"/>
    <w:lvl w:ilvl="0">
      <w:lvlJc w:val="left"/>
      <w:lvlText w:val="(%1)"/>
      <w:numFmt w:val="lowerLetter"/>
      <w:start w:val="12"/>
    </w:lvl>
  </w:abstractNum>
  <w:abstractNum w:abstractNumId="48">
    <w:nsid w:val="759F82CD"/>
    <w:multiLevelType w:val="hybridMultilevel"/>
    <w:lvl w:ilvl="0">
      <w:lvlJc w:val="left"/>
      <w:lvlText w:val="(%1)"/>
      <w:numFmt w:val="lowerRoman"/>
      <w:start w:val="1"/>
    </w:lvl>
  </w:abstractNum>
  <w:abstractNum w:abstractNumId="49">
    <w:nsid w:val="61E74EA3"/>
    <w:multiLevelType w:val="hybridMultilevel"/>
    <w:lvl w:ilvl="0">
      <w:lvlJc w:val="left"/>
      <w:lvlText w:val="(%1)"/>
      <w:numFmt w:val="lowerLetter"/>
      <w:start w:val="2"/>
    </w:lvl>
  </w:abstractNum>
  <w:abstractNum w:abstractNumId="50">
    <w:nsid w:val="597B4D84"/>
    <w:multiLevelType w:val="hybridMultilevel"/>
    <w:lvl w:ilvl="0">
      <w:lvlJc w:val="left"/>
      <w:lvlText w:val="(%1)"/>
      <w:numFmt w:val="lowerLetter"/>
      <w:start w:val="3"/>
    </w:lvl>
  </w:abstractNum>
  <w:abstractNum w:abstractNumId="51">
    <w:nsid w:val="F819E7F"/>
    <w:multiLevelType w:val="hybridMultilevel"/>
    <w:lvl w:ilvl="0">
      <w:lvlJc w:val="left"/>
      <w:lvlText w:val="(%1)"/>
      <w:numFmt w:val="lowerLetter"/>
      <w:start w:val="1"/>
    </w:lvl>
  </w:abstractNum>
  <w:abstractNum w:abstractNumId="52">
    <w:nsid w:val="57C7D42D"/>
    <w:multiLevelType w:val="hybridMultilevel"/>
    <w:lvl w:ilvl="0">
      <w:lvlJc w:val="left"/>
      <w:lvlText w:val="(%1)"/>
      <w:numFmt w:val="lowerLetter"/>
      <w:start w:val="1"/>
    </w:lvl>
  </w:abstractNum>
  <w:abstractNum w:abstractNumId="53">
    <w:nsid w:val="312167AD"/>
    <w:multiLevelType w:val="hybridMultilevel"/>
    <w:lvl w:ilvl="0">
      <w:lvlJc w:val="left"/>
      <w:lvlText w:val="(%1)"/>
      <w:numFmt w:val="lowerLetter"/>
      <w:start w:val="4"/>
    </w:lvl>
  </w:abstractNum>
  <w:abstractNum w:abstractNumId="54">
    <w:nsid w:val="631B64D4"/>
    <w:multiLevelType w:val="hybridMultilevel"/>
    <w:lvl w:ilvl="0">
      <w:lvlJc w:val="left"/>
      <w:lvlText w:val="(%1)"/>
      <w:numFmt w:val="lowerLetter"/>
      <w:start w:val="1"/>
    </w:lvl>
  </w:abstractNum>
  <w:abstractNum w:abstractNumId="55">
    <w:nsid w:val="78B5E776"/>
    <w:multiLevelType w:val="hybridMultilevel"/>
    <w:lvl w:ilvl="0">
      <w:lvlJc w:val="left"/>
      <w:lvlText w:val="(%1)"/>
      <w:numFmt w:val="lowerLetter"/>
      <w:start w:val="1"/>
    </w:lvl>
  </w:abstractNum>
  <w:abstractNum w:abstractNumId="56">
    <w:nsid w:val="75486E47"/>
    <w:multiLevelType w:val="hybridMultilevel"/>
    <w:lvl w:ilvl="0">
      <w:lvlJc w:val="left"/>
      <w:lvlText w:val="(%1)"/>
      <w:numFmt w:val="lowerRoman"/>
      <w:start w:val="1"/>
    </w:lvl>
  </w:abstractNum>
  <w:abstractNum w:abstractNumId="57">
    <w:nsid w:val="6E534CDE"/>
    <w:multiLevelType w:val="hybridMultilevel"/>
    <w:lvl w:ilvl="0">
      <w:lvlJc w:val="left"/>
      <w:lvlText w:val="(%1)"/>
      <w:numFmt w:val="lowerLetter"/>
      <w:start w:val="2"/>
    </w:lvl>
  </w:abstractNum>
  <w:abstractNum w:abstractNumId="58">
    <w:nsid w:val="1A0DDE32"/>
    <w:multiLevelType w:val="hybridMultilevel"/>
    <w:lvl w:ilvl="0">
      <w:lvlJc w:val="left"/>
      <w:lvlText w:val="(%1)"/>
      <w:numFmt w:val="lowerLetter"/>
      <w:start w:val="1"/>
    </w:lvl>
  </w:abstractNum>
  <w:abstractNum w:abstractNumId="59">
    <w:nsid w:val="65968C1C"/>
    <w:multiLevelType w:val="hybridMultilevel"/>
    <w:lvl w:ilvl="0">
      <w:lvlJc w:val="left"/>
      <w:lvlText w:val="(%1)"/>
      <w:numFmt w:val="lowerLetter"/>
      <w:start w:val="1"/>
    </w:lvl>
    <w:lvl w:ilvl="1">
      <w:lvlJc w:val="left"/>
      <w:lvlText w:val="(%2)"/>
      <w:numFmt w:val="lowerRoman"/>
      <w:start w:val="1"/>
    </w:lvl>
  </w:abstractNum>
  <w:abstractNum w:abstractNumId="60">
    <w:nsid w:val="46263DEC"/>
    <w:multiLevelType w:val="hybridMultilevel"/>
    <w:lvl w:ilvl="0">
      <w:lvlJc w:val="left"/>
      <w:lvlText w:val="(%1)"/>
      <w:numFmt w:val="lowerLetter"/>
      <w:start w:val="5"/>
    </w:lvl>
  </w:abstractNum>
  <w:abstractNum w:abstractNumId="61">
    <w:nsid w:val="260D8C4A"/>
    <w:multiLevelType w:val="hybridMultilevel"/>
    <w:lvl w:ilvl="0">
      <w:lvlJc w:val="left"/>
      <w:lvlText w:val="(%1)"/>
      <w:numFmt w:val="lowerLetter"/>
      <w:start w:val="1"/>
    </w:lvl>
    <w:lvl w:ilvl="1">
      <w:lvlJc w:val="left"/>
      <w:lvlText w:val="(%2)"/>
      <w:numFmt w:val="lowerRoman"/>
      <w:start w:val="1"/>
    </w:lvl>
  </w:abstractNum>
  <w:abstractNum w:abstractNumId="62">
    <w:nsid w:val="73D4D3C4"/>
    <w:multiLevelType w:val="hybridMultilevel"/>
    <w:lvl w:ilvl="0">
      <w:lvlJc w:val="left"/>
      <w:lvlText w:val="%1"/>
      <w:numFmt w:val="lowerLetter"/>
      <w:start w:val="1"/>
    </w:lvl>
    <w:lvl w:ilvl="1">
      <w:lvlJc w:val="left"/>
      <w:lvlText w:val="(%2)"/>
      <w:numFmt w:val="lowerRoman"/>
      <w:start w:val="3"/>
    </w:lvl>
  </w:abstractNum>
  <w:abstractNum w:abstractNumId="63">
    <w:nsid w:val="746F2E30"/>
    <w:multiLevelType w:val="hybridMultilevel"/>
    <w:lvl w:ilvl="0">
      <w:lvlJc w:val="left"/>
      <w:lvlText w:val="(%1)"/>
      <w:numFmt w:val="lowerLetter"/>
      <w:start w:val="5"/>
    </w:lvl>
    <w:lvl w:ilvl="1">
      <w:lvlJc w:val="left"/>
      <w:lvlText w:val="%2"/>
      <w:numFmt w:val="lowerRoman"/>
      <w:start w:val="1"/>
    </w:lvl>
  </w:abstractNum>
  <w:abstractNum w:abstractNumId="64">
    <w:nsid w:val="6FDE8AF6"/>
    <w:multiLevelType w:val="hybridMultilevel"/>
    <w:lvl w:ilvl="0">
      <w:lvlJc w:val="left"/>
      <w:lvlText w:val="(%1)"/>
      <w:numFmt w:val="lowerLetter"/>
      <w:start w:val="1"/>
    </w:lvl>
  </w:abstractNum>
  <w:abstractNum w:abstractNumId="65">
    <w:nsid w:val="3FC32E20"/>
    <w:multiLevelType w:val="hybridMultilevel"/>
    <w:lvl w:ilvl="0">
      <w:lvlJc w:val="left"/>
      <w:lvlText w:val="(%1)"/>
      <w:numFmt w:val="lowerLetter"/>
      <w:start w:val="1"/>
    </w:lvl>
  </w:abstractNum>
  <w:abstractNum w:abstractNumId="66">
    <w:nsid w:val="49C0E823"/>
    <w:multiLevelType w:val="hybridMultilevel"/>
    <w:lvl w:ilvl="0">
      <w:lvlJc w:val="left"/>
      <w:lvlText w:val="(%1)"/>
      <w:numFmt w:val="lowerLetter"/>
      <w:start w:val="3"/>
    </w:lvl>
  </w:abstractNum>
  <w:abstractNum w:abstractNumId="67">
    <w:nsid w:val="14D53685"/>
    <w:multiLevelType w:val="hybridMultilevel"/>
    <w:lvl w:ilvl="0">
      <w:lvlJc w:val="left"/>
      <w:lvlText w:val="(%1)"/>
      <w:numFmt w:val="lowerLetter"/>
      <w:start w:val="5"/>
    </w:lvl>
  </w:abstractNum>
  <w:abstractNum w:abstractNumId="68">
    <w:nsid w:val="230F856C"/>
    <w:multiLevelType w:val="hybridMultilevel"/>
    <w:lvl w:ilvl="0">
      <w:lvlJc w:val="left"/>
      <w:lvlText w:val="(%1)"/>
      <w:numFmt w:val="lowerLetter"/>
      <w:start w:val="1"/>
    </w:lvl>
  </w:abstractNum>
  <w:abstractNum w:abstractNumId="69">
    <w:nsid w:val="6EAA85FB"/>
    <w:multiLevelType w:val="hybridMultilevel"/>
    <w:lvl w:ilvl="0">
      <w:lvlJc w:val="left"/>
      <w:lvlText w:val="(%1)"/>
      <w:numFmt w:val="lowerRoman"/>
      <w:start w:val="1"/>
    </w:lvl>
  </w:abstractNum>
  <w:abstractNum w:abstractNumId="70">
    <w:nsid w:val="3F06ECB2"/>
    <w:multiLevelType w:val="hybridMultilevel"/>
    <w:lvl w:ilvl="0">
      <w:lvlJc w:val="left"/>
      <w:lvlText w:val="(%1)"/>
      <w:numFmt w:val="lowerLetter"/>
      <w:start w:val="2"/>
    </w:lvl>
  </w:abstractNum>
  <w:abstractNum w:abstractNumId="71">
    <w:nsid w:val="3B594807"/>
    <w:multiLevelType w:val="hybridMultilevel"/>
    <w:lvl w:ilvl="0">
      <w:lvlJc w:val="left"/>
      <w:lvlText w:val="(%1)"/>
      <w:numFmt w:val="lowerLetter"/>
      <w:start w:val="4"/>
    </w:lvl>
  </w:abstractNum>
  <w:abstractNum w:abstractNumId="72">
    <w:nsid w:val="6CAA2304"/>
    <w:multiLevelType w:val="hybridMultilevel"/>
    <w:lvl w:ilvl="0">
      <w:lvlJc w:val="left"/>
      <w:lvlText w:val="(%1)"/>
      <w:numFmt w:val="lowerLetter"/>
      <w:start w:val="1"/>
    </w:lvl>
  </w:abstractNum>
  <w:abstractNum w:abstractNumId="73">
    <w:nsid w:val="3F7C2FF4"/>
    <w:multiLevelType w:val="hybridMultilevel"/>
    <w:lvl w:ilvl="0">
      <w:lvlJc w:val="left"/>
      <w:lvlText w:val="(%1)"/>
      <w:numFmt w:val="lowerLetter"/>
      <w:start w:val="1"/>
    </w:lvl>
  </w:abstractNum>
  <w:abstractNum w:abstractNumId="74">
    <w:nsid w:val="25413BEC"/>
    <w:multiLevelType w:val="hybridMultilevel"/>
    <w:lvl w:ilvl="0">
      <w:lvlJc w:val="left"/>
      <w:lvlText w:val="(%1)"/>
      <w:numFmt w:val="lowerLetter"/>
      <w:start w:val="1"/>
    </w:lvl>
    <w:lvl w:ilvl="1">
      <w:lvlJc w:val="left"/>
      <w:lvlText w:val="(%2)"/>
      <w:numFmt w:val="lowerRoman"/>
      <w:start w:val="1"/>
    </w:lvl>
  </w:abstractNum>
  <w:abstractNum w:abstractNumId="75">
    <w:nsid w:val="17180B0B"/>
    <w:multiLevelType w:val="hybridMultilevel"/>
    <w:lvl w:ilvl="0">
      <w:lvlJc w:val="left"/>
      <w:lvlText w:val="(%1)"/>
      <w:numFmt w:val="lowerLetter"/>
      <w:start w:val="2"/>
    </w:lvl>
  </w:abstractNum>
  <w:abstractNum w:abstractNumId="76">
    <w:nsid w:val="579328B9"/>
    <w:multiLevelType w:val="hybridMultilevel"/>
    <w:lvl w:ilvl="0">
      <w:lvlJc w:val="left"/>
      <w:lvlText w:val="(%1)"/>
      <w:numFmt w:val="lowerLetter"/>
      <w:start w:val="1"/>
    </w:lvl>
  </w:abstractNum>
  <w:abstractNum w:abstractNumId="77">
    <w:nsid w:val="5D205E20"/>
    <w:multiLevelType w:val="hybridMultilevel"/>
    <w:lvl w:ilvl="0">
      <w:lvlJc w:val="left"/>
      <w:lvlText w:val="(%1)"/>
      <w:numFmt w:val="lowerLetter"/>
      <w:start w:val="1"/>
    </w:lvl>
  </w:abstractNum>
  <w:abstractNum w:abstractNumId="78">
    <w:nsid w:val="11CCA8BA"/>
    <w:multiLevelType w:val="hybridMultilevel"/>
    <w:lvl w:ilvl="0">
      <w:lvlJc w:val="left"/>
      <w:lvlText w:val="(%1)"/>
      <w:numFmt w:val="lowerLetter"/>
      <w:start w:val="1"/>
    </w:lvl>
  </w:abstractNum>
  <w:abstractNum w:abstractNumId="79">
    <w:nsid w:val="4D32AB86"/>
    <w:multiLevelType w:val="hybridMultilevel"/>
    <w:lvl w:ilvl="0">
      <w:lvlJc w:val="left"/>
      <w:lvlText w:val="(%1)"/>
      <w:numFmt w:val="lowerLetter"/>
      <w:start w:val="1"/>
    </w:lvl>
  </w:abstractNum>
  <w:abstractNum w:abstractNumId="80">
    <w:nsid w:val="3F07ACC3"/>
    <w:multiLevelType w:val="hybridMultilevel"/>
    <w:lvl w:ilvl="0">
      <w:lvlJc w:val="left"/>
      <w:lvlText w:val="(%1)"/>
      <w:numFmt w:val="lowerLetter"/>
      <w:start w:val="2"/>
    </w:lvl>
  </w:abstractNum>
  <w:abstractNum w:abstractNumId="81">
    <w:nsid w:val="6B47F63E"/>
    <w:multiLevelType w:val="hybridMultilevel"/>
    <w:lvl w:ilvl="0">
      <w:lvlJc w:val="left"/>
      <w:lvlText w:val="(%1)"/>
      <w:numFmt w:val="lowerLetter"/>
      <w:start w:val="1"/>
    </w:lvl>
    <w:lvl w:ilvl="1">
      <w:lvlJc w:val="left"/>
      <w:lvlText w:val="(%2)"/>
      <w:numFmt w:val="lowerLetter"/>
      <w:start w:val="9"/>
    </w:lvl>
  </w:abstractNum>
  <w:abstractNum w:abstractNumId="82">
    <w:nsid w:val="5CB44A05"/>
    <w:multiLevelType w:val="hybridMultilevel"/>
    <w:lvl w:ilvl="0">
      <w:lvlJc w:val="left"/>
      <w:lvlText w:val="%1"/>
      <w:numFmt w:val="lowerLetter"/>
      <w:start w:val="1"/>
    </w:lvl>
    <w:lvl w:ilvl="1">
      <w:lvlJc w:val="left"/>
      <w:lvlText w:val="(%2)"/>
      <w:numFmt w:val="lowerLetter"/>
      <w:start w:val="35"/>
    </w:lvl>
  </w:abstractNum>
  <w:abstractNum w:abstractNumId="83">
    <w:nsid w:val="16CF80F1"/>
    <w:multiLevelType w:val="hybridMultilevel"/>
    <w:lvl w:ilvl="0">
      <w:lvlJc w:val="left"/>
      <w:lvlText w:val="(%1)"/>
      <w:numFmt w:val="lowerLetter"/>
      <w:start w:val="2"/>
    </w:lvl>
    <w:lvl w:ilvl="1">
      <w:lvlJc w:val="left"/>
      <w:lvlText w:val="%2"/>
      <w:numFmt w:val="lowerLetter"/>
      <w:start w:val="1"/>
    </w:lvl>
  </w:abstractNum>
  <w:abstractNum w:abstractNumId="84">
    <w:nsid w:val="1C695DEC"/>
    <w:multiLevelType w:val="hybridMultilevel"/>
    <w:lvl w:ilvl="0">
      <w:lvlJc w:val="left"/>
      <w:lvlText w:val="(%1)"/>
      <w:numFmt w:val="lowerLetter"/>
      <w:start w:val="1"/>
    </w:lvl>
  </w:abstractNum>
  <w:abstractNum w:abstractNumId="85">
    <w:nsid w:val="3FCFAED9"/>
    <w:multiLevelType w:val="hybridMultilevel"/>
    <w:lvl w:ilvl="0">
      <w:lvlJc w:val="left"/>
      <w:lvlText w:val="(%1)"/>
      <w:numFmt w:val="lowerLetter"/>
      <w:start w:val="3"/>
    </w:lvl>
  </w:abstractNum>
  <w:abstractNum w:abstractNumId="86">
    <w:nsid w:val="F856867"/>
    <w:multiLevelType w:val="hybridMultilevel"/>
    <w:lvl w:ilvl="0">
      <w:lvlJc w:val="left"/>
      <w:lvlText w:val="(%1)"/>
      <w:numFmt w:val="lowerLetter"/>
      <w:start w:val="1"/>
    </w:lvl>
  </w:abstractNum>
  <w:abstractNum w:abstractNumId="87">
    <w:nsid w:val="11B1CC33"/>
    <w:multiLevelType w:val="hybridMultilevel"/>
    <w:lvl w:ilvl="0">
      <w:lvlJc w:val="left"/>
      <w:lvlText w:val="(%1)"/>
      <w:numFmt w:val="lowerLetter"/>
      <w:start w:val="1"/>
    </w:lvl>
  </w:abstractNum>
  <w:abstractNum w:abstractNumId="88">
    <w:nsid w:val="2E22FBB7"/>
    <w:multiLevelType w:val="hybridMultilevel"/>
    <w:lvl w:ilvl="0">
      <w:lvlJc w:val="left"/>
      <w:lvlText w:val="(%1)"/>
      <w:numFmt w:val="lowerLetter"/>
      <w:start w:val="13"/>
    </w:lvl>
  </w:abstractNum>
  <w:abstractNum w:abstractNumId="89">
    <w:nsid w:val="29934699"/>
    <w:multiLevelType w:val="hybridMultilevel"/>
    <w:lvl w:ilvl="0">
      <w:lvlJc w:val="left"/>
      <w:lvlText w:val="(%1)"/>
      <w:numFmt w:val="lowerLetter"/>
      <w:start w:val="1"/>
    </w:lvl>
  </w:abstractNum>
  <w:abstractNum w:abstractNumId="90">
    <w:nsid w:val="77485850"/>
    <w:multiLevelType w:val="hybridMultilevel"/>
    <w:lvl w:ilvl="0">
      <w:lvlJc w:val="left"/>
      <w:lvlText w:val="(%1)"/>
      <w:numFmt w:val="upperLetter"/>
      <w:start w:val="3"/>
    </w:lvl>
    <w:lvl w:ilvl="1">
      <w:lvlJc w:val="left"/>
      <w:lvlText w:val="(%2)"/>
      <w:numFmt w:val="lowerRoman"/>
      <w:start w:val="1"/>
    </w:lvl>
  </w:abstractNum>
  <w:abstractNum w:abstractNumId="91">
    <w:nsid w:val="744939A3"/>
    <w:multiLevelType w:val="hybridMultilevel"/>
    <w:lvl w:ilvl="0">
      <w:lvlJc w:val="left"/>
      <w:lvlText w:val="%1"/>
      <w:numFmt w:val="lowerLetter"/>
      <w:start w:val="1"/>
    </w:lvl>
    <w:lvl w:ilvl="1">
      <w:lvlJc w:val="left"/>
      <w:lvlText w:val="(%2)"/>
      <w:numFmt w:val="lowerLetter"/>
      <w:start w:val="35"/>
    </w:lvl>
  </w:abstractNum>
  <w:abstractNum w:abstractNumId="92">
    <w:nsid w:val="4FA0D2E3"/>
    <w:multiLevelType w:val="hybridMultilevel"/>
    <w:lvl w:ilvl="0">
      <w:lvlJc w:val="left"/>
      <w:lvlText w:val="(%1)"/>
      <w:numFmt w:val="lowerLetter"/>
      <w:start w:val="2"/>
    </w:lvl>
    <w:lvl w:ilvl="1">
      <w:lvlJc w:val="left"/>
      <w:lvlText w:val="%2"/>
      <w:numFmt w:val="lowerLetter"/>
      <w:start w:val="1"/>
    </w:lvl>
  </w:abstractNum>
  <w:abstractNum w:abstractNumId="93">
    <w:nsid w:val="6B1D2C14"/>
    <w:multiLevelType w:val="hybridMultilevel"/>
    <w:lvl w:ilvl="0">
      <w:lvlJc w:val="left"/>
      <w:lvlText w:val="(%1)"/>
      <w:numFmt w:val="lowerLetter"/>
      <w:start w:val="1"/>
    </w:lvl>
  </w:abstractNum>
  <w:abstractNum w:abstractNumId="94">
    <w:nsid w:val="68B867D3"/>
    <w:multiLevelType w:val="hybridMultilevel"/>
    <w:lvl w:ilvl="0">
      <w:lvlJc w:val="left"/>
      <w:lvlText w:val="(%1)"/>
      <w:numFmt w:val="lowerLetter"/>
      <w:start w:val="4"/>
    </w:lvl>
  </w:abstractNum>
  <w:abstractNum w:abstractNumId="95">
    <w:nsid w:val="3F7F5DD9"/>
    <w:multiLevelType w:val="hybridMultilevel"/>
    <w:lvl w:ilvl="0">
      <w:lvlJc w:val="left"/>
      <w:lvlText w:val="(%1)"/>
      <w:numFmt w:val="lowerLetter"/>
      <w:start w:val="1"/>
    </w:lvl>
    <w:lvl w:ilvl="1">
      <w:lvlJc w:val="left"/>
      <w:lvlText w:val="(%2)"/>
      <w:numFmt w:val="lowerRoman"/>
      <w:start w:val="1"/>
    </w:lvl>
  </w:abstractNum>
  <w:abstractNum w:abstractNumId="96">
    <w:nsid w:val="2AE05A34"/>
    <w:multiLevelType w:val="hybridMultilevel"/>
    <w:lvl w:ilvl="0">
      <w:lvlJc w:val="left"/>
      <w:lvlText w:val="(%1)"/>
      <w:numFmt w:val="lowerLetter"/>
      <w:start w:val="2"/>
    </w:lvl>
  </w:abstractNum>
  <w:abstractNum w:abstractNumId="97">
    <w:nsid w:val="32794FF7"/>
    <w:multiLevelType w:val="hybridMultilevel"/>
    <w:lvl w:ilvl="0">
      <w:lvlJc w:val="left"/>
      <w:lvlText w:val="%1"/>
      <w:numFmt w:val="lowerLetter"/>
      <w:start w:val="1"/>
    </w:lvl>
    <w:lvl w:ilvl="1">
      <w:lvlJc w:val="left"/>
      <w:lvlText w:val="(%2)"/>
      <w:numFmt w:val="lowerLetter"/>
      <w:start w:val="1"/>
    </w:lvl>
  </w:abstractNum>
  <w:abstractNum w:abstractNumId="98">
    <w:nsid w:val="5454945E"/>
    <w:multiLevelType w:val="hybridMultilevel"/>
    <w:lvl w:ilvl="0">
      <w:lvlJc w:val="left"/>
      <w:lvlText w:val="(%1)"/>
      <w:numFmt w:val="lowerLetter"/>
      <w:start w:val="3"/>
    </w:lvl>
    <w:lvl w:ilvl="1">
      <w:lvlJc w:val="left"/>
      <w:lvlText w:val="(%2)"/>
      <w:numFmt w:val="lowerLetter"/>
      <w:start w:val="5"/>
    </w:lvl>
  </w:abstractNum>
  <w:abstractNum w:abstractNumId="99">
    <w:nsid w:val="4DEFDFA0"/>
    <w:multiLevelType w:val="hybridMultilevel"/>
    <w:lvl w:ilvl="0">
      <w:lvlJc w:val="left"/>
      <w:lvlText w:val="(%1)"/>
      <w:numFmt w:val="lowerRoman"/>
      <w:start w:val="3"/>
    </w:lvl>
  </w:abstractNum>
  <w:abstractNum w:abstractNumId="100">
    <w:nsid w:val="2123D5F2"/>
    <w:multiLevelType w:val="hybridMultilevel"/>
    <w:lvl w:ilvl="0">
      <w:lvlJc w:val="left"/>
      <w:lvlText w:val="(%1)"/>
      <w:numFmt w:val="lowerLetter"/>
      <w:start w:val="1"/>
    </w:lvl>
  </w:abstractNum>
  <w:abstractNum w:abstractNumId="101">
    <w:nsid w:val="135B8110"/>
    <w:multiLevelType w:val="hybridMultilevel"/>
    <w:lvl w:ilvl="0">
      <w:lvlJc w:val="left"/>
      <w:lvlText w:val="(%1)"/>
      <w:numFmt w:val="lowerLetter"/>
      <w:start w:val="2"/>
    </w:lvl>
  </w:abstractNum>
  <w:abstractNum w:abstractNumId="102">
    <w:nsid w:val="94927A8"/>
    <w:multiLevelType w:val="hybridMultilevel"/>
    <w:lvl w:ilvl="0">
      <w:lvlJc w:val="left"/>
      <w:lvlText w:val="(%1)"/>
      <w:numFmt w:val="lowerLetter"/>
      <w:start w:val="3"/>
    </w:lvl>
  </w:abstractNum>
  <w:abstractNum w:abstractNumId="103">
    <w:nsid w:val="DCDF8F6"/>
    <w:multiLevelType w:val="hybridMultilevel"/>
    <w:lvl w:ilvl="0">
      <w:lvlJc w:val="left"/>
      <w:lvlText w:val="(%1)"/>
      <w:numFmt w:val="lowerLetter"/>
      <w:start w:val="1"/>
    </w:lvl>
  </w:abstractNum>
  <w:abstractNum w:abstractNumId="104">
    <w:nsid w:val="52D7B105"/>
    <w:multiLevelType w:val="hybridMultilevel"/>
    <w:lvl w:ilvl="0">
      <w:lvlJc w:val="left"/>
      <w:lvlText w:val="(%1)"/>
      <w:numFmt w:val="lowerLetter"/>
      <w:start w:val="61"/>
    </w:lvl>
    <w:lvl w:ilvl="1">
      <w:lvlJc w:val="left"/>
      <w:lvlText w:val="(%2)"/>
      <w:numFmt w:val="lowerLetter"/>
      <w:start w:val="3"/>
    </w:lvl>
  </w:abstractNum>
  <w:abstractNum w:abstractNumId="105">
    <w:nsid w:val="2E8A6394"/>
    <w:multiLevelType w:val="hybridMultilevel"/>
    <w:lvl w:ilvl="0">
      <w:lvlJc w:val="left"/>
      <w:lvlText w:val="(%1)"/>
      <w:numFmt w:val="lowerLetter"/>
      <w:start w:val="22"/>
    </w:lvl>
    <w:lvl w:ilvl="1">
      <w:lvlJc w:val="left"/>
      <w:lvlText w:val="%2"/>
      <w:numFmt w:val="lowerLetter"/>
      <w:start w:val="1"/>
    </w:lvl>
  </w:abstractNum>
  <w:abstractNum w:abstractNumId="106">
    <w:nsid w:val="24E60401"/>
    <w:multiLevelType w:val="hybridMultilevel"/>
    <w:lvl w:ilvl="0">
      <w:lvlJc w:val="left"/>
      <w:lvlText w:val="(%1)"/>
      <w:numFmt w:val="lowerLetter"/>
      <w:start w:val="1"/>
    </w:lvl>
  </w:abstractNum>
  <w:abstractNum w:abstractNumId="107">
    <w:nsid w:val="2A6AD9BE"/>
    <w:multiLevelType w:val="hybridMultilevel"/>
    <w:lvl w:ilvl="0">
      <w:lvlJc w:val="left"/>
      <w:lvlText w:val="(%1)"/>
      <w:numFmt w:val="lowerRoman"/>
      <w:start w:val="10"/>
    </w:lvl>
  </w:abstractNum>
  <w:abstractNum w:abstractNumId="108">
    <w:nsid w:val="BAAC1B4"/>
    <w:multiLevelType w:val="hybridMultilevel"/>
    <w:lvl w:ilvl="0">
      <w:lvlJc w:val="left"/>
      <w:lvlText w:val="(%1)"/>
      <w:numFmt w:val="lowerLetter"/>
      <w:start w:val="1"/>
    </w:lvl>
  </w:abstractNum>
  <w:abstractNum w:abstractNumId="109">
    <w:nsid w:val="36B2ACBC"/>
    <w:multiLevelType w:val="hybridMultilevel"/>
    <w:lvl w:ilvl="0">
      <w:lvlJc w:val="left"/>
      <w:lvlText w:val="(%1)"/>
      <w:numFmt w:val="lowerLetter"/>
      <w:start w:val="2"/>
    </w:lvl>
  </w:abstractNum>
  <w:abstractNum w:abstractNumId="110">
    <w:nsid w:val="779D8544"/>
    <w:multiLevelType w:val="hybridMultilevel"/>
    <w:lvl w:ilvl="0">
      <w:lvlJc w:val="left"/>
      <w:lvlText w:val="%1"/>
      <w:numFmt w:val="upperLetter"/>
      <w:start w:val="1"/>
    </w:lvl>
    <w:lvl w:ilvl="1">
      <w:lvlJc w:val="left"/>
      <w:lvlText w:val="(%2)"/>
      <w:numFmt w:val="lowerLetter"/>
      <w:start w:val="1"/>
    </w:lvl>
  </w:abstractNum>
  <w:abstractNum w:abstractNumId="111">
    <w:nsid w:val="4AB26E78"/>
    <w:multiLevelType w:val="hybridMultilevel"/>
    <w:lvl w:ilvl="0">
      <w:lvlJc w:val="left"/>
      <w:lvlText w:val="(%1)"/>
      <w:numFmt w:val="upperLetter"/>
      <w:start w:val="2"/>
    </w:lvl>
    <w:lvl w:ilvl="1">
      <w:lvlJc w:val="left"/>
      <w:lvlText w:val="(%2)"/>
      <w:numFmt w:val="lowerLetter"/>
      <w:start w:val="2"/>
    </w:lvl>
  </w:abstractNum>
  <w:abstractNum w:abstractNumId="112">
    <w:nsid w:val="21FAA2FA"/>
    <w:multiLevelType w:val="hybridMultilevel"/>
    <w:lvl w:ilvl="0">
      <w:lvlJc w:val="left"/>
      <w:lvlText w:val="(%1)"/>
      <w:numFmt w:val="lowerLetter"/>
      <w:start w:val="3"/>
    </w:lvl>
  </w:abstractNum>
  <w:abstractNum w:abstractNumId="113">
    <w:nsid w:val="5451CF49"/>
    <w:multiLevelType w:val="hybridMultilevel"/>
    <w:lvl w:ilvl="0">
      <w:lvlJc w:val="left"/>
      <w:lvlText w:val="(%1)"/>
      <w:numFmt w:val="lowerLetter"/>
      <w:start w:val="1"/>
    </w:lvl>
  </w:abstractNum>
  <w:abstractNum w:abstractNumId="114">
    <w:nsid w:val="6181EF69"/>
    <w:multiLevelType w:val="hybridMultilevel"/>
    <w:lvl w:ilvl="0">
      <w:lvlJc w:val="left"/>
      <w:lvlText w:val="(%1)"/>
      <w:numFmt w:val="lowerRoman"/>
      <w:start w:val="1"/>
    </w:lvl>
  </w:abstractNum>
  <w:abstractNum w:abstractNumId="115">
    <w:nsid w:val="3E6400E6"/>
    <w:multiLevelType w:val="hybridMultilevel"/>
    <w:lvl w:ilvl="0">
      <w:lvlJc w:val="left"/>
      <w:lvlText w:val="(%1)"/>
      <w:numFmt w:val="lowerLetter"/>
      <w:start w:val="2"/>
    </w:lvl>
  </w:abstractNum>
  <w:abstractNum w:abstractNumId="116">
    <w:nsid w:val="14217E23"/>
    <w:multiLevelType w:val="hybridMultilevel"/>
    <w:lvl w:ilvl="0">
      <w:lvlJc w:val="left"/>
      <w:lvlText w:val="(%1)"/>
      <w:numFmt w:val="lowerLetter"/>
      <w:start w:val="2"/>
    </w:lvl>
  </w:abstractNum>
  <w:abstractNum w:abstractNumId="117">
    <w:nsid w:val="710757D0"/>
    <w:multiLevelType w:val="hybridMultilevel"/>
    <w:lvl w:ilvl="0">
      <w:lvlJc w:val="left"/>
      <w:lvlText w:val="(%1)"/>
      <w:numFmt w:val="lowerLetter"/>
      <w:start w:val="1"/>
    </w:lvl>
  </w:abstractNum>
  <w:abstractNum w:abstractNumId="118">
    <w:nsid w:val="5015CD1A"/>
    <w:multiLevelType w:val="hybridMultilevel"/>
    <w:lvl w:ilvl="0">
      <w:lvlJc w:val="left"/>
      <w:lvlText w:val="(%1)"/>
      <w:numFmt w:val="lowerLetter"/>
      <w:start w:val="3"/>
    </w:lvl>
  </w:abstractNum>
  <w:abstractNum w:abstractNumId="119">
    <w:nsid w:val="424479DA"/>
    <w:multiLevelType w:val="hybridMultilevel"/>
    <w:lvl w:ilvl="0">
      <w:lvlJc w:val="left"/>
      <w:lvlText w:val="(%1)"/>
      <w:numFmt w:val="lowerLetter"/>
      <w:start w:val="1"/>
    </w:lvl>
  </w:abstractNum>
  <w:abstractNum w:abstractNumId="120">
    <w:nsid w:val="1A9A9E69"/>
    <w:multiLevelType w:val="hybridMultilevel"/>
    <w:lvl w:ilvl="0">
      <w:lvlJc w:val="left"/>
      <w:lvlText w:val="%1."/>
      <w:numFmt w:val="decimal"/>
      <w:start w:val="1"/>
    </w:lvl>
  </w:abstractNum>
  <w:abstractNum w:abstractNumId="121">
    <w:nsid w:val="475E256A"/>
    <w:multiLevelType w:val="hybridMultilevel"/>
    <w:lvl w:ilvl="0">
      <w:lvlJc w:val="left"/>
      <w:lvlText w:val="["/>
      <w:numFmt w:val="bullet"/>
      <w:start w:val="1"/>
    </w:lvl>
  </w:abstractNum>
  <w:abstractNum w:abstractNumId="122">
    <w:nsid w:val="368DB37E"/>
    <w:multiLevelType w:val="hybridMultilevel"/>
    <w:lvl w:ilvl="0">
      <w:lvlJc w:val="left"/>
      <w:lvlText w:val="["/>
      <w:numFmt w:val="bullet"/>
      <w:start w:val="1"/>
    </w:lvl>
  </w:abstractNum>
  <w:abstractNum w:abstractNumId="123">
    <w:nsid w:val="6A3B714C"/>
    <w:multiLevelType w:val="hybridMultilevel"/>
    <w:lvl w:ilvl="0">
      <w:lvlJc w:val="left"/>
      <w:lvlText w:val="(%1)"/>
      <w:numFmt w:val="lowerLetter"/>
      <w:start w:val="1"/>
    </w:lvl>
  </w:abstractNum>
  <w:abstractNum w:abstractNumId="124">
    <w:nsid w:val="327B517E"/>
    <w:multiLevelType w:val="hybridMultilevel"/>
    <w:lvl w:ilvl="0">
      <w:lvlJc w:val="left"/>
      <w:lvlText w:val="1"/>
      <w:numFmt w:val="bullet"/>
      <w:start w:val="1"/>
    </w:lvl>
  </w:abstractNum>
  <w:abstractNum w:abstractNumId="125">
    <w:nsid w:val="1F461B51"/>
    <w:multiLevelType w:val="hybridMultilevel"/>
    <w:lvl w:ilvl="0">
      <w:lvlJc w:val="left"/>
      <w:lvlText w:val="%1."/>
      <w:numFmt w:val="decimal"/>
      <w:start w:val="2"/>
    </w:lvl>
  </w:abstractNum>
  <w:abstractNum w:abstractNumId="126">
    <w:nsid w:val="29BACF25"/>
    <w:multiLevelType w:val="hybridMultilevel"/>
    <w:lvl w:ilvl="0">
      <w:lvlJc w:val="left"/>
      <w:lvlText w:val="%1."/>
      <w:numFmt w:val="decimal"/>
      <w:start w:val="1"/>
    </w:lvl>
  </w:abstractNum>
  <w:abstractNum w:abstractNumId="127">
    <w:nsid w:val="5D5BABB3"/>
    <w:multiLevelType w:val="hybridMultilevel"/>
    <w:lvl w:ilvl="0">
      <w:lvlJc w:val="left"/>
      <w:lvlText w:val="%1."/>
      <w:numFmt w:val="decimal"/>
      <w:start w:val="3"/>
    </w:lvl>
  </w:abstractNum>
  <w:abstractNum w:abstractNumId="128">
    <w:nsid w:val="51BF6B48"/>
    <w:multiLevelType w:val="hybridMultilevel"/>
    <w:lvl w:ilvl="0">
      <w:lvlJc w:val="left"/>
      <w:lvlText w:val="%1."/>
      <w:numFmt w:val="decimal"/>
      <w:start w:val="5"/>
    </w:lvl>
  </w:abstractNum>
  <w:abstractNum w:abstractNumId="129">
    <w:nsid w:val="7E0F6384"/>
    <w:multiLevelType w:val="hybridMultilevel"/>
    <w:lvl w:ilvl="0">
      <w:lvlJc w:val="left"/>
      <w:lvlText w:val="(%1)"/>
      <w:numFmt w:val="lowerRoman"/>
      <w:start w:val="2"/>
    </w:lvl>
  </w:abstractNum>
  <w:abstractNum w:abstractNumId="130">
    <w:nsid w:val="2B4B8B53"/>
    <w:multiLevelType w:val="hybridMultilevel"/>
    <w:lvl w:ilvl="0">
      <w:lvlJc w:val="left"/>
      <w:lvlText w:val="%1."/>
      <w:numFmt w:val="decimal"/>
      <w:start w:val="1"/>
    </w:lvl>
  </w:abstractNum>
  <w:abstractNum w:abstractNumId="131">
    <w:nsid w:val="72E3413A"/>
    <w:multiLevelType w:val="hybridMultilevel"/>
    <w:lvl w:ilvl="0">
      <w:lvlJc w:val="left"/>
      <w:lvlText w:val="%1."/>
      <w:numFmt w:val="decimal"/>
      <w:start w:val="6"/>
    </w:lvl>
  </w:abstractNum>
  <w:abstractNum w:abstractNumId="132">
    <w:nsid w:val="116AE494"/>
    <w:multiLevelType w:val="hybridMultilevel"/>
    <w:lvl w:ilvl="0">
      <w:lvlJc w:val="left"/>
      <w:lvlText w:val="2"/>
      <w:numFmt w:val="bullet"/>
      <w:start w:val="1"/>
    </w:lvl>
  </w:abstractNum>
  <w:abstractNum w:abstractNumId="133">
    <w:nsid w:val="3494B2FB"/>
    <w:multiLevelType w:val="hybridMultilevel"/>
    <w:lvl w:ilvl="0">
      <w:lvlJc w:val="left"/>
      <w:lvlText w:val="3"/>
      <w:numFmt w:val="bullet"/>
      <w:start w:val="1"/>
    </w:lvl>
  </w:abstractNum>
  <w:abstractNum w:abstractNumId="134">
    <w:nsid w:val="B13A31"/>
    <w:multiLevelType w:val="hybridMultilevel"/>
    <w:lvl w:ilvl="0">
      <w:lvlJc w:val="left"/>
      <w:lvlText w:val="4"/>
      <w:numFmt w:val="bullet"/>
      <w:start w:val="1"/>
    </w:lvl>
  </w:abstractNum>
  <w:abstractNum w:abstractNumId="135">
    <w:nsid w:val="64429599"/>
    <w:multiLevelType w:val="hybridMultilevel"/>
    <w:lvl w:ilvl="0">
      <w:lvlJc w:val="left"/>
      <w:lvlText w:val="%1."/>
      <w:numFmt w:val="decimal"/>
      <w:start w:val="1"/>
    </w:lvl>
  </w:abstractNum>
  <w:abstractNum w:abstractNumId="136">
    <w:nsid w:val="631F1690"/>
    <w:multiLevelType w:val="hybridMultilevel"/>
    <w:lvl w:ilvl="0">
      <w:lvlJc w:val="left"/>
      <w:lvlText w:val="(%1)"/>
      <w:numFmt w:val="lowerRoman"/>
      <w:start w:val="3"/>
    </w:lvl>
    <w:lvl w:ilvl="1">
      <w:lvlJc w:val="left"/>
      <w:lvlText w:val="%2."/>
      <w:numFmt w:val="decimal"/>
      <w:start w:val="2"/>
    </w:lvl>
  </w:abstractNum>
  <w:abstractNum w:abstractNumId="137">
    <w:nsid w:val="25973E32"/>
    <w:multiLevelType w:val="hybridMultilevel"/>
    <w:lvl w:ilvl="0">
      <w:lvlJc w:val="left"/>
      <w:lvlText w:val="%1."/>
      <w:numFmt w:val="decimal"/>
      <w:start w:val="3"/>
    </w:lvl>
  </w:abstractNum>
  <w:abstractNum w:abstractNumId="138">
    <w:nsid w:val="EAD6F57"/>
    <w:multiLevelType w:val="hybridMultilevel"/>
    <w:lvl w:ilvl="0">
      <w:lvlJc w:val="left"/>
      <w:lvlText w:val="(%1)"/>
      <w:numFmt w:val="lowerLetter"/>
      <w:start w:val="2"/>
    </w:lvl>
  </w:abstractNum>
  <w:abstractNum w:abstractNumId="139">
    <w:nsid w:val="6EC9D844"/>
    <w:multiLevelType w:val="hybridMultilevel"/>
    <w:lvl w:ilvl="0">
      <w:lvlJc w:val="left"/>
      <w:lvlText w:val="(%1)"/>
      <w:numFmt w:val="lowerLetter"/>
      <w:start w:val="5"/>
    </w:lvl>
  </w:abstractNum>
  <w:abstractNum w:abstractNumId="140">
    <w:nsid w:val="5C49EAEE"/>
    <w:multiLevelType w:val="hybridMultilevel"/>
    <w:lvl w:ilvl="0">
      <w:lvlJc w:val="left"/>
      <w:lvlText w:val="(%1)"/>
      <w:numFmt w:val="lowerLetter"/>
      <w:start w:val="1"/>
    </w:lvl>
  </w:abstractNum>
  <w:abstractNum w:abstractNumId="141">
    <w:nsid w:val="64AF49B"/>
    <w:multiLevelType w:val="hybridMultilevel"/>
    <w:lvl w:ilvl="0">
      <w:lvlJc w:val="left"/>
      <w:lvlText w:val="(%1)"/>
      <w:numFmt w:val="lowerLetter"/>
      <w:start w:val="1"/>
    </w:lvl>
  </w:abstractNum>
  <w:abstractNum w:abstractNumId="142">
    <w:nsid w:val="397C46BC"/>
    <w:multiLevelType w:val="hybridMultilevel"/>
    <w:lvl w:ilvl="0">
      <w:lvlJc w:val="left"/>
      <w:lvlText w:val="(%1)"/>
      <w:numFmt w:val="lowerLetter"/>
      <w:start w:val="1"/>
    </w:lvl>
  </w:abstractNum>
  <w:abstractNum w:abstractNumId="143">
    <w:nsid w:val="7E448DE9"/>
    <w:multiLevelType w:val="hybridMultilevel"/>
    <w:lvl w:ilvl="0">
      <w:lvlJc w:val="left"/>
      <w:lvlText w:val="%1"/>
      <w:numFmt w:val="lowerRoman"/>
      <w:start w:val="1"/>
    </w:lvl>
    <w:lvl w:ilvl="1">
      <w:lvlJc w:val="left"/>
      <w:lvlText w:val="(%2)"/>
      <w:numFmt w:val="lowerLetter"/>
      <w:start w:val="2"/>
    </w:lvl>
  </w:abstractNum>
  <w:abstractNum w:abstractNumId="144">
    <w:nsid w:val="5A9CC3E5"/>
    <w:multiLevelType w:val="hybridMultilevel"/>
    <w:lvl w:ilvl="0">
      <w:lvlJc w:val="left"/>
      <w:lvlText w:val="(%1)"/>
      <w:numFmt w:val="lowerRoman"/>
      <w:start w:val="2"/>
    </w:lvl>
    <w:lvl w:ilvl="1">
      <w:lvlJc w:val="left"/>
      <w:lvlText w:val="%2"/>
      <w:numFmt w:val="lowerLetter"/>
      <w:start w:val="1"/>
    </w:lvl>
  </w:abstractNum>
  <w:abstractNum w:abstractNumId="145">
    <w:nsid w:val="1AFE3625"/>
    <w:multiLevelType w:val="hybridMultilevel"/>
    <w:lvl w:ilvl="0">
      <w:lvlJc w:val="left"/>
      <w:lvlText w:val="(%1)"/>
      <w:numFmt w:val="lowerLetter"/>
      <w:start w:val="1"/>
    </w:lvl>
  </w:abstractNum>
  <w:abstractNum w:abstractNumId="146">
    <w:nsid w:val="3CA88ECF"/>
    <w:multiLevelType w:val="hybridMultilevel"/>
    <w:lvl w:ilvl="0">
      <w:lvlJc w:val="left"/>
      <w:lvlText w:val="(%1)"/>
      <w:numFmt w:val="lowerLetter"/>
      <w:start w:val="1"/>
    </w:lvl>
  </w:abstractNum>
  <w:abstractNum w:abstractNumId="147">
    <w:nsid w:val="6EBE4208"/>
    <w:multiLevelType w:val="hybridMultilevel"/>
    <w:lvl w:ilvl="0">
      <w:lvlJc w:val="left"/>
      <w:lvlText w:val="(%1)"/>
      <w:numFmt w:val="lowerLetter"/>
      <w:start w:val="1"/>
    </w:lvl>
  </w:abstractNum>
  <w:abstractNum w:abstractNumId="148">
    <w:nsid w:val="C058DF5"/>
    <w:multiLevelType w:val="hybridMultilevel"/>
    <w:lvl w:ilvl="0">
      <w:lvlJc w:val="left"/>
      <w:lvlText w:val="(%1)"/>
      <w:numFmt w:val="lowerLetter"/>
      <w:start w:val="1"/>
    </w:lvl>
  </w:abstractNum>
  <w:abstractNum w:abstractNumId="149">
    <w:nsid w:val="CBE5BE9"/>
    <w:multiLevelType w:val="hybridMultilevel"/>
    <w:lvl w:ilvl="0">
      <w:lvlJc w:val="left"/>
      <w:lvlText w:val="(%1)"/>
      <w:numFmt w:val="lowerLetter"/>
      <w:start w:val="1"/>
    </w:lvl>
  </w:abstractNum>
  <w:abstractNum w:abstractNumId="150">
    <w:nsid w:val="3102BBE2"/>
    <w:multiLevelType w:val="hybridMultilevel"/>
    <w:lvl w:ilvl="0">
      <w:lvlJc w:val="left"/>
      <w:lvlText w:val="(%1)"/>
      <w:numFmt w:val="lowerLetter"/>
      <w:start w:val="1"/>
    </w:lvl>
  </w:abstractNum>
  <w:abstractNum w:abstractNumId="151">
    <w:nsid w:val="26A02C5E"/>
    <w:multiLevelType w:val="hybridMultilevel"/>
    <w:lvl w:ilvl="0">
      <w:lvlJc w:val="left"/>
      <w:lvlText w:val="(%1)"/>
      <w:numFmt w:val="lowerLetter"/>
      <w:start w:val="2"/>
    </w:lvl>
  </w:abstractNum>
  <w:abstractNum w:abstractNumId="152">
    <w:nsid w:val="541C8153"/>
    <w:multiLevelType w:val="hybridMultilevel"/>
    <w:lvl w:ilvl="0">
      <w:lvlJc w:val="left"/>
      <w:lvlText w:val="(%1)"/>
      <w:numFmt w:val="lowerLetter"/>
      <w:start w:val="1"/>
    </w:lvl>
  </w:abstractNum>
  <w:abstractNum w:abstractNumId="153">
    <w:nsid w:val="67906F60"/>
    <w:multiLevelType w:val="hybridMultilevel"/>
    <w:lvl w:ilvl="0">
      <w:lvlJc w:val="left"/>
      <w:lvlText w:val="(%1)"/>
      <w:numFmt w:val="lowerLetter"/>
      <w:start w:val="2"/>
    </w:lvl>
  </w:abstractNum>
  <w:abstractNum w:abstractNumId="154">
    <w:nsid w:val="10DB9DAA"/>
    <w:multiLevelType w:val="hybridMultilevel"/>
    <w:lvl w:ilvl="0">
      <w:lvlJc w:val="left"/>
      <w:lvlText w:val="(%1)"/>
      <w:numFmt w:val="lowerLetter"/>
      <w:start w:val="1"/>
    </w:lvl>
  </w:abstractNum>
  <w:abstractNum w:abstractNumId="155">
    <w:nsid w:val="697D2D2"/>
    <w:multiLevelType w:val="hybridMultilevel"/>
    <w:lvl w:ilvl="0">
      <w:lvlJc w:val="left"/>
      <w:lvlText w:val="(%1)"/>
      <w:numFmt w:val="lowerLetter"/>
      <w:start w:val="1"/>
    </w:lvl>
  </w:abstractNum>
  <w:abstractNum w:abstractNumId="156">
    <w:nsid w:val="6D68AB2"/>
    <w:multiLevelType w:val="hybridMultilevel"/>
    <w:lvl w:ilvl="0">
      <w:lvlJc w:val="left"/>
      <w:lvlText w:val="(%1)"/>
      <w:numFmt w:val="lowerLetter"/>
      <w:start w:val="1"/>
    </w:lvl>
    <w:lvl w:ilvl="1">
      <w:lvlJc w:val="left"/>
      <w:lvlText w:val="(%2)"/>
      <w:numFmt w:val="lowerLetter"/>
      <w:start w:val="9"/>
    </w:lvl>
  </w:abstractNum>
  <w:abstractNum w:abstractNumId="157">
    <w:nsid w:val="3A966CD0"/>
    <w:multiLevelType w:val="hybridMultilevel"/>
    <w:lvl w:ilvl="0">
      <w:lvlJc w:val="left"/>
      <w:lvlText w:val="(%1)"/>
      <w:numFmt w:val="lowerRoman"/>
      <w:start w:val="2"/>
    </w:lvl>
    <w:lvl w:ilvl="1">
      <w:lvlJc w:val="left"/>
      <w:lvlText w:val="(%2)"/>
      <w:numFmt w:val="upperLetter"/>
      <w:start w:val="1"/>
    </w:lvl>
  </w:abstractNum>
  <w:abstractNum w:abstractNumId="158">
    <w:nsid w:val="63F37E85"/>
    <w:multiLevelType w:val="hybridMultilevel"/>
    <w:lvl w:ilvl="0">
      <w:lvlJc w:val="left"/>
      <w:lvlText w:val="%1"/>
      <w:numFmt w:val="lowerLetter"/>
      <w:start w:val="1"/>
    </w:lvl>
    <w:lvl w:ilvl="1">
      <w:lvlJc w:val="left"/>
      <w:lvlText w:val="(%2)"/>
      <w:numFmt w:val="upperLetter"/>
      <w:start w:val="2"/>
    </w:lvl>
  </w:abstractNum>
  <w:abstractNum w:abstractNumId="159">
    <w:nsid w:val="5895F5FA"/>
    <w:multiLevelType w:val="hybridMultilevel"/>
    <w:lvl w:ilvl="0">
      <w:lvlJc w:val="left"/>
      <w:lvlText w:val="(%1)"/>
      <w:numFmt w:val="lowerLetter"/>
      <w:start w:val="2"/>
    </w:lvl>
    <w:lvl w:ilvl="1">
      <w:lvlJc w:val="left"/>
      <w:lvlText w:val="%2"/>
      <w:numFmt w:val="upperLetter"/>
      <w:start w:val="1"/>
    </w:lvl>
  </w:abstractNum>
  <w:abstractNum w:abstractNumId="160">
    <w:nsid w:val="38A5D054"/>
    <w:multiLevelType w:val="hybridMultilevel"/>
    <w:lvl w:ilvl="0">
      <w:lvlJc w:val="left"/>
      <w:lvlText w:val="(%1)"/>
      <w:numFmt w:val="lowerLetter"/>
      <w:start w:val="1"/>
    </w:lvl>
  </w:abstractNum>
  <w:abstractNum w:abstractNumId="161">
    <w:nsid w:val="F3F09D8"/>
    <w:multiLevelType w:val="hybridMultilevel"/>
    <w:lvl w:ilvl="0">
      <w:lvlJc w:val="left"/>
      <w:lvlText w:val="(%1)"/>
      <w:numFmt w:val="lowerLetter"/>
      <w:start w:val="1"/>
    </w:lvl>
  </w:abstractNum>
  <w:abstractNum w:abstractNumId="162">
    <w:nsid w:val="4B793735"/>
    <w:multiLevelType w:val="hybridMultilevel"/>
    <w:lvl w:ilvl="0">
      <w:lvlJc w:val="left"/>
      <w:lvlText w:val="(%1)"/>
      <w:numFmt w:val="lowerLetter"/>
      <w:start w:val="1"/>
    </w:lvl>
  </w:abstractNum>
  <w:abstractNum w:abstractNumId="163">
    <w:nsid w:val="4A10B4E8"/>
    <w:multiLevelType w:val="hybridMultilevel"/>
    <w:lvl w:ilvl="0">
      <w:lvlJc w:val="left"/>
      <w:lvlText w:val="%1"/>
      <w:numFmt w:val="lowerLetter"/>
      <w:start w:val="1"/>
    </w:lvl>
    <w:lvl w:ilvl="1">
      <w:lvlJc w:val="left"/>
      <w:lvlText w:val="(%2)"/>
      <w:numFmt w:val="lowerLetter"/>
      <w:start w:val="9"/>
    </w:lvl>
  </w:abstractNum>
  <w:abstractNum w:abstractNumId="164">
    <w:nsid w:val="43D3BCD4"/>
    <w:multiLevelType w:val="hybridMultilevel"/>
    <w:lvl w:ilvl="0">
      <w:lvlJc w:val="left"/>
      <w:lvlText w:val="(%1)"/>
      <w:numFmt w:val="lowerLetter"/>
      <w:start w:val="4"/>
    </w:lvl>
    <w:lvl w:ilvl="1">
      <w:lvlJc w:val="left"/>
      <w:lvlText w:val="(%2)"/>
      <w:numFmt w:val="lowerLetter"/>
      <w:start w:val="9"/>
    </w:lvl>
  </w:abstractNum>
  <w:abstractNum w:abstractNumId="165">
    <w:nsid w:val="4C2A7166"/>
    <w:multiLevelType w:val="hybridMultilevel"/>
    <w:lvl w:ilvl="0">
      <w:lvlJc w:val="left"/>
      <w:lvlText w:val="(%1)"/>
      <w:numFmt w:val="lowerLetter"/>
      <w:start w:val="1"/>
    </w:lvl>
    <w:lvl w:ilvl="1">
      <w:lvlJc w:val="left"/>
      <w:lvlText w:val="(%2)"/>
      <w:numFmt w:val="lowerRoman"/>
      <w:start w:val="1"/>
    </w:lvl>
  </w:abstractNum>
  <w:abstractNum w:abstractNumId="166">
    <w:nsid w:val="2E534A82"/>
    <w:multiLevelType w:val="hybridMultilevel"/>
    <w:lvl w:ilvl="0">
      <w:lvlJc w:val="left"/>
      <w:lvlText w:val="(%1)"/>
      <w:numFmt w:val="lowerRoman"/>
      <w:start w:val="5"/>
    </w:lvl>
  </w:abstractNum>
  <w:abstractNum w:abstractNumId="167">
    <w:nsid w:val="26F2D36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8">
    <w:nsid w:val="71C1AF98"/>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69">
    <w:nsid w:val="3D00B9D9"/>
    <w:multiLevelType w:val="hybridMultilevel"/>
    <w:lvl w:ilvl="0">
      <w:lvlJc w:val="left"/>
      <w:lvlText w:val="(%1)"/>
      <w:numFmt w:val="lowerLetter"/>
      <w:start w:val="1"/>
    </w:lvl>
  </w:abstractNum>
  <w:abstractNum w:abstractNumId="170">
    <w:nsid w:val="15BCABA8"/>
    <w:multiLevelType w:val="hybridMultilevel"/>
    <w:lvl w:ilvl="0">
      <w:lvlJc w:val="left"/>
      <w:lvlText w:val="(%1)"/>
      <w:numFmt w:val="lowerLetter"/>
      <w:start w:val="2"/>
    </w:lvl>
    <w:lvl w:ilvl="1">
      <w:lvlJc w:val="left"/>
      <w:lvlText w:val="(%2)"/>
      <w:numFmt w:val="lowerRoman"/>
      <w:start w:val="1"/>
    </w:lvl>
  </w:abstractNum>
  <w:abstractNum w:abstractNumId="171">
    <w:nsid w:val="4E0B9A87"/>
    <w:multiLevelType w:val="hybridMultilevel"/>
    <w:lvl w:ilvl="0">
      <w:lvlJc w:val="left"/>
      <w:lvlText w:val="(%1)"/>
      <w:numFmt w:val="lowerLetter"/>
      <w:start w:val="1"/>
    </w:lvl>
  </w:abstractNum>
  <w:abstractNum w:abstractNumId="172">
    <w:nsid w:val="434BAE75"/>
    <w:multiLevelType w:val="hybridMultilevel"/>
    <w:lvl w:ilvl="0">
      <w:lvlJc w:val="left"/>
      <w:lvlText w:val="(%1)"/>
      <w:numFmt w:val="lowerLetter"/>
      <w:start w:val="1"/>
    </w:lvl>
  </w:abstractNum>
  <w:abstractNum w:abstractNumId="173">
    <w:nsid w:val="4F38F265"/>
    <w:multiLevelType w:val="hybridMultilevel"/>
    <w:lvl w:ilvl="0">
      <w:lvlJc w:val="left"/>
      <w:lvlText w:val="%1."/>
      <w:numFmt w:val="decimal"/>
      <w:start w:val="1"/>
    </w:lvl>
    <w:lvl w:ilvl="1">
      <w:lvlJc w:val="left"/>
      <w:lvlText w:val="(%2)"/>
      <w:numFmt w:val="lowerLetter"/>
      <w:start w:val="1"/>
    </w:lvl>
  </w:abstractNum>
  <w:abstractNum w:abstractNumId="174">
    <w:nsid w:val="4C50287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5">
    <w:nsid w:val="1DE8725A"/>
    <w:multiLevelType w:val="hybridMultilevel"/>
    <w:lvl w:ilvl="0">
      <w:lvlJc w:val="left"/>
      <w:lvlText w:val="%1"/>
      <w:numFmt w:val="lowerLetter"/>
      <w:start w:val="1"/>
    </w:lvl>
    <w:lvl w:ilvl="1">
      <w:lvlJc w:val="left"/>
      <w:lvlText w:val="(%2)"/>
      <w:numFmt w:val="lowerLetter"/>
      <w:start w:val="35"/>
    </w:lvl>
  </w:abstractNum>
  <w:abstractNum w:abstractNumId="176">
    <w:nsid w:val="6A37288A"/>
    <w:multiLevelType w:val="hybridMultilevel"/>
    <w:lvl w:ilvl="0">
      <w:lvlJc w:val="left"/>
      <w:lvlText w:val="(%1)"/>
      <w:numFmt w:val="lowerLetter"/>
      <w:start w:val="7"/>
    </w:lvl>
    <w:lvl w:ilvl="1">
      <w:lvlJc w:val="left"/>
      <w:lvlText w:val="(%2)"/>
      <w:numFmt w:val="lowerLetter"/>
      <w:start w:val="9"/>
    </w:lvl>
  </w:abstractNum>
  <w:abstractNum w:abstractNumId="177">
    <w:nsid w:val="8F8B73F"/>
    <w:multiLevelType w:val="hybridMultilevel"/>
    <w:lvl w:ilvl="0">
      <w:lvlJc w:val="left"/>
      <w:lvlText w:val="%1"/>
      <w:numFmt w:val="lowerLetter"/>
      <w:start w:val="1"/>
    </w:lvl>
    <w:lvl w:ilvl="1">
      <w:lvlJc w:val="left"/>
      <w:lvlText w:val="(%2)"/>
      <w:numFmt w:val="lowerLetter"/>
      <w:start w:val="35"/>
    </w:lvl>
  </w:abstractNum>
  <w:abstractNum w:abstractNumId="178">
    <w:nsid w:val="CA6B462"/>
    <w:multiLevelType w:val="hybridMultilevel"/>
    <w:lvl w:ilvl="0">
      <w:lvlJc w:val="left"/>
      <w:lvlText w:val="(%1)"/>
      <w:numFmt w:val="lowerLetter"/>
      <w:start w:val="11"/>
    </w:lvl>
    <w:lvl w:ilvl="1">
      <w:lvlJc w:val="left"/>
      <w:lvlText w:val="%2"/>
      <w:numFmt w:val="lowerLetter"/>
      <w:start w:val="1"/>
    </w:lvl>
  </w:abstractNum>
  <w:abstractNum w:abstractNumId="179">
    <w:nsid w:val="763CB680"/>
    <w:multiLevelType w:val="hybridMultilevel"/>
    <w:lvl w:ilvl="0">
      <w:lvlJc w:val="left"/>
      <w:lvlText w:val="(%1)"/>
      <w:numFmt w:val="lowerLetter"/>
      <w:start w:val="18"/>
    </w:lvl>
    <w:lvl w:ilvl="1">
      <w:lvlJc w:val="left"/>
      <w:lvlText w:val="(%2)"/>
      <w:numFmt w:val="lowerRoman"/>
      <w:start w:val="1"/>
    </w:lvl>
  </w:abstractNum>
  <w:abstractNum w:abstractNumId="180">
    <w:nsid w:val="15B71329"/>
    <w:multiLevelType w:val="hybridMultilevel"/>
    <w:lvl w:ilvl="0">
      <w:lvlJc w:val="left"/>
      <w:lvlText w:val="(%1)"/>
      <w:numFmt w:val="lowerLetter"/>
      <w:start w:val="20"/>
    </w:lvl>
    <w:lvl w:ilvl="1">
      <w:lvlJc w:val="left"/>
      <w:lvlText w:val="(%2)"/>
      <w:numFmt w:val="lowerRoman"/>
      <w:start w:val="1"/>
    </w:lvl>
  </w:abstractNum>
  <w:abstractNum w:abstractNumId="181">
    <w:nsid w:val="3DA97044"/>
    <w:multiLevelType w:val="hybridMultilevel"/>
    <w:lvl w:ilvl="0">
      <w:lvlJc w:val="left"/>
      <w:lvlText w:val="(%1)"/>
      <w:numFmt w:val="lowerLetter"/>
      <w:start w:val="22"/>
    </w:lvl>
    <w:lvl w:ilvl="1">
      <w:lvlJc w:val="left"/>
      <w:lvlText w:val="(%2)"/>
      <w:numFmt w:val="lowerRoman"/>
      <w:start w:val="1"/>
    </w:lvl>
  </w:abstractNum>
  <w:abstractNum w:abstractNumId="182">
    <w:nsid w:val="1CDCE2DE"/>
    <w:multiLevelType w:val="hybridMultilevel"/>
    <w:lvl w:ilvl="0">
      <w:lvlJc w:val="left"/>
      <w:lvlText w:val="(%1)"/>
      <w:numFmt w:val="lowerLetter"/>
      <w:start w:val="27"/>
    </w:lvl>
  </w:abstractNum>
  <w:abstractNum w:abstractNumId="183">
    <w:nsid w:val="69D3947C"/>
    <w:multiLevelType w:val="hybridMultilevel"/>
    <w:lvl w:ilvl="0">
      <w:lvlJc w:val="left"/>
      <w:lvlText w:val="(%1)"/>
      <w:numFmt w:val="lowerLetter"/>
      <w:start w:val="31"/>
    </w:lvl>
    <w:lvl w:ilvl="1">
      <w:lvlJc w:val="left"/>
      <w:lvlText w:val="(%2)"/>
      <w:numFmt w:val="lowerRoman"/>
      <w:start w:val="1"/>
    </w:lvl>
  </w:abstractNum>
  <w:abstractNum w:abstractNumId="184">
    <w:nsid w:val="2539DFA5"/>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85">
    <w:nsid w:val="2DB88089"/>
    <w:multiLevelType w:val="hybridMultilevel"/>
    <w:lvl w:ilvl="0">
      <w:lvlJc w:val="left"/>
      <w:lvlText w:val="(%1)"/>
      <w:numFmt w:val="lowerLetter"/>
      <w:start w:val="37"/>
    </w:lvl>
  </w:abstractNum>
  <w:abstractNum w:abstractNumId="186">
    <w:nsid w:val="706B674E"/>
    <w:multiLevelType w:val="hybridMultilevel"/>
    <w:lvl w:ilvl="0">
      <w:lvlJc w:val="left"/>
      <w:lvlText w:val="(%1)"/>
      <w:numFmt w:val="lowerLetter"/>
      <w:start w:val="38"/>
    </w:lvl>
    <w:lvl w:ilvl="1">
      <w:lvlJc w:val="left"/>
      <w:lvlText w:val="(%2)"/>
      <w:numFmt w:val="lowerRoman"/>
      <w:start w:val="1"/>
    </w:lvl>
  </w:abstractNum>
  <w:abstractNum w:abstractNumId="187">
    <w:nsid w:val="2C106A57"/>
    <w:multiLevelType w:val="hybridMultilevel"/>
    <w:lvl w:ilvl="0">
      <w:lvlJc w:val="left"/>
      <w:lvlText w:val="(%1)"/>
      <w:numFmt w:val="lowerLetter"/>
      <w:start w:val="50"/>
    </w:lvl>
  </w:abstractNum>
  <w:abstractNum w:abstractNumId="188">
    <w:nsid w:val="684EED59"/>
    <w:multiLevelType w:val="hybridMultilevel"/>
    <w:lvl w:ilvl="0">
      <w:lvlJc w:val="left"/>
      <w:lvlText w:val="%1"/>
      <w:numFmt w:val="decimal"/>
      <w:start w:val="1"/>
    </w:lvl>
    <w:lvl w:ilvl="1">
      <w:lvlJc w:val="left"/>
      <w:lvlText w:val="(%2)"/>
      <w:numFmt w:val="lowerLetter"/>
      <w:start w:val="53"/>
    </w:lvl>
    <w:lvl w:ilvl="2">
      <w:lvlJc w:val="left"/>
      <w:lvlText w:val="(%3)"/>
      <w:numFmt w:val="lowerRoman"/>
      <w:start w:val="1"/>
    </w:lvl>
  </w:abstractNum>
  <w:abstractNum w:abstractNumId="189">
    <w:nsid w:val="545EE5D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90">
    <w:nsid w:val="4A6605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1">
    <w:nsid w:val="20F4BDA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2">
    <w:nsid w:val="639DEFAC"/>
    <w:multiLevelType w:val="hybridMultilevel"/>
    <w:lvl w:ilvl="0">
      <w:lvlJc w:val="left"/>
      <w:lvlText w:val="(%1)"/>
      <w:numFmt w:val="lowerLetter"/>
      <w:start w:val="3"/>
    </w:lvl>
  </w:abstractNum>
  <w:abstractNum w:abstractNumId="193">
    <w:nsid w:val="501F978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94">
    <w:nsid w:val="6B05729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95">
    <w:nsid w:val="2771AC80"/>
    <w:multiLevelType w:val="hybridMultilevel"/>
    <w:lvl w:ilvl="0">
      <w:lvlJc w:val="left"/>
      <w:lvlText w:val="(%1)"/>
      <w:numFmt w:val="lowerLetter"/>
      <w:start w:val="1"/>
    </w:lvl>
  </w:abstractNum>
  <w:abstractNum w:abstractNumId="196">
    <w:nsid w:val="1C4A08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197">
    <w:nsid w:val="1958BD17"/>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198">
    <w:nsid w:val="4E647FE4"/>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99">
    <w:nsid w:val="E0BB885"/>
    <w:multiLevelType w:val="hybridMultilevel"/>
    <w:lvl w:ilvl="0">
      <w:lvlJc w:val="left"/>
      <w:lvlText w:val="(%1)"/>
      <w:numFmt w:val="lowerLetter"/>
      <w:start w:val="1"/>
    </w:lvl>
    <w:lvl w:ilvl="1">
      <w:lvlJc w:val="left"/>
      <w:lvlText w:val="(%2)"/>
      <w:numFmt w:val="lowerRoman"/>
      <w:start w:val="1"/>
    </w:lvl>
  </w:abstractNum>
  <w:abstractNum w:abstractNumId="200">
    <w:nsid w:val="565976F1"/>
    <w:multiLevelType w:val="hybridMultilevel"/>
    <w:lvl w:ilvl="0">
      <w:lvlJc w:val="left"/>
      <w:lvlText w:val="(%1)"/>
      <w:numFmt w:val="lowerLetter"/>
      <w:start w:val="2"/>
    </w:lvl>
    <w:lvl w:ilvl="1">
      <w:lvlJc w:val="left"/>
      <w:lvlText w:val="(%2)"/>
      <w:numFmt w:val="lowerRoman"/>
      <w:start w:val="1"/>
    </w:lvl>
  </w:abstractNum>
  <w:abstractNum w:abstractNumId="201">
    <w:nsid w:val="64212B8C"/>
    <w:multiLevelType w:val="hybridMultilevel"/>
    <w:lvl w:ilvl="0">
      <w:lvlJc w:val="left"/>
      <w:lvlText w:val="(%1)"/>
      <w:numFmt w:val="lowerLetter"/>
      <w:start w:val="5"/>
    </w:lvl>
    <w:lvl w:ilvl="1">
      <w:lvlJc w:val="left"/>
      <w:lvlText w:val="(%2)"/>
      <w:numFmt w:val="lowerRoman"/>
      <w:start w:val="1"/>
    </w:lvl>
  </w:abstractNum>
  <w:abstractNum w:abstractNumId="202">
    <w:nsid w:val="5C17530C"/>
    <w:multiLevelType w:val="hybridMultilevel"/>
    <w:lvl w:ilvl="0">
      <w:lvlJc w:val="left"/>
      <w:lvlText w:val="%1"/>
      <w:numFmt w:val="lowerLetter"/>
      <w:start w:val="1"/>
    </w:lvl>
    <w:lvl w:ilvl="1">
      <w:lvlJc w:val="left"/>
      <w:lvlText w:val="(%2)"/>
      <w:numFmt w:val="lowerRoman"/>
      <w:start w:val="7"/>
    </w:lvl>
  </w:abstractNum>
  <w:abstractNum w:abstractNumId="203">
    <w:nsid w:val="19A52566"/>
    <w:multiLevelType w:val="hybridMultilevel"/>
    <w:lvl w:ilvl="0">
      <w:lvlJc w:val="left"/>
      <w:lvlText w:val="(%1)"/>
      <w:numFmt w:val="lowerLetter"/>
      <w:start w:val="8"/>
    </w:lvl>
    <w:lvl w:ilvl="1">
      <w:lvlJc w:val="left"/>
      <w:lvlText w:val="(%2)"/>
      <w:numFmt w:val="lowerRoman"/>
      <w:start w:val="1"/>
    </w:lvl>
  </w:abstractNum>
  <w:abstractNum w:abstractNumId="204">
    <w:nsid w:val="335A1DF1"/>
    <w:multiLevelType w:val="hybridMultilevel"/>
    <w:lvl w:ilvl="0">
      <w:lvlJc w:val="left"/>
      <w:lvlText w:val="(%1)"/>
      <w:numFmt w:val="lowerLetter"/>
      <w:start w:val="11"/>
    </w:lvl>
    <w:lvl w:ilvl="1">
      <w:lvlJc w:val="left"/>
      <w:lvlText w:val="(%2)"/>
      <w:numFmt w:val="lowerRoman"/>
      <w:start w:val="1"/>
    </w:lvl>
  </w:abstractNum>
  <w:abstractNum w:abstractNumId="205">
    <w:nsid w:val="28677B7C"/>
    <w:multiLevelType w:val="hybridMultilevel"/>
    <w:lvl w:ilvl="0">
      <w:lvlJc w:val="left"/>
      <w:lvlText w:val="%1"/>
      <w:numFmt w:val="decimal"/>
      <w:start w:val="1"/>
    </w:lvl>
    <w:lvl w:ilvl="1">
      <w:lvlJc w:val="left"/>
      <w:lvlText w:val="(%2)"/>
      <w:numFmt w:val="lowerLetter"/>
      <w:start w:val="12"/>
    </w:lvl>
  </w:abstractNum>
  <w:abstractNum w:abstractNumId="206">
    <w:nsid w:val="378D97C0"/>
    <w:multiLevelType w:val="hybridMultilevel"/>
    <w:lvl w:ilvl="0">
      <w:lvlJc w:val="left"/>
      <w:lvlText w:val="%1."/>
      <w:numFmt w:val="decimal"/>
      <w:start w:val="9"/>
    </w:lvl>
    <w:lvl w:ilvl="1">
      <w:lvlJc w:val="left"/>
      <w:lvlText w:val="(%2)"/>
      <w:numFmt w:val="lowerLetter"/>
      <w:start w:val="1"/>
    </w:lvl>
  </w:abstractNum>
  <w:abstractNum w:abstractNumId="207">
    <w:nsid w:val="1D91467C"/>
    <w:multiLevelType w:val="hybridMultilevel"/>
    <w:lvl w:ilvl="0">
      <w:lvlJc w:val="left"/>
      <w:lvlText w:val="(%1)"/>
      <w:numFmt w:val="lowerLetter"/>
      <w:start w:val="3"/>
    </w:lvl>
    <w:lvl w:ilvl="1">
      <w:lvlJc w:val="left"/>
      <w:lvlText w:val="(%2)"/>
      <w:numFmt w:val="lowerRoman"/>
      <w:start w:val="1"/>
    </w:lvl>
  </w:abstractNum>
  <w:abstractNum w:abstractNumId="208">
    <w:nsid w:val="316032BB"/>
    <w:multiLevelType w:val="hybridMultilevel"/>
    <w:lvl w:ilvl="0">
      <w:lvlJc w:val="left"/>
      <w:lvlText w:val="%1"/>
      <w:numFmt w:val="decimal"/>
      <w:start w:val="1"/>
    </w:lvl>
    <w:lvl w:ilvl="1">
      <w:lvlJc w:val="left"/>
      <w:lvlText w:val="(%2)"/>
      <w:numFmt w:val="lowerRoman"/>
      <w:start w:val="3"/>
    </w:lvl>
  </w:abstractNum>
  <w:abstractNum w:abstractNumId="209">
    <w:nsid w:val="44344C22"/>
    <w:multiLevelType w:val="hybridMultilevel"/>
    <w:lvl w:ilvl="0">
      <w:lvlJc w:val="left"/>
      <w:lvlText w:val="%1."/>
      <w:numFmt w:val="decimal"/>
      <w:start w:val="10"/>
    </w:lvl>
    <w:lvl w:ilvl="1">
      <w:lvlJc w:val="left"/>
      <w:lvlText w:val="%2"/>
      <w:numFmt w:val="lowerRoman"/>
      <w:start w:val="1"/>
    </w:lvl>
  </w:abstractNum>
  <w:abstractNum w:abstractNumId="210">
    <w:nsid w:val="13CDFCFC"/>
    <w:multiLevelType w:val="hybridMultilevel"/>
    <w:lvl w:ilvl="0">
      <w:lvlJc w:val="left"/>
      <w:lvlText w:val="%1."/>
      <w:numFmt w:val="decimal"/>
      <w:start w:val="11"/>
    </w:lvl>
  </w:abstractNum>
  <w:abstractNum w:abstractNumId="211">
    <w:nsid w:val="471745E4"/>
    <w:multiLevelType w:val="hybridMultilevel"/>
    <w:lvl w:ilvl="0">
      <w:lvlJc w:val="left"/>
      <w:lvlText w:val="%1."/>
      <w:numFmt w:val="decimal"/>
      <w:start w:val="12"/>
    </w:lvl>
  </w:abstractNum>
  <w:abstractNum w:abstractNumId="212">
    <w:nsid w:val="1DDBC66"/>
    <w:multiLevelType w:val="hybridMultilevel"/>
    <w:lvl w:ilvl="0">
      <w:lvlJc w:val="left"/>
      <w:lvlText w:val="(%1)"/>
      <w:numFmt w:val="lowerLetter"/>
      <w:start w:val="1"/>
    </w:lvl>
  </w:abstractNum>
  <w:abstractNum w:abstractNumId="213">
    <w:nsid w:val="30AADFDA"/>
    <w:multiLevelType w:val="hybridMultilevel"/>
    <w:lvl w:ilvl="0">
      <w:lvlJc w:val="left"/>
      <w:lvlText w:val="%1."/>
      <w:numFmt w:val="decimal"/>
      <w:start w:val="13"/>
    </w:lvl>
  </w:abstractNum>
  <w:abstractNum w:abstractNumId="214">
    <w:nsid w:val="30EADA61"/>
    <w:multiLevelType w:val="hybridMultilevel"/>
    <w:lvl w:ilvl="0">
      <w:lvlJc w:val="left"/>
      <w:lvlText w:val="(%1)"/>
      <w:numFmt w:val="lowerRoman"/>
      <w:start w:val="1"/>
    </w:lvl>
  </w:abstractNum>
  <w:abstractNum w:abstractNumId="215">
    <w:nsid w:val="27179C0B"/>
    <w:multiLevelType w:val="hybridMultilevel"/>
    <w:lvl w:ilvl="0">
      <w:lvlJc w:val="left"/>
      <w:lvlText w:val="%1."/>
      <w:numFmt w:val="decimal"/>
      <w:start w:val="14"/>
    </w:lvl>
  </w:abstractNum>
  <w:abstractNum w:abstractNumId="216">
    <w:nsid w:val="5E636063"/>
    <w:multiLevelType w:val="hybridMultilevel"/>
    <w:lvl w:ilvl="0">
      <w:lvlJc w:val="left"/>
      <w:lvlText w:val="%1."/>
      <w:numFmt w:val="decimal"/>
      <w:start w:val="15"/>
    </w:lvl>
  </w:abstractNum>
  <w:abstractNum w:abstractNumId="217">
    <w:nsid w:val="215641AF"/>
    <w:multiLevelType w:val="hybridMultilevel"/>
    <w:lvl w:ilvl="0">
      <w:lvlJc w:val="left"/>
      <w:lvlText w:val="%1."/>
      <w:numFmt w:val="decimal"/>
      <w:start w:val="16"/>
    </w:lvl>
  </w:abstractNum>
  <w:abstractNum w:abstractNumId="218">
    <w:nsid w:val="53280662"/>
    <w:multiLevelType w:val="hybridMultilevel"/>
    <w:lvl w:ilvl="0">
      <w:lvlJc w:val="left"/>
      <w:lvlText w:val="%1."/>
      <w:numFmt w:val="decimal"/>
      <w:start w:val="1"/>
    </w:lvl>
  </w:abstractNum>
  <w:abstractNum w:abstractNumId="219">
    <w:nsid w:val="46B24DBC"/>
    <w:multiLevelType w:val="hybridMultilevel"/>
    <w:lvl w:ilvl="0">
      <w:lvlJc w:val="left"/>
      <w:lvlText w:val="%1."/>
      <w:numFmt w:val="decimal"/>
      <w:start w:val="2"/>
    </w:lvl>
    <w:lvl w:ilvl="1">
      <w:lvlJc w:val="left"/>
      <w:lvlText w:val="(%2)"/>
      <w:numFmt w:val="lowerLetter"/>
      <w:start w:val="1"/>
    </w:lvl>
  </w:abstractNum>
  <w:abstractNum w:abstractNumId="220">
    <w:nsid w:val="75B5278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1">
    <w:nsid w:val="57CE66B4"/>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222">
    <w:nsid w:val="67A70B6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23">
    <w:nsid w:val="5953172F"/>
    <w:multiLevelType w:val="hybridMultilevel"/>
    <w:lvl w:ilvl="0">
      <w:lvlJc w:val="left"/>
      <w:lvlText w:val="(%1)"/>
      <w:numFmt w:val="lowerRoman"/>
      <w:start w:val="3"/>
    </w:lvl>
  </w:abstractNum>
  <w:abstractNum w:abstractNumId="224">
    <w:nsid w:val="27EDFE3A"/>
    <w:multiLevelType w:val="hybridMultilevel"/>
    <w:lvl w:ilvl="0">
      <w:lvlJc w:val="left"/>
      <w:lvlText w:val="(%1)"/>
      <w:numFmt w:val="lowerRoman"/>
      <w:start w:val="7"/>
    </w:lvl>
  </w:abstractNum>
  <w:abstractNum w:abstractNumId="225">
    <w:nsid w:val="52AC7DFF"/>
    <w:multiLevelType w:val="hybridMultilevel"/>
    <w:lvl w:ilvl="0">
      <w:lvlJc w:val="left"/>
      <w:lvlText w:val="(%1)"/>
      <w:numFmt w:val="lowerRoman"/>
      <w:start w:val="13"/>
    </w:lvl>
    <w:lvl w:ilvl="1">
      <w:lvlJc w:val="left"/>
      <w:lvlText w:val="(%2)"/>
      <w:numFmt w:val="upperLetter"/>
      <w:start w:val="1"/>
    </w:lvl>
  </w:abstractNum>
  <w:abstractNum w:abstractNumId="226">
    <w:nsid w:val="C4C3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27">
    <w:nsid w:val="44380727"/>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228">
    <w:nsid w:val="6C053B16"/>
    <w:multiLevelType w:val="hybridMultilevel"/>
    <w:lvl w:ilvl="0">
      <w:lvlJc w:val="left"/>
      <w:lvlText w:val="%1"/>
      <w:numFmt w:val="lowerLetter"/>
      <w:start w:val="1"/>
    </w:lvl>
    <w:lvl w:ilvl="1">
      <w:lvlJc w:val="left"/>
      <w:lvlText w:val="(%2)"/>
      <w:numFmt w:val="lowerRoman"/>
      <w:start w:val="2"/>
    </w:lvl>
  </w:abstractNum>
  <w:abstractNum w:abstractNumId="229">
    <w:nsid w:val="4F294393"/>
    <w:multiLevelType w:val="hybridMultilevel"/>
    <w:lvl w:ilvl="0">
      <w:lvlJc w:val="left"/>
      <w:lvlText w:val="(%1)"/>
      <w:numFmt w:val="lowerLetter"/>
      <w:start w:val="3"/>
    </w:lvl>
    <w:lvl w:ilvl="1">
      <w:lvlJc w:val="left"/>
      <w:lvlText w:val="(%2)"/>
      <w:numFmt w:val="lowerRoman"/>
      <w:start w:val="1"/>
    </w:lvl>
  </w:abstractNum>
  <w:abstractNum w:abstractNumId="230">
    <w:nsid w:val="5243BFAC"/>
    <w:multiLevelType w:val="hybridMultilevel"/>
    <w:lvl w:ilvl="0">
      <w:lvlJc w:val="left"/>
      <w:lvlText w:val="%1."/>
      <w:numFmt w:val="decimal"/>
      <w:start w:val="4"/>
    </w:lvl>
  </w:abstractNum>
  <w:abstractNum w:abstractNumId="231">
    <w:nsid w:val="425EB207"/>
    <w:multiLevelType w:val="hybridMultilevel"/>
    <w:lvl w:ilvl="0">
      <w:lvlJc w:val="left"/>
      <w:lvlText w:val="%1."/>
      <w:numFmt w:val="decimal"/>
      <w:start w:val="5"/>
    </w:lvl>
  </w:abstractNum>
  <w:abstractNum w:abstractNumId="232">
    <w:nsid w:val="334A6F1F"/>
    <w:multiLevelType w:val="hybridMultilevel"/>
    <w:lvl w:ilvl="0">
      <w:lvlJc w:val="left"/>
      <w:lvlText w:val="%1."/>
      <w:numFmt w:val="decimal"/>
      <w:start w:val="6"/>
    </w:lvl>
  </w:abstractNum>
  <w:abstractNum w:abstractNumId="233">
    <w:nsid w:val="2E5B12B8"/>
    <w:multiLevelType w:val="hybridMultilevel"/>
    <w:lvl w:ilvl="0">
      <w:lvlJc w:val="left"/>
      <w:lvlText w:val="%1."/>
      <w:numFmt w:val="decimal"/>
      <w:start w:val="7"/>
    </w:lvl>
  </w:abstractNum>
  <w:abstractNum w:abstractNumId="234">
    <w:nsid w:val="5C03D76D"/>
    <w:multiLevelType w:val="hybridMultilevel"/>
    <w:lvl w:ilvl="0">
      <w:lvlJc w:val="left"/>
      <w:lvlText w:val="%1."/>
      <w:numFmt w:val="decimal"/>
      <w:start w:val="8"/>
    </w:lvl>
  </w:abstractNum>
  <w:abstractNum w:abstractNumId="235">
    <w:nsid w:val="66A48D11"/>
    <w:multiLevelType w:val="hybridMultilevel"/>
    <w:lvl w:ilvl="0">
      <w:lvlJc w:val="left"/>
      <w:lvlText w:val="1"/>
      <w:numFmt w:val="bullet"/>
      <w:start w:val="1"/>
    </w:lvl>
  </w:abstractNum>
  <w:abstractNum w:abstractNumId="236">
    <w:nsid w:val="56C28E34"/>
    <w:multiLevelType w:val="hybridMultilevel"/>
    <w:lvl w:ilvl="0">
      <w:lvlJc w:val="left"/>
      <w:lvlText w:val="%1."/>
      <w:numFmt w:val="decimal"/>
      <w:start w:val="1"/>
    </w:lvl>
    <w:lvl w:ilvl="1">
      <w:lvlJc w:val="left"/>
      <w:lvlText w:val="%2)"/>
      <w:numFmt w:val="lowerLetter"/>
      <w:start w:val="1"/>
    </w:lvl>
  </w:abstractNum>
  <w:abstractNum w:abstractNumId="237">
    <w:nsid w:val="13916F2D"/>
    <w:multiLevelType w:val="hybridMultilevel"/>
    <w:lvl w:ilvl="0">
      <w:lvlJc w:val="left"/>
      <w:lvlText w:val="%1."/>
      <w:numFmt w:val="decimal"/>
      <w:start w:val="1"/>
    </w:lvl>
    <w:lvl w:ilvl="1">
      <w:lvlJc w:val="left"/>
      <w:lvlText w:val="%2)"/>
      <w:numFmt w:val="lowerLetter"/>
      <w:start w:val="1"/>
    </w:lvl>
  </w:abstractNum>
  <w:abstractNum w:abstractNumId="238">
    <w:nsid w:val="435D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2019-12-09T14:30:34Z</dcterms:created>
  <dcterms:modified xsi:type="dcterms:W3CDTF">2019-12-09T14:30:34Z</dcterms:modified>
</cp:coreProperties>
</file>