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9389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938911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520"/>
            <w:col w:w="8740"/>
          </w:cols>
          <w:pgMar w:left="240" w:top="221"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3"/>
            <w:vMerge w:val="restart"/>
          </w:tcPr>
          <w:p>
            <w:pPr>
              <w:spacing w:after="0" w:line="238" w:lineRule="exact"/>
              <w:rPr>
                <w:rFonts w:ascii="Arial" w:cs="Arial" w:eastAsia="Arial" w:hAnsi="Arial"/>
                <w:sz w:val="21"/>
                <w:szCs w:val="21"/>
                <w:color w:val="0000EE"/>
                <w:w w:val="94"/>
              </w:rPr>
            </w:pPr>
            <w:hyperlink r:id="rId12">
              <w:r>
                <w:rPr>
                  <w:rFonts w:ascii="Arial" w:cs="Arial" w:eastAsia="Arial" w:hAnsi="Arial"/>
                  <w:sz w:val="21"/>
                  <w:szCs w:val="21"/>
                  <w:color w:val="0000EE"/>
                  <w:w w:val="94"/>
                </w:rPr>
                <w:t>SMITH LAWRENCE S</w:t>
              </w:r>
            </w:hyperlink>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COMCAST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CMCSA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0" w:type="dxa"/>
            <w:vAlign w:val="bottom"/>
            <w:tcBorders>
              <w:bottom w:val="single" w:sz="8" w:color="0000EE"/>
            </w:tcBorders>
            <w:gridSpan w:val="3"/>
            <w:vMerge w:val="continue"/>
          </w:tcPr>
          <w:p>
            <w:pPr>
              <w:spacing w:after="0"/>
              <w:rPr>
                <w:sz w:val="4"/>
                <w:szCs w:val="4"/>
                <w:color w:val="auto"/>
              </w:rPr>
            </w:pPr>
          </w:p>
        </w:tc>
        <w:tc>
          <w:tcPr>
            <w:tcW w:w="480" w:type="dxa"/>
            <w:vAlign w:val="bottom"/>
            <w:vMerge w:val="restart"/>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gridSpan w:val="3"/>
          </w:tcPr>
          <w:p>
            <w:pPr>
              <w:spacing w:after="0"/>
              <w:rPr>
                <w:sz w:val="3"/>
                <w:szCs w:val="3"/>
                <w:color w:val="auto"/>
              </w:rPr>
            </w:pPr>
          </w:p>
        </w:tc>
        <w:tc>
          <w:tcPr>
            <w:tcW w:w="4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11"/>
                <w:szCs w:val="11"/>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660" w:type="dxa"/>
            <w:vAlign w:val="bottom"/>
          </w:tcPr>
          <w:p>
            <w:pPr>
              <w:ind w:left="160"/>
              <w:spacing w:after="0" w:line="97" w:lineRule="exact"/>
              <w:rPr>
                <w:sz w:val="20"/>
                <w:szCs w:val="20"/>
                <w:color w:val="auto"/>
              </w:rPr>
            </w:pPr>
            <w:r>
              <w:rPr>
                <w:rFonts w:ascii="Arial" w:cs="Arial" w:eastAsia="Arial" w:hAnsi="Arial"/>
                <w:sz w:val="11"/>
                <w:szCs w:val="11"/>
                <w:color w:val="auto"/>
              </w:rPr>
              <w:t>below)</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jc w:val="center"/>
              <w:ind w:left="78"/>
              <w:spacing w:after="0" w:line="97"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line="109" w:lineRule="exact"/>
              <w:rPr>
                <w:sz w:val="20"/>
                <w:szCs w:val="20"/>
                <w:color w:val="auto"/>
              </w:rPr>
            </w:pPr>
            <w:r>
              <w:rPr>
                <w:rFonts w:ascii="Arial" w:cs="Arial" w:eastAsia="Arial" w:hAnsi="Arial"/>
                <w:sz w:val="12"/>
                <w:szCs w:val="12"/>
                <w:color w:val="auto"/>
              </w:rPr>
              <w:t>(Last)</w:t>
            </w:r>
          </w:p>
        </w:tc>
        <w:tc>
          <w:tcPr>
            <w:tcW w:w="1860" w:type="dxa"/>
            <w:vAlign w:val="bottom"/>
            <w:gridSpan w:val="3"/>
          </w:tcPr>
          <w:p>
            <w:pPr>
              <w:ind w:left="660"/>
              <w:spacing w:after="0" w:line="109" w:lineRule="exact"/>
              <w:rPr>
                <w:sz w:val="20"/>
                <w:szCs w:val="20"/>
                <w:color w:val="auto"/>
              </w:rPr>
            </w:pPr>
            <w:r>
              <w:rPr>
                <w:rFonts w:ascii="Arial" w:cs="Arial" w:eastAsia="Arial" w:hAnsi="Arial"/>
                <w:sz w:val="12"/>
                <w:szCs w:val="12"/>
                <w:color w:val="auto"/>
              </w:rPr>
              <w:t>(First)</w:t>
            </w:r>
          </w:p>
        </w:tc>
        <w:tc>
          <w:tcPr>
            <w:tcW w:w="1080" w:type="dxa"/>
            <w:vAlign w:val="bottom"/>
          </w:tcPr>
          <w:p>
            <w:pPr>
              <w:ind w:left="80"/>
              <w:spacing w:after="0" w:line="109" w:lineRule="exact"/>
              <w:rPr>
                <w:sz w:val="20"/>
                <w:szCs w:val="20"/>
                <w:color w:val="auto"/>
              </w:rPr>
            </w:pPr>
            <w:r>
              <w:rPr>
                <w:rFonts w:ascii="Arial" w:cs="Arial" w:eastAsia="Arial" w:hAnsi="Arial"/>
                <w:sz w:val="12"/>
                <w:szCs w:val="12"/>
                <w:color w:val="auto"/>
              </w:rPr>
              <w:t>(Middle)</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2C2C2C"/>
            </w:tcBorders>
          </w:tcPr>
          <w:p>
            <w:pPr>
              <w:spacing w:after="0"/>
              <w:rPr>
                <w:sz w:val="9"/>
                <w:szCs w:val="9"/>
                <w:color w:val="auto"/>
              </w:rPr>
            </w:pPr>
          </w:p>
        </w:tc>
        <w:tc>
          <w:tcPr>
            <w:tcW w:w="30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9"/>
                <w:szCs w:val="9"/>
                <w:color w:val="auto"/>
              </w:rPr>
            </w:pPr>
          </w:p>
        </w:tc>
        <w:tc>
          <w:tcPr>
            <w:tcW w:w="200" w:type="dxa"/>
            <w:vAlign w:val="bottom"/>
            <w:tcBorders>
              <w:top w:val="single" w:sz="8" w:color="2C2C2C"/>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80" w:type="dxa"/>
            <w:vAlign w:val="bottom"/>
            <w:gridSpan w:val="3"/>
            <w:vMerge w:val="restart"/>
          </w:tcPr>
          <w:p>
            <w:pPr>
              <w:ind w:left="40"/>
              <w:spacing w:after="0" w:line="179" w:lineRule="exact"/>
              <w:rPr>
                <w:sz w:val="20"/>
                <w:szCs w:val="20"/>
                <w:color w:val="auto"/>
              </w:rPr>
            </w:pPr>
            <w:r>
              <w:rPr>
                <w:rFonts w:ascii="Arial" w:cs="Arial" w:eastAsia="Arial" w:hAnsi="Arial"/>
                <w:sz w:val="17"/>
                <w:szCs w:val="17"/>
                <w:color w:val="0000FF"/>
              </w:rPr>
              <w:t>EVP &amp; Co-CFO</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80" w:type="dxa"/>
            <w:vAlign w:val="bottom"/>
            <w:gridSpan w:val="4"/>
            <w:vMerge w:val="restart"/>
          </w:tcPr>
          <w:p>
            <w:pPr>
              <w:spacing w:after="0"/>
              <w:rPr>
                <w:sz w:val="20"/>
                <w:szCs w:val="20"/>
                <w:color w:val="auto"/>
              </w:rPr>
            </w:pPr>
            <w:r>
              <w:rPr>
                <w:rFonts w:ascii="Arial" w:cs="Arial" w:eastAsia="Arial" w:hAnsi="Arial"/>
                <w:sz w:val="17"/>
                <w:szCs w:val="17"/>
                <w:color w:val="0000FF"/>
              </w:rPr>
              <w:t>COMCAST CORPORATION</w:t>
            </w: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60" w:type="dxa"/>
            <w:vAlign w:val="bottom"/>
            <w:gridSpan w:val="6"/>
            <w:vMerge w:val="continue"/>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4"/>
            <w:vMerge w:val="continue"/>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5"/>
          </w:tcPr>
          <w:p>
            <w:pPr>
              <w:ind w:left="180"/>
              <w:spacing w:after="0"/>
              <w:rPr>
                <w:sz w:val="20"/>
                <w:szCs w:val="20"/>
                <w:color w:val="auto"/>
              </w:rPr>
            </w:pPr>
            <w:r>
              <w:rPr>
                <w:rFonts w:ascii="Arial" w:cs="Arial" w:eastAsia="Arial" w:hAnsi="Arial"/>
                <w:sz w:val="17"/>
                <w:szCs w:val="17"/>
                <w:color w:val="0000FF"/>
              </w:rPr>
              <w:t>11/07/2005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0000FF"/>
              </w:rPr>
              <w:t>1500 MARKET STREET</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0" w:type="dxa"/>
            <w:vAlign w:val="bottom"/>
            <w:tcBorders>
              <w:bottom w:val="single" w:sz="8" w:color="808080"/>
            </w:tcBorders>
            <w:gridSpan w:val="4"/>
          </w:tcPr>
          <w:p>
            <w:pPr>
              <w:spacing w:after="0"/>
              <w:rPr>
                <w:sz w:val="17"/>
                <w:szCs w:val="17"/>
                <w:color w:val="auto"/>
              </w:rPr>
            </w:pPr>
          </w:p>
        </w:tc>
        <w:tc>
          <w:tcPr>
            <w:tcW w:w="2140" w:type="dxa"/>
            <w:vAlign w:val="bottom"/>
            <w:tcBorders>
              <w:bottom w:val="single" w:sz="8" w:color="808080"/>
            </w:tcBorders>
            <w:gridSpan w:val="3"/>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000" w:type="dxa"/>
            <w:vAlign w:val="bottom"/>
            <w:tcBorders>
              <w:bottom w:val="single" w:sz="8" w:color="808080"/>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74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16"/>
                <w:szCs w:val="16"/>
                <w:color w:val="auto"/>
              </w:rPr>
            </w:pPr>
          </w:p>
        </w:tc>
        <w:tc>
          <w:tcPr>
            <w:tcW w:w="342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0000FF"/>
              </w:rPr>
              <w:t>PHILADELPHIA PA</w:t>
            </w:r>
          </w:p>
        </w:tc>
        <w:tc>
          <w:tcPr>
            <w:tcW w:w="1080" w:type="dxa"/>
            <w:vAlign w:val="bottom"/>
          </w:tcPr>
          <w:p>
            <w:pPr>
              <w:ind w:left="80"/>
              <w:spacing w:after="0"/>
              <w:rPr>
                <w:sz w:val="20"/>
                <w:szCs w:val="20"/>
                <w:color w:val="auto"/>
              </w:rPr>
            </w:pPr>
            <w:r>
              <w:rPr>
                <w:rFonts w:ascii="Arial" w:cs="Arial" w:eastAsia="Arial" w:hAnsi="Arial"/>
                <w:sz w:val="17"/>
                <w:szCs w:val="17"/>
                <w:color w:val="0000FF"/>
              </w:rPr>
              <w:t>19102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7"/>
          </w:tcPr>
          <w:p>
            <w:pPr>
              <w:ind w:left="180"/>
              <w:spacing w:after="0" w:line="124"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080" w:type="dxa"/>
            <w:vAlign w:val="bottom"/>
          </w:tcPr>
          <w:p>
            <w:pPr>
              <w:ind w:left="8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980" w:type="dxa"/>
            <w:vAlign w:val="bottom"/>
            <w:tcBorders>
              <w:top w:val="single" w:sz="8" w:color="2C2C2C"/>
            </w:tcBorders>
            <w:gridSpan w:val="17"/>
          </w:tcPr>
          <w:p>
            <w:pPr>
              <w:jc w:val="right"/>
              <w:ind w:right="14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5"/>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9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gridSpan w:val="2"/>
          </w:tcPr>
          <w:p>
            <w:pPr>
              <w:ind w:left="920"/>
              <w:spacing w:after="0" w:line="126"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0"/>
                <w:szCs w:val="10"/>
                <w:color w:val="auto"/>
              </w:rPr>
            </w:pPr>
          </w:p>
        </w:tc>
        <w:tc>
          <w:tcPr>
            <w:tcW w:w="740" w:type="dxa"/>
            <w:vAlign w:val="bottom"/>
          </w:tcPr>
          <w:p>
            <w:pPr>
              <w:ind w:left="4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20" w:type="dxa"/>
            <w:vAlign w:val="bottom"/>
            <w:gridSpan w:val="6"/>
          </w:tcPr>
          <w:p>
            <w:pPr>
              <w:ind w:left="9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6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40" w:type="dxa"/>
            <w:vAlign w:val="bottom"/>
            <w:gridSpan w:val="3"/>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5"/>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276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6"/>
          </w:tcPr>
          <w:p>
            <w:pPr>
              <w:jc w:val="right"/>
              <w:ind w:right="26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40" w:type="dxa"/>
            <w:vAlign w:val="bottom"/>
            <w:gridSpan w:val="15"/>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2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Derivative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 (A) or</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 of (D)</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4 and 5)</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32.8437</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40" w:type="dxa"/>
            <w:vAlign w:val="bottom"/>
            <w:gridSpan w:val="5"/>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600" w:type="dxa"/>
            <w:vAlign w:val="bottom"/>
          </w:tcPr>
          <w:p>
            <w:pPr>
              <w:spacing w:after="0"/>
              <w:rPr>
                <w:sz w:val="10"/>
                <w:szCs w:val="10"/>
                <w:color w:val="auto"/>
              </w:rPr>
            </w:pPr>
          </w:p>
        </w:tc>
        <w:tc>
          <w:tcPr>
            <w:tcW w:w="520" w:type="dxa"/>
            <w:vAlign w:val="bottom"/>
            <w:vMerge w:val="restart"/>
          </w:tcPr>
          <w:p>
            <w:pPr>
              <w:jc w:val="center"/>
              <w:ind w:right="36"/>
              <w:spacing w:after="0"/>
              <w:rPr>
                <w:sz w:val="20"/>
                <w:szCs w:val="20"/>
                <w:color w:val="auto"/>
              </w:rPr>
            </w:pPr>
            <w:r>
              <w:rPr>
                <w:rFonts w:ascii="Arial" w:cs="Arial" w:eastAsia="Arial" w:hAnsi="Arial"/>
                <w:sz w:val="13"/>
                <w:szCs w:val="13"/>
                <w:color w:val="0000FF"/>
                <w:w w:val="92"/>
              </w:rPr>
              <w:t>3,044</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05/01/2009</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9"/>
              </w:rPr>
              <w:t>3,044</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96,956</w:t>
            </w: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32.8437</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40" w:type="dxa"/>
            <w:vAlign w:val="bottom"/>
            <w:gridSpan w:val="5"/>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600" w:type="dxa"/>
            <w:vAlign w:val="bottom"/>
          </w:tcPr>
          <w:p>
            <w:pPr>
              <w:spacing w:after="0"/>
              <w:rPr>
                <w:sz w:val="10"/>
                <w:szCs w:val="10"/>
                <w:color w:val="auto"/>
              </w:rPr>
            </w:pPr>
          </w:p>
        </w:tc>
        <w:tc>
          <w:tcPr>
            <w:tcW w:w="5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0"/>
              </w:rPr>
              <w:t>53,750</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05/01/2009</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8"/>
              </w:rPr>
              <w:t>53,750</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43,206</w:t>
            </w: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32.8437</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40" w:type="dxa"/>
            <w:vAlign w:val="bottom"/>
            <w:gridSpan w:val="5"/>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600" w:type="dxa"/>
            <w:vAlign w:val="bottom"/>
          </w:tcPr>
          <w:p>
            <w:pPr>
              <w:spacing w:after="0"/>
              <w:rPr>
                <w:sz w:val="10"/>
                <w:szCs w:val="10"/>
                <w:color w:val="auto"/>
              </w:rPr>
            </w:pPr>
          </w:p>
        </w:tc>
        <w:tc>
          <w:tcPr>
            <w:tcW w:w="5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0"/>
              </w:rPr>
              <w:t>43,206</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05/01/2009</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8"/>
              </w:rPr>
              <w:t>43,206</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jc w:val="center"/>
              <w:ind w:left="297"/>
              <w:spacing w:after="0"/>
              <w:rPr>
                <w:sz w:val="20"/>
                <w:szCs w:val="20"/>
                <w:color w:val="auto"/>
              </w:rPr>
            </w:pPr>
            <w:r>
              <w:rPr>
                <w:rFonts w:ascii="Arial" w:cs="Arial" w:eastAsia="Arial" w:hAnsi="Arial"/>
                <w:sz w:val="13"/>
                <w:szCs w:val="13"/>
                <w:color w:val="0000FF"/>
                <w:w w:val="94"/>
              </w:rPr>
              <w:t>0.00</w:t>
            </w:r>
          </w:p>
        </w:tc>
        <w:tc>
          <w:tcPr>
            <w:tcW w:w="340" w:type="dxa"/>
            <w:vAlign w:val="bottom"/>
          </w:tcPr>
          <w:p>
            <w:pPr>
              <w:spacing w:after="0"/>
              <w:rPr>
                <w:sz w:val="10"/>
                <w:szCs w:val="10"/>
                <w:color w:val="auto"/>
              </w:rPr>
            </w:pP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32.8437</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91"/>
              </w:rPr>
              <w:t>A</w:t>
            </w:r>
          </w:p>
        </w:tc>
        <w:tc>
          <w:tcPr>
            <w:tcW w:w="120" w:type="dxa"/>
            <w:vAlign w:val="bottom"/>
            <w:gridSpan w:val="2"/>
          </w:tcPr>
          <w:p>
            <w:pPr>
              <w:jc w:val="right"/>
              <w:spacing w:after="0" w:line="125" w:lineRule="exact"/>
              <w:rPr>
                <w:sz w:val="20"/>
                <w:szCs w:val="20"/>
                <w:color w:val="auto"/>
              </w:rPr>
            </w:pPr>
            <w:r>
              <w:rPr>
                <w:rFonts w:ascii="Arial" w:cs="Arial" w:eastAsia="Arial" w:hAnsi="Arial"/>
                <w:sz w:val="11"/>
                <w:szCs w:val="11"/>
                <w:color w:val="008000"/>
                <w:w w:val="74"/>
              </w:rPr>
              <w:t>(2)</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vMerge w:val="restart"/>
          </w:tcPr>
          <w:p>
            <w:pPr>
              <w:jc w:val="center"/>
              <w:ind w:right="40"/>
              <w:spacing w:after="0"/>
              <w:rPr>
                <w:sz w:val="20"/>
                <w:szCs w:val="20"/>
                <w:color w:val="auto"/>
              </w:rPr>
            </w:pPr>
            <w:r>
              <w:rPr>
                <w:rFonts w:ascii="Arial" w:cs="Arial" w:eastAsia="Arial" w:hAnsi="Arial"/>
                <w:sz w:val="13"/>
                <w:szCs w:val="13"/>
                <w:color w:val="0000FF"/>
                <w:w w:val="92"/>
              </w:rPr>
              <w:t>3,044</w:t>
            </w:r>
          </w:p>
        </w:tc>
        <w:tc>
          <w:tcPr>
            <w:tcW w:w="52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05/01/2009</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05/01/2009</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9"/>
              </w:rPr>
              <w:t>3,044</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3,044</w:t>
            </w: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32.8437</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91"/>
              </w:rPr>
              <w:t>A</w:t>
            </w:r>
          </w:p>
        </w:tc>
        <w:tc>
          <w:tcPr>
            <w:tcW w:w="120" w:type="dxa"/>
            <w:vAlign w:val="bottom"/>
            <w:gridSpan w:val="2"/>
          </w:tcPr>
          <w:p>
            <w:pPr>
              <w:jc w:val="right"/>
              <w:spacing w:after="0" w:line="125" w:lineRule="exact"/>
              <w:rPr>
                <w:sz w:val="20"/>
                <w:szCs w:val="20"/>
                <w:color w:val="auto"/>
              </w:rPr>
            </w:pPr>
            <w:r>
              <w:rPr>
                <w:rFonts w:ascii="Arial" w:cs="Arial" w:eastAsia="Arial" w:hAnsi="Arial"/>
                <w:sz w:val="11"/>
                <w:szCs w:val="11"/>
                <w:color w:val="008000"/>
                <w:w w:val="74"/>
              </w:rPr>
              <w:t>(2)</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vMerge w:val="restart"/>
          </w:tcPr>
          <w:p>
            <w:pPr>
              <w:jc w:val="center"/>
              <w:ind w:right="40"/>
              <w:spacing w:after="0"/>
              <w:rPr>
                <w:sz w:val="20"/>
                <w:szCs w:val="20"/>
                <w:color w:val="auto"/>
              </w:rPr>
            </w:pPr>
            <w:r>
              <w:rPr>
                <w:rFonts w:ascii="Arial" w:cs="Arial" w:eastAsia="Arial" w:hAnsi="Arial"/>
                <w:sz w:val="13"/>
                <w:szCs w:val="13"/>
                <w:color w:val="0000FF"/>
                <w:w w:val="85"/>
              </w:rPr>
              <w:t>53,750</w:t>
            </w:r>
          </w:p>
        </w:tc>
        <w:tc>
          <w:tcPr>
            <w:tcW w:w="52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05/01/2009</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05/01/2009</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8"/>
              </w:rPr>
              <w:t>53,750</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56,794</w:t>
            </w: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32.8437</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91"/>
              </w:rPr>
              <w:t>A</w:t>
            </w:r>
          </w:p>
        </w:tc>
        <w:tc>
          <w:tcPr>
            <w:tcW w:w="120" w:type="dxa"/>
            <w:vAlign w:val="bottom"/>
            <w:gridSpan w:val="2"/>
          </w:tcPr>
          <w:p>
            <w:pPr>
              <w:jc w:val="right"/>
              <w:spacing w:after="0" w:line="125" w:lineRule="exact"/>
              <w:rPr>
                <w:sz w:val="20"/>
                <w:szCs w:val="20"/>
                <w:color w:val="auto"/>
              </w:rPr>
            </w:pPr>
            <w:r>
              <w:rPr>
                <w:rFonts w:ascii="Arial" w:cs="Arial" w:eastAsia="Arial" w:hAnsi="Arial"/>
                <w:sz w:val="11"/>
                <w:szCs w:val="11"/>
                <w:color w:val="008000"/>
                <w:w w:val="74"/>
              </w:rPr>
              <w:t>(2)</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vMerge w:val="restart"/>
          </w:tcPr>
          <w:p>
            <w:pPr>
              <w:jc w:val="center"/>
              <w:ind w:right="40"/>
              <w:spacing w:after="0"/>
              <w:rPr>
                <w:sz w:val="20"/>
                <w:szCs w:val="20"/>
                <w:color w:val="auto"/>
              </w:rPr>
            </w:pPr>
            <w:r>
              <w:rPr>
                <w:rFonts w:ascii="Arial" w:cs="Arial" w:eastAsia="Arial" w:hAnsi="Arial"/>
                <w:sz w:val="13"/>
                <w:szCs w:val="13"/>
                <w:color w:val="0000FF"/>
                <w:w w:val="85"/>
              </w:rPr>
              <w:t>43,206</w:t>
            </w:r>
          </w:p>
        </w:tc>
        <w:tc>
          <w:tcPr>
            <w:tcW w:w="52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05/01/2009</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05/01/2009</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8"/>
              </w:rPr>
              <w:t>43,206</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100,000</w:t>
            </w: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37.5625</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40" w:type="dxa"/>
            <w:vAlign w:val="bottom"/>
            <w:gridSpan w:val="5"/>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(3)</w:t>
            </w:r>
          </w:p>
        </w:tc>
        <w:tc>
          <w:tcPr>
            <w:tcW w:w="600" w:type="dxa"/>
            <w:vAlign w:val="bottom"/>
          </w:tcPr>
          <w:p>
            <w:pPr>
              <w:spacing w:after="0"/>
              <w:rPr>
                <w:sz w:val="10"/>
                <w:szCs w:val="10"/>
                <w:color w:val="auto"/>
              </w:rPr>
            </w:pPr>
          </w:p>
        </w:tc>
        <w:tc>
          <w:tcPr>
            <w:tcW w:w="520" w:type="dxa"/>
            <w:vAlign w:val="bottom"/>
            <w:vMerge w:val="restart"/>
          </w:tcPr>
          <w:p>
            <w:pPr>
              <w:jc w:val="center"/>
              <w:ind w:right="36"/>
              <w:spacing w:after="0"/>
              <w:rPr>
                <w:sz w:val="20"/>
                <w:szCs w:val="20"/>
                <w:color w:val="auto"/>
              </w:rPr>
            </w:pPr>
            <w:r>
              <w:rPr>
                <w:rFonts w:ascii="Arial" w:cs="Arial" w:eastAsia="Arial" w:hAnsi="Arial"/>
                <w:sz w:val="13"/>
                <w:szCs w:val="13"/>
                <w:color w:val="0000FF"/>
                <w:w w:val="92"/>
              </w:rPr>
              <w:t>2,662</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06/01/2010</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9"/>
              </w:rPr>
              <w:t>2,662</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797,338</w:t>
            </w: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37.5625</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40" w:type="dxa"/>
            <w:vAlign w:val="bottom"/>
            <w:gridSpan w:val="5"/>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(3)</w:t>
            </w:r>
          </w:p>
        </w:tc>
        <w:tc>
          <w:tcPr>
            <w:tcW w:w="600" w:type="dxa"/>
            <w:vAlign w:val="bottom"/>
          </w:tcPr>
          <w:p>
            <w:pPr>
              <w:spacing w:after="0"/>
              <w:rPr>
                <w:sz w:val="10"/>
                <w:szCs w:val="10"/>
                <w:color w:val="auto"/>
              </w:rPr>
            </w:pPr>
          </w:p>
        </w:tc>
        <w:tc>
          <w:tcPr>
            <w:tcW w:w="520" w:type="dxa"/>
            <w:vAlign w:val="bottom"/>
            <w:vMerge w:val="restart"/>
          </w:tcPr>
          <w:p>
            <w:pPr>
              <w:jc w:val="center"/>
              <w:ind w:right="36"/>
              <w:spacing w:after="0"/>
              <w:rPr>
                <w:sz w:val="20"/>
                <w:szCs w:val="20"/>
                <w:color w:val="auto"/>
              </w:rPr>
            </w:pPr>
            <w:r>
              <w:rPr>
                <w:rFonts w:ascii="Arial" w:cs="Arial" w:eastAsia="Arial" w:hAnsi="Arial"/>
                <w:sz w:val="13"/>
                <w:szCs w:val="13"/>
                <w:color w:val="0000FF"/>
                <w:w w:val="89"/>
              </w:rPr>
              <w:t>797,338</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06/01/2010</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7"/>
              </w:rPr>
              <w:t>797,338</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jc w:val="center"/>
              <w:ind w:left="297"/>
              <w:spacing w:after="0"/>
              <w:rPr>
                <w:sz w:val="20"/>
                <w:szCs w:val="20"/>
                <w:color w:val="auto"/>
              </w:rPr>
            </w:pPr>
            <w:r>
              <w:rPr>
                <w:rFonts w:ascii="Arial" w:cs="Arial" w:eastAsia="Arial" w:hAnsi="Arial"/>
                <w:sz w:val="13"/>
                <w:szCs w:val="13"/>
                <w:color w:val="0000FF"/>
                <w:w w:val="94"/>
              </w:rPr>
              <w:t>0.00</w:t>
            </w:r>
          </w:p>
        </w:tc>
        <w:tc>
          <w:tcPr>
            <w:tcW w:w="340" w:type="dxa"/>
            <w:vAlign w:val="bottom"/>
          </w:tcPr>
          <w:p>
            <w:pPr>
              <w:spacing w:after="0"/>
              <w:rPr>
                <w:sz w:val="10"/>
                <w:szCs w:val="10"/>
                <w:color w:val="auto"/>
              </w:rPr>
            </w:pP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37.5625</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91"/>
              </w:rPr>
              <w:t>A</w:t>
            </w:r>
          </w:p>
        </w:tc>
        <w:tc>
          <w:tcPr>
            <w:tcW w:w="120" w:type="dxa"/>
            <w:vAlign w:val="bottom"/>
            <w:gridSpan w:val="2"/>
          </w:tcPr>
          <w:p>
            <w:pPr>
              <w:jc w:val="right"/>
              <w:spacing w:after="0" w:line="125" w:lineRule="exact"/>
              <w:rPr>
                <w:sz w:val="20"/>
                <w:szCs w:val="20"/>
                <w:color w:val="auto"/>
              </w:rPr>
            </w:pPr>
            <w:r>
              <w:rPr>
                <w:rFonts w:ascii="Arial" w:cs="Arial" w:eastAsia="Arial" w:hAnsi="Arial"/>
                <w:sz w:val="11"/>
                <w:szCs w:val="11"/>
                <w:color w:val="008000"/>
                <w:w w:val="74"/>
              </w:rPr>
              <w:t>(3)</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vMerge w:val="restart"/>
          </w:tcPr>
          <w:p>
            <w:pPr>
              <w:jc w:val="center"/>
              <w:ind w:right="40"/>
              <w:spacing w:after="0"/>
              <w:rPr>
                <w:sz w:val="20"/>
                <w:szCs w:val="20"/>
                <w:color w:val="auto"/>
              </w:rPr>
            </w:pPr>
            <w:r>
              <w:rPr>
                <w:rFonts w:ascii="Arial" w:cs="Arial" w:eastAsia="Arial" w:hAnsi="Arial"/>
                <w:sz w:val="13"/>
                <w:szCs w:val="13"/>
                <w:color w:val="0000FF"/>
                <w:w w:val="92"/>
              </w:rPr>
              <w:t>2,662</w:t>
            </w:r>
          </w:p>
        </w:tc>
        <w:tc>
          <w:tcPr>
            <w:tcW w:w="52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06/01/2010</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06/01/2010</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9"/>
              </w:rPr>
              <w:t>2,662</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2,662</w:t>
            </w: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37.5625</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91"/>
              </w:rPr>
              <w:t>A</w:t>
            </w:r>
          </w:p>
        </w:tc>
        <w:tc>
          <w:tcPr>
            <w:tcW w:w="120" w:type="dxa"/>
            <w:vAlign w:val="bottom"/>
            <w:gridSpan w:val="2"/>
          </w:tcPr>
          <w:p>
            <w:pPr>
              <w:jc w:val="right"/>
              <w:spacing w:after="0" w:line="125" w:lineRule="exact"/>
              <w:rPr>
                <w:sz w:val="20"/>
                <w:szCs w:val="20"/>
                <w:color w:val="auto"/>
              </w:rPr>
            </w:pPr>
            <w:r>
              <w:rPr>
                <w:rFonts w:ascii="Arial" w:cs="Arial" w:eastAsia="Arial" w:hAnsi="Arial"/>
                <w:sz w:val="11"/>
                <w:szCs w:val="11"/>
                <w:color w:val="008000"/>
                <w:w w:val="74"/>
              </w:rPr>
              <w:t>(3)</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vMerge w:val="restart"/>
          </w:tcPr>
          <w:p>
            <w:pPr>
              <w:jc w:val="center"/>
              <w:ind w:right="40"/>
              <w:spacing w:after="0"/>
              <w:rPr>
                <w:sz w:val="20"/>
                <w:szCs w:val="20"/>
                <w:color w:val="auto"/>
              </w:rPr>
            </w:pPr>
            <w:r>
              <w:rPr>
                <w:rFonts w:ascii="Arial" w:cs="Arial" w:eastAsia="Arial" w:hAnsi="Arial"/>
                <w:sz w:val="13"/>
                <w:szCs w:val="13"/>
                <w:color w:val="0000FF"/>
                <w:w w:val="89"/>
              </w:rPr>
              <w:t>797,338</w:t>
            </w:r>
          </w:p>
        </w:tc>
        <w:tc>
          <w:tcPr>
            <w:tcW w:w="520" w:type="dxa"/>
            <w:vAlign w:val="bottom"/>
          </w:tcPr>
          <w:p>
            <w:pPr>
              <w:spacing w:after="0"/>
              <w:rPr>
                <w:sz w:val="10"/>
                <w:szCs w:val="10"/>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06/01/2010</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06/01/2010</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7"/>
              </w:rPr>
              <w:t>797,338</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800,000</w:t>
            </w: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36.97</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40" w:type="dxa"/>
            <w:vAlign w:val="bottom"/>
            <w:gridSpan w:val="5"/>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600" w:type="dxa"/>
            <w:vAlign w:val="bottom"/>
          </w:tcPr>
          <w:p>
            <w:pPr>
              <w:spacing w:after="0"/>
              <w:rPr>
                <w:sz w:val="10"/>
                <w:szCs w:val="10"/>
                <w:color w:val="auto"/>
              </w:rPr>
            </w:pPr>
          </w:p>
        </w:tc>
        <w:tc>
          <w:tcPr>
            <w:tcW w:w="520" w:type="dxa"/>
            <w:vAlign w:val="bottom"/>
            <w:vMerge w:val="restart"/>
          </w:tcPr>
          <w:p>
            <w:pPr>
              <w:jc w:val="center"/>
              <w:ind w:right="36"/>
              <w:spacing w:after="0"/>
              <w:rPr>
                <w:sz w:val="20"/>
                <w:szCs w:val="20"/>
                <w:color w:val="auto"/>
              </w:rPr>
            </w:pPr>
            <w:r>
              <w:rPr>
                <w:rFonts w:ascii="Arial" w:cs="Arial" w:eastAsia="Arial" w:hAnsi="Arial"/>
                <w:sz w:val="13"/>
                <w:szCs w:val="13"/>
                <w:color w:val="0000FF"/>
                <w:w w:val="92"/>
              </w:rPr>
              <w:t>5,408</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07/29/2011</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9"/>
              </w:rPr>
              <w:t>5,408</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244,592</w:t>
            </w: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36.97</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40" w:type="dxa"/>
            <w:vAlign w:val="bottom"/>
            <w:gridSpan w:val="5"/>
            <w:vMerge w:val="restart"/>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600" w:type="dxa"/>
            <w:vAlign w:val="bottom"/>
          </w:tcPr>
          <w:p>
            <w:pPr>
              <w:spacing w:after="0"/>
              <w:rPr>
                <w:sz w:val="10"/>
                <w:szCs w:val="10"/>
                <w:color w:val="auto"/>
              </w:rPr>
            </w:pPr>
          </w:p>
        </w:tc>
        <w:tc>
          <w:tcPr>
            <w:tcW w:w="520" w:type="dxa"/>
            <w:vAlign w:val="bottom"/>
            <w:vMerge w:val="restart"/>
          </w:tcPr>
          <w:p>
            <w:pPr>
              <w:jc w:val="center"/>
              <w:ind w:right="36"/>
              <w:spacing w:after="0"/>
              <w:rPr>
                <w:sz w:val="20"/>
                <w:szCs w:val="20"/>
                <w:color w:val="auto"/>
              </w:rPr>
            </w:pPr>
            <w:r>
              <w:rPr>
                <w:rFonts w:ascii="Arial" w:cs="Arial" w:eastAsia="Arial" w:hAnsi="Arial"/>
                <w:sz w:val="13"/>
                <w:szCs w:val="13"/>
                <w:color w:val="0000FF"/>
                <w:w w:val="89"/>
              </w:rPr>
              <w:t>244,592</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07/29/2011</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gridSpan w:val="2"/>
            <w:vMerge w:val="restart"/>
          </w:tcPr>
          <w:p>
            <w:pPr>
              <w:jc w:val="center"/>
              <w:ind w:right="8"/>
              <w:spacing w:after="0"/>
              <w:rPr>
                <w:sz w:val="20"/>
                <w:szCs w:val="20"/>
                <w:color w:val="auto"/>
              </w:rPr>
            </w:pPr>
            <w:r>
              <w:rPr>
                <w:rFonts w:ascii="Arial" w:cs="Arial" w:eastAsia="Arial" w:hAnsi="Arial"/>
                <w:sz w:val="17"/>
                <w:szCs w:val="17"/>
                <w:color w:val="0000FF"/>
                <w:w w:val="87"/>
              </w:rPr>
              <w:t>244,592</w:t>
            </w:r>
          </w:p>
        </w:tc>
        <w:tc>
          <w:tcPr>
            <w:tcW w:w="20" w:type="dxa"/>
            <w:vAlign w:val="bottom"/>
          </w:tcPr>
          <w:p>
            <w:pPr>
              <w:spacing w:after="0"/>
              <w:rPr>
                <w:sz w:val="10"/>
                <w:szCs w:val="10"/>
                <w:color w:val="auto"/>
              </w:rPr>
            </w:pPr>
          </w:p>
        </w:tc>
        <w:tc>
          <w:tcPr>
            <w:tcW w:w="6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jc w:val="center"/>
              <w:ind w:left="297"/>
              <w:spacing w:after="0"/>
              <w:rPr>
                <w:sz w:val="20"/>
                <w:szCs w:val="20"/>
                <w:color w:val="auto"/>
              </w:rPr>
            </w:pPr>
            <w:r>
              <w:rPr>
                <w:rFonts w:ascii="Arial" w:cs="Arial" w:eastAsia="Arial" w:hAnsi="Arial"/>
                <w:sz w:val="13"/>
                <w:szCs w:val="13"/>
                <w:color w:val="0000FF"/>
                <w:w w:val="94"/>
              </w:rPr>
              <w:t>0.00</w:t>
            </w:r>
          </w:p>
        </w:tc>
        <w:tc>
          <w:tcPr>
            <w:tcW w:w="340" w:type="dxa"/>
            <w:vAlign w:val="bottom"/>
          </w:tcPr>
          <w:p>
            <w:pPr>
              <w:spacing w:after="0"/>
              <w:rPr>
                <w:sz w:val="10"/>
                <w:szCs w:val="10"/>
                <w:color w:val="auto"/>
              </w:rPr>
            </w:pPr>
          </w:p>
        </w:tc>
        <w:tc>
          <w:tcPr>
            <w:tcW w:w="640" w:type="dxa"/>
            <w:vAlign w:val="bottom"/>
            <w:vMerge w:val="restart"/>
          </w:tcPr>
          <w:p>
            <w:pPr>
              <w:jc w:val="center"/>
              <w:ind w:left="3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3"/>
          </w:tcPr>
          <w:p>
            <w:pPr>
              <w:ind w:left="60"/>
              <w:spacing w:after="0" w:line="169" w:lineRule="exact"/>
              <w:rPr>
                <w:sz w:val="20"/>
                <w:szCs w:val="20"/>
                <w:color w:val="auto"/>
              </w:rPr>
            </w:pPr>
            <w:r>
              <w:rPr>
                <w:rFonts w:ascii="Arial" w:cs="Arial" w:eastAsia="Arial" w:hAnsi="Arial"/>
                <w:sz w:val="12"/>
                <w:szCs w:val="12"/>
                <w:color w:val="0000FF"/>
                <w:w w:val="96"/>
              </w:rPr>
              <w:t>Purchase</w:t>
            </w:r>
            <w:r>
              <w:rPr>
                <w:rFonts w:ascii="Arial" w:cs="Arial" w:eastAsia="Arial" w:hAnsi="Arial"/>
                <w:sz w:val="19"/>
                <w:szCs w:val="19"/>
                <w:color w:val="008000"/>
                <w:w w:val="96"/>
                <w:vertAlign w:val="superscript"/>
              </w:rPr>
              <w:t>(1)</w:t>
            </w:r>
          </w:p>
        </w:tc>
        <w:tc>
          <w:tcPr>
            <w:tcW w:w="7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7280"/>
        <w:spacing w:after="0"/>
        <w:rPr>
          <w:sz w:val="20"/>
          <w:szCs w:val="20"/>
          <w:color w:val="auto"/>
        </w:rPr>
      </w:pPr>
      <w:r>
        <w:rPr>
          <w:rFonts w:ascii="Arial" w:cs="Arial" w:eastAsia="Arial" w:hAnsi="Arial"/>
          <w:sz w:val="13"/>
          <w:szCs w:val="13"/>
          <w:color w:val="0000FF"/>
        </w:rPr>
        <w:t>Stock</w:t>
      </w:r>
    </w:p>
    <w:p>
      <w:pPr>
        <w:sectPr>
          <w:pgSz w:w="11900" w:h="16838" w:orient="portrait"/>
          <w:cols w:equalWidth="0" w:num="1">
            <w:col w:w="11520"/>
          </w:cols>
          <w:pgMar w:left="240" w:top="221"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325995" cy="698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5995" cy="698690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48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48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36.97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91"/>
              </w:rPr>
              <w:t>A</w:t>
            </w:r>
          </w:p>
        </w:tc>
        <w:tc>
          <w:tcPr>
            <w:tcW w:w="600" w:type="dxa"/>
            <w:vAlign w:val="bottom"/>
          </w:tcPr>
          <w:p>
            <w:pPr>
              <w:jc w:val="right"/>
              <w:ind w:right="426"/>
              <w:spacing w:after="0" w:line="125" w:lineRule="exact"/>
              <w:rPr>
                <w:sz w:val="20"/>
                <w:szCs w:val="20"/>
                <w:color w:val="auto"/>
              </w:rPr>
            </w:pPr>
            <w:r>
              <w:rPr>
                <w:rFonts w:ascii="Arial" w:cs="Arial" w:eastAsia="Arial" w:hAnsi="Arial"/>
                <w:sz w:val="11"/>
                <w:szCs w:val="11"/>
                <w:color w:val="008000"/>
                <w:w w:val="74"/>
              </w:rPr>
              <w:t>(4)</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2"/>
              </w:rPr>
              <w:t>5,408</w:t>
            </w:r>
          </w:p>
        </w:tc>
        <w:tc>
          <w:tcPr>
            <w:tcW w:w="4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89"/>
              </w:rPr>
              <w:t>07/29/2011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07/29/2011</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5,408</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5,408</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20" w:type="dxa"/>
            <w:vAlign w:val="bottom"/>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36.97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91"/>
              </w:rPr>
              <w:t>A</w:t>
            </w:r>
          </w:p>
        </w:tc>
        <w:tc>
          <w:tcPr>
            <w:tcW w:w="600" w:type="dxa"/>
            <w:vAlign w:val="bottom"/>
          </w:tcPr>
          <w:p>
            <w:pPr>
              <w:jc w:val="right"/>
              <w:ind w:right="426"/>
              <w:spacing w:after="0" w:line="125" w:lineRule="exact"/>
              <w:rPr>
                <w:sz w:val="20"/>
                <w:szCs w:val="20"/>
                <w:color w:val="auto"/>
              </w:rPr>
            </w:pPr>
            <w:r>
              <w:rPr>
                <w:rFonts w:ascii="Arial" w:cs="Arial" w:eastAsia="Arial" w:hAnsi="Arial"/>
                <w:sz w:val="11"/>
                <w:szCs w:val="11"/>
                <w:color w:val="008000"/>
                <w:w w:val="74"/>
              </w:rPr>
              <w:t>(4)</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9"/>
              </w:rPr>
              <w:t>244,592</w:t>
            </w:r>
          </w:p>
        </w:tc>
        <w:tc>
          <w:tcPr>
            <w:tcW w:w="4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89"/>
              </w:rPr>
              <w:t>07/29/2011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07/29/2011</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244,592</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9"/>
              </w:rPr>
              <w:t>250,000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20" w:type="dxa"/>
            <w:vAlign w:val="bottom"/>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35.49</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00" w:type="dxa"/>
            <w:vAlign w:val="bottom"/>
            <w:gridSpan w:val="2"/>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(5)</w:t>
            </w:r>
          </w:p>
        </w:tc>
        <w:tc>
          <w:tcPr>
            <w:tcW w:w="64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9"/>
              </w:rPr>
              <w:t>300,000</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01/23/2012</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300,000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4"/>
              </w:rPr>
              <w:t>0.00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20" w:type="dxa"/>
            <w:vAlign w:val="bottom"/>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35.49</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91"/>
              </w:rPr>
              <w:t>A</w:t>
            </w:r>
          </w:p>
        </w:tc>
        <w:tc>
          <w:tcPr>
            <w:tcW w:w="600" w:type="dxa"/>
            <w:vAlign w:val="bottom"/>
          </w:tcPr>
          <w:p>
            <w:pPr>
              <w:jc w:val="right"/>
              <w:ind w:right="426"/>
              <w:spacing w:after="0" w:line="125" w:lineRule="exact"/>
              <w:rPr>
                <w:sz w:val="20"/>
                <w:szCs w:val="20"/>
                <w:color w:val="auto"/>
              </w:rPr>
            </w:pPr>
            <w:r>
              <w:rPr>
                <w:rFonts w:ascii="Arial" w:cs="Arial" w:eastAsia="Arial" w:hAnsi="Arial"/>
                <w:sz w:val="11"/>
                <w:szCs w:val="11"/>
                <w:color w:val="008000"/>
                <w:w w:val="74"/>
              </w:rPr>
              <w:t>(5)</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9"/>
              </w:rPr>
              <w:t>300,000</w:t>
            </w:r>
          </w:p>
        </w:tc>
        <w:tc>
          <w:tcPr>
            <w:tcW w:w="4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2"/>
              </w:rPr>
              <w:t>01/23/2012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01/23/2012</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300,000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9"/>
              </w:rPr>
              <w:t>300,000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20" w:type="dxa"/>
            <w:vAlign w:val="bottom"/>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23.84</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00" w:type="dxa"/>
            <w:vAlign w:val="bottom"/>
            <w:gridSpan w:val="2"/>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(6)</w:t>
            </w:r>
          </w:p>
        </w:tc>
        <w:tc>
          <w:tcPr>
            <w:tcW w:w="64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9"/>
              </w:rPr>
              <w:t>115,806</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10/26/2012</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115,806</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4,194</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20" w:type="dxa"/>
            <w:vAlign w:val="bottom"/>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23.84</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00" w:type="dxa"/>
            <w:vAlign w:val="bottom"/>
            <w:gridSpan w:val="2"/>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(6)</w:t>
            </w:r>
          </w:p>
        </w:tc>
        <w:tc>
          <w:tcPr>
            <w:tcW w:w="64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2"/>
              </w:rPr>
              <w:t>4,194</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10/26/2012</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4,194</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4"/>
              </w:rPr>
              <w:t>0.00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20" w:type="dxa"/>
            <w:vAlign w:val="bottom"/>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25.83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00" w:type="dxa"/>
            <w:vAlign w:val="bottom"/>
            <w:gridSpan w:val="2"/>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(6)</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9"/>
              </w:rPr>
              <w:t>115,806</w:t>
            </w:r>
          </w:p>
        </w:tc>
        <w:tc>
          <w:tcPr>
            <w:tcW w:w="4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10/26/2012</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115,806</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115,806</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20" w:type="dxa"/>
            <w:vAlign w:val="bottom"/>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25.83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10"/>
                <w:szCs w:val="10"/>
                <w:color w:val="auto"/>
              </w:rPr>
            </w:pPr>
          </w:p>
        </w:tc>
        <w:tc>
          <w:tcPr>
            <w:tcW w:w="800" w:type="dxa"/>
            <w:vAlign w:val="bottom"/>
            <w:gridSpan w:val="2"/>
            <w:vMerge w:val="restart"/>
          </w:tcPr>
          <w:p>
            <w:pPr>
              <w:ind w:left="100"/>
              <w:spacing w:after="0" w:line="284" w:lineRule="exact"/>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(6)</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2"/>
              </w:rPr>
              <w:t>4,194</w:t>
            </w:r>
          </w:p>
        </w:tc>
        <w:tc>
          <w:tcPr>
            <w:tcW w:w="4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10/26/2012</w:t>
            </w:r>
          </w:p>
        </w:tc>
        <w:tc>
          <w:tcPr>
            <w:tcW w:w="680" w:type="dxa"/>
            <w:vAlign w:val="bottom"/>
          </w:tcPr>
          <w:p>
            <w:pPr>
              <w:jc w:val="center"/>
              <w:spacing w:after="0" w:line="125" w:lineRule="exact"/>
              <w:rPr>
                <w:sz w:val="20"/>
                <w:szCs w:val="20"/>
                <w:color w:val="auto"/>
              </w:rPr>
            </w:pPr>
            <w:r>
              <w:rPr>
                <w:rFonts w:ascii="Arial" w:cs="Arial" w:eastAsia="Arial" w:hAnsi="Arial"/>
                <w:sz w:val="13"/>
                <w:szCs w:val="13"/>
                <w:color w:val="0000FF"/>
                <w:w w:val="89"/>
              </w:rPr>
              <w:t>Special</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4,194</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9"/>
              </w:rPr>
              <w:t>120,000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20" w:type="dxa"/>
            <w:vAlign w:val="bottom"/>
          </w:tcPr>
          <w:p>
            <w:pPr>
              <w:ind w:left="60"/>
              <w:spacing w:after="0" w:line="159" w:lineRule="exact"/>
              <w:rPr>
                <w:sz w:val="20"/>
                <w:szCs w:val="20"/>
                <w:color w:val="auto"/>
              </w:rPr>
            </w:pPr>
            <w:r>
              <w:rPr>
                <w:rFonts w:ascii="Arial" w:cs="Arial" w:eastAsia="Arial" w:hAnsi="Arial"/>
                <w:sz w:val="11"/>
                <w:szCs w:val="11"/>
                <w:color w:val="0000FF"/>
              </w:rPr>
              <w:t>Purchase</w:t>
            </w:r>
            <w:r>
              <w:rPr>
                <w:rFonts w:ascii="Arial" w:cs="Arial" w:eastAsia="Arial" w:hAnsi="Arial"/>
                <w:sz w:val="18"/>
                <w:szCs w:val="18"/>
                <w:color w:val="008000"/>
                <w:vertAlign w:val="superscript"/>
              </w:rPr>
              <w:t>(1)</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(10)</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450,000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720" w:type="dxa"/>
            <w:vAlign w:val="bottom"/>
            <w:vMerge w:val="continue"/>
          </w:tcPr>
          <w:p>
            <w:pPr>
              <w:spacing w:after="0"/>
              <w:rPr>
                <w:sz w:val="4"/>
                <w:szCs w:val="4"/>
                <w:color w:val="auto"/>
              </w:rPr>
            </w:pPr>
          </w:p>
        </w:tc>
        <w:tc>
          <w:tcPr>
            <w:tcW w:w="780" w:type="dxa"/>
            <w:vAlign w:val="bottom"/>
            <w:vMerge w:val="restart"/>
          </w:tcPr>
          <w:p>
            <w:pPr>
              <w:jc w:val="right"/>
              <w:ind w:right="162"/>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27.12</w:t>
            </w:r>
          </w:p>
        </w:tc>
        <w:tc>
          <w:tcPr>
            <w:tcW w:w="10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450,000</w:t>
            </w:r>
          </w:p>
        </w:tc>
        <w:tc>
          <w:tcPr>
            <w:tcW w:w="780" w:type="dxa"/>
            <w:vAlign w:val="bottom"/>
            <w:vMerge w:val="continue"/>
          </w:tcPr>
          <w:p>
            <w:pPr>
              <w:spacing w:after="0"/>
              <w:rPr>
                <w:sz w:val="4"/>
                <w:szCs w:val="4"/>
                <w:color w:val="auto"/>
              </w:rPr>
            </w:pPr>
          </w:p>
        </w:tc>
        <w:tc>
          <w:tcPr>
            <w:tcW w:w="740" w:type="dxa"/>
            <w:vAlign w:val="bottom"/>
            <w:vMerge w:val="restart"/>
          </w:tcPr>
          <w:p>
            <w:pPr>
              <w:ind w:left="80"/>
              <w:spacing w:after="0" w:line="125" w:lineRule="exact"/>
              <w:rPr>
                <w:sz w:val="20"/>
                <w:szCs w:val="20"/>
                <w:color w:val="auto"/>
              </w:rPr>
            </w:pPr>
            <w:r>
              <w:rPr>
                <w:rFonts w:ascii="Arial" w:cs="Arial" w:eastAsia="Arial" w:hAnsi="Arial"/>
                <w:sz w:val="13"/>
                <w:szCs w:val="13"/>
                <w:color w:val="0000FF"/>
                <w:w w:val="98"/>
              </w:rPr>
              <w:t>02/25/2013</w:t>
            </w:r>
          </w:p>
        </w:tc>
        <w:tc>
          <w:tcPr>
            <w:tcW w:w="680" w:type="dxa"/>
            <w:vAlign w:val="bottom"/>
            <w:vMerge w:val="restart"/>
          </w:tcPr>
          <w:p>
            <w:pPr>
              <w:jc w:val="center"/>
              <w:ind w:right="16"/>
              <w:spacing w:after="0" w:line="125"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4"/>
                <w:szCs w:val="4"/>
                <w:color w:val="auto"/>
              </w:rPr>
            </w:pPr>
          </w:p>
        </w:tc>
        <w:tc>
          <w:tcPr>
            <w:tcW w:w="680" w:type="dxa"/>
            <w:vAlign w:val="bottom"/>
            <w:vMerge w:val="restart"/>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94"/>
              </w:rPr>
              <w:t>0.00</w:t>
            </w:r>
          </w:p>
        </w:tc>
        <w:tc>
          <w:tcPr>
            <w:tcW w:w="740" w:type="dxa"/>
            <w:vAlign w:val="bottom"/>
            <w:vMerge w:val="restart"/>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720" w:type="dxa"/>
            <w:vAlign w:val="bottom"/>
          </w:tcPr>
          <w:p>
            <w:pPr>
              <w:ind w:left="520"/>
              <w:spacing w:after="0" w:line="78" w:lineRule="exact"/>
              <w:rPr>
                <w:sz w:val="20"/>
                <w:szCs w:val="20"/>
                <w:color w:val="auto"/>
              </w:rPr>
            </w:pPr>
            <w:r>
              <w:rPr>
                <w:rFonts w:ascii="Arial" w:cs="Arial" w:eastAsia="Arial" w:hAnsi="Arial"/>
                <w:sz w:val="9"/>
                <w:szCs w:val="9"/>
                <w:color w:val="008000"/>
              </w:rPr>
              <w:t>(9)</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Arial" w:cs="Arial" w:eastAsia="Arial" w:hAnsi="Arial"/>
                <w:sz w:val="13"/>
                <w:szCs w:val="13"/>
                <w:color w:val="0000FF"/>
              </w:rPr>
              <w:t>Purchase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(10)</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450,000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720" w:type="dxa"/>
            <w:vAlign w:val="bottom"/>
            <w:vMerge w:val="continue"/>
          </w:tcPr>
          <w:p>
            <w:pPr>
              <w:spacing w:after="0"/>
              <w:rPr>
                <w:sz w:val="4"/>
                <w:szCs w:val="4"/>
                <w:color w:val="auto"/>
              </w:rPr>
            </w:pPr>
          </w:p>
        </w:tc>
        <w:tc>
          <w:tcPr>
            <w:tcW w:w="780" w:type="dxa"/>
            <w:vAlign w:val="bottom"/>
            <w:vMerge w:val="restart"/>
          </w:tcPr>
          <w:p>
            <w:pPr>
              <w:jc w:val="right"/>
              <w:ind w:right="162"/>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27.12</w:t>
            </w:r>
          </w:p>
        </w:tc>
        <w:tc>
          <w:tcPr>
            <w:tcW w:w="10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4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450,000</w:t>
            </w:r>
          </w:p>
        </w:tc>
        <w:tc>
          <w:tcPr>
            <w:tcW w:w="480" w:type="dxa"/>
            <w:vAlign w:val="bottom"/>
          </w:tcPr>
          <w:p>
            <w:pPr>
              <w:spacing w:after="0"/>
              <w:rPr>
                <w:sz w:val="4"/>
                <w:szCs w:val="4"/>
                <w:color w:val="auto"/>
              </w:rPr>
            </w:pPr>
          </w:p>
        </w:tc>
        <w:tc>
          <w:tcPr>
            <w:tcW w:w="7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92"/>
              </w:rPr>
              <w:t>02/25/2013</w:t>
            </w:r>
          </w:p>
        </w:tc>
        <w:tc>
          <w:tcPr>
            <w:tcW w:w="740" w:type="dxa"/>
            <w:vAlign w:val="bottom"/>
            <w:vMerge w:val="restart"/>
          </w:tcPr>
          <w:p>
            <w:pPr>
              <w:ind w:left="80"/>
              <w:spacing w:after="0" w:line="125" w:lineRule="exact"/>
              <w:rPr>
                <w:sz w:val="20"/>
                <w:szCs w:val="20"/>
                <w:color w:val="auto"/>
              </w:rPr>
            </w:pPr>
            <w:r>
              <w:rPr>
                <w:rFonts w:ascii="Arial" w:cs="Arial" w:eastAsia="Arial" w:hAnsi="Arial"/>
                <w:sz w:val="13"/>
                <w:szCs w:val="13"/>
                <w:color w:val="0000FF"/>
                <w:w w:val="98"/>
              </w:rPr>
              <w:t>02/25/2013</w:t>
            </w:r>
          </w:p>
        </w:tc>
        <w:tc>
          <w:tcPr>
            <w:tcW w:w="680" w:type="dxa"/>
            <w:vAlign w:val="bottom"/>
            <w:vMerge w:val="restart"/>
          </w:tcPr>
          <w:p>
            <w:pPr>
              <w:jc w:val="center"/>
              <w:ind w:right="16"/>
              <w:spacing w:after="0" w:line="125"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4"/>
                <w:szCs w:val="4"/>
                <w:color w:val="auto"/>
              </w:rPr>
            </w:pPr>
          </w:p>
        </w:tc>
        <w:tc>
          <w:tcPr>
            <w:tcW w:w="680" w:type="dxa"/>
            <w:vAlign w:val="bottom"/>
            <w:vMerge w:val="restart"/>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450,000</w:t>
            </w:r>
          </w:p>
        </w:tc>
        <w:tc>
          <w:tcPr>
            <w:tcW w:w="740" w:type="dxa"/>
            <w:vAlign w:val="bottom"/>
            <w:vMerge w:val="restart"/>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720" w:type="dxa"/>
            <w:vAlign w:val="bottom"/>
          </w:tcPr>
          <w:p>
            <w:pPr>
              <w:ind w:left="520"/>
              <w:spacing w:after="0" w:line="78" w:lineRule="exact"/>
              <w:rPr>
                <w:sz w:val="20"/>
                <w:szCs w:val="20"/>
                <w:color w:val="auto"/>
              </w:rPr>
            </w:pPr>
            <w:r>
              <w:rPr>
                <w:rFonts w:ascii="Arial" w:cs="Arial" w:eastAsia="Arial" w:hAnsi="Arial"/>
                <w:sz w:val="9"/>
                <w:szCs w:val="9"/>
                <w:color w:val="008000"/>
              </w:rPr>
              <w:t>(9)</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Arial" w:cs="Arial" w:eastAsia="Arial" w:hAnsi="Arial"/>
                <w:sz w:val="13"/>
                <w:szCs w:val="13"/>
                <w:color w:val="0000FF"/>
              </w:rPr>
              <w:t>Purchase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(11)</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375,000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720" w:type="dxa"/>
            <w:vAlign w:val="bottom"/>
            <w:vMerge w:val="continue"/>
          </w:tcPr>
          <w:p>
            <w:pPr>
              <w:spacing w:after="0"/>
              <w:rPr>
                <w:sz w:val="4"/>
                <w:szCs w:val="4"/>
                <w:color w:val="auto"/>
              </w:rPr>
            </w:pPr>
          </w:p>
        </w:tc>
        <w:tc>
          <w:tcPr>
            <w:tcW w:w="780" w:type="dxa"/>
            <w:vAlign w:val="bottom"/>
            <w:vMerge w:val="restart"/>
          </w:tcPr>
          <w:p>
            <w:pPr>
              <w:jc w:val="right"/>
              <w:ind w:right="162"/>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29.88</w:t>
            </w:r>
          </w:p>
        </w:tc>
        <w:tc>
          <w:tcPr>
            <w:tcW w:w="10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375,000</w:t>
            </w:r>
          </w:p>
        </w:tc>
        <w:tc>
          <w:tcPr>
            <w:tcW w:w="780" w:type="dxa"/>
            <w:vAlign w:val="bottom"/>
            <w:vMerge w:val="continue"/>
          </w:tcPr>
          <w:p>
            <w:pPr>
              <w:spacing w:after="0"/>
              <w:rPr>
                <w:sz w:val="4"/>
                <w:szCs w:val="4"/>
                <w:color w:val="auto"/>
              </w:rPr>
            </w:pPr>
          </w:p>
        </w:tc>
        <w:tc>
          <w:tcPr>
            <w:tcW w:w="740" w:type="dxa"/>
            <w:vAlign w:val="bottom"/>
            <w:vMerge w:val="restart"/>
          </w:tcPr>
          <w:p>
            <w:pPr>
              <w:ind w:left="80"/>
              <w:spacing w:after="0" w:line="125" w:lineRule="exact"/>
              <w:rPr>
                <w:sz w:val="20"/>
                <w:szCs w:val="20"/>
                <w:color w:val="auto"/>
              </w:rPr>
            </w:pPr>
            <w:r>
              <w:rPr>
                <w:rFonts w:ascii="Arial" w:cs="Arial" w:eastAsia="Arial" w:hAnsi="Arial"/>
                <w:sz w:val="13"/>
                <w:szCs w:val="13"/>
                <w:color w:val="0000FF"/>
                <w:w w:val="98"/>
              </w:rPr>
              <w:t>03/07/2014</w:t>
            </w:r>
          </w:p>
        </w:tc>
        <w:tc>
          <w:tcPr>
            <w:tcW w:w="680" w:type="dxa"/>
            <w:vAlign w:val="bottom"/>
            <w:vMerge w:val="restart"/>
          </w:tcPr>
          <w:p>
            <w:pPr>
              <w:jc w:val="center"/>
              <w:ind w:right="16"/>
              <w:spacing w:after="0" w:line="125"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4"/>
                <w:szCs w:val="4"/>
                <w:color w:val="auto"/>
              </w:rPr>
            </w:pPr>
          </w:p>
        </w:tc>
        <w:tc>
          <w:tcPr>
            <w:tcW w:w="680" w:type="dxa"/>
            <w:vAlign w:val="bottom"/>
            <w:vMerge w:val="restart"/>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94"/>
              </w:rPr>
              <w:t>0.00</w:t>
            </w:r>
          </w:p>
        </w:tc>
        <w:tc>
          <w:tcPr>
            <w:tcW w:w="740" w:type="dxa"/>
            <w:vAlign w:val="bottom"/>
            <w:vMerge w:val="restart"/>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720" w:type="dxa"/>
            <w:vAlign w:val="bottom"/>
          </w:tcPr>
          <w:p>
            <w:pPr>
              <w:ind w:left="520"/>
              <w:spacing w:after="0" w:line="78" w:lineRule="exact"/>
              <w:rPr>
                <w:sz w:val="20"/>
                <w:szCs w:val="20"/>
                <w:color w:val="auto"/>
              </w:rPr>
            </w:pPr>
            <w:r>
              <w:rPr>
                <w:rFonts w:ascii="Arial" w:cs="Arial" w:eastAsia="Arial" w:hAnsi="Arial"/>
                <w:sz w:val="9"/>
                <w:szCs w:val="9"/>
                <w:color w:val="008000"/>
              </w:rPr>
              <w:t>(9)</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Arial" w:cs="Arial" w:eastAsia="Arial" w:hAnsi="Arial"/>
                <w:sz w:val="13"/>
                <w:szCs w:val="13"/>
                <w:color w:val="0000FF"/>
              </w:rPr>
              <w:t>Purchase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(11)</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375,000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720" w:type="dxa"/>
            <w:vAlign w:val="bottom"/>
            <w:vMerge w:val="continue"/>
          </w:tcPr>
          <w:p>
            <w:pPr>
              <w:spacing w:after="0"/>
              <w:rPr>
                <w:sz w:val="4"/>
                <w:szCs w:val="4"/>
                <w:color w:val="auto"/>
              </w:rPr>
            </w:pPr>
          </w:p>
        </w:tc>
        <w:tc>
          <w:tcPr>
            <w:tcW w:w="780" w:type="dxa"/>
            <w:vAlign w:val="bottom"/>
            <w:vMerge w:val="restart"/>
          </w:tcPr>
          <w:p>
            <w:pPr>
              <w:jc w:val="right"/>
              <w:ind w:right="162"/>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29.88</w:t>
            </w:r>
          </w:p>
        </w:tc>
        <w:tc>
          <w:tcPr>
            <w:tcW w:w="10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4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375,000</w:t>
            </w:r>
          </w:p>
        </w:tc>
        <w:tc>
          <w:tcPr>
            <w:tcW w:w="480" w:type="dxa"/>
            <w:vAlign w:val="bottom"/>
          </w:tcPr>
          <w:p>
            <w:pPr>
              <w:spacing w:after="0"/>
              <w:rPr>
                <w:sz w:val="4"/>
                <w:szCs w:val="4"/>
                <w:color w:val="auto"/>
              </w:rPr>
            </w:pPr>
          </w:p>
        </w:tc>
        <w:tc>
          <w:tcPr>
            <w:tcW w:w="7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92"/>
              </w:rPr>
              <w:t>03/07/2014</w:t>
            </w:r>
          </w:p>
        </w:tc>
        <w:tc>
          <w:tcPr>
            <w:tcW w:w="740" w:type="dxa"/>
            <w:vAlign w:val="bottom"/>
            <w:vMerge w:val="restart"/>
          </w:tcPr>
          <w:p>
            <w:pPr>
              <w:ind w:left="80"/>
              <w:spacing w:after="0" w:line="125" w:lineRule="exact"/>
              <w:rPr>
                <w:sz w:val="20"/>
                <w:szCs w:val="20"/>
                <w:color w:val="auto"/>
              </w:rPr>
            </w:pPr>
            <w:r>
              <w:rPr>
                <w:rFonts w:ascii="Arial" w:cs="Arial" w:eastAsia="Arial" w:hAnsi="Arial"/>
                <w:sz w:val="13"/>
                <w:szCs w:val="13"/>
                <w:color w:val="0000FF"/>
                <w:w w:val="98"/>
              </w:rPr>
              <w:t>03/07/2014</w:t>
            </w:r>
          </w:p>
        </w:tc>
        <w:tc>
          <w:tcPr>
            <w:tcW w:w="680" w:type="dxa"/>
            <w:vAlign w:val="bottom"/>
            <w:vMerge w:val="restart"/>
          </w:tcPr>
          <w:p>
            <w:pPr>
              <w:jc w:val="center"/>
              <w:ind w:right="16"/>
              <w:spacing w:after="0" w:line="125"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4"/>
                <w:szCs w:val="4"/>
                <w:color w:val="auto"/>
              </w:rPr>
            </w:pPr>
          </w:p>
        </w:tc>
        <w:tc>
          <w:tcPr>
            <w:tcW w:w="680" w:type="dxa"/>
            <w:vAlign w:val="bottom"/>
            <w:vMerge w:val="restart"/>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375,000</w:t>
            </w:r>
          </w:p>
        </w:tc>
        <w:tc>
          <w:tcPr>
            <w:tcW w:w="740" w:type="dxa"/>
            <w:vAlign w:val="bottom"/>
            <w:vMerge w:val="restart"/>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720" w:type="dxa"/>
            <w:vAlign w:val="bottom"/>
          </w:tcPr>
          <w:p>
            <w:pPr>
              <w:ind w:left="520"/>
              <w:spacing w:after="0" w:line="78" w:lineRule="exact"/>
              <w:rPr>
                <w:sz w:val="20"/>
                <w:szCs w:val="20"/>
                <w:color w:val="auto"/>
              </w:rPr>
            </w:pPr>
            <w:r>
              <w:rPr>
                <w:rFonts w:ascii="Arial" w:cs="Arial" w:eastAsia="Arial" w:hAnsi="Arial"/>
                <w:sz w:val="9"/>
                <w:szCs w:val="9"/>
                <w:color w:val="008000"/>
              </w:rPr>
              <w:t>(9)</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Arial" w:cs="Arial" w:eastAsia="Arial" w:hAnsi="Arial"/>
                <w:sz w:val="13"/>
                <w:szCs w:val="13"/>
                <w:color w:val="0000FF"/>
              </w:rPr>
              <w:t>Purchase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(12)</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200,000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720" w:type="dxa"/>
            <w:vAlign w:val="bottom"/>
            <w:vMerge w:val="continue"/>
          </w:tcPr>
          <w:p>
            <w:pPr>
              <w:spacing w:after="0"/>
              <w:rPr>
                <w:sz w:val="4"/>
                <w:szCs w:val="4"/>
                <w:color w:val="auto"/>
              </w:rPr>
            </w:pPr>
          </w:p>
        </w:tc>
        <w:tc>
          <w:tcPr>
            <w:tcW w:w="780" w:type="dxa"/>
            <w:vAlign w:val="bottom"/>
            <w:vMerge w:val="restart"/>
          </w:tcPr>
          <w:p>
            <w:pPr>
              <w:jc w:val="right"/>
              <w:ind w:right="162"/>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33.99</w:t>
            </w:r>
          </w:p>
        </w:tc>
        <w:tc>
          <w:tcPr>
            <w:tcW w:w="10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200,000</w:t>
            </w:r>
          </w:p>
        </w:tc>
        <w:tc>
          <w:tcPr>
            <w:tcW w:w="780" w:type="dxa"/>
            <w:vAlign w:val="bottom"/>
            <w:vMerge w:val="continue"/>
          </w:tcPr>
          <w:p>
            <w:pPr>
              <w:spacing w:after="0"/>
              <w:rPr>
                <w:sz w:val="4"/>
                <w:szCs w:val="4"/>
                <w:color w:val="auto"/>
              </w:rPr>
            </w:pPr>
          </w:p>
        </w:tc>
        <w:tc>
          <w:tcPr>
            <w:tcW w:w="740" w:type="dxa"/>
            <w:vAlign w:val="bottom"/>
            <w:vMerge w:val="restart"/>
          </w:tcPr>
          <w:p>
            <w:pPr>
              <w:ind w:left="80"/>
              <w:spacing w:after="0" w:line="125" w:lineRule="exact"/>
              <w:rPr>
                <w:sz w:val="20"/>
                <w:szCs w:val="20"/>
                <w:color w:val="auto"/>
              </w:rPr>
            </w:pPr>
            <w:r>
              <w:rPr>
                <w:rFonts w:ascii="Arial" w:cs="Arial" w:eastAsia="Arial" w:hAnsi="Arial"/>
                <w:sz w:val="13"/>
                <w:szCs w:val="13"/>
                <w:color w:val="0000FF"/>
                <w:w w:val="98"/>
              </w:rPr>
              <w:t>03/13/2015</w:t>
            </w:r>
          </w:p>
        </w:tc>
        <w:tc>
          <w:tcPr>
            <w:tcW w:w="680" w:type="dxa"/>
            <w:vAlign w:val="bottom"/>
            <w:vMerge w:val="restart"/>
          </w:tcPr>
          <w:p>
            <w:pPr>
              <w:jc w:val="center"/>
              <w:ind w:right="16"/>
              <w:spacing w:after="0" w:line="125"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4"/>
                <w:szCs w:val="4"/>
                <w:color w:val="auto"/>
              </w:rPr>
            </w:pPr>
          </w:p>
        </w:tc>
        <w:tc>
          <w:tcPr>
            <w:tcW w:w="680" w:type="dxa"/>
            <w:vAlign w:val="bottom"/>
            <w:vMerge w:val="restart"/>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94"/>
              </w:rPr>
              <w:t>0.00</w:t>
            </w:r>
          </w:p>
        </w:tc>
        <w:tc>
          <w:tcPr>
            <w:tcW w:w="740" w:type="dxa"/>
            <w:vAlign w:val="bottom"/>
            <w:vMerge w:val="restart"/>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720" w:type="dxa"/>
            <w:vAlign w:val="bottom"/>
          </w:tcPr>
          <w:p>
            <w:pPr>
              <w:ind w:left="520"/>
              <w:spacing w:after="0" w:line="78" w:lineRule="exact"/>
              <w:rPr>
                <w:sz w:val="20"/>
                <w:szCs w:val="20"/>
                <w:color w:val="auto"/>
              </w:rPr>
            </w:pPr>
            <w:r>
              <w:rPr>
                <w:rFonts w:ascii="Arial" w:cs="Arial" w:eastAsia="Arial" w:hAnsi="Arial"/>
                <w:sz w:val="9"/>
                <w:szCs w:val="9"/>
                <w:color w:val="008000"/>
              </w:rPr>
              <w:t>(9)</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Arial" w:cs="Arial" w:eastAsia="Arial" w:hAnsi="Arial"/>
                <w:sz w:val="13"/>
                <w:szCs w:val="13"/>
                <w:color w:val="0000FF"/>
              </w:rPr>
              <w:t>Purchase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(12)</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2"/>
              <w:spacing w:after="0"/>
              <w:rPr>
                <w:sz w:val="20"/>
                <w:szCs w:val="20"/>
                <w:color w:val="auto"/>
              </w:rPr>
            </w:pPr>
            <w:r>
              <w:rPr>
                <w:rFonts w:ascii="Arial" w:cs="Arial" w:eastAsia="Arial" w:hAnsi="Arial"/>
                <w:sz w:val="17"/>
                <w:szCs w:val="17"/>
                <w:color w:val="0000FF"/>
                <w:w w:val="87"/>
              </w:rPr>
              <w:t>200,000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720" w:type="dxa"/>
            <w:vAlign w:val="bottom"/>
            <w:vMerge w:val="continue"/>
          </w:tcPr>
          <w:p>
            <w:pPr>
              <w:spacing w:after="0"/>
              <w:rPr>
                <w:sz w:val="4"/>
                <w:szCs w:val="4"/>
                <w:color w:val="auto"/>
              </w:rPr>
            </w:pPr>
          </w:p>
        </w:tc>
        <w:tc>
          <w:tcPr>
            <w:tcW w:w="780" w:type="dxa"/>
            <w:vAlign w:val="bottom"/>
            <w:vMerge w:val="restart"/>
          </w:tcPr>
          <w:p>
            <w:pPr>
              <w:jc w:val="right"/>
              <w:ind w:right="162"/>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33.99</w:t>
            </w:r>
          </w:p>
        </w:tc>
        <w:tc>
          <w:tcPr>
            <w:tcW w:w="10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11/07/2005</w:t>
            </w:r>
          </w:p>
        </w:tc>
        <w:tc>
          <w:tcPr>
            <w:tcW w:w="1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4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200,000</w:t>
            </w:r>
          </w:p>
        </w:tc>
        <w:tc>
          <w:tcPr>
            <w:tcW w:w="480" w:type="dxa"/>
            <w:vAlign w:val="bottom"/>
          </w:tcPr>
          <w:p>
            <w:pPr>
              <w:spacing w:after="0"/>
              <w:rPr>
                <w:sz w:val="4"/>
                <w:szCs w:val="4"/>
                <w:color w:val="auto"/>
              </w:rPr>
            </w:pPr>
          </w:p>
        </w:tc>
        <w:tc>
          <w:tcPr>
            <w:tcW w:w="78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92"/>
              </w:rPr>
              <w:t>03/13/2015</w:t>
            </w:r>
          </w:p>
        </w:tc>
        <w:tc>
          <w:tcPr>
            <w:tcW w:w="740" w:type="dxa"/>
            <w:vAlign w:val="bottom"/>
            <w:vMerge w:val="restart"/>
          </w:tcPr>
          <w:p>
            <w:pPr>
              <w:ind w:left="80"/>
              <w:spacing w:after="0" w:line="125" w:lineRule="exact"/>
              <w:rPr>
                <w:sz w:val="20"/>
                <w:szCs w:val="20"/>
                <w:color w:val="auto"/>
              </w:rPr>
            </w:pPr>
            <w:r>
              <w:rPr>
                <w:rFonts w:ascii="Arial" w:cs="Arial" w:eastAsia="Arial" w:hAnsi="Arial"/>
                <w:sz w:val="13"/>
                <w:szCs w:val="13"/>
                <w:color w:val="0000FF"/>
                <w:w w:val="98"/>
              </w:rPr>
              <w:t>03/13/2015</w:t>
            </w:r>
          </w:p>
        </w:tc>
        <w:tc>
          <w:tcPr>
            <w:tcW w:w="680" w:type="dxa"/>
            <w:vAlign w:val="bottom"/>
            <w:vMerge w:val="restart"/>
          </w:tcPr>
          <w:p>
            <w:pPr>
              <w:jc w:val="center"/>
              <w:ind w:right="16"/>
              <w:spacing w:after="0" w:line="125"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4"/>
                <w:szCs w:val="4"/>
                <w:color w:val="auto"/>
              </w:rPr>
            </w:pPr>
          </w:p>
        </w:tc>
        <w:tc>
          <w:tcPr>
            <w:tcW w:w="680" w:type="dxa"/>
            <w:vAlign w:val="bottom"/>
            <w:vMerge w:val="restart"/>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center"/>
              <w:spacing w:after="0" w:line="125" w:lineRule="exact"/>
              <w:rPr>
                <w:sz w:val="20"/>
                <w:szCs w:val="20"/>
                <w:color w:val="auto"/>
              </w:rPr>
            </w:pPr>
            <w:r>
              <w:rPr>
                <w:rFonts w:ascii="Arial" w:cs="Arial" w:eastAsia="Arial" w:hAnsi="Arial"/>
                <w:sz w:val="13"/>
                <w:szCs w:val="13"/>
                <w:color w:val="0000FF"/>
                <w:w w:val="89"/>
              </w:rPr>
              <w:t>200,000</w:t>
            </w:r>
          </w:p>
        </w:tc>
        <w:tc>
          <w:tcPr>
            <w:tcW w:w="740" w:type="dxa"/>
            <w:vAlign w:val="bottom"/>
            <w:vMerge w:val="restart"/>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720" w:type="dxa"/>
            <w:vAlign w:val="bottom"/>
          </w:tcPr>
          <w:p>
            <w:pPr>
              <w:ind w:left="520"/>
              <w:spacing w:after="0" w:line="78" w:lineRule="exact"/>
              <w:rPr>
                <w:sz w:val="20"/>
                <w:szCs w:val="20"/>
                <w:color w:val="auto"/>
              </w:rPr>
            </w:pPr>
            <w:r>
              <w:rPr>
                <w:rFonts w:ascii="Arial" w:cs="Arial" w:eastAsia="Arial" w:hAnsi="Arial"/>
                <w:sz w:val="9"/>
                <w:szCs w:val="9"/>
                <w:color w:val="008000"/>
              </w:rPr>
              <w:t>(9)</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Arial" w:cs="Arial" w:eastAsia="Arial" w:hAnsi="Arial"/>
                <w:sz w:val="13"/>
                <w:szCs w:val="13"/>
                <w:color w:val="0000FF"/>
              </w:rPr>
              <w:t>Purchase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is an option to purchase Class A Special Common Stock.</w:t>
      </w:r>
    </w:p>
    <w:p>
      <w:pPr>
        <w:spacing w:after="0" w:line="44" w:lineRule="exact"/>
        <w:rPr>
          <w:rFonts w:ascii="Arial" w:cs="Arial" w:eastAsia="Arial" w:hAnsi="Arial"/>
          <w:sz w:val="13"/>
          <w:szCs w:val="13"/>
          <w:color w:val="008000"/>
        </w:rPr>
      </w:pPr>
    </w:p>
    <w:p>
      <w:pPr>
        <w:ind w:left="20" w:right="20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with this same footnote involved amendments of three outstanding options, resulting in the deemed cancellation of the old options and the grant of three replacement options. The old options were originally granted on May 3, 1999. The vesting schedules of the old options were reported on an amended Form 4 filed by the reporting person on 11/20/02.</w:t>
      </w:r>
    </w:p>
    <w:p>
      <w:pPr>
        <w:spacing w:after="0" w:line="25" w:lineRule="exact"/>
        <w:rPr>
          <w:rFonts w:ascii="Arial" w:cs="Arial" w:eastAsia="Arial" w:hAnsi="Arial"/>
          <w:sz w:val="13"/>
          <w:szCs w:val="13"/>
          <w:color w:val="008000"/>
        </w:rPr>
      </w:pPr>
    </w:p>
    <w:p>
      <w:pPr>
        <w:ind w:left="20" w:right="32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with this same footnote involved amendments of two outstanding options, resulting in the deemed cancellation of the old options and the grant of two replacement options. The old options were originally granted on June 2, 2000. The vesting schedules of the old options were reported on an amended Form 4 filed by the reporting person on 11/20/02.</w:t>
      </w:r>
    </w:p>
    <w:p>
      <w:pPr>
        <w:spacing w:after="0" w:line="25" w:lineRule="exact"/>
        <w:rPr>
          <w:rFonts w:ascii="Arial" w:cs="Arial" w:eastAsia="Arial" w:hAnsi="Arial"/>
          <w:sz w:val="13"/>
          <w:szCs w:val="13"/>
          <w:color w:val="008000"/>
        </w:rPr>
      </w:pPr>
    </w:p>
    <w:p>
      <w:pPr>
        <w:ind w:left="20" w:right="32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with this same footnote involved amendments of two outstanding options, resulting in the deemed cancellation of the old options and the grant of two replacement options. The old options were originally granted on July 30, 2001. The vesting schedules of the old options were reported on an amended Form 4 filed by the reporting person on 11/20/02.</w:t>
      </w:r>
    </w:p>
    <w:p>
      <w:pPr>
        <w:spacing w:after="0" w:line="25" w:lineRule="exact"/>
        <w:rPr>
          <w:rFonts w:ascii="Arial" w:cs="Arial" w:eastAsia="Arial" w:hAnsi="Arial"/>
          <w:sz w:val="13"/>
          <w:szCs w:val="13"/>
          <w:color w:val="008000"/>
        </w:rPr>
      </w:pPr>
    </w:p>
    <w:p>
      <w:pPr>
        <w:ind w:left="20" w:right="40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with this same footnote involved an amendment of an outstanding option, resulting in the deemed cancellation of the old option and the grant of a replacement option. The old option was originally granted on January 24, 2002. The vesting schedule of the old option was reported on an amended Form 4 filed by the reporting person on 11/20/02.</w:t>
      </w:r>
    </w:p>
    <w:p>
      <w:pPr>
        <w:spacing w:after="0" w:line="25" w:lineRule="exact"/>
        <w:rPr>
          <w:rFonts w:ascii="Arial" w:cs="Arial" w:eastAsia="Arial" w:hAnsi="Arial"/>
          <w:sz w:val="13"/>
          <w:szCs w:val="13"/>
          <w:color w:val="008000"/>
        </w:rPr>
      </w:pPr>
    </w:p>
    <w:p>
      <w:pPr>
        <w:ind w:left="20" w:right="32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with this same footnote involved amendments of two outstanding options, resulting in the deemed cancellation of the old options and the grant of two replacement options. The old options were originally granted on October 28, 2002. The vesting schedules of the old options were reported on an amended Form 4 filed by the reporting person on 11/20/02.</w:t>
      </w:r>
    </w:p>
    <w:p>
      <w:pPr>
        <w:spacing w:after="0" w:line="25" w:lineRule="exact"/>
        <w:rPr>
          <w:rFonts w:ascii="Arial" w:cs="Arial" w:eastAsia="Arial" w:hAnsi="Arial"/>
          <w:sz w:val="13"/>
          <w:szCs w:val="13"/>
          <w:color w:val="008000"/>
        </w:rPr>
      </w:pPr>
    </w:p>
    <w:p>
      <w:pPr>
        <w:ind w:left="20" w:right="22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vesting schedule of this replacement option is the same as the vesting schedule for the old option: 57,750 shares are immediately exercisable; 19,250 shares are exercisable on each of 10/28/2006 and 10/28/2007; 4,750 shares are exercisable on each of 10/28/2008, 10/28/2009, 10/28/2010 and 10/28/2011; and 556 shares are exercisable on 4/26/2012.</w:t>
      </w:r>
    </w:p>
    <w:p>
      <w:pPr>
        <w:spacing w:after="0" w:line="25"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vesting schedule of this replacement option is the same as the vesting schedule for the old option: the shares are exercisable on 4/27/2012.</w:t>
      </w:r>
    </w:p>
    <w:p>
      <w:pPr>
        <w:spacing w:after="0" w:line="44"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is an option to purchase Class A Common Stock.</w:t>
      </w:r>
    </w:p>
    <w:p>
      <w:pPr>
        <w:spacing w:after="0" w:line="44" w:lineRule="exact"/>
        <w:rPr>
          <w:rFonts w:ascii="Arial" w:cs="Arial" w:eastAsia="Arial" w:hAnsi="Arial"/>
          <w:sz w:val="13"/>
          <w:szCs w:val="13"/>
          <w:color w:val="008000"/>
        </w:rPr>
      </w:pPr>
    </w:p>
    <w:p>
      <w:pPr>
        <w:ind w:left="20" w:right="340" w:firstLine="2"/>
        <w:spacing w:after="0" w:line="249" w:lineRule="auto"/>
        <w:tabs>
          <w:tab w:leader="none" w:pos="21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with this same footnote involved an amendment of an outstanding option, resulting in the deemed cancellation of the old option and the grant of a replacement option. The old option was originally granted on February 26, 2003. The vesting schedule of the old option was reported on a Form 4 filed by the reporting person on 2/28/03.</w:t>
      </w:r>
    </w:p>
    <w:p>
      <w:pPr>
        <w:spacing w:after="0" w:line="25" w:lineRule="exact"/>
        <w:rPr>
          <w:rFonts w:ascii="Arial" w:cs="Arial" w:eastAsia="Arial" w:hAnsi="Arial"/>
          <w:sz w:val="13"/>
          <w:szCs w:val="13"/>
          <w:color w:val="008000"/>
        </w:rPr>
      </w:pPr>
    </w:p>
    <w:p>
      <w:pPr>
        <w:ind w:left="20" w:right="340" w:firstLine="2"/>
        <w:spacing w:after="0" w:line="249"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with this same footnote involved an amendment of an outstanding option, resulting in the deemed cancellation of the old option and the grant of a replacement option. The old option was originally granted on March 9, 2004. The vesting schedule of the old option was reported on a Form 4 filed by the reporting person on 3/11/04.</w:t>
      </w:r>
    </w:p>
    <w:p>
      <w:pPr>
        <w:spacing w:after="0" w:line="25" w:lineRule="exact"/>
        <w:rPr>
          <w:rFonts w:ascii="Arial" w:cs="Arial" w:eastAsia="Arial" w:hAnsi="Arial"/>
          <w:sz w:val="13"/>
          <w:szCs w:val="13"/>
          <w:color w:val="008000"/>
        </w:rPr>
      </w:pPr>
    </w:p>
    <w:p>
      <w:pPr>
        <w:ind w:left="20" w:right="340" w:firstLine="2"/>
        <w:spacing w:after="0" w:line="249" w:lineRule="auto"/>
        <w:tabs>
          <w:tab w:leader="none" w:pos="21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with this same footnote involved an amendment of an outstanding option, resulting in the deemed cancellation of the old option and the grant of a replacement option. The old option was originally granted on March 14, 2005. The vesting schedule of the old option was reported on a Form 4 filed by the reporting person on 3/15/05.</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Smith, Lawrence S.</w:t>
            </w:r>
          </w:p>
        </w:tc>
        <w:tc>
          <w:tcPr>
            <w:tcW w:w="7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11/09/2005</w:t>
            </w:r>
          </w:p>
        </w:tc>
      </w:tr>
      <w:tr>
        <w:trPr>
          <w:trHeight w:val="224"/>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4040" w:firstLine="2"/>
        <w:spacing w:after="0" w:line="334"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60" w:top="187" w:right="13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8460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2019-12-18T10:11:08Z</dcterms:created>
  <dcterms:modified xsi:type="dcterms:W3CDTF">2019-12-18T10:11:08Z</dcterms:modified>
</cp:coreProperties>
</file>