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481" w:right="3280" w:hanging="481"/>
        <w:spacing w:after="0" w:line="242"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7"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JUNE 30, 2003</w:t>
      </w:r>
    </w:p>
    <w:p>
      <w:pPr>
        <w:spacing w:after="0" w:line="188"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481" w:right="3280"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7"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Commission File Number 001-15471</w:t>
      </w:r>
    </w:p>
    <w:p>
      <w:pPr>
        <w:spacing w:after="0" w:line="18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COMCAST HOLDINGS CORPORATION</w:t>
      </w:r>
    </w:p>
    <w:p>
      <w:pPr>
        <w:spacing w:after="0" w:line="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tbl>
      <w:tblPr>
        <w:tblLayout w:type="fixed"/>
        <w:tblInd w:w="681" w:type="dxa"/>
        <w:tblCellMar>
          <w:top w:w="0" w:type="dxa"/>
          <w:left w:w="0" w:type="dxa"/>
          <w:bottom w:w="0" w:type="dxa"/>
          <w:right w:w="0" w:type="dxa"/>
        </w:tblCellMar>
      </w:tblPr>
      <w:tr>
        <w:trPr>
          <w:trHeight w:val="181"/>
        </w:trPr>
        <w:tc>
          <w:tcPr>
            <w:tcW w:w="316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55" w:orient="portrait"/>
          <w:cols w:equalWidth="0" w:num="1">
            <w:col w:w="10961"/>
          </w:cols>
          <w:pgMar w:left="239" w:top="238" w:right="699" w:bottom="0" w:gutter="0" w:footer="0" w:header="0"/>
        </w:sectPr>
      </w:pPr>
    </w:p>
    <w:p>
      <w:pPr>
        <w:spacing w:after="0" w:line="190" w:lineRule="exact"/>
        <w:rPr>
          <w:sz w:val="24"/>
          <w:szCs w:val="24"/>
          <w:color w:val="auto"/>
        </w:rPr>
      </w:pPr>
    </w:p>
    <w:p>
      <w:pPr>
        <w:ind w:left="1" w:right="1780"/>
        <w:spacing w:after="0" w:line="242"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7" w:lineRule="exact"/>
        <w:rPr>
          <w:sz w:val="24"/>
          <w:szCs w:val="24"/>
          <w:color w:val="auto"/>
        </w:rPr>
      </w:pPr>
    </w:p>
    <w:p>
      <w:pPr>
        <w:sectPr>
          <w:pgSz w:w="11900" w:h="16855" w:orient="portrait"/>
          <w:cols w:equalWidth="0" w:num="2">
            <w:col w:w="4761" w:space="720"/>
            <w:col w:w="5480"/>
          </w:cols>
          <w:pgMar w:left="239" w:top="238" w:right="699" w:bottom="0" w:gutter="0" w:footer="0" w:header="0"/>
          <w:type w:val="continuous"/>
        </w:sectPr>
      </w:pPr>
    </w:p>
    <w:p>
      <w:pPr>
        <w:ind w:left="1641"/>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9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4"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(Zip Code)</w:t>
      </w:r>
    </w:p>
    <w:p>
      <w:pPr>
        <w:spacing w:after="0" w:line="188" w:lineRule="exact"/>
        <w:rPr>
          <w:sz w:val="24"/>
          <w:szCs w:val="24"/>
          <w:color w:val="auto"/>
        </w:rPr>
      </w:pPr>
    </w:p>
    <w:p>
      <w:pPr>
        <w:ind w:left="1"/>
        <w:spacing w:after="0"/>
        <w:tabs>
          <w:tab w:leader="none" w:pos="5081"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8"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jc w:val="both"/>
        <w:ind w:left="1" w:right="3280"/>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55" w:orient="portrait"/>
          <w:cols w:equalWidth="0" w:num="1">
            <w:col w:w="10961"/>
          </w:cols>
          <w:pgMar w:left="239" w:top="238" w:right="699" w:bottom="0" w:gutter="0" w:footer="0" w:header="0"/>
          <w:type w:val="continuous"/>
        </w:sectPr>
      </w:pPr>
    </w:p>
    <w:p>
      <w:pPr>
        <w:spacing w:after="0" w:line="185"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436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4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sectPr>
          <w:pgSz w:w="11900" w:h="16855" w:orient="portrait"/>
          <w:cols w:equalWidth="0" w:num="4">
            <w:col w:w="1161" w:space="0"/>
            <w:col w:w="4840" w:space="720"/>
            <w:col w:w="200" w:space="0"/>
            <w:col w:w="4040"/>
          </w:cols>
          <w:pgMar w:left="239" w:top="238" w:right="699" w:bottom="0" w:gutter="0" w:footer="0" w:header="0"/>
          <w:type w:val="continuous"/>
        </w:sectPr>
      </w:pPr>
    </w:p>
    <w:p>
      <w:pPr>
        <w:ind w:left="2601"/>
        <w:spacing w:after="0"/>
        <w:rPr>
          <w:sz w:val="20"/>
          <w:szCs w:val="20"/>
          <w:color w:val="auto"/>
        </w:rPr>
      </w:pPr>
      <w:r>
        <w:rPr>
          <w:rFonts w:ascii="Courier New" w:cs="Courier New" w:eastAsia="Courier New" w:hAnsi="Courier New"/>
          <w:sz w:val="16"/>
          <w:szCs w:val="16"/>
          <w:color w:val="auto"/>
        </w:rPr>
        <w:t>--------------------------</w:t>
      </w:r>
    </w:p>
    <w:p>
      <w:pPr>
        <w:sectPr>
          <w:pgSz w:w="11900" w:h="16855" w:orient="portrait"/>
          <w:cols w:equalWidth="0" w:num="1">
            <w:col w:w="10961"/>
          </w:cols>
          <w:pgMar w:left="239" w:top="238" w:right="699" w:bottom="0" w:gutter="0" w:footer="0" w:header="0"/>
          <w:type w:val="continuous"/>
        </w:sectPr>
      </w:pPr>
    </w:p>
    <w:p>
      <w:pPr>
        <w:spacing w:after="0" w:line="190" w:lineRule="exact"/>
        <w:rPr>
          <w:sz w:val="24"/>
          <w:szCs w:val="24"/>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Indicate by check mark whether the registrant defined in Rule 12-b2 of the Exchange Act). Yes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is an</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accelerated</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filer (as</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 X</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sectPr>
          <w:pgSz w:w="11900" w:h="16855" w:orient="portrait"/>
          <w:cols w:equalWidth="0" w:num="4">
            <w:col w:w="4701" w:space="0"/>
            <w:col w:w="680" w:space="200"/>
            <w:col w:w="1040" w:space="100"/>
            <w:col w:w="4240"/>
          </w:cols>
          <w:pgMar w:left="239" w:top="238" w:right="699" w:bottom="0" w:gutter="0" w:footer="0" w:header="0"/>
          <w:type w:val="continuous"/>
        </w:sectPr>
      </w:pPr>
    </w:p>
    <w:p>
      <w:pPr>
        <w:jc w:val="both"/>
        <w:ind w:left="1" w:right="3280"/>
        <w:spacing w:after="0" w:line="243" w:lineRule="auto"/>
        <w:rPr>
          <w:sz w:val="20"/>
          <w:szCs w:val="20"/>
          <w:color w:val="auto"/>
        </w:rPr>
      </w:pPr>
      <w:r>
        <w:rPr>
          <w:rFonts w:ascii="Courier New" w:cs="Courier New" w:eastAsia="Courier New" w:hAnsi="Courier New"/>
          <w:sz w:val="16"/>
          <w:szCs w:val="16"/>
          <w:color w:val="auto"/>
        </w:rPr>
        <w:t>As of June 30, 2003, there were 21,591,115 shares of Class A Common Stock, 916,198,519 shares of Class A Special Common Stock and 9,444,375 shares of Class B Common Stock outstanding.</w:t>
      </w:r>
    </w:p>
    <w:p>
      <w:pPr>
        <w:spacing w:after="0" w:line="187"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jc w:val="both"/>
        <w:ind w:left="1" w:right="3280"/>
        <w:spacing w:after="0" w:line="243" w:lineRule="auto"/>
        <w:rPr>
          <w:sz w:val="20"/>
          <w:szCs w:val="20"/>
          <w:color w:val="auto"/>
        </w:rPr>
      </w:pPr>
      <w:r>
        <w:rPr>
          <w:rFonts w:ascii="Courier New" w:cs="Courier New" w:eastAsia="Courier New" w:hAnsi="Courier New"/>
          <w:sz w:val="16"/>
          <w:szCs w:val="16"/>
          <w:color w:val="auto"/>
        </w:rPr>
        <w:t>The Registrant meets the conditions set forth in General Instructions H(1)(a) and (b) of Form 10-Q and is therefore filing this Form with the reduced disclosure format.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left="78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4"/>
          <w:szCs w:val="24"/>
          <w:color w:val="auto"/>
        </w:rPr>
      </w:pPr>
    </w:p>
    <w:p>
      <w:pPr>
        <w:jc w:val="center"/>
        <w:ind w:left="7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jc w:val="center"/>
        <w:ind w:left="780"/>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4"/>
          <w:szCs w:val="24"/>
          <w:color w:val="auto"/>
        </w:rPr>
      </w:pPr>
    </w:p>
    <w:p>
      <w:pPr>
        <w:jc w:val="center"/>
        <w:ind w:left="78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4"/>
          <w:szCs w:val="24"/>
          <w:color w:val="auto"/>
        </w:rPr>
      </w:pPr>
    </w:p>
    <w:p>
      <w:pPr>
        <w:jc w:val="right"/>
        <w:spacing w:after="0"/>
        <w:rPr>
          <w:sz w:val="20"/>
          <w:szCs w:val="20"/>
          <w:color w:val="auto"/>
        </w:rPr>
      </w:pPr>
      <w:r>
        <w:rPr>
          <w:rFonts w:ascii="Courier New" w:cs="Courier New" w:eastAsia="Courier New" w:hAnsi="Courier New"/>
          <w:sz w:val="16"/>
          <w:szCs w:val="16"/>
          <w:color w:val="auto"/>
        </w:rPr>
        <w:t>Page Number</w:t>
      </w:r>
    </w:p>
    <w:p>
      <w:pPr>
        <w:spacing w:after="0" w:line="4" w:lineRule="exact"/>
        <w:rPr>
          <w:sz w:val="24"/>
          <w:szCs w:val="24"/>
          <w:color w:val="auto"/>
        </w:rPr>
      </w:pPr>
    </w:p>
    <w:p>
      <w:pPr>
        <w:ind w:left="990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88" w:lineRule="exact"/>
        <w:rPr>
          <w:sz w:val="24"/>
          <w:szCs w:val="24"/>
          <w:color w:val="auto"/>
        </w:rPr>
      </w:pPr>
    </w:p>
    <w:p>
      <w:pPr>
        <w:ind w:left="1061"/>
        <w:spacing w:after="0"/>
        <w:tabs>
          <w:tab w:leader="none" w:pos="2101"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8"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Condensed Consolidated Balance Sheet as of June 30, 2003</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and December 31, 2002 (Unaudited)</w:t>
      </w:r>
      <w:r>
        <w:rPr>
          <w:sz w:val="20"/>
          <w:szCs w:val="20"/>
          <w:color w:val="auto"/>
        </w:rPr>
        <w:tab/>
      </w:r>
      <w:r>
        <w:rPr>
          <w:rFonts w:ascii="Courier New" w:cs="Courier New" w:eastAsia="Courier New" w:hAnsi="Courier New"/>
          <w:sz w:val="13"/>
          <w:szCs w:val="13"/>
          <w:color w:val="auto"/>
        </w:rPr>
        <w:t>2</w:t>
      </w:r>
    </w:p>
    <w:p>
      <w:pPr>
        <w:spacing w:after="0" w:line="4"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Condensed Consolidated Statement of Operations for the Three and Six Months</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Ended June 30, 2003 and 2002 (Unaudited)</w:t>
      </w:r>
      <w:r>
        <w:rPr>
          <w:sz w:val="20"/>
          <w:szCs w:val="20"/>
          <w:color w:val="auto"/>
        </w:rPr>
        <w:tab/>
      </w:r>
      <w:r>
        <w:rPr>
          <w:rFonts w:ascii="Courier New" w:cs="Courier New" w:eastAsia="Courier New" w:hAnsi="Courier New"/>
          <w:sz w:val="13"/>
          <w:szCs w:val="13"/>
          <w:color w:val="auto"/>
        </w:rPr>
        <w:t>3</w:t>
      </w:r>
    </w:p>
    <w:p>
      <w:pPr>
        <w:spacing w:after="0" w:line="4"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Condensed Consolidated Statement of Cash Flows for the Six Months</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Ended June 30, 2003 and 2002 (Unaudited)</w:t>
      </w:r>
      <w:r>
        <w:rPr>
          <w:sz w:val="20"/>
          <w:szCs w:val="20"/>
          <w:color w:val="auto"/>
        </w:rPr>
        <w:tab/>
      </w:r>
      <w:r>
        <w:rPr>
          <w:rFonts w:ascii="Courier New" w:cs="Courier New" w:eastAsia="Courier New" w:hAnsi="Courier New"/>
          <w:sz w:val="13"/>
          <w:szCs w:val="13"/>
          <w:color w:val="auto"/>
        </w:rPr>
        <w:t>4</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3"/>
          <w:szCs w:val="13"/>
          <w:color w:val="auto"/>
        </w:rPr>
        <w:t>5</w:t>
      </w:r>
    </w:p>
    <w:p>
      <w:pPr>
        <w:spacing w:after="0" w:line="4" w:lineRule="exact"/>
        <w:rPr>
          <w:sz w:val="24"/>
          <w:szCs w:val="24"/>
          <w:color w:val="auto"/>
        </w:rPr>
      </w:pPr>
    </w:p>
    <w:p>
      <w:pPr>
        <w:ind w:left="1061"/>
        <w:spacing w:after="0"/>
        <w:tabs>
          <w:tab w:leader="none" w:pos="2101"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4" w:lineRule="exact"/>
        <w:rPr>
          <w:sz w:val="24"/>
          <w:szCs w:val="24"/>
          <w:color w:val="auto"/>
        </w:rPr>
      </w:pPr>
    </w:p>
    <w:p>
      <w:pPr>
        <w:ind w:left="2121"/>
        <w:spacing w:after="0"/>
        <w:tabs>
          <w:tab w:leader="dot" w:pos="10361"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5"/>
          <w:szCs w:val="15"/>
          <w:color w:val="auto"/>
        </w:rPr>
        <w:t>18</w:t>
      </w:r>
    </w:p>
    <w:p>
      <w:pPr>
        <w:spacing w:after="0" w:line="4" w:lineRule="exact"/>
        <w:rPr>
          <w:sz w:val="24"/>
          <w:szCs w:val="24"/>
          <w:color w:val="auto"/>
        </w:rPr>
      </w:pPr>
    </w:p>
    <w:p>
      <w:pPr>
        <w:ind w:left="1061"/>
        <w:spacing w:after="0"/>
        <w:tabs>
          <w:tab w:leader="none" w:pos="2101" w:val="left"/>
          <w:tab w:leader="dot" w:pos="10361"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r>
        <w:rPr>
          <w:sz w:val="20"/>
          <w:szCs w:val="20"/>
          <w:color w:val="auto"/>
        </w:rPr>
        <w:tab/>
      </w:r>
      <w:r>
        <w:rPr>
          <w:rFonts w:ascii="Courier New" w:cs="Courier New" w:eastAsia="Courier New" w:hAnsi="Courier New"/>
          <w:sz w:val="15"/>
          <w:szCs w:val="15"/>
          <w:color w:val="auto"/>
        </w:rPr>
        <w:t>24</w:t>
      </w:r>
    </w:p>
    <w:p>
      <w:pPr>
        <w:sectPr>
          <w:pgSz w:w="11900" w:h="16855" w:orient="portrait"/>
          <w:cols w:equalWidth="0" w:num="1">
            <w:col w:w="10961"/>
          </w:cols>
          <w:pgMar w:left="239" w:top="238" w:right="699" w:bottom="0" w:gutter="0" w:footer="0" w:header="0"/>
          <w:type w:val="continuous"/>
        </w:sectPr>
      </w:pPr>
    </w:p>
    <w:bookmarkStart w:id="1" w:name="page2"/>
    <w:bookmarkEnd w:id="1"/>
    <w:tbl>
      <w:tblPr>
        <w:tblLayout w:type="fixed"/>
        <w:tblInd w:w="1" w:type="dxa"/>
        <w:tblCellMar>
          <w:top w:w="0" w:type="dxa"/>
          <w:left w:w="0" w:type="dxa"/>
          <w:bottom w:w="0" w:type="dxa"/>
          <w:right w:w="0" w:type="dxa"/>
        </w:tblCellMar>
      </w:tblPr>
      <w:tr>
        <w:trPr>
          <w:trHeight w:val="181"/>
        </w:trPr>
        <w:tc>
          <w:tcPr>
            <w:tcW w:w="10380" w:type="dxa"/>
            <w:vAlign w:val="bottom"/>
            <w:gridSpan w:val="3"/>
          </w:tcPr>
          <w:p>
            <w:pPr>
              <w:spacing w:after="0"/>
              <w:rPr>
                <w:sz w:val="20"/>
                <w:szCs w:val="20"/>
                <w:color w:val="auto"/>
              </w:rPr>
            </w:pPr>
            <w:r>
              <w:rPr>
                <w:rFonts w:ascii="Courier New" w:cs="Courier New" w:eastAsia="Courier New" w:hAnsi="Courier New"/>
                <w:sz w:val="16"/>
                <w:szCs w:val="16"/>
                <w:color w:val="auto"/>
              </w:rPr>
              <w:t>PART II.   OTHER INFORMATION</w:t>
            </w:r>
          </w:p>
        </w:tc>
        <w:tc>
          <w:tcPr>
            <w:tcW w:w="180" w:type="dxa"/>
            <w:vAlign w:val="bottom"/>
          </w:tcPr>
          <w:p>
            <w:pPr>
              <w:spacing w:after="0"/>
              <w:rPr>
                <w:sz w:val="15"/>
                <w:szCs w:val="15"/>
                <w:color w:val="auto"/>
              </w:rPr>
            </w:pPr>
          </w:p>
        </w:tc>
      </w:tr>
      <w:tr>
        <w:trPr>
          <w:trHeight w:val="370"/>
        </w:trPr>
        <w:tc>
          <w:tcPr>
            <w:tcW w:w="1480" w:type="dxa"/>
            <w:vAlign w:val="bottom"/>
          </w:tcPr>
          <w:p>
            <w:pPr>
              <w:ind w:left="1060"/>
              <w:spacing w:after="0"/>
              <w:rPr>
                <w:sz w:val="20"/>
                <w:szCs w:val="20"/>
                <w:color w:val="auto"/>
              </w:rPr>
            </w:pPr>
            <w:r>
              <w:rPr>
                <w:rFonts w:ascii="Courier New" w:cs="Courier New" w:eastAsia="Courier New" w:hAnsi="Courier New"/>
                <w:sz w:val="16"/>
                <w:szCs w:val="16"/>
                <w:color w:val="auto"/>
              </w:rPr>
              <w:t>ITEM</w:t>
            </w:r>
          </w:p>
        </w:tc>
        <w:tc>
          <w:tcPr>
            <w:tcW w:w="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w:t>
            </w:r>
          </w:p>
        </w:tc>
        <w:tc>
          <w:tcPr>
            <w:tcW w:w="8360" w:type="dxa"/>
            <w:vAlign w:val="bottom"/>
          </w:tcPr>
          <w:p>
            <w:pPr>
              <w:jc w:val="right"/>
              <w:spacing w:after="0"/>
              <w:rPr>
                <w:sz w:val="20"/>
                <w:szCs w:val="20"/>
                <w:color w:val="auto"/>
              </w:rPr>
            </w:pPr>
            <w:r>
              <w:rPr>
                <w:rFonts w:ascii="Courier New" w:cs="Courier New" w:eastAsia="Courier New" w:hAnsi="Courier New"/>
                <w:sz w:val="16"/>
                <w:szCs w:val="16"/>
                <w:color w:val="auto"/>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1480" w:type="dxa"/>
            <w:vAlign w:val="bottom"/>
          </w:tcPr>
          <w:p>
            <w:pPr>
              <w:ind w:left="1060"/>
              <w:spacing w:after="0"/>
              <w:rPr>
                <w:sz w:val="20"/>
                <w:szCs w:val="20"/>
                <w:color w:val="auto"/>
              </w:rPr>
            </w:pPr>
            <w:r>
              <w:rPr>
                <w:rFonts w:ascii="Courier New" w:cs="Courier New" w:eastAsia="Courier New" w:hAnsi="Courier New"/>
                <w:sz w:val="16"/>
                <w:szCs w:val="16"/>
                <w:color w:val="auto"/>
              </w:rPr>
              <w:t>ITEM</w:t>
            </w:r>
          </w:p>
        </w:tc>
        <w:tc>
          <w:tcPr>
            <w:tcW w:w="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w:t>
            </w:r>
          </w:p>
        </w:tc>
        <w:tc>
          <w:tcPr>
            <w:tcW w:w="8360" w:type="dxa"/>
            <w:vAlign w:val="bottom"/>
          </w:tcPr>
          <w:p>
            <w:pPr>
              <w:jc w:val="right"/>
              <w:spacing w:after="0"/>
              <w:rPr>
                <w:sz w:val="20"/>
                <w:szCs w:val="20"/>
                <w:color w:val="auto"/>
              </w:rPr>
            </w:pPr>
            <w:r>
              <w:rPr>
                <w:rFonts w:ascii="Courier New" w:cs="Courier New" w:eastAsia="Courier New" w:hAnsi="Courier New"/>
                <w:sz w:val="16"/>
                <w:szCs w:val="16"/>
                <w:color w:val="auto"/>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2020" w:type="dxa"/>
            <w:vAlign w:val="bottom"/>
            <w:gridSpan w:val="2"/>
          </w:tcPr>
          <w:p>
            <w:pPr>
              <w:ind w:left="1060"/>
              <w:spacing w:after="0"/>
              <w:rPr>
                <w:sz w:val="20"/>
                <w:szCs w:val="20"/>
                <w:color w:val="auto"/>
              </w:rPr>
            </w:pPr>
            <w:r>
              <w:rPr>
                <w:rFonts w:ascii="Courier New" w:cs="Courier New" w:eastAsia="Courier New" w:hAnsi="Courier New"/>
                <w:sz w:val="16"/>
                <w:szCs w:val="16"/>
                <w:color w:val="auto"/>
                <w:w w:val="97"/>
              </w:rPr>
              <w:t>SIGNATURES</w:t>
            </w:r>
          </w:p>
        </w:tc>
        <w:tc>
          <w:tcPr>
            <w:tcW w:w="83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bl>
    <w:p>
      <w:pPr>
        <w:spacing w:after="0" w:line="188"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left="1" w:right="2880" w:firstLine="480"/>
        <w:spacing w:after="0" w:line="244" w:lineRule="auto"/>
        <w:rPr>
          <w:sz w:val="20"/>
          <w:szCs w:val="20"/>
          <w:color w:val="auto"/>
        </w:rPr>
      </w:pPr>
      <w:r>
        <w:rPr>
          <w:rFonts w:ascii="Courier New" w:cs="Courier New" w:eastAsia="Courier New" w:hAnsi="Courier New"/>
          <w:sz w:val="16"/>
          <w:szCs w:val="16"/>
          <w:color w:val="auto"/>
        </w:rPr>
        <w:t>This Quarterly Report on Form 10-Q is for the three and six months ended June 30, 2003. This Quarterly Report modifies and supersedes documents filed prior to this Quarterly Report. Information that we file with the SEC in the future will automatically update and supersede information contained in this Quarterly Report. In this Quarterly Report, "Comcast Holdings," "we," "us," "our" and the "Company" refer to Comcast Holdings Corporation and its subsidiaries, and "Comcast" refers to Comcast Corporation.</w:t>
      </w:r>
    </w:p>
    <w:p>
      <w:pPr>
        <w:spacing w:after="0" w:line="188" w:lineRule="exact"/>
        <w:rPr>
          <w:sz w:val="20"/>
          <w:szCs w:val="20"/>
          <w:color w:val="auto"/>
        </w:rPr>
      </w:pPr>
    </w:p>
    <w:p>
      <w:pPr>
        <w:jc w:val="both"/>
        <w:ind w:left="1" w:right="2880" w:firstLine="480"/>
        <w:spacing w:after="0" w:line="244"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0" w:lineRule="exact"/>
        <w:rPr>
          <w:sz w:val="20"/>
          <w:szCs w:val="20"/>
          <w:color w:val="auto"/>
        </w:rPr>
      </w:pPr>
    </w:p>
    <w:p>
      <w:pPr>
        <w:jc w:val="both"/>
        <w:ind w:left="1" w:right="2880" w:firstLine="480"/>
        <w:spacing w:after="0" w:line="243" w:lineRule="auto"/>
        <w:rPr>
          <w:sz w:val="20"/>
          <w:szCs w:val="20"/>
          <w:color w:val="auto"/>
        </w:rPr>
      </w:pPr>
      <w:r>
        <w:rPr>
          <w:rFonts w:ascii="Courier New" w:cs="Courier New" w:eastAsia="Courier New" w:hAnsi="Courier New"/>
          <w:sz w:val="16"/>
          <w:szCs w:val="16"/>
          <w:color w:val="auto"/>
        </w:rPr>
        <w:t>As more fully described elsewhere in this Quarterly Report, in July 2003 we, Comcast and Liberty Media Corporation entered into an agreement pursuant to which Liberty will purchase our approximate 57% interest in QVC in a transaction we expect to close by the end of 2003.</w:t>
      </w:r>
    </w:p>
    <w:p>
      <w:pPr>
        <w:spacing w:after="0" w:line="190" w:lineRule="exact"/>
        <w:rPr>
          <w:sz w:val="20"/>
          <w:szCs w:val="20"/>
          <w:color w:val="auto"/>
        </w:rPr>
      </w:pPr>
    </w:p>
    <w:p>
      <w:pPr>
        <w:jc w:val="both"/>
        <w:ind w:left="1" w:right="2880" w:firstLine="480"/>
        <w:spacing w:after="0" w:line="243" w:lineRule="auto"/>
        <w:rPr>
          <w:sz w:val="20"/>
          <w:szCs w:val="20"/>
          <w:color w:val="auto"/>
        </w:rPr>
      </w:pPr>
      <w:r>
        <w:rPr>
          <w:rFonts w:ascii="Courier New" w:cs="Courier New" w:eastAsia="Courier New" w:hAnsi="Courier New"/>
          <w:sz w:val="16"/>
          <w:szCs w:val="16"/>
          <w:color w:val="auto"/>
        </w:rPr>
        <w:t>In addition, factors that may cause our actual results to differ materially from any of our forward-looking statements presented in this Quarterly Report include, but are not limited to:</w:t>
      </w:r>
    </w:p>
    <w:p>
      <w:pPr>
        <w:spacing w:after="0" w:line="187" w:lineRule="exact"/>
        <w:rPr>
          <w:sz w:val="20"/>
          <w:szCs w:val="20"/>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jc w:val="both"/>
        <w:ind w:left="481" w:right="2880" w:hanging="481"/>
        <w:spacing w:after="0" w:line="243" w:lineRule="auto"/>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3" w:lineRule="exact"/>
        <w:rPr>
          <w:rFonts w:ascii="Courier New" w:cs="Courier New" w:eastAsia="Courier New" w:hAnsi="Courier New"/>
          <w:sz w:val="16"/>
          <w:szCs w:val="16"/>
          <w:color w:val="auto"/>
        </w:rPr>
      </w:pPr>
    </w:p>
    <w:p>
      <w:pPr>
        <w:ind w:left="481" w:right="2880" w:hanging="481"/>
        <w:spacing w:after="0" w:line="242" w:lineRule="auto"/>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2"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561"/>
          </w:cols>
          <w:pgMar w:left="239" w:top="140" w:right="1099" w:bottom="1440" w:gutter="0" w:footer="0" w:header="0"/>
        </w:sectPr>
      </w:pPr>
    </w:p>
    <w:bookmarkStart w:id="2" w:name="page3"/>
    <w:bookmarkEnd w:id="2"/>
    <w:p>
      <w:pPr>
        <w:jc w:val="center"/>
        <w:ind w:right="37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QUARTER ENDED JUNE 30, 2003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5"/>
        </w:trPr>
        <w:tc>
          <w:tcPr>
            <w:tcW w:w="64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70"/>
        </w:trPr>
        <w:tc>
          <w:tcPr>
            <w:tcW w:w="6440" w:type="dxa"/>
            <w:vAlign w:val="bottom"/>
          </w:tcPr>
          <w:p>
            <w:pPr>
              <w:spacing w:after="0"/>
              <w:rPr>
                <w:sz w:val="20"/>
                <w:szCs w:val="20"/>
                <w:color w:val="auto"/>
              </w:rPr>
            </w:pPr>
            <w:r>
              <w:rPr>
                <w:rFonts w:ascii="Courier New" w:cs="Courier New" w:eastAsia="Courier New" w:hAnsi="Courier New"/>
                <w:sz w:val="16"/>
                <w:szCs w:val="16"/>
                <w:color w:val="auto"/>
              </w:rPr>
              <w:t>ITEM 1. FINANCIAL STATEMENTS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70"/>
        </w:trPr>
        <w:tc>
          <w:tcPr>
            <w:tcW w:w="7580" w:type="dxa"/>
            <w:vAlign w:val="bottom"/>
            <w:gridSpan w:val="3"/>
          </w:tcPr>
          <w:p>
            <w:pPr>
              <w:ind w:left="3840"/>
              <w:spacing w:after="0"/>
              <w:rPr>
                <w:sz w:val="20"/>
                <w:szCs w:val="20"/>
                <w:color w:val="auto"/>
              </w:rPr>
            </w:pPr>
            <w:r>
              <w:rPr>
                <w:rFonts w:ascii="Courier New" w:cs="Courier New" w:eastAsia="Courier New" w:hAnsi="Courier New"/>
                <w:sz w:val="16"/>
                <w:szCs w:val="16"/>
                <w:color w:val="auto"/>
              </w:rPr>
              <w:t>CONDENSED CONSOLIDATED BALANCE SHEET</w:t>
            </w:r>
          </w:p>
        </w:tc>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5"/>
        </w:trPr>
        <w:tc>
          <w:tcPr>
            <w:tcW w:w="6440" w:type="dxa"/>
            <w:vAlign w:val="bottom"/>
          </w:tcPr>
          <w:p>
            <w:pPr>
              <w:ind w:left="5100"/>
              <w:spacing w:after="0"/>
              <w:rPr>
                <w:sz w:val="20"/>
                <w:szCs w:val="20"/>
                <w:color w:val="auto"/>
              </w:rPr>
            </w:pPr>
            <w:r>
              <w:rPr>
                <w:rFonts w:ascii="Courier New" w:cs="Courier New" w:eastAsia="Courier New" w:hAnsi="Courier New"/>
                <w:sz w:val="16"/>
                <w:szCs w:val="16"/>
                <w:color w:val="auto"/>
              </w:rPr>
              <w:t>(Unaudited)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70"/>
        </w:trPr>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 millions, except share data)</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June 30,</w:t>
            </w:r>
          </w:p>
        </w:tc>
        <w:tc>
          <w:tcPr>
            <w:tcW w:w="2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2003</w:t>
            </w:r>
          </w:p>
        </w:tc>
        <w:tc>
          <w:tcPr>
            <w:tcW w:w="234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370"/>
        </w:trPr>
        <w:tc>
          <w:tcPr>
            <w:tcW w:w="64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9"/>
              </w:rPr>
              <w:t>Cash and cash equivalents..................................................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$1,298</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$676</w:t>
            </w: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9"/>
              </w:rPr>
              <w:t>Investments................................................................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179</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525</w:t>
            </w: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 of $164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and $160</w:t>
            </w: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959</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1,015</w:t>
            </w: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9"/>
              </w:rPr>
              <w:t>Inventories, net...........................................................</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506</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9"/>
              </w:rPr>
              <w:t>Deferred income taxes......................................................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137</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129</w:t>
            </w: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9"/>
              </w:rPr>
              <w:t>Due from affiliates........................................................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317</w:t>
            </w:r>
          </w:p>
        </w:tc>
        <w:tc>
          <w:tcPr>
            <w:tcW w:w="2340" w:type="dxa"/>
            <w:vAlign w:val="bottom"/>
          </w:tcPr>
          <w:p>
            <w:pPr>
              <w:spacing w:after="0"/>
              <w:rPr>
                <w:sz w:val="16"/>
                <w:szCs w:val="16"/>
                <w:color w:val="auto"/>
              </w:rPr>
            </w:pPr>
          </w:p>
        </w:tc>
      </w:tr>
      <w:tr>
        <w:trPr>
          <w:trHeight w:val="185"/>
        </w:trPr>
        <w:tc>
          <w:tcPr>
            <w:tcW w:w="67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9"/>
              </w:rPr>
              <w:t>Other current assets.......................................................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176</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Total current assets...................................................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3,572</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2,977</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NOTE RECEIVABLE FROM AFFILIATE................................................</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198</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191</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INVESTMENTS...................................................................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694</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627</w:t>
            </w: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PROPERTY AND EQUIPMENT, net of accumulated depreciation of $4,174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and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$3,604</w:t>
            </w: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6,902</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6,916</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FRANCHISE RIGHTS..............................................................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16,631</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16,611</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GOODWILL......................................................................</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6,446</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6,446</w:t>
            </w: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 INTANGIBLE ASSETS, net of accumulated amortization of $1,103</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$975..</w:t>
            </w: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1,388</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1,481</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OTHER NONCURRENT ASSETS, net..................................................</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362</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440</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$36,193</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$35,689</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Accounts payable...........................................................</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$662</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$792</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Accrued expenses and other current liabilities.............................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1,909</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1,874</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Due to affiliates..........................................................</w:t>
            </w: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76</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Deferred income taxes......................................................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46</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Current portion of long-term debt..........................................</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378</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23</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Total current liabilities..............................................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2,994</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2,811</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LONG-TERM DEBT, less current portion..........................................</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8,108</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9,257</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NOTES PAYABLE TO AFFILIATES...................................................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565</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22</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DEFERRED INCOME TAXES.........................................................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7,016</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6,836</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OTHER NONCURRENT LIABILITIES..................................................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1,107</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1,265</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MINORITY INTEREST.............................................................</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1,267</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1,133</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9)</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Preferred stock - authorized 20,000,000 shares; issued, zero...............</w:t>
            </w: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Class A common stock, $1.00 par value - authorized,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200,000,000 shares; issued, 21,591,115 ..................................</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22</w:t>
            </w:r>
          </w:p>
        </w:tc>
      </w:tr>
      <w:tr>
        <w:trPr>
          <w:trHeight w:val="185"/>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Class A special common stock, $1.00 par value - authorized,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2,500,000,000 shares; issued 916,198,519.................................</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916</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916</w:t>
            </w:r>
          </w:p>
        </w:tc>
      </w:tr>
      <w:tr>
        <w:trPr>
          <w:trHeight w:val="185"/>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Class B common stock, $1.00 par value - authorized, 50,000,000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shares; issued, 9,444,375 ................................................</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Additional capital.........................................................</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12,273</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11,818</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Retained earnings..........................................................</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1,913</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1,595</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Accumulated other comprehensive income.....................................</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5</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Total stockholders' equity.............................................</w:t>
            </w: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15,136</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14,365</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$36,193</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$35,689</w:t>
            </w:r>
          </w:p>
        </w:tc>
      </w:tr>
      <w:tr>
        <w:trPr>
          <w:trHeight w:val="18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6440" w:type="dxa"/>
            <w:vAlign w:val="bottom"/>
          </w:tcPr>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70"/>
        </w:trPr>
        <w:tc>
          <w:tcPr>
            <w:tcW w:w="6440" w:type="dxa"/>
            <w:vAlign w:val="bottom"/>
          </w:tcPr>
          <w:p>
            <w:pPr>
              <w:ind w:left="3840"/>
              <w:spacing w:after="0"/>
              <w:rPr>
                <w:sz w:val="20"/>
                <w:szCs w:val="20"/>
                <w:color w:val="auto"/>
              </w:rPr>
            </w:pPr>
            <w:r>
              <w:rPr>
                <w:rFonts w:ascii="Courier New" w:cs="Courier New" w:eastAsia="Courier New" w:hAnsi="Courier New"/>
                <w:sz w:val="16"/>
                <w:szCs w:val="16"/>
                <w:color w:val="auto"/>
              </w:rPr>
              <w:t>2</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520"/>
          </w:cols>
          <w:pgMar w:left="240" w:top="1408" w:right="139" w:bottom="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6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(Unaudited)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39"/>
        </w:trPr>
        <w:tc>
          <w:tcPr>
            <w:tcW w:w="7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(Dollars in millions)</w:t>
            </w:r>
          </w:p>
        </w:tc>
        <w:tc>
          <w:tcPr>
            <w:tcW w:w="1020" w:type="dxa"/>
            <w:vAlign w:val="bottom"/>
          </w:tcPr>
          <w:p>
            <w:pPr>
              <w:spacing w:after="0"/>
              <w:rPr>
                <w:sz w:val="24"/>
                <w:szCs w:val="24"/>
                <w:color w:val="auto"/>
              </w:rPr>
            </w:pPr>
          </w:p>
        </w:tc>
      </w:tr>
      <w:tr>
        <w:trPr>
          <w:trHeight w:val="185"/>
        </w:trPr>
        <w:tc>
          <w:tcPr>
            <w:tcW w:w="7260" w:type="dxa"/>
            <w:vAlign w:val="bottom"/>
          </w:tcPr>
          <w:p>
            <w:pPr>
              <w:spacing w:after="0"/>
              <w:rPr>
                <w:sz w:val="16"/>
                <w:szCs w:val="16"/>
                <w:color w:val="auto"/>
              </w:rPr>
            </w:pPr>
          </w:p>
        </w:tc>
        <w:tc>
          <w:tcPr>
            <w:tcW w:w="2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Three Months Ended</w:t>
            </w:r>
          </w:p>
        </w:tc>
        <w:tc>
          <w:tcPr>
            <w:tcW w:w="20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7260" w:type="dxa"/>
            <w:vAlign w:val="bottom"/>
          </w:tcPr>
          <w:p>
            <w:pPr>
              <w:spacing w:after="0"/>
              <w:rPr>
                <w:sz w:val="16"/>
                <w:szCs w:val="16"/>
                <w:color w:val="auto"/>
              </w:rPr>
            </w:pPr>
          </w:p>
        </w:tc>
        <w:tc>
          <w:tcPr>
            <w:tcW w:w="21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June 30,</w:t>
            </w:r>
          </w:p>
        </w:tc>
        <w:tc>
          <w:tcPr>
            <w:tcW w:w="20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$1,927</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$1,714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$3,802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$3,393</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2,163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1,978</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3,028</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2,704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5,965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5,371</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793</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1,465</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 (excluding depreciation)..</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697</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1,370</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1,255</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1,079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977</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673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2,447</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2,226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4,872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4,472</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OPERATING INCOME...........................................................</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1,093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899</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(loss), net..........................................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(676)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(1,139)</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 AND MINORITY INTEREST....................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TAX (EXPENSE) BENEFIT...............................................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(148)</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(269)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MINORITY INTEREST.....................................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 (LOSS)..........................................................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r>
      <w:tr>
        <w:trPr>
          <w:trHeight w:val="185"/>
        </w:trPr>
        <w:tc>
          <w:tcPr>
            <w:tcW w:w="72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440"/>
          </w:cols>
          <w:pgMar w:left="240" w:top="1440" w:right="219" w:bottom="1440" w:gutter="0" w:footer="0" w:header="0"/>
        </w:sectPr>
      </w:pPr>
    </w:p>
    <w:bookmarkStart w:id="5" w:name="page6"/>
    <w:bookmarkEnd w:id="5"/>
    <w:p>
      <w:pPr>
        <w:jc w:val="center"/>
        <w:ind w:right="-6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0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(Unaudited)</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739"/>
        </w:trPr>
        <w:tc>
          <w:tcPr>
            <w:tcW w:w="7100" w:type="dxa"/>
            <w:vAlign w:val="bottom"/>
          </w:tcPr>
          <w:p>
            <w:pPr>
              <w:spacing w:after="0"/>
              <w:rPr>
                <w:sz w:val="24"/>
                <w:szCs w:val="24"/>
                <w:color w:val="auto"/>
              </w:rPr>
            </w:pPr>
          </w:p>
        </w:tc>
        <w:tc>
          <w:tcPr>
            <w:tcW w:w="290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(Dollars in millions)</w:t>
            </w:r>
          </w:p>
        </w:tc>
      </w:tr>
      <w:tr>
        <w:trPr>
          <w:trHeight w:val="185"/>
        </w:trPr>
        <w:tc>
          <w:tcPr>
            <w:tcW w:w="7100" w:type="dxa"/>
            <w:vAlign w:val="bottom"/>
          </w:tcPr>
          <w:p>
            <w:pPr>
              <w:spacing w:after="0"/>
              <w:rPr>
                <w:sz w:val="16"/>
                <w:szCs w:val="16"/>
                <w:color w:val="auto"/>
              </w:rPr>
            </w:pPr>
          </w:p>
        </w:tc>
        <w:tc>
          <w:tcPr>
            <w:tcW w:w="29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Six Months Ended June 30,</w:t>
            </w:r>
          </w:p>
        </w:tc>
      </w:tr>
      <w:tr>
        <w:trPr>
          <w:trHeight w:val="185"/>
        </w:trPr>
        <w:tc>
          <w:tcPr>
            <w:tcW w:w="7100" w:type="dxa"/>
            <w:vAlign w:val="bottom"/>
          </w:tcPr>
          <w:p>
            <w:pPr>
              <w:spacing w:after="0"/>
              <w:rPr>
                <w:sz w:val="16"/>
                <w:szCs w:val="16"/>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6"/>
                <w:szCs w:val="16"/>
                <w:color w:val="auto"/>
              </w:rPr>
              <w:t>2003</w:t>
            </w:r>
          </w:p>
        </w:tc>
        <w:tc>
          <w:tcPr>
            <w:tcW w:w="15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5100"/>
              <w:spacing w:after="0"/>
              <w:rPr>
                <w:sz w:val="20"/>
                <w:szCs w:val="20"/>
                <w:color w:val="auto"/>
              </w:rPr>
            </w:pPr>
            <w:r>
              <w:rPr>
                <w:rFonts w:ascii="Courier New" w:cs="Courier New" w:eastAsia="Courier New" w:hAnsi="Courier New"/>
                <w:sz w:val="16"/>
                <w:szCs w:val="16"/>
                <w:color w:val="auto"/>
                <w:w w:val="98"/>
              </w:rPr>
              <w:t>OPERATING ACTIVITIES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Net income (loss)....................................................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r>
      <w:tr>
        <w:trPr>
          <w:trHeight w:val="185"/>
        </w:trPr>
        <w:tc>
          <w:tcPr>
            <w:tcW w:w="71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100" w:type="dxa"/>
            <w:vAlign w:val="bottom"/>
          </w:tcPr>
          <w:p>
            <w:pPr>
              <w:ind w:left="480"/>
              <w:spacing w:after="0"/>
              <w:rPr>
                <w:sz w:val="20"/>
                <w:szCs w:val="20"/>
                <w:color w:val="auto"/>
              </w:rPr>
            </w:pPr>
            <w:r>
              <w:rPr>
                <w:rFonts w:ascii="Courier New" w:cs="Courier New" w:eastAsia="Courier New" w:hAnsi="Courier New"/>
                <w:sz w:val="16"/>
                <w:szCs w:val="16"/>
                <w:color w:val="auto"/>
              </w:rPr>
              <w:t>by operating activities:</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673</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Amortization.......................................................</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113</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Non-cash interest expense, net.....................................</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Equity in net losses of affiliates.................................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Minority interest..................................................</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126</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Deferred income taxes..............................................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Proceeds from sales of trading securities..........................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85</w:t>
            </w: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Other..............................................................</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1,473</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1,361</w:t>
            </w:r>
          </w:p>
        </w:tc>
      </w:tr>
      <w:tr>
        <w:trPr>
          <w:trHeight w:val="185"/>
        </w:trPr>
        <w:tc>
          <w:tcPr>
            <w:tcW w:w="7100" w:type="dxa"/>
            <w:vAlign w:val="bottom"/>
          </w:tcPr>
          <w:p>
            <w:pPr>
              <w:ind w:left="480"/>
              <w:spacing w:after="0"/>
              <w:rPr>
                <w:sz w:val="20"/>
                <w:szCs w:val="20"/>
                <w:color w:val="auto"/>
              </w:rPr>
            </w:pPr>
            <w:r>
              <w:rPr>
                <w:rFonts w:ascii="Courier New" w:cs="Courier New" w:eastAsia="Courier New" w:hAnsi="Courier New"/>
                <w:sz w:val="16"/>
                <w:szCs w:val="16"/>
                <w:color w:val="auto"/>
              </w:rPr>
              <w:t>Changes in working capital, net of effects of acquisitions and</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100" w:type="dxa"/>
            <w:vAlign w:val="bottom"/>
          </w:tcPr>
          <w:p>
            <w:pPr>
              <w:ind w:left="480"/>
              <w:spacing w:after="0"/>
              <w:rPr>
                <w:sz w:val="20"/>
                <w:szCs w:val="20"/>
                <w:color w:val="auto"/>
              </w:rPr>
            </w:pPr>
            <w:r>
              <w:rPr>
                <w:rFonts w:ascii="Courier New" w:cs="Courier New" w:eastAsia="Courier New" w:hAnsi="Courier New"/>
                <w:sz w:val="16"/>
                <w:szCs w:val="16"/>
                <w:color w:val="auto"/>
              </w:rPr>
              <w:t>divestitures</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Decrease in accounts receivable, net.............................</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(Increase) decrease in inventories, net..........................</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Increase in other current assets.................................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7100" w:type="dxa"/>
            <w:vAlign w:val="bottom"/>
          </w:tcPr>
          <w:p>
            <w:pPr>
              <w:jc w:val="right"/>
              <w:spacing w:after="0"/>
              <w:rPr>
                <w:sz w:val="20"/>
                <w:szCs w:val="20"/>
                <w:color w:val="auto"/>
              </w:rPr>
            </w:pPr>
            <w:r>
              <w:rPr>
                <w:rFonts w:ascii="Courier New" w:cs="Courier New" w:eastAsia="Courier New" w:hAnsi="Courier New"/>
                <w:sz w:val="16"/>
                <w:szCs w:val="16"/>
                <w:color w:val="auto"/>
              </w:rPr>
              <w:t>Increase (decrease) in accounts payable, accrued expenses and other</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current liabilities............................................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(342)</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370"/>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1,506</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1,050</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5100"/>
              <w:spacing w:after="0"/>
              <w:rPr>
                <w:sz w:val="20"/>
                <w:szCs w:val="20"/>
                <w:color w:val="auto"/>
              </w:rPr>
            </w:pPr>
            <w:r>
              <w:rPr>
                <w:rFonts w:ascii="Courier New" w:cs="Courier New" w:eastAsia="Courier New" w:hAnsi="Courier New"/>
                <w:sz w:val="16"/>
                <w:szCs w:val="16"/>
                <w:color w:val="auto"/>
                <w:w w:val="98"/>
              </w:rPr>
              <w:t>FINANCING ACTIVITIES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Proceeds from borrowings.............................................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710</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632</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Retirements and repayments of debt...................................</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(1,572)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(1,169)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Net transactions with affiliates.....................................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(333)</w:t>
            </w: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Capital contribution from parent.....................................</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425</w:t>
            </w: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Proceeds from notes payable to affiliates............................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539</w:t>
            </w:r>
          </w:p>
        </w:tc>
        <w:tc>
          <w:tcPr>
            <w:tcW w:w="1500" w:type="dxa"/>
            <w:vAlign w:val="bottom"/>
          </w:tcPr>
          <w:p>
            <w:pPr>
              <w:spacing w:after="0"/>
              <w:rPr>
                <w:sz w:val="16"/>
                <w:szCs w:val="16"/>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Other................................................................</w:t>
            </w:r>
          </w:p>
        </w:tc>
        <w:tc>
          <w:tcPr>
            <w:tcW w:w="14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Net cash used in financing activities............................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(471)</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5100"/>
              <w:spacing w:after="0"/>
              <w:rPr>
                <w:sz w:val="20"/>
                <w:szCs w:val="20"/>
                <w:color w:val="auto"/>
              </w:rPr>
            </w:pPr>
            <w:r>
              <w:rPr>
                <w:rFonts w:ascii="Courier New" w:cs="Courier New" w:eastAsia="Courier New" w:hAnsi="Courier New"/>
                <w:sz w:val="16"/>
                <w:szCs w:val="16"/>
                <w:color w:val="auto"/>
                <w:w w:val="98"/>
              </w:rPr>
              <w:t>INVESTING ACTIVITIES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Acquisitions, net of cash acquired...................................</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Proceeds from sales of (purchases of) short-term investments, net....</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Proceeds from sales of investments...................................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212</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596</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Purchases of investments.............................................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Capital expenditures.................................................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(789)</w:t>
            </w:r>
          </w:p>
        </w:tc>
      </w:tr>
      <w:tr>
        <w:trPr>
          <w:trHeight w:val="185"/>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Net cash used in investing activities............................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(371)</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INCREASE IN CASH AND CASH EQUIVALENTS...................................</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622</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w:t>
            </w:r>
          </w:p>
        </w:tc>
      </w:tr>
      <w:tr>
        <w:trPr>
          <w:trHeight w:val="370"/>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CASH AND CASH EQUIVALENTS, beginning of period..........................</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676</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350</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CASH AND CASH EQUIVALENTS, end of period................................</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$1,298</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$558</w:t>
            </w:r>
          </w:p>
        </w:tc>
      </w:tr>
      <w:tr>
        <w:trPr>
          <w:trHeight w:val="185"/>
        </w:trPr>
        <w:tc>
          <w:tcPr>
            <w:tcW w:w="710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08" w:right="1440" w:bottom="826" w:gutter="0" w:footer="0" w:header="0"/>
        </w:sectPr>
      </w:pPr>
    </w:p>
    <w:bookmarkStart w:id="6" w:name="page7"/>
    <w:bookmarkEnd w:id="6"/>
    <w:p>
      <w:pPr>
        <w:jc w:val="center"/>
        <w:ind w:right="243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373"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Corporation ("Comcast Holdings") and its subsidiaries (the "Company") has prepared these unaudited condensed consolidated financial statements based upon Securities and Exchange Commission ("SEC") rules that permit reduced disclosure for interim periods. The Company is an indirect wholly owned subsidiary of Comcast Corporation ("Comcast").</w:t>
      </w:r>
    </w:p>
    <w:p>
      <w:pPr>
        <w:spacing w:after="0" w:line="187" w:lineRule="exact"/>
        <w:rPr>
          <w:rFonts w:ascii="Courier New" w:cs="Courier New" w:eastAsia="Courier New" w:hAnsi="Courier New"/>
          <w:sz w:val="16"/>
          <w:szCs w:val="16"/>
          <w:color w:val="auto"/>
        </w:rPr>
      </w:pPr>
    </w:p>
    <w:p>
      <w:pPr>
        <w:jc w:val="both"/>
        <w:ind w:left="481"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74"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2002.</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2003. In the first quarter of 2003, QVC, Inc. ("QVC") completed the sale of its infomercial operations in Mexico ("QVC Mexico"). The results of operations for QVC Mexico for the 2003 and 2002 interim periods were not significant and are included in equity in net losses of affiliates in the Company's consolidated statement of operations.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143</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Accounting Standards Board ("FASB") issued Statement of Financial Accounting Standards ("SFAS") No. 143, "Accounting for Asset Retirement Obligations," in June 2001. SFAS No. 143 addresses financial accounting and reporting for obligations associated with the retirement of tangible long-lived assets and the associated asset retirement costs. The Company adopted SFAS No. 143 on January 1, 2003, in accordance with the new statement. The adoption of SFAS No. 143 had no impact on the Company's financial condition or results of operations.</w:t>
      </w:r>
    </w:p>
    <w:p>
      <w:pPr>
        <w:spacing w:after="0" w:line="18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148</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Comcast elects to change to the fair value method specified in SFAS No. 123. The adoption of SFAS No. 148 requires the Company to disclose the effects of its stock-based employee compensation in interim financial statements beginning with the first quarter of 2003 (see Note 7).</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149</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The Company adopted SFAS No. 149 on July 1, 2003 on a</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854" w:right="1440" w:bottom="826" w:gutter="0" w:footer="0" w:header="0"/>
        </w:sectPr>
      </w:pPr>
    </w:p>
    <w:bookmarkStart w:id="7" w:name="page8"/>
    <w:bookmarkEnd w:id="7"/>
    <w:p>
      <w:pPr>
        <w:jc w:val="center"/>
        <w:ind w:right="243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prospective basis in accordance with the new statement. The Company does not expect the adoption of SFAS No. 149 will have a material impact on its financial statements.</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SFAS No. 150</w:t>
      </w:r>
    </w:p>
    <w:p>
      <w:pPr>
        <w:spacing w:after="0" w:line="5"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SFAS No. 150 is effective for financial instruments entered into or modified after May 31, 2003, and otherwise is effective July 1, 2003. SFAS No. 150 is to be implemented by reporting the cumulative effect of a change in an accounting principle for financial instruments outstanding before the issuance date of the Statement and still existing at July 1, 2003. Restatement is not permitted. The Company is assessing the impact SFAS No. 150 may have on its financial statements.</w:t>
      </w:r>
    </w:p>
    <w:p>
      <w:pPr>
        <w:spacing w:after="0" w:line="190"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FIN 45</w:t>
      </w:r>
    </w:p>
    <w:p>
      <w:pPr>
        <w:spacing w:after="0" w:line="5" w:lineRule="exact"/>
        <w:rPr>
          <w:sz w:val="20"/>
          <w:szCs w:val="20"/>
          <w:color w:val="auto"/>
        </w:rPr>
      </w:pPr>
    </w:p>
    <w:p>
      <w:pPr>
        <w:jc w:val="both"/>
        <w:ind w:left="481" w:right="2539"/>
        <w:spacing w:after="0" w:line="260" w:lineRule="auto"/>
        <w:rPr>
          <w:sz w:val="20"/>
          <w:szCs w:val="20"/>
          <w:color w:val="auto"/>
        </w:rPr>
      </w:pPr>
      <w:r>
        <w:rPr>
          <w:rFonts w:ascii="Courier New" w:cs="Courier New" w:eastAsia="Courier New" w:hAnsi="Courier New"/>
          <w:sz w:val="15"/>
          <w:szCs w:val="15"/>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3" w:lineRule="exact"/>
        <w:rPr>
          <w:sz w:val="20"/>
          <w:szCs w:val="20"/>
          <w:color w:val="auto"/>
        </w:rPr>
      </w:pPr>
    </w:p>
    <w:p>
      <w:pPr>
        <w:jc w:val="both"/>
        <w:ind w:left="481" w:right="2539" w:hanging="1"/>
        <w:spacing w:after="0" w:line="260" w:lineRule="auto"/>
        <w:tabs>
          <w:tab w:leader="none" w:pos="86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6" w:lineRule="exact"/>
        <w:rPr>
          <w:rFonts w:ascii="Courier New" w:cs="Courier New" w:eastAsia="Courier New" w:hAnsi="Courier New"/>
          <w:sz w:val="15"/>
          <w:szCs w:val="15"/>
          <w:color w:val="auto"/>
        </w:rPr>
      </w:pPr>
    </w:p>
    <w:p>
      <w:pPr>
        <w:jc w:val="both"/>
        <w:ind w:left="481" w:right="2539" w:hanging="1"/>
        <w:spacing w:after="0" w:line="262" w:lineRule="auto"/>
        <w:tabs>
          <w:tab w:leader="none" w:pos="77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impact of the adoption of FIN 45 will depend on the nature and terms of guarantees entered into or modified by the Company in the future. The adoption of FIN 45 in the first quarter of 2003 did not have a material impact on the Company's consolidated financial statements (see Note 9).</w:t>
      </w:r>
    </w:p>
    <w:p>
      <w:pPr>
        <w:spacing w:after="0" w:line="173"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QVC</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 2003, Comcast announced that Liberty Media Corporation ("Liberty") delivered a notice to it, pursuant to the stockholders agreement between the Company and Liberty, which triggered an exit rights process with respect to Liberty's approximate 42% interest in QVC. On June 25, 2003, the Company, Comcast and Liberty entered into an agreement (the "June 2003 Agreement") which superceded and replaced the exit rights process of the stockholders agreement, and pursuant to which Liberty had to deliver to Comcast, no later than June 30, 2003, a notice setting forth Liberty's determination of the aggregate fair value of the Company's and Liberty's interests in QVC. On June 30, 2003, Liberty delivered notice to Comcast setting the aggregate fair value of the Company's and Liberty's interests in QVC at $13.75 billion. Under the terms of the June 2003 Agreement, Comcast had to elect either to purchase Liberty's interest in QVC or sell the Company's approximate 57% interest in QVC to Liberty, based on the value determined by Liberty.</w:t>
      </w:r>
    </w:p>
    <w:p>
      <w:pPr>
        <w:spacing w:after="0" w:line="192"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July 3, 2003, Comcast elected to sell its interest in QVC under a stock purchase agreement with Liberty for approximately $7.9 billion. Liberty will purchase the Company's interest in QVC in part with shares of Liberty's Series A common stock (valued at $11.71 per share) representing 7.5% of the shares of Liberty common stock outstanding (after giving effect to that issuance), or approximately 218 million shares based on the number of</w:t>
      </w:r>
    </w:p>
    <w:p>
      <w:pPr>
        <w:spacing w:after="0" w:line="186"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854" w:right="1440" w:bottom="0" w:gutter="0" w:footer="0" w:header="0"/>
        </w:sectPr>
      </w:pPr>
    </w:p>
    <w:bookmarkStart w:id="8" w:name="page9"/>
    <w:bookmarkEnd w:id="8"/>
    <w:p>
      <w:pPr>
        <w:jc w:val="center"/>
        <w:ind w:right="260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left="480" w:right="2700"/>
        <w:spacing w:after="0" w:line="244" w:lineRule="auto"/>
        <w:rPr>
          <w:sz w:val="20"/>
          <w:szCs w:val="20"/>
          <w:color w:val="auto"/>
        </w:rPr>
      </w:pPr>
      <w:r>
        <w:rPr>
          <w:rFonts w:ascii="Courier New" w:cs="Courier New" w:eastAsia="Courier New" w:hAnsi="Courier New"/>
          <w:sz w:val="16"/>
          <w:szCs w:val="16"/>
          <w:color w:val="auto"/>
        </w:rPr>
        <w:t>Liberty shares currently outstanding. The remainder of the purchase price will be paid in the form of a three-year senior unsecured note bearing interest at LIBOR plus 1.5%. The values of the shares and the note to be delivered to the Company are approximately $2.6 billion and $5.3 billion, respectively. Under the stock purchase agreement, the Company will have registration rights that should facilitate the disposal or monetization of its shares in Liberty and in the note.</w:t>
      </w:r>
    </w:p>
    <w:p>
      <w:pPr>
        <w:spacing w:after="0" w:line="188" w:lineRule="exact"/>
        <w:rPr>
          <w:sz w:val="20"/>
          <w:szCs w:val="20"/>
          <w:color w:val="auto"/>
        </w:rPr>
      </w:pPr>
    </w:p>
    <w:p>
      <w:pPr>
        <w:jc w:val="both"/>
        <w:ind w:left="480" w:right="2700"/>
        <w:spacing w:after="0" w:line="244" w:lineRule="auto"/>
        <w:rPr>
          <w:sz w:val="20"/>
          <w:szCs w:val="20"/>
          <w:color w:val="auto"/>
        </w:rPr>
      </w:pPr>
      <w:r>
        <w:rPr>
          <w:rFonts w:ascii="Courier New" w:cs="Courier New" w:eastAsia="Courier New" w:hAnsi="Courier New"/>
          <w:sz w:val="16"/>
          <w:szCs w:val="16"/>
          <w:color w:val="auto"/>
        </w:rPr>
        <w:t>The Company expects to record a pre-tax gain on the sale of approximately $6.5 billion. The fair value of the consideration to be received from Liberty upon consummation of the transaction will be determined at the closing date and will affect the actual pre-tax gain to be recorded by the Company. The transaction is subject to customary closing conditions and regulatory approvals. The Company expects to close the transaction by the end of 2003.</w:t>
      </w:r>
    </w:p>
    <w:p>
      <w:pPr>
        <w:spacing w:after="0" w:line="188" w:lineRule="exact"/>
        <w:rPr>
          <w:sz w:val="20"/>
          <w:szCs w:val="20"/>
          <w:color w:val="auto"/>
        </w:rPr>
      </w:pPr>
    </w:p>
    <w:p>
      <w:pPr>
        <w:jc w:val="both"/>
        <w:ind w:left="480" w:right="2700"/>
        <w:spacing w:after="0" w:line="243" w:lineRule="auto"/>
        <w:rPr>
          <w:sz w:val="20"/>
          <w:szCs w:val="20"/>
          <w:color w:val="auto"/>
        </w:rPr>
      </w:pPr>
      <w:r>
        <w:rPr>
          <w:rFonts w:ascii="Courier New" w:cs="Courier New" w:eastAsia="Courier New" w:hAnsi="Courier New"/>
          <w:sz w:val="16"/>
          <w:szCs w:val="16"/>
          <w:color w:val="auto"/>
        </w:rPr>
        <w:t>Effective in the third quarter, the Company will classify QVC as an asset held for sale and will report the results of operations for QVC in discontinued operations for all periods presented in accordance with SFAS No. 144.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4.</w:t>
            </w:r>
          </w:p>
        </w:tc>
        <w:tc>
          <w:tcPr>
            <w:tcW w:w="6720" w:type="dxa"/>
            <w:vAlign w:val="bottom"/>
          </w:tcPr>
          <w:p>
            <w:pPr>
              <w:ind w:left="140"/>
              <w:spacing w:after="0"/>
              <w:rPr>
                <w:sz w:val="20"/>
                <w:szCs w:val="20"/>
                <w:color w:val="auto"/>
              </w:rPr>
            </w:pPr>
            <w:r>
              <w:rPr>
                <w:rFonts w:ascii="Courier New" w:cs="Courier New" w:eastAsia="Courier New" w:hAnsi="Courier New"/>
                <w:sz w:val="16"/>
                <w:szCs w:val="16"/>
                <w:color w:val="auto"/>
              </w:rPr>
              <w:t>INVESTMENTS</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70"/>
        </w:trPr>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June 30,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2003</w:t>
            </w:r>
          </w:p>
        </w:tc>
        <w:tc>
          <w:tcPr>
            <w:tcW w:w="15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22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(in millions)</w:t>
            </w:r>
          </w:p>
        </w:tc>
      </w:tr>
      <w:tr>
        <w:trPr>
          <w:trHeight w:val="554"/>
        </w:trPr>
        <w:tc>
          <w:tcPr>
            <w:tcW w:w="340" w:type="dxa"/>
            <w:vAlign w:val="bottom"/>
          </w:tcPr>
          <w:p>
            <w:pPr>
              <w:spacing w:after="0"/>
              <w:rPr>
                <w:sz w:val="24"/>
                <w:szCs w:val="24"/>
                <w:color w:val="auto"/>
              </w:rPr>
            </w:pPr>
          </w:p>
        </w:tc>
        <w:tc>
          <w:tcPr>
            <w:tcW w:w="6720" w:type="dxa"/>
            <w:vAlign w:val="bottom"/>
          </w:tcPr>
          <w:p>
            <w:pPr>
              <w:ind w:left="140"/>
              <w:spacing w:after="0"/>
              <w:rPr>
                <w:sz w:val="20"/>
                <w:szCs w:val="20"/>
                <w:color w:val="auto"/>
              </w:rPr>
            </w:pPr>
            <w:r>
              <w:rPr>
                <w:rFonts w:ascii="Courier New" w:cs="Courier New" w:eastAsia="Courier New" w:hAnsi="Courier New"/>
                <w:sz w:val="16"/>
                <w:szCs w:val="16"/>
                <w:color w:val="auto"/>
              </w:rPr>
              <w:t>Fair value method</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AT&amp;T Corp....................................................</w:t>
            </w:r>
          </w:p>
        </w:tc>
        <w:tc>
          <w:tcPr>
            <w:tcW w:w="16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$287</w:t>
            </w: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Sprint Corp. PCS Group.......................................</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357</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w:t>
            </w: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Other .......................................................</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97</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454</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730</w:t>
            </w:r>
          </w:p>
        </w:tc>
      </w:tr>
      <w:tr>
        <w:trPr>
          <w:trHeight w:val="370"/>
        </w:trPr>
        <w:tc>
          <w:tcPr>
            <w:tcW w:w="340" w:type="dxa"/>
            <w:vAlign w:val="bottom"/>
          </w:tcPr>
          <w:p>
            <w:pPr>
              <w:spacing w:after="0"/>
              <w:rPr>
                <w:sz w:val="24"/>
                <w:szCs w:val="24"/>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Equity method.....................................................</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306</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317</w:t>
            </w: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Cost method.......................................................</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113</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Total investments............................................</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873</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1,152</w:t>
            </w: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Less, current investments.........................................</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179</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525</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6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Non-current investments...........................................</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$694</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$627</w:t>
            </w:r>
          </w:p>
        </w:tc>
      </w:tr>
      <w:tr>
        <w:trPr>
          <w:trHeight w:val="185"/>
        </w:trPr>
        <w:tc>
          <w:tcPr>
            <w:tcW w:w="3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left="480" w:right="2700"/>
        <w:spacing w:after="0" w:line="244"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net unrealized pre-tax gains on investments accounted for as available for sale securities as of June 30, 2003 and December 31, 2002 of $43 million and $70 million, respectively, have been reported in the Company's consolidated balance sheet principally as a component of accumulated other comprehensive income, net of related deferred income taxes of $15 million and $25 million, respectively.</w:t>
      </w:r>
    </w:p>
    <w:p>
      <w:pPr>
        <w:spacing w:after="0" w:line="187" w:lineRule="exact"/>
        <w:rPr>
          <w:sz w:val="20"/>
          <w:szCs w:val="20"/>
          <w:color w:val="auto"/>
        </w:rPr>
      </w:pPr>
    </w:p>
    <w:p>
      <w:pPr>
        <w:ind w:left="480"/>
        <w:spacing w:after="0"/>
        <w:tabs>
          <w:tab w:leader="none" w:pos="3540" w:val="left"/>
          <w:tab w:leader="none" w:pos="4680" w:val="left"/>
        </w:tabs>
        <w:rPr>
          <w:sz w:val="20"/>
          <w:szCs w:val="20"/>
          <w:color w:val="auto"/>
        </w:rPr>
      </w:pPr>
      <w:r>
        <w:rPr>
          <w:rFonts w:ascii="Courier New" w:cs="Courier New" w:eastAsia="Courier New" w:hAnsi="Courier New"/>
          <w:sz w:val="16"/>
          <w:szCs w:val="16"/>
          <w:color w:val="auto"/>
        </w:rPr>
        <w:t>The cost, fair value and gross</w:t>
        <w:tab/>
        <w:t>unrealized</w:t>
        <w:tab/>
        <w:t>gains and losses related to 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Company's available for sale securities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6540" w:type="dxa"/>
            <w:vAlign w:val="bottom"/>
          </w:tcPr>
          <w:p>
            <w:pPr>
              <w:spacing w:after="0"/>
              <w:rPr>
                <w:sz w:val="15"/>
                <w:szCs w:val="15"/>
                <w:color w:val="auto"/>
              </w:rPr>
            </w:pP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June 30,</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6540" w:type="dxa"/>
            <w:vAlign w:val="bottom"/>
          </w:tcPr>
          <w:p>
            <w:pPr>
              <w:spacing w:after="0"/>
              <w:rPr>
                <w:sz w:val="16"/>
                <w:szCs w:val="16"/>
                <w:color w:val="auto"/>
              </w:rPr>
            </w:pPr>
          </w:p>
        </w:tc>
        <w:tc>
          <w:tcPr>
            <w:tcW w:w="17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2003</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6540" w:type="dxa"/>
            <w:vAlign w:val="bottom"/>
          </w:tcPr>
          <w:p>
            <w:pPr>
              <w:spacing w:after="0"/>
              <w:rPr>
                <w:sz w:val="16"/>
                <w:szCs w:val="16"/>
                <w:color w:val="auto"/>
              </w:rPr>
            </w:pP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6540" w:type="dxa"/>
            <w:vAlign w:val="bottom"/>
          </w:tcPr>
          <w:p>
            <w:pPr>
              <w:spacing w:after="0"/>
              <w:rPr>
                <w:sz w:val="20"/>
                <w:szCs w:val="20"/>
                <w:color w:val="auto"/>
              </w:rPr>
            </w:pPr>
            <w:r>
              <w:rPr>
                <w:rFonts w:ascii="Courier New" w:cs="Courier New" w:eastAsia="Courier New" w:hAnsi="Courier New"/>
                <w:sz w:val="16"/>
                <w:szCs w:val="16"/>
                <w:color w:val="auto"/>
              </w:rPr>
              <w:t>Cost.............................................................</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Gross unrealized gains...........................................</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Gross unrealized losses..........................................</w:t>
            </w:r>
          </w:p>
        </w:tc>
        <w:tc>
          <w:tcPr>
            <w:tcW w:w="17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6540" w:type="dxa"/>
            <w:vAlign w:val="bottom"/>
          </w:tcPr>
          <w:p>
            <w:pPr>
              <w:spacing w:after="0"/>
              <w:rPr>
                <w:sz w:val="16"/>
                <w:szCs w:val="16"/>
                <w:color w:val="auto"/>
              </w:rPr>
            </w:pP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Fair value.......................................................</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w:t>
            </w:r>
          </w:p>
        </w:tc>
      </w:tr>
      <w:tr>
        <w:trPr>
          <w:trHeight w:val="185"/>
        </w:trPr>
        <w:tc>
          <w:tcPr>
            <w:tcW w:w="6540" w:type="dxa"/>
            <w:vAlign w:val="bottom"/>
          </w:tcPr>
          <w:p>
            <w:pPr>
              <w:spacing w:after="0"/>
              <w:rPr>
                <w:sz w:val="16"/>
                <w:szCs w:val="16"/>
                <w:color w:val="auto"/>
              </w:rPr>
            </w:pP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80"/>
          </w:cols>
          <w:pgMar w:left="240" w:top="854" w:right="1279" w:bottom="87" w:gutter="0" w:footer="0" w:header="0"/>
        </w:sectPr>
      </w:pPr>
    </w:p>
    <w:bookmarkStart w:id="9" w:name="page10"/>
    <w:bookmarkEnd w:id="9"/>
    <w:p>
      <w:pPr>
        <w:ind w:left="2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25" w:right="1440" w:bottom="1440" w:gutter="0" w:footer="0" w:header="0"/>
        </w:sectPr>
      </w:pPr>
    </w:p>
    <w:bookmarkStart w:id="10" w:name="page11"/>
    <w:bookmarkEnd w:id="10"/>
    <w:p>
      <w:pPr>
        <w:jc w:val="center"/>
        <w:ind w:right="30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960" w:type="dxa"/>
            <w:vAlign w:val="bottom"/>
          </w:tcPr>
          <w:p>
            <w:pPr>
              <w:ind w:left="2880"/>
              <w:spacing w:after="0"/>
              <w:rPr>
                <w:sz w:val="20"/>
                <w:szCs w:val="20"/>
                <w:color w:val="auto"/>
              </w:rPr>
            </w:pPr>
            <w:r>
              <w:rPr>
                <w:rFonts w:ascii="Courier New" w:cs="Courier New" w:eastAsia="Courier New" w:hAnsi="Courier New"/>
                <w:sz w:val="16"/>
                <w:szCs w:val="16"/>
                <w:color w:val="auto"/>
              </w:rPr>
              <w:t>(Unaudited)</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70"/>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Investment Income (Loss), Net</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Investment  income  (loss),  net  for  the  interim  periods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7"/>
              </w:rPr>
              <w:t>includes  the</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rPr>
              <w:t>following (in millions):</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54"/>
        </w:trPr>
        <w:tc>
          <w:tcPr>
            <w:tcW w:w="5960" w:type="dxa"/>
            <w:vAlign w:val="bottom"/>
          </w:tcPr>
          <w:p>
            <w:pPr>
              <w:spacing w:after="0"/>
              <w:rPr>
                <w:sz w:val="24"/>
                <w:szCs w:val="24"/>
                <w:color w:val="auto"/>
              </w:rPr>
            </w:pPr>
          </w:p>
        </w:tc>
        <w:tc>
          <w:tcPr>
            <w:tcW w:w="23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Three Months Ended</w:t>
            </w:r>
          </w:p>
        </w:tc>
        <w:tc>
          <w:tcPr>
            <w:tcW w:w="21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960" w:type="dxa"/>
            <w:vAlign w:val="bottom"/>
          </w:tcPr>
          <w:p>
            <w:pPr>
              <w:spacing w:after="0"/>
              <w:rPr>
                <w:sz w:val="16"/>
                <w:szCs w:val="16"/>
                <w:color w:val="auto"/>
              </w:rPr>
            </w:pPr>
          </w:p>
        </w:tc>
        <w:tc>
          <w:tcPr>
            <w:tcW w:w="23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June 30,</w:t>
            </w:r>
          </w:p>
        </w:tc>
        <w:tc>
          <w:tcPr>
            <w:tcW w:w="21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96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2003</w:t>
            </w: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ind w:left="300"/>
              <w:spacing w:after="0"/>
              <w:rPr>
                <w:sz w:val="20"/>
                <w:szCs w:val="20"/>
                <w:color w:val="auto"/>
              </w:rPr>
            </w:pPr>
            <w:r>
              <w:rPr>
                <w:rFonts w:ascii="Courier New" w:cs="Courier New" w:eastAsia="Courier New" w:hAnsi="Courier New"/>
                <w:sz w:val="16"/>
                <w:szCs w:val="16"/>
                <w:color w:val="auto"/>
              </w:rPr>
              <w:t>2003</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596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960" w:type="dxa"/>
            <w:vAlign w:val="bottom"/>
          </w:tcPr>
          <w:p>
            <w:pPr>
              <w:spacing w:after="0"/>
              <w:rPr>
                <w:sz w:val="20"/>
                <w:szCs w:val="20"/>
                <w:color w:val="auto"/>
              </w:rPr>
            </w:pPr>
            <w:r>
              <w:rPr>
                <w:rFonts w:ascii="Courier New" w:cs="Courier New" w:eastAsia="Courier New" w:hAnsi="Courier New"/>
                <w:sz w:val="16"/>
                <w:szCs w:val="16"/>
                <w:color w:val="auto"/>
                <w:w w:val="96"/>
              </w:rPr>
              <w:t>Interest and dividend income....................................</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w:t>
            </w:r>
          </w:p>
        </w:tc>
      </w:tr>
      <w:tr>
        <w:trPr>
          <w:trHeight w:val="185"/>
        </w:trPr>
        <w:tc>
          <w:tcPr>
            <w:tcW w:w="7260" w:type="dxa"/>
            <w:vAlign w:val="bottom"/>
            <w:gridSpan w:val="2"/>
          </w:tcPr>
          <w:p>
            <w:pPr>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w w:val="96"/>
              </w:rPr>
              <w:t>Investment impairment losses....................................</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w w:val="96"/>
              </w:rPr>
              <w:t>Unrealized gains (losses) on trading securities.................</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(1,440)</w:t>
            </w: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w w:val="96"/>
              </w:rPr>
              <w:t>to trading securities......................................</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(68)</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1,171</w:t>
            </w: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w w:val="96"/>
              </w:rPr>
              <w:t>Mark to market adjustments on derivatives and hedged items......</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5"/>
        </w:trPr>
        <w:tc>
          <w:tcPr>
            <w:tcW w:w="596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960" w:type="dxa"/>
            <w:vAlign w:val="bottom"/>
          </w:tcPr>
          <w:p>
            <w:pPr>
              <w:spacing w:after="0"/>
              <w:rPr>
                <w:sz w:val="20"/>
                <w:szCs w:val="20"/>
                <w:color w:val="auto"/>
              </w:rPr>
            </w:pPr>
            <w:r>
              <w:rPr>
                <w:rFonts w:ascii="Courier New" w:cs="Courier New" w:eastAsia="Courier New" w:hAnsi="Courier New"/>
                <w:sz w:val="16"/>
                <w:szCs w:val="16"/>
                <w:color w:val="auto"/>
                <w:w w:val="96"/>
              </w:rPr>
              <w:t>Investment income (loss), net...................................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r>
      <w:tr>
        <w:trPr>
          <w:trHeight w:val="185"/>
        </w:trPr>
        <w:tc>
          <w:tcPr>
            <w:tcW w:w="596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190" w:lineRule="exact"/>
        <w:rPr>
          <w:rFonts w:ascii="Courier New" w:cs="Courier New" w:eastAsia="Courier New" w:hAnsi="Courier New"/>
          <w:sz w:val="16"/>
          <w:szCs w:val="16"/>
          <w:color w:val="auto"/>
        </w:rPr>
      </w:pPr>
    </w:p>
    <w:p>
      <w:pPr>
        <w:ind w:left="481" w:right="356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the carrying amount of goodwill by business segment (see Note 10) for the periods presented are as follows (in millions):</w:t>
      </w:r>
    </w:p>
    <w:p>
      <w:pPr>
        <w:spacing w:after="0" w:line="372"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4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Corporate</w:t>
            </w:r>
          </w:p>
        </w:tc>
        <w:tc>
          <w:tcPr>
            <w:tcW w:w="1240" w:type="dxa"/>
            <w:vAlign w:val="bottom"/>
          </w:tcPr>
          <w:p>
            <w:pPr>
              <w:spacing w:after="0"/>
              <w:rPr>
                <w:sz w:val="15"/>
                <w:szCs w:val="15"/>
                <w:color w:val="auto"/>
              </w:rPr>
            </w:pPr>
          </w:p>
        </w:tc>
      </w:tr>
      <w:tr>
        <w:trPr>
          <w:trHeight w:val="185"/>
        </w:trPr>
        <w:tc>
          <w:tcPr>
            <w:tcW w:w="4660" w:type="dxa"/>
            <w:vAlign w:val="bottom"/>
          </w:tcPr>
          <w:p>
            <w:pPr>
              <w:spacing w:after="0"/>
              <w:rPr>
                <w:sz w:val="16"/>
                <w:szCs w:val="16"/>
                <w:color w:val="auto"/>
              </w:rPr>
            </w:pP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Cable</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Commerce</w:t>
            </w:r>
          </w:p>
        </w:tc>
        <w:tc>
          <w:tcPr>
            <w:tcW w:w="15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and Other</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466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December 31, 2002......................</w:t>
            </w: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$4,693</w:t>
            </w:r>
          </w:p>
        </w:tc>
        <w:tc>
          <w:tcPr>
            <w:tcW w:w="1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$835</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$918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$6,446</w:t>
            </w:r>
          </w:p>
        </w:tc>
      </w:tr>
      <w:tr>
        <w:trPr>
          <w:trHeight w:val="185"/>
        </w:trPr>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rPr>
              <w:t>Intersegment transfers......................</w:t>
            </w: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w:t>
            </w:r>
          </w:p>
        </w:tc>
        <w:tc>
          <w:tcPr>
            <w:tcW w:w="148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c>
          <w:tcPr>
            <w:tcW w:w="1240" w:type="dxa"/>
            <w:vAlign w:val="bottom"/>
          </w:tcPr>
          <w:p>
            <w:pPr>
              <w:spacing w:after="0"/>
              <w:rPr>
                <w:sz w:val="16"/>
                <w:szCs w:val="16"/>
                <w:color w:val="auto"/>
              </w:rPr>
            </w:pPr>
          </w:p>
        </w:tc>
      </w:tr>
      <w:tr>
        <w:trPr>
          <w:trHeight w:val="185"/>
        </w:trPr>
        <w:tc>
          <w:tcPr>
            <w:tcW w:w="466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June 30, 2003..........................</w:t>
            </w: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$4,713</w:t>
            </w:r>
          </w:p>
        </w:tc>
        <w:tc>
          <w:tcPr>
            <w:tcW w:w="1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$835</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$6,446</w:t>
            </w:r>
          </w:p>
        </w:tc>
      </w:tr>
      <w:tr>
        <w:trPr>
          <w:trHeight w:val="185"/>
        </w:trPr>
        <w:tc>
          <w:tcPr>
            <w:tcW w:w="466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Cross-Guarantee Structure</w:t>
      </w:r>
    </w:p>
    <w:p>
      <w:pPr>
        <w:spacing w:after="0" w:line="5" w:lineRule="exact"/>
        <w:rPr>
          <w:rFonts w:ascii="Courier New" w:cs="Courier New" w:eastAsia="Courier New" w:hAnsi="Courier New"/>
          <w:sz w:val="16"/>
          <w:szCs w:val="16"/>
          <w:color w:val="auto"/>
        </w:rPr>
      </w:pPr>
    </w:p>
    <w:p>
      <w:pPr>
        <w:jc w:val="both"/>
        <w:ind w:left="481" w:right="31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simplify Comcast's capital structure, effective with its acquisition of AT&amp;T Corp.'s broadband business ("Broadband") on November 18, 2002, Comcast and certain of its cable holding company subsidiaries, including the Company's wholly owned subsidiary Comcast Cable Communications, Inc. ("Comcast Cable"), fully and unconditionally guaranteed each other's debt securities (the "Cross-Guarantee Structure"). Comcast Holdings is not a guarantor, and none of its debt is guaranteed. As of June 30, 2003, $23.766 billion of Comcast's debt securities were entitled to the benefits of the Cross-Guarantee Structure, including $6.936 billion of Comcast Cable's debt securities.</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Repayments and Redemptions of Debt</w:t>
      </w:r>
    </w:p>
    <w:p>
      <w:pPr>
        <w:spacing w:after="0" w:line="5" w:lineRule="exact"/>
        <w:rPr>
          <w:rFonts w:ascii="Courier New" w:cs="Courier New" w:eastAsia="Courier New" w:hAnsi="Courier New"/>
          <w:sz w:val="16"/>
          <w:szCs w:val="16"/>
          <w:color w:val="auto"/>
        </w:rPr>
      </w:pPr>
    </w:p>
    <w:p>
      <w:pPr>
        <w:jc w:val="both"/>
        <w:ind w:left="481" w:right="31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31, 2003, in connection with the closing of the restructuring of Time Warner Entertainment Company L.P., an investment accounted for under the cost method by Comcast, Comcast received $2.1 billion in cash which was used to repay debt, including $800 million of amounts outstanding under Comcast Cable's revolving credit facility.</w:t>
      </w:r>
    </w:p>
    <w:p>
      <w:pPr>
        <w:spacing w:after="0" w:line="187" w:lineRule="exact"/>
        <w:rPr>
          <w:rFonts w:ascii="Courier New" w:cs="Courier New" w:eastAsia="Courier New" w:hAnsi="Courier New"/>
          <w:sz w:val="16"/>
          <w:szCs w:val="16"/>
          <w:color w:val="auto"/>
        </w:rPr>
      </w:pPr>
    </w:p>
    <w:p>
      <w:pPr>
        <w:jc w:val="both"/>
        <w:ind w:left="481" w:right="318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2003, the Company redeemed, at its scheduled redemption price, the $154 million outstanding principal amount of its 8 1/4% senior subordinated notes due 2008. The Company financed the redemption with amounts available under its existing credit facilities.</w:t>
      </w:r>
    </w:p>
    <w:p>
      <w:pPr>
        <w:spacing w:after="0" w:line="373"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61"/>
          </w:cols>
          <w:pgMar w:left="239" w:top="1224" w:right="799" w:bottom="1440" w:gutter="0" w:footer="0" w:header="0"/>
        </w:sectPr>
      </w:pPr>
    </w:p>
    <w:bookmarkStart w:id="11" w:name="page12"/>
    <w:bookmarkEnd w:id="11"/>
    <w:p>
      <w:pPr>
        <w:jc w:val="center"/>
        <w:ind w:right="243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ZONES</w:t>
      </w:r>
    </w:p>
    <w:p>
      <w:pPr>
        <w:spacing w:after="0" w:line="5"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June 30, 2003, the number of Sprint PCS shares held by the Company exceeded the number of ZONES outstanding.</w:t>
      </w:r>
    </w:p>
    <w:p>
      <w:pPr>
        <w:spacing w:after="0" w:line="189" w:lineRule="exact"/>
        <w:rPr>
          <w:sz w:val="20"/>
          <w:szCs w:val="20"/>
          <w:color w:val="auto"/>
        </w:rPr>
      </w:pPr>
    </w:p>
    <w:p>
      <w:pPr>
        <w:jc w:val="both"/>
        <w:ind w:left="481" w:right="2539"/>
        <w:spacing w:after="0" w:line="265" w:lineRule="auto"/>
        <w:rPr>
          <w:sz w:val="20"/>
          <w:szCs w:val="20"/>
          <w:color w:val="auto"/>
        </w:rPr>
      </w:pPr>
      <w:r>
        <w:rPr>
          <w:rFonts w:ascii="Courier New" w:cs="Courier New" w:eastAsia="Courier New" w:hAnsi="Courier New"/>
          <w:sz w:val="15"/>
          <w:szCs w:val="15"/>
          <w:color w:val="auto"/>
        </w:rPr>
        <w:t>The Company split the accounting for the ZONES into derivative and debt components. The Company records the change in the fair value of the derivative component of the ZONES (see Note 4) and the change in the carrying value of the debt component of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27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4900" w:type="dxa"/>
            <w:vAlign w:val="bottom"/>
          </w:tcPr>
          <w:p>
            <w:pPr>
              <w:spacing w:after="0"/>
              <w:rPr>
                <w:sz w:val="16"/>
                <w:szCs w:val="16"/>
                <w:color w:val="auto"/>
              </w:rPr>
            </w:pPr>
          </w:p>
        </w:tc>
        <w:tc>
          <w:tcPr>
            <w:tcW w:w="27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490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2003</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490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900" w:type="dxa"/>
            <w:vAlign w:val="bottom"/>
          </w:tcPr>
          <w:p>
            <w:pPr>
              <w:spacing w:after="0"/>
              <w:rPr>
                <w:sz w:val="20"/>
                <w:szCs w:val="20"/>
                <w:color w:val="auto"/>
              </w:rPr>
            </w:pPr>
            <w:r>
              <w:rPr>
                <w:rFonts w:ascii="Courier New" w:cs="Courier New" w:eastAsia="Courier New" w:hAnsi="Courier New"/>
                <w:sz w:val="16"/>
                <w:szCs w:val="16"/>
                <w:color w:val="auto"/>
              </w:rPr>
              <w:t>Balance at Beginning of Period:</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Debt component................................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$491</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$468</w:t>
            </w: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Derivative component..........................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208</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1,145</w:t>
            </w:r>
          </w:p>
        </w:tc>
      </w:tr>
      <w:tr>
        <w:trPr>
          <w:trHeight w:val="185"/>
        </w:trPr>
        <w:tc>
          <w:tcPr>
            <w:tcW w:w="490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699</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1,613</w:t>
            </w:r>
          </w:p>
        </w:tc>
      </w:tr>
      <w:tr>
        <w:trPr>
          <w:trHeight w:val="370"/>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Increase in debt component</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to interest expense...........................</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185"/>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Increase (decrease) in derivative component</w:t>
            </w: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to investment income (loss), net..............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(935)</w:t>
            </w:r>
          </w:p>
        </w:tc>
      </w:tr>
      <w:tr>
        <w:trPr>
          <w:trHeight w:val="370"/>
        </w:trPr>
        <w:tc>
          <w:tcPr>
            <w:tcW w:w="4900" w:type="dxa"/>
            <w:vAlign w:val="bottom"/>
          </w:tcPr>
          <w:p>
            <w:pPr>
              <w:spacing w:after="0"/>
              <w:rPr>
                <w:sz w:val="20"/>
                <w:szCs w:val="20"/>
                <w:color w:val="auto"/>
              </w:rPr>
            </w:pPr>
            <w:r>
              <w:rPr>
                <w:rFonts w:ascii="Courier New" w:cs="Courier New" w:eastAsia="Courier New" w:hAnsi="Courier New"/>
                <w:sz w:val="16"/>
                <w:szCs w:val="16"/>
                <w:color w:val="auto"/>
              </w:rPr>
              <w:t>Balance at End of Period:</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Debt component................................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503</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479</w:t>
            </w: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Derivative component..........................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273</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w:t>
            </w:r>
          </w:p>
        </w:tc>
      </w:tr>
      <w:tr>
        <w:trPr>
          <w:trHeight w:val="185"/>
        </w:trPr>
        <w:tc>
          <w:tcPr>
            <w:tcW w:w="490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$776</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$689</w:t>
            </w:r>
          </w:p>
        </w:tc>
      </w:tr>
      <w:tr>
        <w:trPr>
          <w:trHeight w:val="185"/>
        </w:trPr>
        <w:tc>
          <w:tcPr>
            <w:tcW w:w="490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income (loss), net, the Company's effective weighted average interest rate on its total debt outstanding was 7.45% and 7.07% as of June 30, 2003 and December 31, 2002, respectively.</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and securities prices. The Company has issued indexed debt instruments and prepaid forward sale agreements whose value, in part, is derived from the market value of certain publicly traded common stock.</w:t>
      </w:r>
    </w:p>
    <w:p>
      <w:pPr>
        <w:spacing w:after="0" w:line="18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left="481" w:right="2539"/>
        <w:spacing w:after="0" w:line="242" w:lineRule="auto"/>
        <w:rPr>
          <w:sz w:val="20"/>
          <w:szCs w:val="20"/>
          <w:color w:val="auto"/>
        </w:rPr>
      </w:pPr>
      <w:r>
        <w:rPr>
          <w:rFonts w:ascii="Courier New" w:cs="Courier New" w:eastAsia="Courier New" w:hAnsi="Courier New"/>
          <w:sz w:val="16"/>
          <w:szCs w:val="16"/>
          <w:color w:val="auto"/>
        </w:rPr>
        <w:t>As of June 30, 2003, certain subsidiaries of the Company had unused lines of credit of $2.472 billion under their respective credit facilities.</w:t>
      </w:r>
    </w:p>
    <w:p>
      <w:pPr>
        <w:spacing w:after="0" w:line="189"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As of June 30, 2003, the Company and certain of its subsidiaries had unused irrevocable standby letters of credit totaling $43 million to cover potential fundings under various agreements.</w:t>
      </w:r>
    </w:p>
    <w:p>
      <w:pPr>
        <w:spacing w:after="0" w:line="371" w:lineRule="exact"/>
        <w:rPr>
          <w:sz w:val="20"/>
          <w:szCs w:val="20"/>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stock-based compensation in accordance with Accounting Principles Board Opinion No. 25, "Accounting for Stock Issued to Employees," and related interpretations, as permitted by SFAS No. 123,</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854" w:right="1440" w:bottom="1011" w:gutter="0" w:footer="0" w:header="0"/>
        </w:sectPr>
      </w:pPr>
    </w:p>
    <w:bookmarkStart w:id="12" w:name="page13"/>
    <w:bookmarkEnd w:id="12"/>
    <w:p>
      <w:pPr>
        <w:jc w:val="center"/>
        <w:ind w:right="346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3080"/>
        <w:spacing w:after="0" w:line="262" w:lineRule="auto"/>
        <w:rPr>
          <w:sz w:val="20"/>
          <w:szCs w:val="20"/>
          <w:color w:val="auto"/>
        </w:rPr>
      </w:pPr>
      <w:r>
        <w:rPr>
          <w:rFonts w:ascii="Courier New" w:cs="Courier New" w:eastAsia="Courier New" w:hAnsi="Courier New"/>
          <w:sz w:val="15"/>
          <w:szCs w:val="15"/>
          <w:color w:val="auto"/>
        </w:rPr>
        <w:t>"Accounting for Stock-Based Compensation," as amended. Compensation expense for stock options is measured as the excess, if any, of the quoted market price of the stock at the date of the grant over the amount an employee must pay to acquire the stock. The Company records compensation expense for restricted stock awards based on the quoted market price of the stock at the date of the grant and the vesting period. The Company records compensation expense for stock appreciation rights based on the changes in quoted market prices of the stock or other determinants of fair value.</w:t>
      </w:r>
    </w:p>
    <w:p>
      <w:pPr>
        <w:spacing w:after="0" w:line="179" w:lineRule="exact"/>
        <w:rPr>
          <w:sz w:val="20"/>
          <w:szCs w:val="20"/>
          <w:color w:val="auto"/>
        </w:rPr>
      </w:pPr>
    </w:p>
    <w:p>
      <w:pPr>
        <w:jc w:val="both"/>
        <w:ind w:right="3080"/>
        <w:spacing w:after="0" w:line="243" w:lineRule="auto"/>
        <w:rPr>
          <w:sz w:val="20"/>
          <w:szCs w:val="20"/>
          <w:color w:val="auto"/>
        </w:rPr>
      </w:pPr>
      <w:r>
        <w:rPr>
          <w:rFonts w:ascii="Courier New" w:cs="Courier New" w:eastAsia="Courier New" w:hAnsi="Courier New"/>
          <w:sz w:val="16"/>
          <w:szCs w:val="16"/>
          <w:color w:val="auto"/>
        </w:rPr>
        <w:t>The following table illustrates the effect on net income (loss) if the Company had applied the fair value recognition provisions of SFAS No. 123 to stock-based compensation (dollars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15"/>
                <w:szCs w:val="15"/>
                <w:color w:val="auto"/>
              </w:rPr>
            </w:pPr>
          </w:p>
        </w:tc>
        <w:tc>
          <w:tcPr>
            <w:tcW w:w="21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Three Months Ended</w:t>
            </w:r>
          </w:p>
        </w:tc>
        <w:tc>
          <w:tcPr>
            <w:tcW w:w="20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6140" w:type="dxa"/>
            <w:vAlign w:val="bottom"/>
          </w:tcPr>
          <w:p>
            <w:pPr>
              <w:spacing w:after="0"/>
              <w:rPr>
                <w:sz w:val="16"/>
                <w:szCs w:val="16"/>
                <w:color w:val="auto"/>
              </w:rPr>
            </w:pPr>
          </w:p>
        </w:tc>
        <w:tc>
          <w:tcPr>
            <w:tcW w:w="21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June 30,</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6140" w:type="dxa"/>
            <w:vAlign w:val="bottom"/>
          </w:tcPr>
          <w:p>
            <w:pPr>
              <w:spacing w:after="0"/>
              <w:rPr>
                <w:sz w:val="16"/>
                <w:szCs w:val="16"/>
                <w:color w:val="auto"/>
              </w:rPr>
            </w:pPr>
          </w:p>
        </w:tc>
        <w:tc>
          <w:tcPr>
            <w:tcW w:w="10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2003</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ind w:left="300"/>
              <w:spacing w:after="0"/>
              <w:rPr>
                <w:sz w:val="20"/>
                <w:szCs w:val="20"/>
                <w:color w:val="auto"/>
              </w:rPr>
            </w:pPr>
            <w:r>
              <w:rPr>
                <w:rFonts w:ascii="Courier New" w:cs="Courier New" w:eastAsia="Courier New" w:hAnsi="Courier New"/>
                <w:sz w:val="16"/>
                <w:szCs w:val="16"/>
                <w:color w:val="auto"/>
              </w:rPr>
              <w:t>2003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61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6140" w:type="dxa"/>
            <w:vAlign w:val="bottom"/>
          </w:tcPr>
          <w:p>
            <w:pPr>
              <w:spacing w:after="0"/>
              <w:rPr>
                <w:sz w:val="20"/>
                <w:szCs w:val="20"/>
                <w:color w:val="auto"/>
              </w:rPr>
            </w:pPr>
            <w:r>
              <w:rPr>
                <w:rFonts w:ascii="Courier New" w:cs="Courier New" w:eastAsia="Courier New" w:hAnsi="Courier New"/>
                <w:sz w:val="16"/>
                <w:szCs w:val="16"/>
                <w:color w:val="auto"/>
                <w:w w:val="99"/>
              </w:rPr>
              <w:t>Net income (loss), as reported..................................</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$203</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Deduct: Total stock-based compensation</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rPr>
              <w:t>expense determined under fair value based method</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40" w:type="dxa"/>
            <w:vAlign w:val="bottom"/>
          </w:tcPr>
          <w:p>
            <w:pPr>
              <w:ind w:left="480"/>
              <w:spacing w:after="0"/>
              <w:rPr>
                <w:sz w:val="20"/>
                <w:szCs w:val="20"/>
                <w:color w:val="auto"/>
              </w:rPr>
            </w:pPr>
            <w:r>
              <w:rPr>
                <w:rFonts w:ascii="Courier New" w:cs="Courier New" w:eastAsia="Courier New" w:hAnsi="Courier New"/>
                <w:sz w:val="16"/>
                <w:szCs w:val="16"/>
                <w:color w:val="auto"/>
                <w:w w:val="99"/>
              </w:rPr>
              <w:t>for all awards, net of related tax effects.................</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5"/>
        </w:trPr>
        <w:tc>
          <w:tcPr>
            <w:tcW w:w="61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w w:val="99"/>
              </w:rPr>
              <w:t>Pro forma, net income (loss)....................................</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$178</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($246)</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($368)</w:t>
            </w:r>
          </w:p>
        </w:tc>
      </w:tr>
      <w:tr>
        <w:trPr>
          <w:trHeight w:val="185"/>
        </w:trPr>
        <w:tc>
          <w:tcPr>
            <w:tcW w:w="61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6"/>
          <w:szCs w:val="16"/>
          <w:color w:val="auto"/>
        </w:rPr>
        <w:t>Total stock-based compensation expense was determined under the fair value method for all awards assuming accelerated vesting of stock options as permitted under SFAS No. 123. Had the Company applied the fair value recognition provisions of SFAS No. 123 assuming straight-line rather than accelerated vesting of stock options, total stock-based compensation expense, net of related tax effects, would have been $21 million and $28 million for the three months ended June 30, 2003 and 2002, respectively, and $40 million and $55 million for the six months ended June 30, 2003 and 2002, respectively.</w:t>
      </w:r>
    </w:p>
    <w:p>
      <w:pPr>
        <w:spacing w:after="0" w:line="189"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6"/>
          <w:szCs w:val="16"/>
          <w:color w:val="auto"/>
        </w:rPr>
        <w:t>The weighted-average fair value at date of grant of a Class A common stock option granted under Comcast's option plans during the three and six months ended June 30, 2003 was $7.67 and $10.53, respectively. The weighted-average fair value at date of grant of a Class A Special common stock option granted under the option plans during the three and six months ended June 30, 2002 was $12.98 and $16.30, respectively. The fair value of each option granted during the interim periods in 2003 and 2002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5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Three Months Ended June 30,</w:t>
            </w:r>
          </w:p>
        </w:tc>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June</w:t>
            </w:r>
          </w:p>
        </w:tc>
        <w:tc>
          <w:tcPr>
            <w:tcW w:w="8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w:t>
            </w:r>
          </w:p>
        </w:tc>
      </w:tr>
      <w:tr>
        <w:trPr>
          <w:trHeight w:val="185"/>
        </w:trPr>
        <w:tc>
          <w:tcPr>
            <w:tcW w:w="3400" w:type="dxa"/>
            <w:vAlign w:val="bottom"/>
          </w:tcPr>
          <w:p>
            <w:pPr>
              <w:spacing w:after="0"/>
              <w:rPr>
                <w:sz w:val="16"/>
                <w:szCs w:val="16"/>
                <w:color w:val="auto"/>
              </w:rPr>
            </w:pPr>
          </w:p>
        </w:tc>
        <w:tc>
          <w:tcPr>
            <w:tcW w:w="17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2003</w:t>
            </w:r>
          </w:p>
        </w:tc>
        <w:tc>
          <w:tcPr>
            <w:tcW w:w="18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2002</w:t>
            </w: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2003</w:t>
            </w:r>
          </w:p>
        </w:tc>
        <w:tc>
          <w:tcPr>
            <w:tcW w:w="168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w w:val="98"/>
              </w:rPr>
              <w:t>2002</w:t>
            </w:r>
          </w:p>
        </w:tc>
      </w:tr>
      <w:tr>
        <w:trPr>
          <w:trHeight w:val="185"/>
        </w:trPr>
        <w:tc>
          <w:tcPr>
            <w:tcW w:w="3400" w:type="dxa"/>
            <w:vAlign w:val="bottom"/>
          </w:tcPr>
          <w:p>
            <w:pPr>
              <w:spacing w:after="0"/>
              <w:rPr>
                <w:sz w:val="16"/>
                <w:szCs w:val="16"/>
                <w:color w:val="auto"/>
              </w:rPr>
            </w:pPr>
          </w:p>
        </w:tc>
        <w:tc>
          <w:tcPr>
            <w:tcW w:w="17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w:t>
            </w:r>
          </w:p>
        </w:tc>
        <w:tc>
          <w:tcPr>
            <w:tcW w:w="168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Class A</w:t>
            </w:r>
          </w:p>
        </w:tc>
        <w:tc>
          <w:tcPr>
            <w:tcW w:w="1820" w:type="dxa"/>
            <w:vAlign w:val="bottom"/>
          </w:tcPr>
          <w:p>
            <w:pPr>
              <w:ind w:left="180"/>
              <w:spacing w:after="0"/>
              <w:rPr>
                <w:sz w:val="20"/>
                <w:szCs w:val="20"/>
                <w:color w:val="auto"/>
              </w:rPr>
            </w:pPr>
            <w:r>
              <w:rPr>
                <w:rFonts w:ascii="Courier New" w:cs="Courier New" w:eastAsia="Courier New" w:hAnsi="Courier New"/>
                <w:sz w:val="16"/>
                <w:szCs w:val="16"/>
                <w:color w:val="auto"/>
              </w:rPr>
              <w:t>Class A Special</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Class A</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Class A</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Special</w:t>
            </w:r>
          </w:p>
        </w:tc>
      </w:tr>
      <w:tr>
        <w:trPr>
          <w:trHeight w:val="185"/>
        </w:trPr>
        <w:tc>
          <w:tcPr>
            <w:tcW w:w="3400" w:type="dxa"/>
            <w:vAlign w:val="bottom"/>
          </w:tcPr>
          <w:p>
            <w:pPr>
              <w:spacing w:after="0"/>
              <w:rPr>
                <w:sz w:val="16"/>
                <w:szCs w:val="16"/>
                <w:color w:val="auto"/>
              </w:rPr>
            </w:pPr>
          </w:p>
        </w:tc>
        <w:tc>
          <w:tcPr>
            <w:tcW w:w="17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Common Stock</w:t>
            </w:r>
          </w:p>
        </w:tc>
        <w:tc>
          <w:tcPr>
            <w:tcW w:w="18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Common Stock</w:t>
            </w:r>
          </w:p>
        </w:tc>
        <w:tc>
          <w:tcPr>
            <w:tcW w:w="16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Common Stock</w:t>
            </w:r>
          </w:p>
        </w:tc>
        <w:tc>
          <w:tcPr>
            <w:tcW w:w="16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3400" w:type="dxa"/>
            <w:vAlign w:val="bottom"/>
          </w:tcPr>
          <w:p>
            <w:pPr>
              <w:spacing w:after="0"/>
              <w:rPr>
                <w:sz w:val="16"/>
                <w:szCs w:val="16"/>
                <w:color w:val="auto"/>
              </w:rPr>
            </w:pPr>
          </w:p>
        </w:tc>
        <w:tc>
          <w:tcPr>
            <w:tcW w:w="17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w:t>
            </w:r>
          </w:p>
        </w:tc>
        <w:tc>
          <w:tcPr>
            <w:tcW w:w="168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Dividend yield.....................</w:t>
            </w:r>
          </w:p>
        </w:tc>
        <w:tc>
          <w:tcPr>
            <w:tcW w:w="17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w:t>
            </w:r>
          </w:p>
        </w:tc>
        <w:tc>
          <w:tcPr>
            <w:tcW w:w="820" w:type="dxa"/>
            <w:vAlign w:val="bottom"/>
          </w:tcPr>
          <w:p>
            <w:pPr>
              <w:spacing w:after="0"/>
              <w:rPr>
                <w:sz w:val="24"/>
                <w:szCs w:val="24"/>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Expected volatility................</w:t>
            </w:r>
          </w:p>
        </w:tc>
        <w:tc>
          <w:tcPr>
            <w:tcW w:w="17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29.8%</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30.0%</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29.4%</w:t>
            </w:r>
          </w:p>
        </w:tc>
        <w:tc>
          <w:tcPr>
            <w:tcW w:w="82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5"/>
              </w:rPr>
              <w:t>29.2%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17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5.3%</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3.3%</w:t>
            </w:r>
          </w:p>
        </w:tc>
        <w:tc>
          <w:tcPr>
            <w:tcW w:w="82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Expected option lives (in years)...</w:t>
            </w:r>
          </w:p>
        </w:tc>
        <w:tc>
          <w:tcPr>
            <w:tcW w:w="17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3.5</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8.0</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6.7</w:t>
            </w:r>
          </w:p>
        </w:tc>
        <w:tc>
          <w:tcPr>
            <w:tcW w:w="820" w:type="dxa"/>
            <w:vAlign w:val="bottom"/>
          </w:tcPr>
          <w:p>
            <w:pPr>
              <w:spacing w:after="0"/>
              <w:rPr>
                <w:sz w:val="16"/>
                <w:szCs w:val="16"/>
                <w:color w:val="auto"/>
              </w:rPr>
            </w:pPr>
          </w:p>
        </w:tc>
        <w:tc>
          <w:tcPr>
            <w:tcW w:w="8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8.0</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Forfeiture rate....................</w:t>
            </w:r>
          </w:p>
        </w:tc>
        <w:tc>
          <w:tcPr>
            <w:tcW w:w="17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w:t>
            </w:r>
          </w:p>
        </w:tc>
        <w:tc>
          <w:tcPr>
            <w:tcW w:w="82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w:t>
            </w:r>
          </w:p>
        </w:tc>
      </w:tr>
    </w:tbl>
    <w:p>
      <w:pPr>
        <w:spacing w:after="0" w:line="375"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6"/>
          <w:szCs w:val="16"/>
          <w:color w:val="auto"/>
        </w:rPr>
        <w:t>The pro forma effect on net income (loss) for the interim periods by applying SFAS No. 123 may not be indicative of the effect on net income or loss in future years since SFAS No. 123 does not take into consideration pro forma compensation expense related to awards made prior to January 1, 1995 and since additional awards in future years are anticipated.</w:t>
      </w:r>
    </w:p>
    <w:p>
      <w:pPr>
        <w:spacing w:after="0" w:line="37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80"/>
          </w:cols>
          <w:pgMar w:left="720" w:top="854" w:right="899" w:bottom="0" w:gutter="0" w:footer="0" w:header="0"/>
        </w:sectPr>
      </w:pPr>
    </w:p>
    <w:bookmarkStart w:id="13" w:name="page14"/>
    <w:bookmarkEnd w:id="13"/>
    <w:p>
      <w:pPr>
        <w:jc w:val="center"/>
        <w:ind w:right="243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Comprehensive Income (Loss)</w:t>
      </w:r>
    </w:p>
    <w:p>
      <w:pPr>
        <w:spacing w:after="0" w:line="5" w:lineRule="exact"/>
        <w:rPr>
          <w:sz w:val="20"/>
          <w:szCs w:val="20"/>
          <w:color w:val="auto"/>
        </w:rPr>
      </w:pPr>
    </w:p>
    <w:p>
      <w:pPr>
        <w:ind w:left="481" w:right="2539"/>
        <w:spacing w:after="0" w:line="242"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23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240" w:type="dxa"/>
            <w:vAlign w:val="bottom"/>
          </w:tcPr>
          <w:p>
            <w:pPr>
              <w:spacing w:after="0"/>
              <w:rPr>
                <w:sz w:val="16"/>
                <w:szCs w:val="16"/>
                <w:color w:val="auto"/>
              </w:rPr>
            </w:pPr>
          </w:p>
        </w:tc>
        <w:tc>
          <w:tcPr>
            <w:tcW w:w="230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June 30,</w:t>
            </w:r>
          </w:p>
        </w:tc>
        <w:tc>
          <w:tcPr>
            <w:tcW w:w="21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2003</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Unrealized losses on marketable securities...........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losses</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included in net income (loss)......................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203</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Unrealized gains on the effective portion</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of cash flow hedges................................</w:t>
            </w:r>
          </w:p>
        </w:tc>
        <w:tc>
          <w:tcPr>
            <w:tcW w:w="114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 (losses)..........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($467)</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0" w:lineRule="exact"/>
        <w:rPr>
          <w:rFonts w:ascii="Courier New" w:cs="Courier New" w:eastAsia="Courier New" w:hAnsi="Courier New"/>
          <w:sz w:val="16"/>
          <w:szCs w:val="16"/>
          <w:color w:val="auto"/>
        </w:rPr>
      </w:pPr>
    </w:p>
    <w:p>
      <w:pPr>
        <w:ind w:left="48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226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Three Months Ended</w:t>
            </w:r>
          </w:p>
        </w:tc>
        <w:tc>
          <w:tcPr>
            <w:tcW w:w="21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240" w:type="dxa"/>
            <w:vAlign w:val="bottom"/>
          </w:tcPr>
          <w:p>
            <w:pPr>
              <w:spacing w:after="0"/>
              <w:rPr>
                <w:sz w:val="16"/>
                <w:szCs w:val="16"/>
                <w:color w:val="auto"/>
              </w:rPr>
            </w:pPr>
          </w:p>
        </w:tc>
        <w:tc>
          <w:tcPr>
            <w:tcW w:w="2260" w:type="dxa"/>
            <w:vAlign w:val="bottom"/>
            <w:gridSpan w:val="2"/>
          </w:tcPr>
          <w:p>
            <w:pPr>
              <w:jc w:val="right"/>
              <w:ind w:right="800"/>
              <w:spacing w:after="0"/>
              <w:rPr>
                <w:sz w:val="20"/>
                <w:szCs w:val="20"/>
                <w:color w:val="auto"/>
              </w:rPr>
            </w:pPr>
            <w:r>
              <w:rPr>
                <w:rFonts w:ascii="Courier New" w:cs="Courier New" w:eastAsia="Courier New" w:hAnsi="Courier New"/>
                <w:sz w:val="16"/>
                <w:szCs w:val="16"/>
                <w:color w:val="auto"/>
              </w:rPr>
              <w:t>June 30,</w:t>
            </w:r>
          </w:p>
        </w:tc>
        <w:tc>
          <w:tcPr>
            <w:tcW w:w="210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2002</w:t>
            </w: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r>
    </w:tbl>
    <w:p>
      <w:pPr>
        <w:spacing w:after="0" w:line="373"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5" w:lineRule="exact"/>
        <w:rPr>
          <w:rFonts w:ascii="Courier New" w:cs="Courier New" w:eastAsia="Courier New" w:hAnsi="Courier New"/>
          <w:sz w:val="16"/>
          <w:szCs w:val="16"/>
          <w:color w:val="auto"/>
        </w:rPr>
      </w:pPr>
    </w:p>
    <w:p>
      <w:pPr>
        <w:jc w:val="both"/>
        <w:ind w:left="481"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Litigation has been filed against the Company as a result of alleged conduct of the Company with respect to its investment in and distribution relationship with At Home Corporation. At Home was a provider of high-speed Internet access and content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ectPr>
          <w:pgSz w:w="11900" w:h="16838" w:orient="portrait"/>
          <w:cols w:equalWidth="0" w:num="1">
            <w:col w:w="10221"/>
          </w:cols>
          <w:pgMar w:left="239" w:top="854" w:right="1440" w:bottom="451" w:gutter="0" w:footer="0" w:header="0"/>
        </w:sectPr>
      </w:pPr>
    </w:p>
    <w:bookmarkStart w:id="14" w:name="page15"/>
    <w:bookmarkEnd w:id="14"/>
    <w:p>
      <w:pPr>
        <w:ind w:left="2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140" w:right="1440" w:bottom="1440" w:gutter="0" w:footer="0" w:header="0"/>
        </w:sectPr>
      </w:pPr>
    </w:p>
    <w:bookmarkStart w:id="15" w:name="page16"/>
    <w:bookmarkEnd w:id="15"/>
    <w:p>
      <w:pPr>
        <w:jc w:val="center"/>
        <w:ind w:right="291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Some of the entities formerly attributed to Broadband which are now subsidiaries of Comcast are parties to an affiliation term sheet with Starz Encore Group LLC, an affiliate of Liberty Media Corporation, which extends to 2022. The term sheet purports to require annual fixed price payments, subject to adjustment for various factors, including inflation. The term sheet also purports to require Comcast to pay two-thirds of Starz Encore's programming costs above levels designated in the term sheet. Excess programming costs that may be payable by Comcast in future years are not presently estimable, and could be significant.</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19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November 18, 2002, the Company and Comcast filed suit against Starz Encore in the United States District Court for the Eastern District of Pennsylvania. The Company and Comcast seek a declaratory judgment that, pursuant to their rights under a March 17, 1999 contract with a predecessor of Starz Encore, upon the completion of the Broadband acquisition that contract now provides the terms under which Starz Encore programming is acquired and transmitted by Comcast's cable systems. On January 8, 2003, Starz Encore filed a motion to dismiss the lawsuit on the grounds that claims asserted by the Company and Comcast raised issues of state law that the United States District Court should decline to decide. The Company and Comcast have responded contesting these assertions. That motion has been submitted to the Court for decision.</w:t>
      </w:r>
    </w:p>
    <w:p>
      <w:pPr>
        <w:spacing w:after="0" w:line="191" w:lineRule="exact"/>
        <w:rPr>
          <w:sz w:val="20"/>
          <w:szCs w:val="20"/>
          <w:color w:val="auto"/>
        </w:rPr>
      </w:pPr>
    </w:p>
    <w:p>
      <w:pPr>
        <w:jc w:val="both"/>
        <w:ind w:right="2539"/>
        <w:spacing w:after="0" w:line="262" w:lineRule="auto"/>
        <w:rPr>
          <w:sz w:val="20"/>
          <w:szCs w:val="20"/>
          <w:color w:val="auto"/>
        </w:rPr>
      </w:pPr>
      <w:r>
        <w:rPr>
          <w:rFonts w:ascii="Courier New" w:cs="Courier New" w:eastAsia="Courier New" w:hAnsi="Courier New"/>
          <w:sz w:val="15"/>
          <w:szCs w:val="15"/>
          <w:color w:val="auto"/>
        </w:rPr>
        <w:t>On January 31, 2003, Starz Encore filed an amended complaint in its lawsuit against Broadband in Colorado state court. The amended complaint adds the Company and Comcast as defendants and adds new claims against the Company, Comcast and Broadband asserting alleged breaches of, and interference with, the standstill agreement relating to the lawsuit filed by the Company and Comcast in federal District Court in Pennsylvania and to the defendants' position that since the completion of the Broadband acquisition, the March 17, 1999 contract now provides the terms under which Starz Encore programming is acquired and transmitted by the Company's cable systems.</w:t>
      </w:r>
    </w:p>
    <w:p>
      <w:pPr>
        <w:spacing w:after="0" w:line="17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March 3, 2003, Starz Encore filed a motion for leave to file a second amended complaint that would add allegations that Broadband has breached certain purported joint-marketing obligations under the term sheet and that the Company and Comcast have breached certain joint-marketing obligations under the March 17, 1999 contract and other agreements. The Company, Comcast and Broadband opposed Starz Encore's motion for leave to file a second amended complaint and, in light of Starz Encore's pending motion for leave to amend, sought an extension of time from the Court to respond to Starz Encore's amended complaint. Both Starz Encore's motion to amend and Comcast's motion to extend time are fully briefed and have been submitted to the Court for decision.</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9"/>
          </w:cols>
          <w:pgMar w:left="720" w:top="854" w:right="1440" w:bottom="0" w:gutter="0" w:footer="0" w:header="0"/>
        </w:sectPr>
      </w:pPr>
    </w:p>
    <w:bookmarkStart w:id="16" w:name="page17"/>
    <w:bookmarkEnd w:id="16"/>
    <w:p>
      <w:pPr>
        <w:jc w:val="center"/>
        <w:ind w:right="291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April 3, 2003, the Company and Comcast filed a motion for summary judgment in the federal action in Pennsylvania. On April 16, 2003, Starz Encore filed a motion seeking (i) to strike the affidavit supporting the summary judgment motion or, in the alternative, (ii) a general postponement of Starz Encore's response date (or at a minimum a three week extension). On April 29, 2003, the Company and Comcast filed an opposition to Starz Encore's motion. The Court has not yet ruled on either motion.</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An entity formerly attributed to Broadband, which is now Comcast's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Comcast is now bound by the master agreement to use CSG as its exclusive provider for certain billing and customer care services; (iii) tortious interference with prospective contractual relations; and (iv) civil conspiracy. The evidentiary hearing commenced on May 9, 2003 and concluded on June 17, 2003. The parties filed and exchanged opening post-hearing briefs on July 25, 2003 and are scheduled to file and exchange reply briefs on August 8, 2003. Final oral arguments are currently scheduled for September 10 and 11, 2003.</w:t>
      </w:r>
    </w:p>
    <w:p>
      <w:pPr>
        <w:spacing w:after="0" w:line="192" w:lineRule="exact"/>
        <w:rPr>
          <w:sz w:val="20"/>
          <w:szCs w:val="20"/>
          <w:color w:val="auto"/>
        </w:rPr>
      </w:pPr>
    </w:p>
    <w:p>
      <w:pPr>
        <w:jc w:val="both"/>
        <w:ind w:right="2539"/>
        <w:spacing w:after="0" w:line="262" w:lineRule="auto"/>
        <w:rPr>
          <w:sz w:val="20"/>
          <w:szCs w:val="20"/>
          <w:color w:val="auto"/>
        </w:rPr>
      </w:pPr>
      <w:r>
        <w:rPr>
          <w:rFonts w:ascii="Courier New" w:cs="Courier New" w:eastAsia="Courier New" w:hAnsi="Courier New"/>
          <w:sz w:val="15"/>
          <w:szCs w:val="15"/>
          <w:color w:val="auto"/>
        </w:rPr>
        <w:t>On June 21, 2002, CSG filed a lawsuit against the Company in federal court in Denver, Colorado asserting claims related to the master agreement and the pending arbitration. On November 4, 2002, CSG withdrew its complaint against the Company without prejudice. On November 15, 2002, Comcast initiated a lawsuit against CSG in federal court in Philadelphia, Pennsylvania asserting that cable systems owned by the Company are not required to use CSG as a billing service or customer care provider pursuant to the master agreement, and that the former Broadband cable systems owned by Comcast may be added to a billing service agreement between Comcast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361"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management's opinion, the final disposition of the Starz Encore and CSG contractual disputes is not expected to have a material adverse effect on the Company's consolidated financial position or results of operations. However, no assurance can be given that any adverse outcome would not be material to such consolidated financial position or results of operations.</w:t>
      </w:r>
    </w:p>
    <w:p>
      <w:pPr>
        <w:spacing w:after="0" w:line="187"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7"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$165 million; however the Company's current estimate of the amount of expenditures (principally in the form of capital expenditures) that will be made by the affiliate necessary to comply with the performance requirements will not exceed $50 million.</w:t>
      </w:r>
    </w:p>
    <w:p>
      <w:pPr>
        <w:spacing w:after="0" w:line="200" w:lineRule="exact"/>
        <w:rPr>
          <w:sz w:val="20"/>
          <w:szCs w:val="20"/>
          <w:color w:val="auto"/>
        </w:rPr>
      </w:pP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39"/>
          </w:cols>
          <w:pgMar w:left="720" w:top="854" w:right="1440" w:bottom="1440" w:gutter="0" w:footer="0" w:header="0"/>
        </w:sectPr>
      </w:pPr>
    </w:p>
    <w:bookmarkStart w:id="17" w:name="page18"/>
    <w:bookmarkEnd w:id="17"/>
    <w:p>
      <w:pPr>
        <w:jc w:val="center"/>
        <w:ind w:right="28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0" w:lineRule="exact"/>
        <w:rPr>
          <w:rFonts w:ascii="Courier New" w:cs="Courier New" w:eastAsia="Courier New" w:hAnsi="Courier New"/>
          <w:sz w:val="16"/>
          <w:szCs w:val="16"/>
          <w:color w:val="auto"/>
        </w:rPr>
      </w:pPr>
    </w:p>
    <w:p>
      <w:pPr>
        <w:jc w:val="both"/>
        <w:ind w:left="481" w:right="2980"/>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following represents the Company's significant business segments, "Cable" and "Commerce." The components of net income (loss) below operating income (loss) before depreciation and amortization are not separately evaluated by the Company's management on a segment basis (in millions).</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Corporate and</w:t>
            </w:r>
          </w:p>
        </w:tc>
        <w:tc>
          <w:tcPr>
            <w:tcW w:w="1060" w:type="dxa"/>
            <w:vAlign w:val="bottom"/>
          </w:tcPr>
          <w:p>
            <w:pPr>
              <w:spacing w:after="0"/>
              <w:rPr>
                <w:sz w:val="15"/>
                <w:szCs w:val="15"/>
                <w:color w:val="auto"/>
              </w:rPr>
            </w:pPr>
          </w:p>
        </w:tc>
      </w:tr>
      <w:tr>
        <w:trPr>
          <w:trHeight w:val="185"/>
        </w:trPr>
        <w:tc>
          <w:tcPr>
            <w:tcW w:w="3740" w:type="dxa"/>
            <w:vAlign w:val="bottom"/>
          </w:tcPr>
          <w:p>
            <w:pPr>
              <w:spacing w:after="0"/>
              <w:rPr>
                <w:sz w:val="16"/>
                <w:szCs w:val="16"/>
                <w:color w:val="auto"/>
              </w:rPr>
            </w:pPr>
          </w:p>
        </w:tc>
        <w:tc>
          <w:tcPr>
            <w:tcW w:w="28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Cable</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Commerce</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Other (1)</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3740" w:type="dxa"/>
            <w:vAlign w:val="bottom"/>
          </w:tcPr>
          <w:p>
            <w:pPr>
              <w:spacing w:after="0"/>
              <w:rPr>
                <w:sz w:val="16"/>
                <w:szCs w:val="16"/>
                <w:color w:val="auto"/>
              </w:rPr>
            </w:pPr>
          </w:p>
        </w:tc>
        <w:tc>
          <w:tcPr>
            <w:tcW w:w="28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Three Months Ended June 30, 2003</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Revenues (2).........................................</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$1,716</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$1,101</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$3,028</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w w:val="70"/>
              </w:rPr>
              <w:t>and amortization (3)............................</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738</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219</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987</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Depreciation and amortization........................</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325</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406</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Operating income (loss)..............................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413</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185</w:t>
            </w:r>
          </w:p>
        </w:tc>
        <w:tc>
          <w:tcPr>
            <w:tcW w:w="16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581</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Interest expense.....................................</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136</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Capital expenditures.................................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350</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Three Months Ended June 30, 2002</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Revenues (2).........................................</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$1,541</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$990</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$2,704</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w w:val="70"/>
              </w:rPr>
              <w:t>and amortization (3)............................</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654</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194</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866</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Depreciation and amortization........................</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298</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388</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Operating income (loss)..............................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356</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165</w:t>
            </w:r>
          </w:p>
        </w:tc>
        <w:tc>
          <w:tcPr>
            <w:tcW w:w="16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478</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Interest expense.....................................</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141</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Capital expenditures.................................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331</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390</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Six Months Ended June 30, 2003</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Revenues (2).........................................</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$3,361</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$2,163</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$5,965</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w w:val="70"/>
              </w:rPr>
              <w:t>and amortization (3)............................</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1,413</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430</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1,879</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Depreciation and amortization........................</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624</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786</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Operating income (loss)..............................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789</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365</w:t>
            </w:r>
          </w:p>
        </w:tc>
        <w:tc>
          <w:tcPr>
            <w:tcW w:w="16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1,093</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Interest expense.....................................</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275</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342</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Capital expenditures.................................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685</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724</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Six Months Ended June 30, 2002</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Revenues (2).........................................</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$3,010</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$1,978</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$5,371</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w w:val="70"/>
              </w:rPr>
              <w:t>and amortization (3)............................</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1,251</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386</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1,674</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Depreciation and amortization........................</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591</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Operating income (loss)..............................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660</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330</w:t>
            </w:r>
          </w:p>
        </w:tc>
        <w:tc>
          <w:tcPr>
            <w:tcW w:w="16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899</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Interest expense.....................................</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287</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Capital expenditures.................................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689</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789</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As of June 30, 2003</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Assets...............................................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$29,384</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$3,237</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$3,572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$36,193</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Long-term debt, less current portion.................</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6,635</w:t>
            </w:r>
          </w:p>
        </w:tc>
        <w:tc>
          <w:tcPr>
            <w:tcW w:w="1380" w:type="dxa"/>
            <w:vAlign w:val="bottom"/>
          </w:tcPr>
          <w:p>
            <w:pPr>
              <w:spacing w:after="0"/>
              <w:rPr>
                <w:sz w:val="16"/>
                <w:szCs w:val="16"/>
                <w:color w:val="auto"/>
              </w:rPr>
            </w:pP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1,473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8,108</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As of December 31, 2002</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Assets...............................................</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$29,844</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$3,000</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$2,845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$35,689</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73"/>
              </w:rPr>
              <w:t>Long-term debt, less current portion.................</w:t>
            </w:r>
          </w:p>
        </w:tc>
        <w:tc>
          <w:tcPr>
            <w:tcW w:w="28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7,908</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1,348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9,257</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54"/>
        </w:trPr>
        <w:tc>
          <w:tcPr>
            <w:tcW w:w="3740" w:type="dxa"/>
            <w:vAlign w:val="bottom"/>
          </w:tcPr>
          <w:p>
            <w:pPr>
              <w:spacing w:after="0"/>
              <w:rPr>
                <w:sz w:val="24"/>
                <w:szCs w:val="24"/>
                <w:color w:val="auto"/>
              </w:rPr>
            </w:pPr>
          </w:p>
        </w:tc>
        <w:tc>
          <w:tcPr>
            <w:tcW w:w="2800" w:type="dxa"/>
            <w:vAlign w:val="bottom"/>
          </w:tcPr>
          <w:p>
            <w:pPr>
              <w:jc w:val="right"/>
              <w:ind w:right="2520"/>
              <w:spacing w:after="0"/>
              <w:rPr>
                <w:sz w:val="20"/>
                <w:szCs w:val="20"/>
                <w:color w:val="auto"/>
              </w:rPr>
            </w:pPr>
            <w:r>
              <w:rPr>
                <w:rFonts w:ascii="Courier New" w:cs="Courier New" w:eastAsia="Courier New" w:hAnsi="Courier New"/>
                <w:sz w:val="16"/>
                <w:szCs w:val="16"/>
                <w:color w:val="auto"/>
                <w:w w:val="93"/>
              </w:rPr>
              <w:t>14</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661"/>
          </w:cols>
          <w:pgMar w:left="239" w:top="1224" w:right="999" w:bottom="1440" w:gutter="0" w:footer="0" w:header="0"/>
        </w:sectPr>
      </w:pPr>
    </w:p>
    <w:bookmarkStart w:id="18" w:name="page19"/>
    <w:bookmarkEnd w:id="18"/>
    <w:p>
      <w:pPr>
        <w:jc w:val="center"/>
        <w:ind w:right="243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left="481" w:right="2539" w:hanging="481"/>
        <w:spacing w:after="0" w:line="244"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operations and elimination entries related to the segments presented. Corporate and other assets consist primarily of the Company's investments and intangible assets related to the Company's content operations (see Notes 4 and 5).</w:t>
      </w:r>
    </w:p>
    <w:p>
      <w:pPr>
        <w:spacing w:after="0" w:line="2" w:lineRule="exact"/>
        <w:rPr>
          <w:rFonts w:ascii="Courier New" w:cs="Courier New" w:eastAsia="Courier New" w:hAnsi="Courier New"/>
          <w:sz w:val="16"/>
          <w:szCs w:val="16"/>
          <w:color w:val="auto"/>
        </w:rPr>
      </w:pPr>
    </w:p>
    <w:p>
      <w:pPr>
        <w:jc w:val="both"/>
        <w:ind w:left="481" w:right="2539" w:hanging="481"/>
        <w:spacing w:after="0" w:line="260" w:lineRule="auto"/>
        <w:tabs>
          <w:tab w:leader="none" w:pos="48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$241 million, $146 million, $456 million and $286 million during the three months ended June 30, 2003 and 2002 and during the six months ended June 30, 2003 and 2002, respectively, of non-US revenues, principally related to the Company's commerce segment. No single customer accounted for a significant amount of the Company's revenues in any period.</w:t>
      </w:r>
    </w:p>
    <w:p>
      <w:pPr>
        <w:spacing w:after="0" w:line="3" w:lineRule="exact"/>
        <w:rPr>
          <w:rFonts w:ascii="Courier New" w:cs="Courier New" w:eastAsia="Courier New" w:hAnsi="Courier New"/>
          <w:sz w:val="15"/>
          <w:szCs w:val="15"/>
          <w:color w:val="auto"/>
        </w:rPr>
      </w:pPr>
    </w:p>
    <w:p>
      <w:pPr>
        <w:jc w:val="both"/>
        <w:ind w:left="481" w:right="2539" w:hanging="481"/>
        <w:spacing w:after="0" w:line="244"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the Company's businesses and intangible assets recognized in business combinations, and is unaffected by the Company's capital structure or investment activities. The Company's management and Board of Directors use this measure in evaluating the Company's consolidated operating performance and the operating performance of all of its operating segments. This metric is used to allocate resources and capital to the Company's operating segments and is a significant component of the Company's annual incentive compensation programs. This measure is also useful to investors as it is one of the bases for comparing the Company's operating performance with other companies in its industries, although the Company's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37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854" w:right="1440" w:bottom="1440" w:gutter="0" w:footer="0" w:header="0"/>
        </w:sectPr>
      </w:pPr>
    </w:p>
    <w:bookmarkStart w:id="19" w:name="page20"/>
    <w:bookmarkEnd w:id="19"/>
    <w:p>
      <w:pPr>
        <w:jc w:val="center"/>
        <w:ind w:right="2438"/>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QVC has an affiliation agreement with Comcast Cable Communications Holdings, Inc. ("CCCH"), a wholly owned subsidiary of Comcast, to carry QVC's programming. In return for carrying QVC programming, QVC pays CCCH an allocated portion, based upon market share, of a percentage of net sales of merchandise sold to QVC customers located in CCCH's service area. These amounts, which are included in selling, general and administrative expenses in the Company's consolidated statement of operations, totaled $4 million and $8 million during the three and six months ended June 30, 2003, respectively. Amounts related to a similar affiliation agreement between QVC and Comcast Cable are eliminated in the Company's consolidated financial statements.</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content businesses generate a portion of their revenues through the sale of subscriber services to CCCH under affiliation agreements. These amounts, which are included in service revenues in the Company's consolidated statement of operations, totaled $8 million and $17 million during the three and six months ended June 30, 2003, respectively. Amounts related to similar affiliation agreements between the Company's content businesses and Comcast Cable are eliminated in the Company's consolidated financial statements.</w:t>
      </w:r>
    </w:p>
    <w:p>
      <w:pPr>
        <w:spacing w:after="0" w:line="188" w:lineRule="exact"/>
        <w:rPr>
          <w:rFonts w:ascii="Courier New" w:cs="Courier New" w:eastAsia="Courier New" w:hAnsi="Courier New"/>
          <w:sz w:val="16"/>
          <w:szCs w:val="16"/>
          <w:color w:val="auto"/>
        </w:rPr>
      </w:pPr>
    </w:p>
    <w:p>
      <w:pPr>
        <w:jc w:val="both"/>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January 1, 2003, Comcast has entered into management agreements with the Company's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which are included in selling, general and administrative expenses in the Company's consolidated statement of operations, totaled $34 million and $71 million during the three and six months ended June 30, 2003, respectively. During the 2002 interim period, similar management agreements existed between Comcast Cable and its subsidiaries. Accordingly, amounts related to those agreements were eliminated in the Company's consolidated financial statements during the 2002 interim period.</w:t>
      </w:r>
    </w:p>
    <w:p>
      <w:pPr>
        <w:spacing w:after="0" w:line="17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2003, Comcast Cable reimburses Comcast Cable Communications Management, LLC ("CCCM"), a wholly owned subsidiary of Comcast but not of the Company, for certain costs under a cost sharing agreement. These charges, which are included in selling, general and administrative expenses in the Company's consolidated statement of operations, totaled $42 million and $82 million during the three and six months ended June 30, 2003, respectively. During the 2002 interim period, similar costs were included in selling, general and administrative expenses in the Company's consolidated statement of operations.</w:t>
      </w:r>
    </w:p>
    <w:p>
      <w:pPr>
        <w:spacing w:after="0" w:line="189" w:lineRule="exact"/>
        <w:rPr>
          <w:rFonts w:ascii="Courier New" w:cs="Courier New" w:eastAsia="Courier New" w:hAnsi="Courier New"/>
          <w:sz w:val="16"/>
          <w:szCs w:val="16"/>
          <w:color w:val="auto"/>
        </w:rPr>
      </w:pPr>
    </w:p>
    <w:p>
      <w:pPr>
        <w:jc w:val="both"/>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upon the closing of Comcast's acquisition of Broadband on November 18, 2002, the Company purchases certain other services, including insurance and employee benefits, from Comcast under cost sharing arrangements on terms that reflect Comcast's actual cost. These charges, which are included in selling, general and administrative expenses in the Company's consolidated statement of operations, totaled $38 million and $76 million during the three and six months ended June 30, 2003, respectively. During the 2002 interim period, similar cost sharing agreements existed between Comcast Holdings and Comcast Cable. Accordingly, amounts related to those agreements were eliminated in the Company's consolidated financial statements during the 2002 interim period.</w:t>
      </w:r>
    </w:p>
    <w:p>
      <w:pPr>
        <w:spacing w:after="0" w:line="362"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Financial Agency Corporation ("CFAC"), an indirect wholly owned subsidiary of the Company, provides cash management services to Comcast and CCCH. Under this arrangement, Comcast's and CCCH's cash receipts are deposited with and held by CFAC, as custodian and agent, which invests and disburses such funds at the direction of the Company. Interest income related to cash deposited by Comcast and CCCH in CFAC was not significant during the 2003 interim periods.</w:t>
      </w:r>
    </w:p>
    <w:p>
      <w:pPr>
        <w:spacing w:after="0" w:line="188" w:lineRule="exact"/>
        <w:rPr>
          <w:rFonts w:ascii="Courier New" w:cs="Courier New" w:eastAsia="Courier New" w:hAnsi="Courier New"/>
          <w:sz w:val="16"/>
          <w:szCs w:val="16"/>
          <w:color w:val="auto"/>
        </w:rPr>
      </w:pPr>
    </w:p>
    <w:p>
      <w:pPr>
        <w:ind w:left="4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Current due from affiliates in the Company's consolidated balance sheet as of June 30, 2003 primarily consists of amounts due from Comcast, CCCH and CCCM for advances made by the Company for working capital and capital expenditures in the ordinary course of business. Current due to affiliates in the Company's consolidated balance sheet as of December 31, 2002 primarily consists of amounts due to Comcast and its affiliates under the cost</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854" w:right="1440" w:bottom="272" w:gutter="0" w:footer="0" w:header="0"/>
        </w:sectPr>
      </w:pPr>
    </w:p>
    <w:bookmarkStart w:id="20" w:name="page21"/>
    <w:bookmarkEnd w:id="20"/>
    <w:p>
      <w:pPr>
        <w:jc w:val="center"/>
        <w:ind w:right="291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QUARTER ENDED JUNE 30, 2003</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sharing arrangements described above and amounts payable to Comcast and its affiliates as reimbursements for costs incurred, in the ordinary course of business, by such affiliates on behalf of the Company.</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of June 30, 2003 and December 31, 2002, note receivable from affiliate consists of a $191 million principal amount note receivable from Comcast. The note receivable bears interest at a rate of 7.5% and is due in 2012. Investment income (loss), net includes $3 million and $7 million for the three and six months ended June 30, 2003, respectively, of interest income related to the note. As of June 30, 2003, note receivable from affiliate includes $7 million of interest receivable related to the note.</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of June 30, 2003 and December 31, 2002, notes payable to affiliates consist of an aggregate of $561 million and $22 million principal amount, respectively, of notes payable to Comcast and a subsidiary of CCCH. The notes payable bear interest at rates ranging from 5.25% to 7.5% and are due between 2012 and 2013. Investment income (loss), net includes $2 million and $4 million for the three and six months ended June 30, 2003, respectively, of interest expense related to the notes. As of June 30, 2003, notes payable to affiliates includes $4 million of interest payable related to the notes.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854" w:right="1440" w:bottom="1440" w:gutter="0" w:footer="0" w:header="0"/>
        </w:sectPr>
      </w:pPr>
    </w:p>
    <w:bookmarkStart w:id="21" w:name="page22"/>
    <w:bookmarkEnd w:id="21"/>
    <w:p>
      <w:pPr>
        <w:jc w:val="center"/>
        <w:ind w:right="278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QUARTER ENDED JUNE 30, 2003</w:t>
      </w:r>
    </w:p>
    <w:p>
      <w:pPr>
        <w:spacing w:after="0" w:line="373"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6"/>
          <w:szCs w:val="16"/>
          <w:color w:val="auto"/>
        </w:rPr>
        <w:t>ITEM 2. MANAGEMENT'S</w:t>
      </w:r>
      <w:r>
        <w:rPr>
          <w:sz w:val="20"/>
          <w:szCs w:val="20"/>
          <w:color w:val="auto"/>
        </w:rPr>
        <w:tab/>
      </w:r>
      <w:r>
        <w:rPr>
          <w:rFonts w:ascii="Courier New" w:cs="Courier New" w:eastAsia="Courier New" w:hAnsi="Courier New"/>
          <w:sz w:val="15"/>
          <w:szCs w:val="15"/>
          <w:color w:val="auto"/>
        </w:rPr>
        <w:t>DISCUSSION AND ANALYSIS OF FINANCIAL CONDITION AND RESULTS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OF OPERATIONS</w:t>
      </w:r>
    </w:p>
    <w:p>
      <w:pPr>
        <w:spacing w:after="0" w:line="190" w:lineRule="exact"/>
        <w:rPr>
          <w:sz w:val="20"/>
          <w:szCs w:val="20"/>
          <w:color w:val="auto"/>
        </w:rPr>
      </w:pPr>
    </w:p>
    <w:p>
      <w:pPr>
        <w:jc w:val="both"/>
        <w:ind w:right="2880" w:firstLine="480"/>
        <w:spacing w:after="0" w:line="242" w:lineRule="auto"/>
        <w:rPr>
          <w:sz w:val="20"/>
          <w:szCs w:val="20"/>
          <w:color w:val="auto"/>
        </w:rPr>
      </w:pPr>
      <w:r>
        <w:rPr>
          <w:rFonts w:ascii="Courier New" w:cs="Courier New" w:eastAsia="Courier New" w:hAnsi="Courier New"/>
          <w:sz w:val="16"/>
          <w:szCs w:val="16"/>
          <w:color w:val="auto"/>
        </w:rPr>
        <w:t>Information for this item is omitted pursuant to SEC General Instruction H to Form 10-Q, except as noted below.</w:t>
      </w:r>
    </w:p>
    <w:p>
      <w:pPr>
        <w:spacing w:after="0" w:line="189" w:lineRule="exact"/>
        <w:rPr>
          <w:sz w:val="20"/>
          <w:szCs w:val="20"/>
          <w:color w:val="auto"/>
        </w:rPr>
      </w:pPr>
    </w:p>
    <w:p>
      <w:pPr>
        <w:jc w:val="both"/>
        <w:ind w:right="2880" w:firstLine="480"/>
        <w:spacing w:after="0" w:line="242" w:lineRule="auto"/>
        <w:rPr>
          <w:sz w:val="20"/>
          <w:szCs w:val="20"/>
          <w:color w:val="auto"/>
        </w:rPr>
      </w:pPr>
      <w:r>
        <w:rPr>
          <w:rFonts w:ascii="Courier New" w:cs="Courier New" w:eastAsia="Courier New" w:hAnsi="Courier New"/>
          <w:sz w:val="16"/>
          <w:szCs w:val="16"/>
          <w:color w:val="auto"/>
        </w:rPr>
        <w:t>We are an indirect wholly owned subsidiary of Comcast Corporation ("Comcast").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jc w:val="both"/>
        <w:ind w:right="2880" w:firstLine="480"/>
        <w:spacing w:after="0" w:line="263" w:lineRule="auto"/>
        <w:rPr>
          <w:sz w:val="20"/>
          <w:szCs w:val="20"/>
          <w:color w:val="auto"/>
        </w:rPr>
      </w:pPr>
      <w:r>
        <w:rPr>
          <w:rFonts w:ascii="Courier New" w:cs="Courier New" w:eastAsia="Courier New" w:hAnsi="Courier New"/>
          <w:sz w:val="15"/>
          <w:szCs w:val="15"/>
          <w:color w:val="auto"/>
        </w:rPr>
        <w:t>We have grown significantly in recent years through both strategic acquisitions and growth in our existing businesses. 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76" w:lineRule="exact"/>
        <w:rPr>
          <w:sz w:val="20"/>
          <w:szCs w:val="20"/>
          <w:color w:val="auto"/>
        </w:rPr>
      </w:pPr>
    </w:p>
    <w:p>
      <w:pPr>
        <w:jc w:val="both"/>
        <w:ind w:right="2880" w:firstLine="480"/>
        <w:spacing w:after="0" w:line="244" w:lineRule="auto"/>
        <w:rPr>
          <w:sz w:val="20"/>
          <w:szCs w:val="20"/>
          <w:color w:val="auto"/>
        </w:rPr>
      </w:pPr>
      <w:r>
        <w:rPr>
          <w:rFonts w:ascii="Courier New" w:cs="Courier New" w:eastAsia="Courier New" w:hAnsi="Courier New"/>
          <w:sz w:val="16"/>
          <w:szCs w:val="16"/>
          <w:color w:val="auto"/>
        </w:rPr>
        <w:t>As more fully described in Note 3 to our financial statements included in Item 1, in July 2003, we, Comcast and Liberty Media Corporation ("Liberty") entered into a stock purchase agreement pursuant to which Liberty will purchase our approximate 57% interest in QVC for approximately $7.9 billion in a transaction we expect to close by the end of 2003. Upon closing of the transaction, we expect to receive from Liberty shares of Liberty Series A common stock and a three-year senior unsecured note bearing interest in LIBOR plus 1.5%. The values of the shares and the note to be delivered to us are approximately $2.6 billion and $5.3 billion, respectively. Under the stock purchase agreement, we will have registration rights that should facilitate the disposal or monetization of our shares in Liberty and in the note.</w:t>
      </w:r>
    </w:p>
    <w:p>
      <w:pPr>
        <w:spacing w:after="0" w:line="190" w:lineRule="exact"/>
        <w:rPr>
          <w:sz w:val="20"/>
          <w:szCs w:val="20"/>
          <w:color w:val="auto"/>
        </w:rPr>
      </w:pPr>
    </w:p>
    <w:p>
      <w:pPr>
        <w:jc w:val="both"/>
        <w:ind w:right="2880" w:firstLine="480"/>
        <w:spacing w:after="0" w:line="242"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3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6000" w:type="dxa"/>
            <w:vAlign w:val="bottom"/>
          </w:tcPr>
          <w:p>
            <w:pPr>
              <w:spacing w:after="0"/>
              <w:rPr>
                <w:sz w:val="16"/>
                <w:szCs w:val="16"/>
                <w:color w:val="auto"/>
              </w:rPr>
            </w:pPr>
          </w:p>
        </w:tc>
        <w:tc>
          <w:tcPr>
            <w:tcW w:w="23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June 30,</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$3,028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$2,704</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697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626</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1,344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1,212</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388</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478</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(170)</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 income (loss), net................................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(459)</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(52.3)</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(66.7)</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57.8</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$203</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924"/>
        </w:trPr>
        <w:tc>
          <w:tcPr>
            <w:tcW w:w="6000" w:type="dxa"/>
            <w:vAlign w:val="bottom"/>
          </w:tcPr>
          <w:p>
            <w:pPr>
              <w:ind w:left="3740"/>
              <w:spacing w:after="0"/>
              <w:rPr>
                <w:sz w:val="20"/>
                <w:szCs w:val="20"/>
                <w:color w:val="auto"/>
              </w:rPr>
            </w:pPr>
            <w:r>
              <w:rPr>
                <w:rFonts w:ascii="Courier New" w:cs="Courier New" w:eastAsia="Courier New" w:hAnsi="Courier New"/>
                <w:sz w:val="16"/>
                <w:szCs w:val="16"/>
                <w:color w:val="auto"/>
              </w:rPr>
              <w:t>18</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560"/>
          </w:cols>
          <w:pgMar w:left="240" w:top="854" w:right="1099" w:bottom="1440" w:gutter="0" w:footer="0" w:header="0"/>
        </w:sectPr>
      </w:pPr>
    </w:p>
    <w:bookmarkStart w:id="22" w:name="page23"/>
    <w:bookmarkEnd w:id="22"/>
    <w:p>
      <w:pPr>
        <w:jc w:val="center"/>
        <w:ind w:right="278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QUARTER ENDED JUNE 30, 2003</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36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6000" w:type="dxa"/>
            <w:vAlign w:val="bottom"/>
          </w:tcPr>
          <w:p>
            <w:pPr>
              <w:spacing w:after="0"/>
              <w:rPr>
                <w:sz w:val="16"/>
                <w:szCs w:val="16"/>
                <w:color w:val="auto"/>
              </w:rPr>
            </w:pPr>
          </w:p>
        </w:tc>
        <w:tc>
          <w:tcPr>
            <w:tcW w:w="23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June 30,</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$5,965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$5,371</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1,370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1,255</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2,716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2,442</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775</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899</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 loss, net.........................................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(701)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(99.2)</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41.6</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$318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($299)</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$617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Revenues</w:t>
      </w:r>
    </w:p>
    <w:p>
      <w:pPr>
        <w:spacing w:after="0" w:line="190" w:lineRule="exact"/>
        <w:rPr>
          <w:sz w:val="20"/>
          <w:szCs w:val="20"/>
          <w:color w:val="auto"/>
        </w:rPr>
      </w:pPr>
    </w:p>
    <w:p>
      <w:pPr>
        <w:jc w:val="both"/>
        <w:ind w:right="2880" w:firstLine="480"/>
        <w:spacing w:after="0" w:line="244" w:lineRule="auto"/>
        <w:rPr>
          <w:sz w:val="20"/>
          <w:szCs w:val="20"/>
          <w:color w:val="auto"/>
        </w:rPr>
      </w:pPr>
      <w:r>
        <w:rPr>
          <w:rFonts w:ascii="Courier New" w:cs="Courier New" w:eastAsia="Courier New" w:hAnsi="Courier New"/>
          <w:sz w:val="16"/>
          <w:szCs w:val="16"/>
          <w:color w:val="auto"/>
        </w:rPr>
        <w:t>The increases in consolidated revenues for the interim periods from 2002 to 2003 are primarily attributable to increases in service revenues in our Cable segment and, to a lesser extent, to increases in net sales in our Commerce segment (see "Operating Results by Business Segment" below). The remaining increases are primarily the result of increases in revenues from our content operations, principally due to increases in distribution and advertising revenues of our cable channels.</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Cost of goods sold from electronic retailing</w:t>
      </w:r>
    </w:p>
    <w:p>
      <w:pPr>
        <w:spacing w:after="0" w:line="190" w:lineRule="exact"/>
        <w:rPr>
          <w:sz w:val="20"/>
          <w:szCs w:val="20"/>
          <w:color w:val="auto"/>
        </w:rPr>
      </w:pPr>
    </w:p>
    <w:p>
      <w:pPr>
        <w:jc w:val="both"/>
        <w:ind w:right="2880" w:firstLine="480"/>
        <w:spacing w:after="0" w:line="243" w:lineRule="auto"/>
        <w:rPr>
          <w:sz w:val="20"/>
          <w:szCs w:val="20"/>
          <w:color w:val="auto"/>
        </w:rPr>
      </w:pPr>
      <w:r>
        <w:rPr>
          <w:rFonts w:ascii="Courier New" w:cs="Courier New" w:eastAsia="Courier New" w:hAnsi="Courier New"/>
          <w:sz w:val="16"/>
          <w:szCs w:val="16"/>
          <w:color w:val="auto"/>
        </w:rPr>
        <w:t>Refer to the "Commerce" section of "Operating Results by Business Segment" below for a discussion of the increases in cost of goods sold from electronic retailing.</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90" w:lineRule="exact"/>
        <w:rPr>
          <w:sz w:val="20"/>
          <w:szCs w:val="20"/>
          <w:color w:val="auto"/>
        </w:rPr>
      </w:pPr>
    </w:p>
    <w:p>
      <w:pPr>
        <w:jc w:val="both"/>
        <w:ind w:right="2880" w:firstLine="480"/>
        <w:spacing w:after="0" w:line="244" w:lineRule="auto"/>
        <w:rPr>
          <w:sz w:val="20"/>
          <w:szCs w:val="20"/>
          <w:color w:val="auto"/>
        </w:rPr>
      </w:pPr>
      <w:r>
        <w:rPr>
          <w:rFonts w:ascii="Courier New" w:cs="Courier New" w:eastAsia="Courier New" w:hAnsi="Courier New"/>
          <w:sz w:val="16"/>
          <w:szCs w:val="16"/>
          <w:color w:val="auto"/>
        </w:rPr>
        <w:t>The increases in consolidated operating, selling, general and administrative expenses for the interim periods from 2002 to 2003 are primarily attributable to increases in expenses in our Cable segment, costs associated with management agreements between Comcast and the Company's cable subsidiaries during the 2003 interim periods that had been eliminated in consolidation in 2002, and, to a lesser extent, to increases in expenses in our Commerce segment (see "Operating Results by Business Segment" below). The remaining increases are primarily the result of increased expenses in our content operations. These increases were offset, in part, by the effects of reduced corporate overhead which, upon closing of Comcast's acquisition of Broadband on November 18, 2002, are recorded by the Comcast parent rather than by the Comcast Holdings parent.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Depreciation and Amortization</w:t>
      </w:r>
    </w:p>
    <w:p>
      <w:pPr>
        <w:spacing w:after="0" w:line="190" w:lineRule="exact"/>
        <w:rPr>
          <w:sz w:val="20"/>
          <w:szCs w:val="20"/>
          <w:color w:val="auto"/>
        </w:rPr>
      </w:pPr>
    </w:p>
    <w:p>
      <w:pPr>
        <w:jc w:val="both"/>
        <w:ind w:right="2880" w:firstLine="480"/>
        <w:spacing w:after="0" w:line="244" w:lineRule="auto"/>
        <w:rPr>
          <w:sz w:val="20"/>
          <w:szCs w:val="20"/>
          <w:color w:val="auto"/>
        </w:rPr>
      </w:pPr>
      <w:r>
        <w:rPr>
          <w:rFonts w:ascii="Courier New" w:cs="Courier New" w:eastAsia="Courier New" w:hAnsi="Courier New"/>
          <w:sz w:val="16"/>
          <w:szCs w:val="16"/>
          <w:color w:val="auto"/>
        </w:rPr>
        <w:t>The increases in depreciation and amortization for the interim periods from 2002 to 2003 are primarily attributable to increases in amortization expense in our commerce segment as a result of additional distribution fees paid by QVC under multi-year affiliation agreements with cable and satellite system operators.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0" w:lineRule="exact"/>
        <w:rPr>
          <w:sz w:val="20"/>
          <w:szCs w:val="20"/>
          <w:color w:val="auto"/>
        </w:rPr>
      </w:pPr>
    </w:p>
    <w:p>
      <w:pPr>
        <w:jc w:val="both"/>
        <w:ind w:right="2880" w:firstLine="480"/>
        <w:spacing w:after="0" w:line="244"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10 to our financial statements included in Item 1 for a summary of our financial data by business segment.</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560"/>
          </w:cols>
          <w:pgMar w:left="240" w:top="1224" w:right="1099" w:bottom="457" w:gutter="0" w:footer="0" w:header="0"/>
        </w:sectPr>
      </w:pPr>
    </w:p>
    <w:bookmarkStart w:id="23" w:name="page24"/>
    <w:bookmarkEnd w:id="23"/>
    <w:p>
      <w:pPr>
        <w:jc w:val="center"/>
        <w:ind w:right="4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6"/>
          <w:szCs w:val="16"/>
          <w:color w:val="auto"/>
        </w:rPr>
        <w:t>QUARTER ENDED JUNE 30, 2003</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Cable</w:t>
      </w:r>
    </w:p>
    <w:p>
      <w:pPr>
        <w:spacing w:after="0" w:line="190" w:lineRule="exact"/>
        <w:rPr>
          <w:sz w:val="20"/>
          <w:szCs w:val="20"/>
          <w:color w:val="auto"/>
        </w:rPr>
      </w:pPr>
    </w:p>
    <w:p>
      <w:pPr>
        <w:ind w:left="1" w:right="580" w:firstLine="480"/>
        <w:spacing w:after="0" w:line="242" w:lineRule="auto"/>
        <w:rPr>
          <w:sz w:val="20"/>
          <w:szCs w:val="20"/>
          <w:color w:val="auto"/>
        </w:rPr>
      </w:pPr>
      <w:r>
        <w:rPr>
          <w:rFonts w:ascii="Courier New" w:cs="Courier New" w:eastAsia="Courier New" w:hAnsi="Courier New"/>
          <w:sz w:val="16"/>
          <w:szCs w:val="16"/>
          <w:color w:val="auto"/>
        </w:rPr>
        <w:t>The following table presents financial information for our Cable segment (dollars in millions).</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2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060" w:type="dxa"/>
            <w:vAlign w:val="bottom"/>
          </w:tcPr>
          <w:p>
            <w:pPr>
              <w:spacing w:after="0"/>
              <w:rPr>
                <w:sz w:val="16"/>
                <w:szCs w:val="16"/>
                <w:color w:val="auto"/>
              </w:rPr>
            </w:pPr>
          </w:p>
        </w:tc>
        <w:tc>
          <w:tcPr>
            <w:tcW w:w="220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2003</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$1,257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$1,186</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$1,716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1,541</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978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887</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$738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$654</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6060" w:type="dxa"/>
            <w:vAlign w:val="bottom"/>
          </w:tcPr>
          <w:p>
            <w:pPr>
              <w:spacing w:after="0"/>
              <w:rPr>
                <w:sz w:val="24"/>
                <w:szCs w:val="24"/>
                <w:color w:val="auto"/>
              </w:rPr>
            </w:pPr>
          </w:p>
        </w:tc>
        <w:tc>
          <w:tcPr>
            <w:tcW w:w="2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6060" w:type="dxa"/>
            <w:vAlign w:val="bottom"/>
          </w:tcPr>
          <w:p>
            <w:pPr>
              <w:spacing w:after="0"/>
              <w:rPr>
                <w:sz w:val="16"/>
                <w:szCs w:val="16"/>
                <w:color w:val="auto"/>
              </w:rPr>
            </w:pPr>
          </w:p>
        </w:tc>
        <w:tc>
          <w:tcPr>
            <w:tcW w:w="220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2003</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$2,486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$2,336</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$3,361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3,010</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1,948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1,759</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$1,251</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580" w:hanging="481"/>
        <w:spacing w:after="0" w:line="244"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this measure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0" w:lineRule="exact"/>
        <w:rPr>
          <w:sz w:val="20"/>
          <w:szCs w:val="20"/>
          <w:color w:val="auto"/>
        </w:rPr>
      </w:pPr>
    </w:p>
    <w:p>
      <w:pPr>
        <w:spacing w:after="0" w:line="366" w:lineRule="exact"/>
        <w:rPr>
          <w:sz w:val="20"/>
          <w:szCs w:val="20"/>
          <w:color w:val="auto"/>
        </w:rPr>
      </w:pPr>
    </w:p>
    <w:p>
      <w:pPr>
        <w:jc w:val="both"/>
        <w:ind w:left="1" w:right="580" w:firstLine="480"/>
        <w:spacing w:after="0" w:line="262" w:lineRule="auto"/>
        <w:rPr>
          <w:sz w:val="20"/>
          <w:szCs w:val="20"/>
          <w:color w:val="auto"/>
        </w:rPr>
      </w:pPr>
      <w:r>
        <w:rPr>
          <w:rFonts w:ascii="Courier New" w:cs="Courier New" w:eastAsia="Courier New" w:hAnsi="Courier New"/>
          <w:sz w:val="15"/>
          <w:szCs w:val="15"/>
          <w:color w:val="auto"/>
        </w:rPr>
        <w:t>Video revenue consists of our basic, expanded basic, premium, pay-per-view, equipment and digital cable services. The increases in video revenue for the interim periods from 2002 to 2003 are primarily due to the effects of increases in average monthly revenue per basic subscriber as a result of rate increases in our traditional analog video service and growth in digital subscribers. These increases were offset by lower pay-per-view revenue due to the absence of major boxing events in the second quarter of 2003. From June 30, 2002 to June 30, 2003, we added approximately 435,000 digital subscribers or a 22.0% increase in digital subscribers. During the three and six months ended June 30, 2003,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Increase</w:t>
      </w:r>
    </w:p>
    <w:p>
      <w:pPr>
        <w:spacing w:after="0" w:line="4" w:lineRule="exact"/>
        <w:rPr>
          <w:sz w:val="20"/>
          <w:szCs w:val="20"/>
          <w:color w:val="auto"/>
        </w:rPr>
      </w:pPr>
    </w:p>
    <w:p>
      <w:pPr>
        <w:ind w:left="1540" w:hanging="1150"/>
        <w:spacing w:after="0"/>
        <w:tabs>
          <w:tab w:leader="none" w:pos="1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68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$71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89</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63.6</w:t>
            </w:r>
          </w:p>
        </w:tc>
      </w:tr>
    </w:tbl>
    <w:p>
      <w:pPr>
        <w:spacing w:after="0" w:line="4" w:lineRule="exact"/>
        <w:rPr>
          <w:sz w:val="20"/>
          <w:szCs w:val="20"/>
          <w:color w:val="auto"/>
        </w:rPr>
      </w:pPr>
    </w:p>
    <w:p>
      <w:pPr>
        <w:ind w:left="1640" w:hanging="866"/>
        <w:spacing w:after="0"/>
        <w:tabs>
          <w:tab w:leader="none" w:pos="1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w:t>
      </w:r>
    </w:p>
    <w:p>
      <w:pPr>
        <w:spacing w:after="0" w:line="4" w:lineRule="exact"/>
        <w:rPr>
          <w:sz w:val="20"/>
          <w:szCs w:val="20"/>
          <w:color w:val="auto"/>
        </w:rPr>
      </w:pPr>
    </w:p>
    <w:p>
      <w:pPr>
        <w:ind w:left="1740" w:hanging="966"/>
        <w:spacing w:after="0"/>
        <w:tabs>
          <w:tab w:leader="none" w:pos="1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w:t>
      </w:r>
    </w:p>
    <w:p>
      <w:pPr>
        <w:spacing w:after="0" w:line="3"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w:t>
      </w:r>
      <w:r>
        <w:rPr>
          <w:rFonts w:ascii="Courier New" w:cs="Courier New" w:eastAsia="Courier New" w:hAnsi="Courier New"/>
          <w:sz w:val="15"/>
          <w:szCs w:val="15"/>
          <w:color w:val="auto"/>
        </w:rPr>
        <w:t>3.9</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640" w:hanging="1058"/>
        <w:spacing w:after="0"/>
        <w:tabs>
          <w:tab w:leader="none" w:pos="16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11.4</w:t>
      </w:r>
    </w:p>
    <w:p>
      <w:pPr>
        <w:spacing w:after="0" w:line="3" w:lineRule="exact"/>
        <w:rPr>
          <w:rFonts w:ascii="Courier New" w:cs="Courier New" w:eastAsia="Courier New" w:hAnsi="Courier New"/>
          <w:sz w:val="16"/>
          <w:szCs w:val="16"/>
          <w:color w:val="auto"/>
        </w:rPr>
      </w:pPr>
    </w:p>
    <w:p>
      <w:pPr>
        <w:ind w:left="1640" w:hanging="962"/>
        <w:spacing w:after="0"/>
        <w:tabs>
          <w:tab w:leader="none" w:pos="1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jc w:val="right"/>
        <w:spacing w:after="0"/>
        <w:tabs>
          <w:tab w:leader="none" w:pos="46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6"/>
          <w:szCs w:val="16"/>
          <w:color w:val="auto"/>
        </w:rPr>
        <w:t>13.0%</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Increase</w:t>
      </w:r>
    </w:p>
    <w:p>
      <w:pPr>
        <w:spacing w:after="0" w:line="4" w:lineRule="exact"/>
        <w:rPr>
          <w:sz w:val="20"/>
          <w:szCs w:val="20"/>
          <w:color w:val="auto"/>
        </w:rPr>
      </w:pPr>
    </w:p>
    <w:p>
      <w:pPr>
        <w:ind w:left="1540" w:hanging="1150"/>
        <w:spacing w:after="0"/>
        <w:tabs>
          <w:tab w:leader="none" w:pos="1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67.2</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261" w:space="380"/>
            <w:col w:w="2120"/>
          </w:cols>
          <w:pgMar w:left="239" w:top="1224" w:right="899"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added approximately 95,000 and 171,000 digital subscribers, respectively.</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2002 to 2003 are primarily due to</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40" w:right="1440" w:bottom="1440" w:gutter="0" w:footer="0" w:header="0"/>
        </w:sectPr>
      </w:pPr>
    </w:p>
    <w:bookmarkStart w:id="25" w:name="page26"/>
    <w:bookmarkEnd w:id="25"/>
    <w:p>
      <w:pPr>
        <w:jc w:val="center"/>
        <w:ind w:right="298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QUARTER ENDED JUNE 30, 2003</w:t>
      </w:r>
    </w:p>
    <w:p>
      <w:pPr>
        <w:spacing w:after="0" w:line="375"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6"/>
          <w:szCs w:val="16"/>
          <w:color w:val="auto"/>
        </w:rPr>
        <w:t>the addition of approximately 713,000 high-speed Internet subscribers from June 30, 2002 to June 30, 2003, or a 61.0% increase in high-speed Internet subscribers, as well as to the effects of increases in average monthly revenue per subscriber as a result of rate increases. During the three and six months ended June 30, 2003, we added approximately 164,000 and 356,000 high-speed Internet subscribers, respectively.</w:t>
      </w:r>
    </w:p>
    <w:p>
      <w:pPr>
        <w:spacing w:after="0" w:line="188"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2002 to 2003 are primarily due to the effects of growth in regional/national advertising as a result of the continuing success of our regional interconnects, and growth in a soft local advertising market.</w:t>
      </w:r>
    </w:p>
    <w:p>
      <w:pPr>
        <w:spacing w:after="0" w:line="190"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Other revenue includes phone revenues, installation revenues, guide revenues, commissions from electronic retailing, revenues of our regional sports programming networks and revenue from other product offerings.</w:t>
      </w:r>
    </w:p>
    <w:p>
      <w:pPr>
        <w:spacing w:after="0" w:line="189"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The increases in operating, selling, general and administrative expense for the interim periods from 2002 to 2003 are primarily due to the effects of increases in the costs of cable programming, high-speed Internet subscriber growth, and, to a lesser extent, increases in labor costs and other volume related expenses.</w:t>
      </w:r>
    </w:p>
    <w:p>
      <w:pPr>
        <w:spacing w:after="0" w:line="187"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Commerce (QVC, Inc.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400" w:type="dxa"/>
            <w:vAlign w:val="bottom"/>
            <w:gridSpan w:val="3"/>
          </w:tcPr>
          <w:p>
            <w:pPr>
              <w:jc w:val="right"/>
              <w:ind w:right="320"/>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00" w:type="dxa"/>
            <w:vAlign w:val="bottom"/>
            <w:gridSpan w:val="3"/>
          </w:tcPr>
          <w:p>
            <w:pPr>
              <w:jc w:val="right"/>
              <w:ind w:right="800"/>
              <w:spacing w:after="0"/>
              <w:rPr>
                <w:sz w:val="20"/>
                <w:szCs w:val="20"/>
                <w:color w:val="auto"/>
              </w:rPr>
            </w:pPr>
            <w:r>
              <w:rPr>
                <w:rFonts w:ascii="Courier New" w:cs="Courier New" w:eastAsia="Courier New" w:hAnsi="Courier New"/>
                <w:sz w:val="16"/>
                <w:szCs w:val="16"/>
                <w:color w:val="auto"/>
              </w:rPr>
              <w:t>June 30,</w:t>
            </w:r>
          </w:p>
        </w:tc>
        <w:tc>
          <w:tcPr>
            <w:tcW w:w="23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c>
          <w:tcPr>
            <w:tcW w:w="20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$1,101</w:t>
            </w:r>
          </w:p>
        </w:tc>
        <w:tc>
          <w:tcPr>
            <w:tcW w:w="200" w:type="dxa"/>
            <w:vAlign w:val="bottom"/>
          </w:tcPr>
          <w:p>
            <w:pPr>
              <w:spacing w:after="0"/>
              <w:rPr>
                <w:sz w:val="24"/>
                <w:szCs w:val="24"/>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$990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697</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626</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$219</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$194</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36.7</w:t>
            </w:r>
          </w:p>
        </w:tc>
        <w:tc>
          <w:tcPr>
            <w:tcW w:w="12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54"/>
        </w:trPr>
        <w:tc>
          <w:tcPr>
            <w:tcW w:w="6060" w:type="dxa"/>
            <w:vAlign w:val="bottom"/>
          </w:tcPr>
          <w:p>
            <w:pPr>
              <w:spacing w:after="0"/>
              <w:rPr>
                <w:sz w:val="24"/>
                <w:szCs w:val="24"/>
                <w:color w:val="auto"/>
              </w:rPr>
            </w:pPr>
          </w:p>
        </w:tc>
        <w:tc>
          <w:tcPr>
            <w:tcW w:w="240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6060" w:type="dxa"/>
            <w:vAlign w:val="bottom"/>
          </w:tcPr>
          <w:p>
            <w:pPr>
              <w:spacing w:after="0"/>
              <w:rPr>
                <w:sz w:val="16"/>
                <w:szCs w:val="16"/>
                <w:color w:val="auto"/>
              </w:rPr>
            </w:pPr>
          </w:p>
        </w:tc>
        <w:tc>
          <w:tcPr>
            <w:tcW w:w="2400" w:type="dxa"/>
            <w:vAlign w:val="bottom"/>
            <w:gridSpan w:val="3"/>
          </w:tcPr>
          <w:p>
            <w:pPr>
              <w:jc w:val="right"/>
              <w:ind w:right="800"/>
              <w:spacing w:after="0"/>
              <w:rPr>
                <w:sz w:val="20"/>
                <w:szCs w:val="20"/>
                <w:color w:val="auto"/>
              </w:rPr>
            </w:pPr>
            <w:r>
              <w:rPr>
                <w:rFonts w:ascii="Courier New" w:cs="Courier New" w:eastAsia="Courier New" w:hAnsi="Courier New"/>
                <w:sz w:val="16"/>
                <w:szCs w:val="16"/>
                <w:color w:val="auto"/>
              </w:rPr>
              <w:t>June 30,</w:t>
            </w:r>
          </w:p>
        </w:tc>
        <w:tc>
          <w:tcPr>
            <w:tcW w:w="23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w:t>
            </w:r>
          </w:p>
        </w:tc>
        <w:tc>
          <w:tcPr>
            <w:tcW w:w="20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$2,163</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$1,978</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1,370</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1,255</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363</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337</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$430</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$386</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36.5</w:t>
            </w:r>
          </w:p>
        </w:tc>
        <w:tc>
          <w:tcPr>
            <w:tcW w:w="12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(a) on page 20.</w:t>
      </w:r>
    </w:p>
    <w:p>
      <w:pPr>
        <w:spacing w:after="0" w:line="200" w:lineRule="exact"/>
        <w:rPr>
          <w:sz w:val="20"/>
          <w:szCs w:val="20"/>
          <w:color w:val="auto"/>
        </w:rPr>
      </w:pPr>
    </w:p>
    <w:p>
      <w:pPr>
        <w:spacing w:after="0" w:line="36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Of the $111 million and $185 million increases in net sales from electronic retailing for the interim periods from 2002 to 2003, $93 million and $167 million, respectively, are attributable to increases in net sales in Germany, Japan, and the United Kingdom, and to the effects of fluctuations in foreign currency exchange rates during the interim periods. The remaining increases in net sales from electronic retailing are attributable to growth in QVC's U.S. operations. Changes in the average number of homes receiving QVC services and net sales per home in the United States as compared to the prior year interim periods are as follows:</w:t>
      </w:r>
    </w:p>
    <w:p>
      <w:pPr>
        <w:sectPr>
          <w:pgSz w:w="11900" w:h="16838" w:orient="portrait"/>
          <w:cols w:equalWidth="0" w:num="1">
            <w:col w:w="10760"/>
          </w:cols>
          <w:pgMar w:left="240" w:top="854" w:right="899" w:bottom="0" w:gutter="0" w:footer="0" w:header="0"/>
        </w:sectPr>
      </w:pPr>
    </w:p>
    <w:bookmarkStart w:id="26" w:name="page27"/>
    <w:bookmarkEnd w:id="26"/>
    <w:p>
      <w:pPr>
        <w:ind w:left="2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24" w:right="1440" w:bottom="1440" w:gutter="0" w:footer="0" w:header="0"/>
        </w:sectPr>
      </w:pPr>
    </w:p>
    <w:bookmarkStart w:id="27" w:name="page28"/>
    <w:bookmarkEnd w:id="27"/>
    <w:p>
      <w:pPr>
        <w:jc w:val="center"/>
        <w:ind w:right="260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QUARTER ENDED JUNE 30, 2003</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Three Months</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Six Months</w:t>
            </w:r>
          </w:p>
        </w:tc>
      </w:tr>
      <w:tr>
        <w:trPr>
          <w:trHeight w:val="185"/>
        </w:trPr>
        <w:tc>
          <w:tcPr>
            <w:tcW w:w="4700" w:type="dxa"/>
            <w:vAlign w:val="bottom"/>
          </w:tcPr>
          <w:p>
            <w:pPr>
              <w:spacing w:after="0"/>
              <w:rPr>
                <w:sz w:val="16"/>
                <w:szCs w:val="16"/>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Ended</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Ended</w:t>
            </w:r>
          </w:p>
        </w:tc>
      </w:tr>
      <w:tr>
        <w:trPr>
          <w:trHeight w:val="185"/>
        </w:trPr>
        <w:tc>
          <w:tcPr>
            <w:tcW w:w="470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June 30, 2003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June 30, 2003</w:t>
            </w:r>
          </w:p>
        </w:tc>
      </w:tr>
      <w:tr>
        <w:trPr>
          <w:trHeight w:val="185"/>
        </w:trPr>
        <w:tc>
          <w:tcPr>
            <w:tcW w:w="470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Increase in average number of homes.............</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w:t>
            </w:r>
          </w:p>
        </w:tc>
      </w:tr>
      <w:tr>
        <w:trPr>
          <w:trHeight w:val="370"/>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Increase (decrease) in net sales per home.......</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0.4%</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w:t>
            </w:r>
          </w:p>
        </w:tc>
      </w:tr>
    </w:tbl>
    <w:p>
      <w:pPr>
        <w:spacing w:after="0" w:line="375" w:lineRule="exact"/>
        <w:rPr>
          <w:sz w:val="20"/>
          <w:szCs w:val="20"/>
          <w:color w:val="auto"/>
        </w:rPr>
      </w:pPr>
    </w:p>
    <w:p>
      <w:pPr>
        <w:jc w:val="both"/>
        <w:ind w:right="2700" w:firstLine="480"/>
        <w:spacing w:after="0" w:line="244" w:lineRule="auto"/>
        <w:rPr>
          <w:sz w:val="20"/>
          <w:szCs w:val="20"/>
          <w:color w:val="auto"/>
        </w:rPr>
      </w:pPr>
      <w:r>
        <w:rPr>
          <w:rFonts w:ascii="Courier New" w:cs="Courier New" w:eastAsia="Courier New" w:hAnsi="Courier New"/>
          <w:sz w:val="16"/>
          <w:szCs w:val="16"/>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 Future growth in domestic sales will depend increasingly on continued additions of new customers from homes already receiving the QVC service and growth in repeat sales to existing customers.</w:t>
      </w:r>
    </w:p>
    <w:p>
      <w:pPr>
        <w:spacing w:after="0" w:line="188" w:lineRule="exact"/>
        <w:rPr>
          <w:sz w:val="20"/>
          <w:szCs w:val="20"/>
          <w:color w:val="auto"/>
        </w:rPr>
      </w:pPr>
    </w:p>
    <w:p>
      <w:pPr>
        <w:jc w:val="both"/>
        <w:ind w:right="2700" w:firstLine="480"/>
        <w:spacing w:after="0" w:line="243" w:lineRule="auto"/>
        <w:rPr>
          <w:sz w:val="20"/>
          <w:szCs w:val="20"/>
          <w:color w:val="auto"/>
        </w:rPr>
      </w:pPr>
      <w:r>
        <w:rPr>
          <w:rFonts w:ascii="Courier New" w:cs="Courier New" w:eastAsia="Courier New" w:hAnsi="Courier New"/>
          <w:sz w:val="16"/>
          <w:szCs w:val="16"/>
          <w:color w:val="auto"/>
        </w:rPr>
        <w:t>The increases in cost of goods sold are primarily related to the growth in net sales. The increase in gross margin for the six month interim period from 2002 to 2003 is primarily due to the effects of a shift in sales mix.</w:t>
      </w:r>
    </w:p>
    <w:p>
      <w:pPr>
        <w:spacing w:after="0" w:line="189" w:lineRule="exact"/>
        <w:rPr>
          <w:sz w:val="20"/>
          <w:szCs w:val="20"/>
          <w:color w:val="auto"/>
        </w:rPr>
      </w:pPr>
    </w:p>
    <w:p>
      <w:pPr>
        <w:jc w:val="both"/>
        <w:ind w:right="2700" w:firstLine="480"/>
        <w:spacing w:after="0" w:line="243" w:lineRule="auto"/>
        <w:rPr>
          <w:sz w:val="20"/>
          <w:szCs w:val="20"/>
          <w:color w:val="auto"/>
        </w:rPr>
      </w:pPr>
      <w:r>
        <w:rPr>
          <w:rFonts w:ascii="Courier New" w:cs="Courier New" w:eastAsia="Courier New" w:hAnsi="Courier New"/>
          <w:sz w:val="16"/>
          <w:szCs w:val="16"/>
          <w:color w:val="auto"/>
        </w:rPr>
        <w:t>The increases in operating, selling, general and administrative expenses are primarily attributable to higher variable costs and personnel costs associated with the increases in sales volume.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0" w:lineRule="exact"/>
        <w:rPr>
          <w:sz w:val="20"/>
          <w:szCs w:val="20"/>
          <w:color w:val="auto"/>
        </w:rPr>
      </w:pPr>
    </w:p>
    <w:p>
      <w:pPr>
        <w:jc w:val="both"/>
        <w:ind w:right="2700" w:firstLine="480"/>
        <w:spacing w:after="0" w:line="243" w:lineRule="auto"/>
        <w:rPr>
          <w:sz w:val="20"/>
          <w:szCs w:val="20"/>
          <w:color w:val="auto"/>
        </w:rPr>
      </w:pPr>
      <w:r>
        <w:rPr>
          <w:rFonts w:ascii="Courier New" w:cs="Courier New" w:eastAsia="Courier New" w:hAnsi="Courier New"/>
          <w:sz w:val="16"/>
          <w:szCs w:val="16"/>
          <w:color w:val="auto"/>
        </w:rPr>
        <w:t>The decreases in interest expense for the interim periods from 2002 to 2003 are primarily attributable to the effects of our lower amount of outstanding debt as a result of our net debt repayments.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ind w:left="480"/>
              <w:spacing w:after="0"/>
              <w:rPr>
                <w:sz w:val="20"/>
                <w:szCs w:val="20"/>
                <w:color w:val="auto"/>
              </w:rPr>
            </w:pPr>
            <w:r>
              <w:rPr>
                <w:rFonts w:ascii="Courier New" w:cs="Courier New" w:eastAsia="Courier New" w:hAnsi="Courier New"/>
                <w:sz w:val="16"/>
                <w:szCs w:val="16"/>
                <w:color w:val="auto"/>
              </w:rPr>
              <w:t>We anticipate</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w w:val="99"/>
              </w:rPr>
              <w:t>that, for the foreseeable</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future,</w:t>
            </w:r>
          </w:p>
        </w:tc>
        <w:tc>
          <w:tcPr>
            <w:tcW w:w="298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interest expense will be</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4320" w:type="dxa"/>
            <w:vAlign w:val="bottom"/>
            <w:gridSpan w:val="2"/>
          </w:tcPr>
          <w:p>
            <w:pPr>
              <w:spacing w:after="0"/>
              <w:rPr>
                <w:sz w:val="20"/>
                <w:szCs w:val="20"/>
                <w:color w:val="auto"/>
              </w:rPr>
            </w:pPr>
            <w:r>
              <w:rPr>
                <w:rFonts w:ascii="Courier New" w:cs="Courier New" w:eastAsia="Courier New" w:hAnsi="Courier New"/>
                <w:sz w:val="16"/>
                <w:szCs w:val="16"/>
                <w:color w:val="auto"/>
              </w:rPr>
              <w:t>significant.  We believe  we will  continue</w:t>
            </w:r>
          </w:p>
        </w:tc>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to be able to meet our</w:t>
            </w:r>
          </w:p>
        </w:tc>
        <w:tc>
          <w:tcPr>
            <w:tcW w:w="18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obligations</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through our ability</w:t>
            </w:r>
          </w:p>
        </w:tc>
        <w:tc>
          <w:tcPr>
            <w:tcW w:w="34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both to generate  cash flow from</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8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w w:val="97"/>
              </w:rPr>
              <w:t>and to obtain</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external financing.</w:t>
            </w:r>
          </w:p>
        </w:tc>
        <w:tc>
          <w:tcPr>
            <w:tcW w:w="2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880" w:type="dxa"/>
            <w:vAlign w:val="bottom"/>
          </w:tcPr>
          <w:p>
            <w:pPr>
              <w:spacing w:after="0"/>
              <w:rPr>
                <w:sz w:val="16"/>
                <w:szCs w:val="16"/>
                <w:color w:val="auto"/>
              </w:rPr>
            </w:pPr>
          </w:p>
        </w:tc>
        <w:tc>
          <w:tcPr>
            <w:tcW w:w="3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0"/>
        </w:trPr>
        <w:tc>
          <w:tcPr>
            <w:tcW w:w="4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Investment Income (Loss), Net</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44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Investment  income  (loss),  net  for  the  interim  periods</w:t>
            </w:r>
          </w:p>
        </w:tc>
        <w:tc>
          <w:tcPr>
            <w:tcW w:w="18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w w:val="97"/>
              </w:rPr>
              <w:t>includes  the</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320" w:type="dxa"/>
            <w:vAlign w:val="bottom"/>
            <w:gridSpan w:val="2"/>
          </w:tcPr>
          <w:p>
            <w:pPr>
              <w:spacing w:after="0"/>
              <w:rPr>
                <w:sz w:val="20"/>
                <w:szCs w:val="20"/>
                <w:color w:val="auto"/>
              </w:rPr>
            </w:pPr>
            <w:r>
              <w:rPr>
                <w:rFonts w:ascii="Courier New" w:cs="Courier New" w:eastAsia="Courier New" w:hAnsi="Courier New"/>
                <w:sz w:val="16"/>
                <w:szCs w:val="16"/>
                <w:color w:val="auto"/>
              </w:rPr>
              <w:t>following (in millions):</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924"/>
        </w:trPr>
        <w:tc>
          <w:tcPr>
            <w:tcW w:w="1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18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2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June 30,</w:t>
            </w:r>
          </w:p>
        </w:tc>
        <w:tc>
          <w:tcPr>
            <w:tcW w:w="212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18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2003</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2002</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18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280" w:type="dxa"/>
            <w:vAlign w:val="bottom"/>
            <w:gridSpan w:val="3"/>
          </w:tcPr>
          <w:p>
            <w:pPr>
              <w:spacing w:after="0"/>
              <w:rPr>
                <w:sz w:val="20"/>
                <w:szCs w:val="20"/>
                <w:color w:val="auto"/>
              </w:rPr>
            </w:pPr>
            <w:r>
              <w:rPr>
                <w:rFonts w:ascii="Courier New" w:cs="Courier New" w:eastAsia="Courier New" w:hAnsi="Courier New"/>
                <w:sz w:val="16"/>
                <w:szCs w:val="16"/>
                <w:color w:val="auto"/>
                <w:w w:val="86"/>
              </w:rPr>
              <w:t>Interest and dividend income...................................</w:t>
            </w:r>
          </w:p>
        </w:tc>
        <w:tc>
          <w:tcPr>
            <w:tcW w:w="1160" w:type="dxa"/>
            <w:vAlign w:val="bottom"/>
          </w:tcPr>
          <w:p>
            <w:pPr>
              <w:spacing w:after="0"/>
              <w:rPr>
                <w:sz w:val="24"/>
                <w:szCs w:val="24"/>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w:t>
            </w:r>
          </w:p>
        </w:tc>
      </w:tr>
      <w:tr>
        <w:trPr>
          <w:trHeight w:val="185"/>
        </w:trPr>
        <w:tc>
          <w:tcPr>
            <w:tcW w:w="6440" w:type="dxa"/>
            <w:vAlign w:val="bottom"/>
            <w:gridSpan w:val="4"/>
          </w:tcPr>
          <w:p>
            <w:pPr>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620" w:type="dxa"/>
            <w:vAlign w:val="bottom"/>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5"/>
        </w:trPr>
        <w:tc>
          <w:tcPr>
            <w:tcW w:w="5280" w:type="dxa"/>
            <w:vAlign w:val="bottom"/>
            <w:gridSpan w:val="3"/>
          </w:tcPr>
          <w:p>
            <w:pPr>
              <w:spacing w:after="0"/>
              <w:rPr>
                <w:sz w:val="20"/>
                <w:szCs w:val="20"/>
                <w:color w:val="auto"/>
              </w:rPr>
            </w:pPr>
            <w:r>
              <w:rPr>
                <w:rFonts w:ascii="Courier New" w:cs="Courier New" w:eastAsia="Courier New" w:hAnsi="Courier New"/>
                <w:sz w:val="16"/>
                <w:szCs w:val="16"/>
                <w:color w:val="auto"/>
                <w:w w:val="86"/>
              </w:rPr>
              <w:t>Investment impairment losses...................................</w:t>
            </w:r>
          </w:p>
        </w:tc>
        <w:tc>
          <w:tcPr>
            <w:tcW w:w="1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r>
      <w:tr>
        <w:trPr>
          <w:trHeight w:val="185"/>
        </w:trPr>
        <w:tc>
          <w:tcPr>
            <w:tcW w:w="6440" w:type="dxa"/>
            <w:vAlign w:val="bottom"/>
            <w:gridSpan w:val="4"/>
          </w:tcPr>
          <w:p>
            <w:pPr>
              <w:spacing w:after="0"/>
              <w:rPr>
                <w:sz w:val="20"/>
                <w:szCs w:val="20"/>
                <w:color w:val="auto"/>
              </w:rPr>
            </w:pPr>
            <w:r>
              <w:rPr>
                <w:rFonts w:ascii="Courier New" w:cs="Courier New" w:eastAsia="Courier New" w:hAnsi="Courier New"/>
                <w:sz w:val="16"/>
                <w:szCs w:val="16"/>
                <w:color w:val="auto"/>
              </w:rPr>
              <w:t>Unrealized gains (losses) on trading securities................</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(1,440)</w:t>
            </w:r>
          </w:p>
        </w:tc>
      </w:tr>
      <w:tr>
        <w:trPr>
          <w:trHeight w:val="185"/>
        </w:trPr>
        <w:tc>
          <w:tcPr>
            <w:tcW w:w="4320" w:type="dxa"/>
            <w:vAlign w:val="bottom"/>
            <w:gridSpan w:val="2"/>
          </w:tcPr>
          <w:p>
            <w:pPr>
              <w:spacing w:after="0"/>
              <w:rPr>
                <w:sz w:val="20"/>
                <w:szCs w:val="20"/>
                <w:color w:val="auto"/>
              </w:rPr>
            </w:pPr>
            <w:r>
              <w:rPr>
                <w:rFonts w:ascii="Courier New" w:cs="Courier New" w:eastAsia="Courier New" w:hAnsi="Courier New"/>
                <w:sz w:val="16"/>
                <w:szCs w:val="16"/>
                <w:color w:val="auto"/>
              </w:rPr>
              <w:t>Mark to market adjustments on derivatives</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528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85"/>
              </w:rPr>
              <w:t>related to trading securities.............................</w:t>
            </w:r>
          </w:p>
        </w:tc>
        <w:tc>
          <w:tcPr>
            <w:tcW w:w="1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1,171</w:t>
            </w:r>
          </w:p>
        </w:tc>
      </w:tr>
      <w:tr>
        <w:trPr>
          <w:trHeight w:val="185"/>
        </w:trPr>
        <w:tc>
          <w:tcPr>
            <w:tcW w:w="6440" w:type="dxa"/>
            <w:vAlign w:val="bottom"/>
            <w:gridSpan w:val="4"/>
          </w:tcPr>
          <w:p>
            <w:pPr>
              <w:spacing w:after="0"/>
              <w:rPr>
                <w:sz w:val="20"/>
                <w:szCs w:val="20"/>
                <w:color w:val="auto"/>
              </w:rPr>
            </w:pPr>
            <w:r>
              <w:rPr>
                <w:rFonts w:ascii="Courier New" w:cs="Courier New" w:eastAsia="Courier New" w:hAnsi="Courier New"/>
                <w:sz w:val="16"/>
                <w:szCs w:val="16"/>
                <w:color w:val="auto"/>
              </w:rPr>
              <w:t>Mark to market adjustments on derivatives and hedged items.....</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5"/>
        </w:trPr>
        <w:tc>
          <w:tcPr>
            <w:tcW w:w="18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85"/>
              </w:rPr>
              <w:t>Investment income (loss), net.............................</w:t>
            </w:r>
          </w:p>
        </w:tc>
        <w:tc>
          <w:tcPr>
            <w:tcW w:w="1160" w:type="dxa"/>
            <w:vAlign w:val="bottom"/>
          </w:tcPr>
          <w:p>
            <w:pPr>
              <w:spacing w:after="0"/>
              <w:rPr>
                <w:sz w:val="24"/>
                <w:szCs w:val="24"/>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r>
      <w:tr>
        <w:trPr>
          <w:trHeight w:val="185"/>
        </w:trPr>
        <w:tc>
          <w:tcPr>
            <w:tcW w:w="18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in Net Losses of Affiliates</w:t>
      </w:r>
    </w:p>
    <w:p>
      <w:pPr>
        <w:spacing w:after="0" w:line="190" w:lineRule="exact"/>
        <w:rPr>
          <w:sz w:val="20"/>
          <w:szCs w:val="20"/>
          <w:color w:val="auto"/>
        </w:rPr>
      </w:pPr>
    </w:p>
    <w:p>
      <w:pPr>
        <w:jc w:val="both"/>
        <w:ind w:right="2700" w:firstLine="480"/>
        <w:spacing w:after="0" w:line="243" w:lineRule="auto"/>
        <w:rPr>
          <w:sz w:val="20"/>
          <w:szCs w:val="20"/>
          <w:color w:val="auto"/>
        </w:rPr>
      </w:pPr>
      <w:r>
        <w:rPr>
          <w:rFonts w:ascii="Courier New" w:cs="Courier New" w:eastAsia="Courier New" w:hAnsi="Courier New"/>
          <w:sz w:val="16"/>
          <w:szCs w:val="16"/>
          <w:color w:val="auto"/>
        </w:rPr>
        <w:t>The decreases in equity in net losses of affiliates for the interim periods from 2002 to 2003 are primarily attributable to decreases in the net losses of certain of our international equity method investees.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Income (Expense)</w:t>
      </w:r>
    </w:p>
    <w:p>
      <w:pPr>
        <w:spacing w:after="0" w:line="190" w:lineRule="exact"/>
        <w:rPr>
          <w:sz w:val="20"/>
          <w:szCs w:val="20"/>
          <w:color w:val="auto"/>
        </w:rPr>
      </w:pPr>
    </w:p>
    <w:p>
      <w:pPr>
        <w:jc w:val="both"/>
        <w:ind w:right="2700" w:firstLine="480"/>
        <w:spacing w:after="0" w:line="243" w:lineRule="auto"/>
        <w:rPr>
          <w:sz w:val="20"/>
          <w:szCs w:val="20"/>
          <w:color w:val="auto"/>
        </w:rPr>
      </w:pPr>
      <w:r>
        <w:rPr>
          <w:rFonts w:ascii="Courier New" w:cs="Courier New" w:eastAsia="Courier New" w:hAnsi="Courier New"/>
          <w:sz w:val="16"/>
          <w:szCs w:val="16"/>
          <w:color w:val="auto"/>
        </w:rPr>
        <w:t>The change in other income (expense) for the six month interim period from 2002 to 2003 is attributable to the loss on the sale of one of our equity method investees in the first quarter of 2002.</w:t>
      </w:r>
    </w:p>
    <w:p>
      <w:pPr>
        <w:sectPr>
          <w:pgSz w:w="11900" w:h="16838" w:orient="portrait"/>
          <w:cols w:equalWidth="0" w:num="1">
            <w:col w:w="10380"/>
          </w:cols>
          <w:pgMar w:left="240" w:top="854" w:right="1279" w:bottom="0" w:gutter="0" w:footer="0" w:header="0"/>
        </w:sectPr>
      </w:pPr>
    </w:p>
    <w:bookmarkStart w:id="28" w:name="page29"/>
    <w:bookmarkEnd w:id="28"/>
    <w:p>
      <w:pPr>
        <w:ind w:left="25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509" w:right="1440" w:bottom="1440" w:gutter="0" w:footer="0" w:header="0"/>
        </w:sectPr>
      </w:pPr>
    </w:p>
    <w:bookmarkStart w:id="29" w:name="page30"/>
    <w:bookmarkEnd w:id="29"/>
    <w:p>
      <w:pPr>
        <w:jc w:val="center"/>
        <w:ind w:right="243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2003</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 Benefit</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changes in income tax (expense) benefit for the interim periods from 2002 to 2003 are primarily the result of the effects of changes in our income (loss) before taxes and minority interest.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increases in minority interest for the interim periods from 2002 to 2003 are attributable to the effects of changes in the net income or loss of our less than wholly owned consolidated subsidiaries.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54" w:right="1440" w:bottom="1440" w:gutter="0" w:footer="0" w:header="0"/>
        </w:sectPr>
      </w:pPr>
    </w:p>
    <w:bookmarkStart w:id="30" w:name="page31"/>
    <w:bookmarkEnd w:id="30"/>
    <w:p>
      <w:pPr>
        <w:jc w:val="center"/>
        <w:ind w:right="243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2003</w:t>
      </w:r>
    </w:p>
    <w:p>
      <w:pPr>
        <w:spacing w:after="0" w:line="37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190" w:lineRule="exact"/>
        <w:rPr>
          <w:sz w:val="20"/>
          <w:szCs w:val="20"/>
          <w:color w:val="auto"/>
        </w:rPr>
      </w:pPr>
    </w:p>
    <w:p>
      <w:pPr>
        <w:jc w:val="both"/>
        <w:ind w:left="480" w:right="2539"/>
        <w:spacing w:after="0" w:line="244" w:lineRule="auto"/>
        <w:rPr>
          <w:sz w:val="20"/>
          <w:szCs w:val="20"/>
          <w:color w:val="auto"/>
        </w:rPr>
      </w:pPr>
      <w:r>
        <w:rPr>
          <w:rFonts w:ascii="Courier New" w:cs="Courier New" w:eastAsia="Courier New" w:hAnsi="Courier New"/>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quarterly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89" w:lineRule="exact"/>
        <w:rPr>
          <w:sz w:val="20"/>
          <w:szCs w:val="20"/>
          <w:color w:val="auto"/>
        </w:rPr>
      </w:pPr>
    </w:p>
    <w:p>
      <w:pPr>
        <w:jc w:val="both"/>
        <w:ind w:left="480" w:right="2539"/>
        <w:spacing w:after="0" w:line="244" w:lineRule="auto"/>
        <w:rPr>
          <w:sz w:val="20"/>
          <w:szCs w:val="20"/>
          <w:color w:val="auto"/>
        </w:rPr>
      </w:pPr>
      <w:r>
        <w:rPr>
          <w:rFonts w:ascii="Courier New" w:cs="Courier New" w:eastAsia="Courier New" w:hAnsi="Courier New"/>
          <w:sz w:val="16"/>
          <w:szCs w:val="16"/>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is reasonably likely to materially affect, our internal control over financial reporting.</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0" w:lineRule="exact"/>
        <w:rPr>
          <w:sz w:val="20"/>
          <w:szCs w:val="20"/>
          <w:color w:val="auto"/>
        </w:rPr>
      </w:pPr>
    </w:p>
    <w:p>
      <w:pPr>
        <w:jc w:val="both"/>
        <w:ind w:left="480" w:right="2539"/>
        <w:spacing w:after="0" w:line="242" w:lineRule="auto"/>
        <w:rPr>
          <w:sz w:val="20"/>
          <w:szCs w:val="20"/>
          <w:color w:val="auto"/>
        </w:rPr>
      </w:pPr>
      <w:r>
        <w:rPr>
          <w:rFonts w:ascii="Courier New" w:cs="Courier New" w:eastAsia="Courier New" w:hAnsi="Courier New"/>
          <w:sz w:val="16"/>
          <w:szCs w:val="16"/>
          <w:color w:val="auto"/>
        </w:rPr>
        <w:t>Refer to Note 9 to our condensed financial statements included in Item 1 for a discussion of recent developments related to our legal proceedings.</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Exhibits required to be filed by Item 601 of Regulation S-K:</w:t>
      </w:r>
    </w:p>
    <w:p>
      <w:pPr>
        <w:spacing w:after="0" w:line="190" w:lineRule="exact"/>
        <w:rPr>
          <w:sz w:val="20"/>
          <w:szCs w:val="20"/>
          <w:color w:val="auto"/>
        </w:rPr>
      </w:pPr>
    </w:p>
    <w:p>
      <w:pPr>
        <w:jc w:val="both"/>
        <w:ind w:left="1440" w:right="2539" w:hanging="481"/>
        <w:spacing w:after="0" w:line="243" w:lineRule="auto"/>
        <w:tabs>
          <w:tab w:leader="none" w:pos="14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of Chief Executive Officer and Co-Chief Financial Officers pursuant to Section 302 of the Sarbanes-Oxley Act of 2002.</w:t>
      </w:r>
    </w:p>
    <w:p>
      <w:pPr>
        <w:spacing w:after="0" w:line="188" w:lineRule="exact"/>
        <w:rPr>
          <w:rFonts w:ascii="Courier New" w:cs="Courier New" w:eastAsia="Courier New" w:hAnsi="Courier New"/>
          <w:sz w:val="16"/>
          <w:szCs w:val="16"/>
          <w:color w:val="auto"/>
        </w:rPr>
      </w:pPr>
    </w:p>
    <w:p>
      <w:pPr>
        <w:jc w:val="both"/>
        <w:ind w:left="1440" w:right="2539" w:hanging="481"/>
        <w:spacing w:after="0" w:line="243" w:lineRule="auto"/>
        <w:tabs>
          <w:tab w:leader="none" w:pos="14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of Chief Executive Officer and Co-Chief Financial Officers pursuant to Section 906 of the Sarbanes-Oxley Act of 2002.</w:t>
      </w:r>
    </w:p>
    <w:p>
      <w:pPr>
        <w:spacing w:after="0" w:line="188" w:lineRule="exact"/>
        <w:rPr>
          <w:rFonts w:ascii="Courier New" w:cs="Courier New" w:eastAsia="Courier New" w:hAnsi="Courier New"/>
          <w:sz w:val="16"/>
          <w:szCs w:val="16"/>
          <w:color w:val="auto"/>
        </w:rPr>
      </w:pPr>
    </w:p>
    <w:p>
      <w:pPr>
        <w:ind w:left="860" w:right="7439" w:hanging="381"/>
        <w:spacing w:after="0" w:line="486" w:lineRule="auto"/>
        <w:tabs>
          <w:tab w:leader="none" w:pos="8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54" w:right="1440" w:bottom="1440" w:gutter="0" w:footer="0" w:header="0"/>
        </w:sectPr>
      </w:pPr>
    </w:p>
    <w:bookmarkStart w:id="31" w:name="page32"/>
    <w:bookmarkEnd w:id="31"/>
    <w:p>
      <w:pPr>
        <w:jc w:val="center"/>
        <w:ind w:right="243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2003</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COMCAST HOLDINGS CORPORATION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LAWRENCE J. SALVA</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Lawrence J. Salva</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Senior Vice President and Controller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(Principal Accounting Officer)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7, 2003</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54" w:right="1440"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ind w:right="2539"/>
        <w:spacing w:after="0"/>
        <w:rPr>
          <w:sz w:val="20"/>
          <w:szCs w:val="20"/>
          <w:color w:val="auto"/>
        </w:rPr>
      </w:pPr>
      <w:r>
        <w:rPr>
          <w:rFonts w:ascii="Courier New" w:cs="Courier New" w:eastAsia="Courier New" w:hAnsi="Courier New"/>
          <w:sz w:val="16"/>
          <w:szCs w:val="16"/>
          <w:color w:val="auto"/>
        </w:rPr>
        <w:t>Exhibit 31</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CERTIFICATIONS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Brian L. Roberts, certify that:</w:t>
      </w:r>
    </w:p>
    <w:p>
      <w:pPr>
        <w:spacing w:after="0" w:line="190" w:lineRule="exact"/>
        <w:rPr>
          <w:sz w:val="20"/>
          <w:szCs w:val="20"/>
          <w:color w:val="auto"/>
        </w:rPr>
      </w:pPr>
    </w:p>
    <w:p>
      <w:pPr>
        <w:ind w:left="481" w:right="2539" w:hanging="481"/>
        <w:spacing w:after="0" w:line="242"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jc w:val="both"/>
        <w:ind w:left="481" w:right="2539" w:hanging="481"/>
        <w:spacing w:after="0" w:line="267" w:lineRule="auto"/>
        <w:tabs>
          <w:tab w:leader="none" w:pos="48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961" w:right="2539" w:hanging="481"/>
        <w:spacing w:after="0" w:line="244" w:lineRule="auto"/>
        <w:tabs>
          <w:tab w:leader="none" w:pos="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omitted pursuant to SEC Release Nos. 33-8238 and 34-47986.]</w:t>
      </w:r>
    </w:p>
    <w:p>
      <w:pPr>
        <w:spacing w:after="0" w:line="199" w:lineRule="exact"/>
        <w:rPr>
          <w:rFonts w:ascii="Courier New" w:cs="Courier New" w:eastAsia="Courier New" w:hAnsi="Courier New"/>
          <w:sz w:val="15"/>
          <w:szCs w:val="15"/>
          <w:color w:val="auto"/>
        </w:rPr>
      </w:pPr>
    </w:p>
    <w:p>
      <w:pPr>
        <w:jc w:val="both"/>
        <w:ind w:left="961" w:right="2539" w:hanging="481"/>
        <w:spacing w:after="0" w:line="265" w:lineRule="auto"/>
        <w:tabs>
          <w:tab w:leader="none" w:pos="96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jc w:val="both"/>
        <w:ind w:left="961" w:right="2539" w:hanging="481"/>
        <w:spacing w:after="0" w:line="244" w:lineRule="auto"/>
        <w:tabs>
          <w:tab w:leader="none" w:pos="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August 7, 2003</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201" w:hanging="201"/>
        <w:spacing w:after="0"/>
        <w:tabs>
          <w:tab w:leader="none" w:pos="2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801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Lawrence S. Smith, certify that:</w:t>
      </w:r>
    </w:p>
    <w:p>
      <w:pPr>
        <w:spacing w:after="0" w:line="190" w:lineRule="exact"/>
        <w:rPr>
          <w:sz w:val="20"/>
          <w:szCs w:val="20"/>
          <w:color w:val="auto"/>
        </w:rPr>
      </w:pPr>
    </w:p>
    <w:p>
      <w:pPr>
        <w:ind w:left="481" w:right="2539" w:hanging="481"/>
        <w:spacing w:after="0" w:line="242"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w:t>
      </w:r>
    </w:p>
    <w:p>
      <w:pPr>
        <w:sectPr>
          <w:pgSz w:w="11900" w:h="16838" w:orient="portrait"/>
          <w:cols w:equalWidth="0" w:num="1">
            <w:col w:w="10221"/>
          </w:cols>
          <w:pgMar w:left="239" w:top="140" w:right="1440" w:bottom="0" w:gutter="0" w:footer="0" w:header="0"/>
        </w:sectPr>
      </w:pPr>
    </w:p>
    <w:bookmarkStart w:id="35" w:name="page36"/>
    <w:bookmarkEnd w:id="35"/>
    <w:p>
      <w:pPr>
        <w:ind w:left="481"/>
        <w:spacing w:after="0"/>
        <w:rPr>
          <w:sz w:val="20"/>
          <w:szCs w:val="20"/>
          <w:color w:val="auto"/>
        </w:rPr>
      </w:pPr>
      <w:r>
        <w:rPr>
          <w:rFonts w:ascii="Courier New" w:cs="Courier New" w:eastAsia="Courier New" w:hAnsi="Courier New"/>
          <w:sz w:val="16"/>
          <w:szCs w:val="16"/>
          <w:color w:val="auto"/>
        </w:rPr>
        <w:t>the registrant as of, and for, the periods presented in this report;</w:t>
      </w:r>
    </w:p>
    <w:p>
      <w:pPr>
        <w:spacing w:after="0" w:line="190" w:lineRule="exact"/>
        <w:rPr>
          <w:sz w:val="20"/>
          <w:szCs w:val="20"/>
          <w:color w:val="auto"/>
        </w:rPr>
      </w:pPr>
    </w:p>
    <w:p>
      <w:pPr>
        <w:jc w:val="both"/>
        <w:ind w:left="481" w:right="2539" w:hanging="481"/>
        <w:spacing w:after="0" w:line="267" w:lineRule="auto"/>
        <w:tabs>
          <w:tab w:leader="none" w:pos="48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961" w:right="2539" w:hanging="481"/>
        <w:spacing w:after="0" w:line="244" w:lineRule="auto"/>
        <w:tabs>
          <w:tab w:leader="none" w:pos="96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omitted pursuant to SEC Release Nos. 33-8238 and 34-47986.]</w:t>
      </w:r>
    </w:p>
    <w:p>
      <w:pPr>
        <w:spacing w:after="0" w:line="199" w:lineRule="exact"/>
        <w:rPr>
          <w:rFonts w:ascii="Courier New" w:cs="Courier New" w:eastAsia="Courier New" w:hAnsi="Courier New"/>
          <w:sz w:val="15"/>
          <w:szCs w:val="15"/>
          <w:color w:val="auto"/>
        </w:rPr>
      </w:pPr>
    </w:p>
    <w:p>
      <w:pPr>
        <w:jc w:val="both"/>
        <w:ind w:left="961" w:right="2539" w:hanging="481"/>
        <w:spacing w:after="0" w:line="265" w:lineRule="auto"/>
        <w:tabs>
          <w:tab w:leader="none" w:pos="96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jc w:val="both"/>
        <w:ind w:left="961" w:right="2539" w:hanging="481"/>
        <w:spacing w:after="0" w:line="244" w:lineRule="auto"/>
        <w:tabs>
          <w:tab w:leader="none" w:pos="96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August 7, 2003</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201" w:hanging="201"/>
        <w:spacing w:after="0"/>
        <w:tabs>
          <w:tab w:leader="none" w:pos="20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Lawrence S. Smith Co-Chief Financial Officer</w:t>
      </w:r>
    </w:p>
    <w:p>
      <w:pPr>
        <w:sectPr>
          <w:pgSz w:w="11900" w:h="16838" w:orient="portrait"/>
          <w:cols w:equalWidth="0" w:num="1">
            <w:col w:w="10221"/>
          </w:cols>
          <w:pgMar w:left="239" w:top="140" w:right="1440" w:bottom="1440" w:gutter="0" w:footer="0" w:header="0"/>
        </w:sectPr>
      </w:pPr>
    </w:p>
    <w:bookmarkStart w:id="36" w:name="page37"/>
    <w:bookmarkEnd w:id="36"/>
    <w:p>
      <w:pPr>
        <w:spacing w:after="0" w:line="15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John R. Alchin, certify that:</w:t>
      </w:r>
    </w:p>
    <w:p>
      <w:pPr>
        <w:spacing w:after="0" w:line="190" w:lineRule="exact"/>
        <w:rPr>
          <w:sz w:val="20"/>
          <w:szCs w:val="20"/>
          <w:color w:val="auto"/>
        </w:rPr>
      </w:pPr>
    </w:p>
    <w:p>
      <w:pPr>
        <w:ind w:left="481" w:right="2539" w:hanging="481"/>
        <w:spacing w:after="0" w:line="242" w:lineRule="auto"/>
        <w:tabs>
          <w:tab w:leader="none" w:pos="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jc w:val="both"/>
        <w:ind w:left="481" w:right="2539" w:hanging="481"/>
        <w:spacing w:after="0" w:line="267" w:lineRule="auto"/>
        <w:tabs>
          <w:tab w:leader="none" w:pos="48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961" w:right="2539" w:hanging="481"/>
        <w:spacing w:after="0" w:line="244" w:lineRule="auto"/>
        <w:tabs>
          <w:tab w:leader="none" w:pos="96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omitted pursuant to SEC Release Nos. 33-8238 and 34-47986.]</w:t>
      </w:r>
    </w:p>
    <w:p>
      <w:pPr>
        <w:spacing w:after="0" w:line="199" w:lineRule="exact"/>
        <w:rPr>
          <w:rFonts w:ascii="Courier New" w:cs="Courier New" w:eastAsia="Courier New" w:hAnsi="Courier New"/>
          <w:sz w:val="15"/>
          <w:szCs w:val="15"/>
          <w:color w:val="auto"/>
        </w:rPr>
      </w:pPr>
    </w:p>
    <w:p>
      <w:pPr>
        <w:jc w:val="both"/>
        <w:ind w:left="961" w:right="2539" w:hanging="481"/>
        <w:spacing w:after="0" w:line="265" w:lineRule="auto"/>
        <w:tabs>
          <w:tab w:leader="none" w:pos="961"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Courier New" w:cs="Courier New" w:eastAsia="Courier New" w:hAnsi="Courier New"/>
          <w:sz w:val="15"/>
          <w:szCs w:val="15"/>
          <w:color w:val="auto"/>
        </w:rPr>
      </w:pPr>
    </w:p>
    <w:p>
      <w:pPr>
        <w:jc w:val="both"/>
        <w:ind w:left="961" w:right="2539" w:hanging="481"/>
        <w:spacing w:after="0" w:line="244" w:lineRule="auto"/>
        <w:tabs>
          <w:tab w:leader="none" w:pos="96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August 7, 2003</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JOHN R. ALCHIN</w:t>
      </w:r>
    </w:p>
    <w:p>
      <w:pPr>
        <w:spacing w:after="0" w:line="4" w:lineRule="exact"/>
        <w:rPr>
          <w:sz w:val="20"/>
          <w:szCs w:val="20"/>
          <w:color w:val="auto"/>
        </w:rPr>
      </w:pPr>
    </w:p>
    <w:p>
      <w:pPr>
        <w:ind w:left="201" w:hanging="201"/>
        <w:spacing w:after="0"/>
        <w:tabs>
          <w:tab w:leader="none" w:pos="2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1"/>
          </w:cols>
          <w:pgMar w:left="239" w:top="1440" w:right="1440" w:bottom="1440" w:gutter="0" w:footer="0" w:header="0"/>
        </w:sectPr>
      </w:pPr>
    </w:p>
    <w:bookmarkStart w:id="37" w:name="page38"/>
    <w:bookmarkEnd w:id="37"/>
    <w:p>
      <w:pPr>
        <w:jc w:val="right"/>
        <w:ind w:right="2539"/>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August 7, 2003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Fifth Street, N.W.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87"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89" w:lineRule="exact"/>
        <w:rPr>
          <w:sz w:val="20"/>
          <w:szCs w:val="20"/>
          <w:color w:val="auto"/>
        </w:rPr>
      </w:pPr>
    </w:p>
    <w:p>
      <w:pPr>
        <w:ind w:left="960" w:right="2539" w:hanging="481"/>
        <w:spacing w:after="0" w:line="242" w:lineRule="auto"/>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8" w:lineRule="exact"/>
        <w:rPr>
          <w:rFonts w:ascii="Courier New" w:cs="Courier New" w:eastAsia="Courier New" w:hAnsi="Courier New"/>
          <w:sz w:val="16"/>
          <w:szCs w:val="16"/>
          <w:color w:val="auto"/>
        </w:rPr>
      </w:pPr>
    </w:p>
    <w:p>
      <w:pPr>
        <w:jc w:val="both"/>
        <w:ind w:left="960" w:right="2539" w:hanging="481"/>
        <w:spacing w:after="0" w:line="243" w:lineRule="auto"/>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 Brian L. Roberts</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 Lawrence S. Smith</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Co-Chief Financial Officer</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JOHN R. ALCHIN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 John R. Alchin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Co-Chief Financial Officer</w:t>
      </w:r>
    </w:p>
    <w:sectPr>
      <w:pgSz w:w="11900" w:h="16838" w:orient="portrait"/>
      <w:cols w:equalWidth="0" w:num="1">
        <w:col w:w="10219"/>
      </w:cols>
      <w:pgMar w:left="2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o"/>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lvl w:ilvl="1">
      <w:lvlJc w:val="left"/>
      <w:lvlText w:val="%2"/>
      <w:numFmt w:val="decimal"/>
      <w:start w:val="45"/>
    </w:lvl>
  </w:abstractNum>
  <w:abstractNum w:abstractNumId="6">
    <w:nsid w:val="62BBD95A"/>
    <w:multiLevelType w:val="hybridMultilevel"/>
    <w:lvl w:ilvl="0">
      <w:lvlJc w:val="left"/>
      <w:lvlText w:val="%1"/>
      <w:numFmt w:val="decimal"/>
      <w:start w:val="1"/>
    </w:lvl>
    <w:lvl w:ilvl="1">
      <w:lvlJc w:val="left"/>
      <w:lvlText w:val="%2"/>
      <w:numFmt w:val="decimal"/>
      <w:start w:val="45"/>
    </w:lvl>
  </w:abstractNum>
  <w:abstractNum w:abstractNumId="7">
    <w:nsid w:val="436C6125"/>
    <w:multiLevelType w:val="hybridMultilevel"/>
    <w:lvl w:ilvl="0">
      <w:lvlJc w:val="left"/>
      <w:lvlText w:val="%1."/>
      <w:numFmt w:val="decimal"/>
      <w:start w:val="3"/>
    </w:lvl>
    <w:lvl w:ilvl="1">
      <w:lvlJc w:val="left"/>
      <w:lvlText w:val="%2"/>
      <w:numFmt w:val="decimal"/>
      <w:start w:val="1"/>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decimal"/>
      <w:start w:val="6"/>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9"/>
      <w:numFmt w:val="bullet"/>
      <w:start w:val="1"/>
    </w:lvl>
  </w:abstractNum>
  <w:abstractNum w:abstractNumId="19">
    <w:nsid w:val="189A769B"/>
    <w:multiLevelType w:val="hybridMultilevel"/>
    <w:lvl w:ilvl="0">
      <w:lvlJc w:val="left"/>
      <w:lvlText w:val="4"/>
      <w:numFmt w:val="bullet"/>
      <w:start w:val="1"/>
    </w:lvl>
  </w:abstractNum>
  <w:abstractNum w:abstractNumId="20">
    <w:nsid w:val="54E49EB4"/>
    <w:multiLevelType w:val="hybridMultilevel"/>
    <w:lvl w:ilvl="0">
      <w:lvlJc w:val="left"/>
      <w:lvlText w:val="%1"/>
      <w:numFmt w:val="decimal"/>
      <w:start w:val="175"/>
    </w:lvl>
  </w:abstractNum>
  <w:abstractNum w:abstractNumId="21">
    <w:nsid w:val="71F32454"/>
    <w:multiLevelType w:val="hybridMultilevel"/>
    <w:lvl w:ilvl="0">
      <w:lvlJc w:val="left"/>
      <w:lvlText w:val="%1"/>
      <w:numFmt w:val="decimal"/>
      <w:start w:val="9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lvl w:ilvl="1">
      <w:lvlJc w:val="left"/>
      <w:lvlText w:val="%2"/>
      <w:numFmt w:val="decimal"/>
      <w:start w:val="31"/>
    </w:lvl>
  </w:abstractNum>
  <w:abstractNum w:abstractNumId="24">
    <w:nsid w:val="2901D82"/>
    <w:multiLevelType w:val="hybridMultilevel"/>
    <w:lvl w:ilvl="0">
      <w:lvlJc w:val="left"/>
      <w:lvlText w:val="(%1)"/>
      <w:numFmt w:val="lowerLetter"/>
      <w:start w:val="2"/>
    </w:lvl>
    <w:lvl w:ilvl="1">
      <w:lvlJc w:val="left"/>
      <w:lvlText w:val="%2"/>
      <w:numFmt w:val="decimal"/>
      <w:start w:val="1"/>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4"/>
    </w:lvl>
    <w:lvl w:ilvl="1">
      <w:lvlJc w:val="left"/>
      <w:lvlText w:val="%2)"/>
      <w:numFmt w:val="lowerLetter"/>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2019-12-12T23:08:52Z</dcterms:created>
  <dcterms:modified xsi:type="dcterms:W3CDTF">2019-12-12T23:08:52Z</dcterms:modified>
</cp:coreProperties>
</file>