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21,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tbl>
      <w:tblPr>
        <w:tblLayout w:type="fixed"/>
        <w:tblInd w:w="198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5240" w:type="dxa"/>
            <w:vAlign w:val="bottom"/>
            <w:gridSpan w:val="3"/>
          </w:tcPr>
          <w:p>
            <w:pPr>
              <w:jc w:val="center"/>
              <w:ind w:right="171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57"/>
        </w:trPr>
        <w:tc>
          <w:tcPr>
            <w:tcW w:w="2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2320" w:type="dxa"/>
            <w:vAlign w:val="bottom"/>
          </w:tcPr>
          <w:p>
            <w:pPr>
              <w:spacing w:after="0"/>
              <w:rPr>
                <w:sz w:val="22"/>
                <w:szCs w:val="22"/>
                <w:color w:val="auto"/>
              </w:rPr>
            </w:pPr>
          </w:p>
        </w:tc>
      </w:tr>
      <w:tr>
        <w:trPr>
          <w:trHeight w:val="426"/>
        </w:trPr>
        <w:tc>
          <w:tcPr>
            <w:tcW w:w="2000" w:type="dxa"/>
            <w:vAlign w:val="bottom"/>
          </w:tcPr>
          <w:p>
            <w:pPr>
              <w:jc w:val="center"/>
              <w:ind w:right="166"/>
              <w:spacing w:after="0"/>
              <w:rPr>
                <w:sz w:val="20"/>
                <w:szCs w:val="20"/>
                <w:color w:val="auto"/>
              </w:rPr>
            </w:pPr>
            <w:r>
              <w:rPr>
                <w:rFonts w:ascii="Arial" w:cs="Arial" w:eastAsia="Arial" w:hAnsi="Arial"/>
                <w:sz w:val="18"/>
                <w:szCs w:val="18"/>
                <w:b w:val="1"/>
                <w:bCs w:val="1"/>
                <w:color w:val="auto"/>
                <w:w w:val="86"/>
              </w:rPr>
              <w:t>Pennsylvania</w:t>
            </w:r>
          </w:p>
        </w:tc>
        <w:tc>
          <w:tcPr>
            <w:tcW w:w="5240" w:type="dxa"/>
            <w:vAlign w:val="bottom"/>
            <w:gridSpan w:val="3"/>
          </w:tcPr>
          <w:p>
            <w:pPr>
              <w:jc w:val="center"/>
              <w:ind w:left="4082"/>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200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jc w:val="center"/>
              <w:ind w:left="11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000" w:type="dxa"/>
            <w:vAlign w:val="bottom"/>
          </w:tcPr>
          <w:p>
            <w:pPr>
              <w:jc w:val="center"/>
              <w:ind w:right="166"/>
              <w:spacing w:after="0"/>
              <w:rPr>
                <w:sz w:val="20"/>
                <w:szCs w:val="20"/>
                <w:color w:val="auto"/>
              </w:rPr>
            </w:pPr>
            <w:r>
              <w:rPr>
                <w:rFonts w:ascii="Arial" w:cs="Arial" w:eastAsia="Arial" w:hAnsi="Arial"/>
                <w:sz w:val="14"/>
                <w:szCs w:val="14"/>
                <w:b w:val="1"/>
                <w:bCs w:val="1"/>
                <w:color w:val="auto"/>
                <w:w w:val="88"/>
              </w:rPr>
              <w:t>incorporation or organization)</w:t>
            </w:r>
          </w:p>
        </w:tc>
        <w:tc>
          <w:tcPr>
            <w:tcW w:w="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320" w:type="dxa"/>
            <w:vAlign w:val="bottom"/>
          </w:tcPr>
          <w:p>
            <w:pPr>
              <w:jc w:val="center"/>
              <w:ind w:left="1192"/>
              <w:spacing w:after="0"/>
              <w:rPr>
                <w:sz w:val="20"/>
                <w:szCs w:val="20"/>
                <w:color w:val="auto"/>
              </w:rPr>
            </w:pPr>
            <w:r>
              <w:rPr>
                <w:rFonts w:ascii="Arial" w:cs="Arial" w:eastAsia="Arial" w:hAnsi="Arial"/>
                <w:sz w:val="14"/>
                <w:szCs w:val="14"/>
                <w:b w:val="1"/>
                <w:bCs w:val="1"/>
                <w:color w:val="auto"/>
                <w:w w:val="89"/>
              </w:rPr>
              <w:t>Identification No.)</w:t>
            </w:r>
          </w:p>
        </w:tc>
      </w:tr>
      <w:tr>
        <w:trPr>
          <w:trHeight w:val="364"/>
        </w:trPr>
        <w:tc>
          <w:tcPr>
            <w:tcW w:w="2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00" w:type="dxa"/>
            <w:vAlign w:val="bottom"/>
            <w:gridSpan w:val="2"/>
          </w:tcPr>
          <w:p>
            <w:pPr>
              <w:jc w:val="center"/>
              <w:ind w:right="2252"/>
              <w:spacing w:after="0"/>
              <w:rPr>
                <w:sz w:val="20"/>
                <w:szCs w:val="20"/>
                <w:color w:val="auto"/>
              </w:rPr>
            </w:pPr>
            <w:r>
              <w:rPr>
                <w:rFonts w:ascii="Arial" w:cs="Arial" w:eastAsia="Arial" w:hAnsi="Arial"/>
                <w:sz w:val="18"/>
                <w:szCs w:val="18"/>
                <w:b w:val="1"/>
                <w:bCs w:val="1"/>
                <w:color w:val="auto"/>
                <w:w w:val="88"/>
              </w:rPr>
              <w:t>One Comcast Center</w:t>
            </w:r>
          </w:p>
        </w:tc>
      </w:tr>
      <w:tr>
        <w:trPr>
          <w:trHeight w:val="218"/>
        </w:trPr>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00" w:type="dxa"/>
            <w:vAlign w:val="bottom"/>
            <w:gridSpan w:val="2"/>
          </w:tcPr>
          <w:p>
            <w:pPr>
              <w:jc w:val="center"/>
              <w:ind w:right="2252"/>
              <w:spacing w:after="0"/>
              <w:rPr>
                <w:sz w:val="20"/>
                <w:szCs w:val="20"/>
                <w:color w:val="auto"/>
              </w:rPr>
            </w:pPr>
            <w:r>
              <w:rPr>
                <w:rFonts w:ascii="Arial" w:cs="Arial" w:eastAsia="Arial" w:hAnsi="Arial"/>
                <w:sz w:val="18"/>
                <w:szCs w:val="18"/>
                <w:b w:val="1"/>
                <w:bCs w:val="1"/>
                <w:color w:val="auto"/>
                <w:w w:val="88"/>
              </w:rPr>
              <w:t>Philadelphia, PA 19103-2838</w:t>
            </w:r>
          </w:p>
        </w:tc>
      </w:tr>
      <w:tr>
        <w:trPr>
          <w:trHeight w:val="174"/>
        </w:trPr>
        <w:tc>
          <w:tcPr>
            <w:tcW w:w="2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700" w:type="dxa"/>
            <w:vAlign w:val="bottom"/>
            <w:gridSpan w:val="2"/>
          </w:tcPr>
          <w:p>
            <w:pPr>
              <w:jc w:val="center"/>
              <w:ind w:right="2232"/>
              <w:spacing w:after="0"/>
              <w:rPr>
                <w:sz w:val="20"/>
                <w:szCs w:val="20"/>
                <w:color w:val="auto"/>
              </w:rPr>
            </w:pPr>
            <w:r>
              <w:rPr>
                <w:rFonts w:ascii="Arial" w:cs="Arial" w:eastAsia="Arial" w:hAnsi="Arial"/>
                <w:sz w:val="14"/>
                <w:szCs w:val="14"/>
                <w:b w:val="1"/>
                <w:bCs w:val="1"/>
                <w:color w:val="auto"/>
                <w:w w:val="85"/>
              </w:rPr>
              <w:t>(Address of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left="660" w:right="2340"/>
        <w:spacing w:after="0" w:line="255" w:lineRule="auto"/>
        <w:rPr>
          <w:sz w:val="20"/>
          <w:szCs w:val="20"/>
          <w:color w:val="auto"/>
        </w:rPr>
      </w:pPr>
      <w:r>
        <w:rPr>
          <w:rFonts w:ascii="Arial" w:cs="Arial" w:eastAsia="Arial" w:hAnsi="Arial"/>
          <w:sz w:val="18"/>
          <w:szCs w:val="18"/>
          <w:b w:val="1"/>
          <w:bCs w:val="1"/>
          <w:color w:val="auto"/>
        </w:rPr>
        <w:t>COMCAST CORPORATION 2002 EMPLOYEE STOCK PURCHASE PLAN COMCAST CORPORATION 2002 RESTRICTED STOCK PLAN COMCAST CORPORATION 2003 STOCK OPTION PLAN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R. Block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286-1700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3"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00" w:space="420"/>
            <w:col w:w="6220" w:space="720"/>
            <w:col w:w="1920" w:space="480"/>
            <w:col w:w="160"/>
          </w:cols>
          <w:pgMar w:left="240" w:top="23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3021965</wp:posOffset>
            </wp:positionH>
            <wp:positionV relativeFrom="page">
              <wp:posOffset>269240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t>CALCULATION OF REGISTRATION FEE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040" w:type="dxa"/>
            <w:vAlign w:val="bottom"/>
            <w:tcBorders>
              <w:top w:val="single" w:sz="8" w:color="auto"/>
              <w:right w:val="single" w:sz="8" w:color="auto"/>
            </w:tcBorders>
          </w:tcPr>
          <w:p>
            <w:pPr>
              <w:spacing w:after="0"/>
              <w:rPr>
                <w:sz w:val="13"/>
                <w:szCs w:val="13"/>
                <w:color w:val="auto"/>
              </w:rPr>
            </w:pPr>
          </w:p>
        </w:tc>
        <w:tc>
          <w:tcPr>
            <w:tcW w:w="1600" w:type="dxa"/>
            <w:vAlign w:val="bottom"/>
            <w:tcBorders>
              <w:top w:val="single" w:sz="8" w:color="auto"/>
              <w:right w:val="single" w:sz="8" w:color="auto"/>
            </w:tcBorders>
          </w:tcPr>
          <w:p>
            <w:pPr>
              <w:spacing w:after="0"/>
              <w:rPr>
                <w:sz w:val="13"/>
                <w:szCs w:val="13"/>
                <w:color w:val="auto"/>
              </w:rPr>
            </w:pPr>
          </w:p>
        </w:tc>
        <w:tc>
          <w:tcPr>
            <w:tcW w:w="1600" w:type="dxa"/>
            <w:vAlign w:val="bottom"/>
            <w:tcBorders>
              <w:top w:val="single" w:sz="8" w:color="auto"/>
              <w:right w:val="single" w:sz="8" w:color="auto"/>
            </w:tcBorders>
          </w:tcPr>
          <w:p>
            <w:pPr>
              <w:spacing w:after="0"/>
              <w:rPr>
                <w:sz w:val="13"/>
                <w:szCs w:val="13"/>
                <w:color w:val="auto"/>
              </w:rPr>
            </w:pPr>
          </w:p>
        </w:tc>
        <w:tc>
          <w:tcPr>
            <w:tcW w:w="1600" w:type="dxa"/>
            <w:vAlign w:val="bottom"/>
            <w:tcBorders>
              <w:top w:val="single" w:sz="8" w:color="auto"/>
              <w:right w:val="single" w:sz="8" w:color="auto"/>
            </w:tcBorders>
          </w:tcPr>
          <w:p>
            <w:pPr>
              <w:jc w:val="center"/>
              <w:ind w:left="28"/>
              <w:spacing w:after="0" w:line="158" w:lineRule="exact"/>
              <w:rPr>
                <w:sz w:val="20"/>
                <w:szCs w:val="20"/>
                <w:color w:val="auto"/>
              </w:rPr>
            </w:pPr>
            <w:r>
              <w:rPr>
                <w:rFonts w:ascii="Arial" w:cs="Arial" w:eastAsia="Arial" w:hAnsi="Arial"/>
                <w:sz w:val="14"/>
                <w:szCs w:val="14"/>
                <w:b w:val="1"/>
                <w:bCs w:val="1"/>
                <w:color w:val="auto"/>
                <w:w w:val="83"/>
              </w:rPr>
              <w:t>Proposed</w:t>
            </w:r>
          </w:p>
        </w:tc>
        <w:tc>
          <w:tcPr>
            <w:tcW w:w="1560" w:type="dxa"/>
            <w:vAlign w:val="bottom"/>
            <w:tcBorders>
              <w:top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83"/>
              </w:rPr>
              <w:t>Proposed</w:t>
            </w:r>
          </w:p>
        </w:tc>
        <w:tc>
          <w:tcPr>
            <w:tcW w:w="160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88"/>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Title of securities</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8"/>
              </w:rPr>
              <w:t>maximum offering</w:t>
            </w:r>
          </w:p>
        </w:tc>
        <w:tc>
          <w:tcPr>
            <w:tcW w:w="16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3"/>
              </w:rPr>
              <w:t>aggregate</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to be 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7"/>
              </w:rPr>
              <w:t>registered (1) (2)</w:t>
            </w:r>
          </w:p>
        </w:tc>
        <w:tc>
          <w:tcPr>
            <w:tcW w:w="160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89"/>
              </w:rPr>
              <w:t>price per unit (1)</w:t>
            </w:r>
          </w:p>
        </w:tc>
        <w:tc>
          <w:tcPr>
            <w:tcW w:w="160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8"/>
              </w:rPr>
              <w:t>offering price (3)</w:t>
            </w:r>
          </w:p>
        </w:tc>
        <w:tc>
          <w:tcPr>
            <w:tcW w:w="15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86"/>
              </w:rPr>
              <w:t>registration fee (3)</w:t>
            </w: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88"/>
              </w:rPr>
              <w:t>68,625,000</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6"/>
              </w:rPr>
              <w:t>$14.555</w:t>
            </w:r>
          </w:p>
        </w:tc>
        <w:tc>
          <w:tcPr>
            <w:tcW w:w="16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8"/>
                <w:szCs w:val="18"/>
                <w:color w:val="auto"/>
                <w:w w:val="87"/>
              </w:rPr>
              <w:t>$998,836,875</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6"/>
              </w:rPr>
              <w:t>$55,735</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460" w:right="200" w:hanging="452"/>
        <w:spacing w:after="0" w:line="302"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This registration statement registers the issuance of 68,625,000 shares of Class A common stock (the “Class A Common Stock”) of Comcast Corporation (the “Registrant”), par value $0.01, 11,125,000 of which are issuable pursuant to the Comcast Corporation 2002 Employee Stock Purchase Plan, as amended and restated, 7,500,000 of which are issuable pursuant to the Comcast Corporation 2002 Restricted Stock Plan, as amended and restated, and 50,000,000 of which are issuable pursuant to the Comcast Corporation 2003 Stock Option Plan, as amended and restated (collectively, the “Plans”).</w:t>
      </w:r>
    </w:p>
    <w:p>
      <w:pPr>
        <w:spacing w:after="0" w:line="2" w:lineRule="exact"/>
        <w:rPr>
          <w:rFonts w:ascii="Arial" w:cs="Arial" w:eastAsia="Arial" w:hAnsi="Arial"/>
          <w:sz w:val="15"/>
          <w:szCs w:val="15"/>
          <w:color w:val="auto"/>
        </w:rPr>
      </w:pPr>
    </w:p>
    <w:p>
      <w:pPr>
        <w:ind w:left="460" w:right="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shall also be deemed covered hereby such additional securities as may result from anti-dilution adjustments under the Plans and which may hereinafter be offered or issued to prevent dilution resulting from stock splits, stock dividends, recapitalizations or certain other capital adjustments.</w:t>
      </w:r>
    </w:p>
    <w:p>
      <w:pPr>
        <w:spacing w:after="0" w:line="1" w:lineRule="exact"/>
        <w:rPr>
          <w:rFonts w:ascii="Arial" w:cs="Arial" w:eastAsia="Arial" w:hAnsi="Arial"/>
          <w:sz w:val="18"/>
          <w:szCs w:val="18"/>
          <w:color w:val="auto"/>
        </w:rPr>
      </w:pPr>
    </w:p>
    <w:p>
      <w:pPr>
        <w:ind w:left="460" w:hanging="452"/>
        <w:spacing w:after="0" w:line="32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pursuant to paragraphs (c) and (h) of Rule 457 of the Securities Act of 1933, as amended, solely for the purpose of calculating the registration fee on the basis of the high and low sales prices of shares of Class A Common Stock on the Nasdaq Global Select Market on August 17,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ind w:left="4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NOTE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Registration of Additional Shares under Comcast Corporation 2002 Employee Stock Purchase Plan</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General Instruction E of Form S-8, this registration statement on Form S-8 (this “Registration Statement”) is being filed in order to register an additional 11,125,000 shares of the Registrant’s Class A Common Stock, par value $0.01 per share, which are securities of the same class and relate to the same employee benefit plan, the Comcast Corporation 2002 Employee Stock Purchase Plan, as amended and restated, as those shares registered on the Registrant’s registration statements on Form S-8 previously filed with the Commission on November 19, 2002 (Registration No. 333-101295, as amended by post-effective amendment no. 1 filed on December 4, 2002), December 4, 2002 (Registration No. 333-101645) and January 4, 2006 (Registration No. 333-130844), all of which are hereby incorporated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Registration of Additional Shares under Comcast Corporation 2002 Restricted Stock Plan</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General Instruction E of Form S-8, this Registration Statement is also being filed in order to register an additional 7,500,000 shares of the Registrant’s Class A Common Stock, par value $0.01 per share, which are securities of the same class and relate to the same employee benefit plan, the Comcast Corporation 2002 Restricted Stock Plan, as amended and restated, as those shares registered on the Registrant’s registration statement on Form S-8, previously filed with the Commission on November 19, 2002 (Registration No. 333-101295, as amended by post-effective amendment no. 1 filed on December 4, 2002), December 4, 2002 (Registration No. 333-101645), April 8, 2003 (Registration No. 333-104385), March 1, 2005 (Registration No. 333-123059), January 4, 2006 (Registration No. 333-130847) and May 16, 2008 (Registration No. 333-150976), all of which are hereby incorporated by reference.</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of Additional Shares under Comcast Corporation 2003 Stock Option Plan</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Pursuant to General Instruction E of Form S-8, this Registration Statement is also being filed in order to register an additional 50,000,000 shares of the Registrant’s Class A Common Stock, par value $0.01 per share, which are securities of the same class and relate to the same employee benefit plan, the Comcast Corporation 2003 Stock Option Plan, as amended and restated, as those shares registered on the Registrant’s registration statement on Form S-8, previously filed with the Commission on April 8, 2003 (Registration No. 333-104385) and May 16, 2008 (Registration No. 333-150976), each of which are hereby incorporated by reference.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Information Required in the Registration Statement</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against expenses actually and reasonably incurred, is mandatory to the extent that the director, officer, employee or agent has been successful on the merits or otherwise in defense of any action or proceeding relating to third-party or derivative and corporate actions or in defense of any claim, issue or matter therein.</w:t>
      </w:r>
    </w:p>
    <w:p>
      <w:pPr>
        <w:spacing w:after="0" w:line="11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Section 1742 provides for indemnification in derivative and corporate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07" w:lineRule="exact"/>
        <w:rPr>
          <w:sz w:val="20"/>
          <w:szCs w:val="20"/>
          <w:color w:val="auto"/>
        </w:rPr>
      </w:pPr>
    </w:p>
    <w:p>
      <w:pPr>
        <w:jc w:val="both"/>
        <w:ind w:right="40"/>
        <w:spacing w:after="0" w:line="305" w:lineRule="auto"/>
        <w:rPr>
          <w:sz w:val="20"/>
          <w:szCs w:val="20"/>
          <w:color w:val="auto"/>
        </w:rPr>
      </w:pPr>
      <w:r>
        <w:rPr>
          <w:rFonts w:ascii="Arial" w:cs="Arial" w:eastAsia="Arial" w:hAnsi="Arial"/>
          <w:sz w:val="15"/>
          <w:szCs w:val="15"/>
          <w:color w:val="auto"/>
        </w:rPr>
        <w:t>Section 1744 provides that, unless ordered by a court, any indemnification under Section 1741 or 1742 shall be made by the corporation only as authorized in the specific case upon a determination that the representative met the applicable standard of conduct set forth in those sections and such determination shall be made:</w:t>
      </w:r>
    </w:p>
    <w:p>
      <w:pPr>
        <w:ind w:right="140" w:firstLine="8"/>
        <w:spacing w:after="0" w:line="261"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by the board of directors by majority vote of a quorum of directors not parties to the action or proceeding; (2) if a quorum is not obtainable and a majority of disinterested directors so directs, by independent legal counsel in a written opinion; or (3) by the shareholders.</w:t>
      </w:r>
    </w:p>
    <w:p>
      <w:pPr>
        <w:spacing w:after="0" w:line="1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 Advancement of expenses must be authorized by the board of directors.</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Section 1746 provides generally that except in any case where the act or failure to act giving rise to the claim for indemnification is determined by the court to have constituted willful misconduct or recklessness, the</w:t>
      </w:r>
    </w:p>
    <w:p>
      <w:pPr>
        <w:sectPr>
          <w:pgSz w:w="11900" w:h="16838" w:orient="portrait"/>
          <w:cols w:equalWidth="0" w:num="1">
            <w:col w:w="11400"/>
          </w:cols>
          <w:pgMar w:left="240" w:top="280" w:right="259" w:bottom="1440" w:gutter="0" w:footer="0" w:header="0"/>
        </w:sectPr>
      </w:pPr>
    </w:p>
    <w:bookmarkStart w:id="4" w:name="page5"/>
    <w:bookmarkEnd w:id="4"/>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Section 1746 also provides that a corporation may create a fund of any nature, which may, but need not be, under the control of a trustee, or otherwise secure or insure in any manner its indemnification obligations.</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Section 1747 grants a corporation the power to purchase and maintain insurance on behalf of any person who is or was a representative of the corporation or is or was serving at the request of the corporation as a representative of another corporation, partnership, joint venture, trust or other enterprise, against any liability incurred by him in any such capacity, whether or not the corporation would have the power to indemnify him against that liability under this Subchapter of the BCL.</w:t>
      </w:r>
    </w:p>
    <w:p>
      <w:pPr>
        <w:spacing w:after="0" w:line="14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Sections 1748 and 1749 extend the indemnification and advancement of expenses provisions contained in Sections 1741 through 1750 of the BCL to constituent corporations absorbed in a consolidation, merger or division, as well as the surviving or new corporations surviving or resulting therefrom and to representatives serving as fiduciaries of employee benefit plans.</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1750 provides that the indemnification and advancement of expenses provided by, or granted pursuant to, Sections 1741 through 1750 of the BCL shall, unless otherwise provided when authorized or ratified, continue as to a person who has ceased to be a representative of the corporation and shall inure to the benefit of the heirs and personal representatives of such person.</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Section 7.01 of the Registrant’s By-laws provides that the Registrant will indemnify any director or officer of the Registrant (including those who have ceased serving in any such capacity) to the fullest extent permitted by Pennsylvania law against all expense, liability and loss reasonably incurred or suffered by such person in connection with any threatened pending or completed action, suit, claim, counterclaim, cross claim, arbitration, alternate dispute resolution mechanism, investigation, inquiry, administrative hearing or any other threatened, actual or completed proceeding (a “Proceeding”) arising out of or related to such person’s service at any time as a director or officer of the Registrant or in any capacity at the request or for the benefit of the Registrant or in any other capacity for another corporation or other enterprise. No indemnification pursuant to Section 7.01 may be made, however, in any case where the act or failure to act giving rise to the claim for indemnification is determined by a court to have constituted willful misconduct or recklessness.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Section 7.01 further provides that the right to indemnification includes the right to have the expenses incurred by the indemnified person in defending 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Proceeding paid by the Registrant in advance of the final disposition of the Proceeding to the fullest extent permitted by Pennsylvania law.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7.01 provides that, to the extent that an indemnified person has been successful on the merits or otherwise in defense of any Proceeding or in defense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any claim, issue or matter therein, the Registrant shall indemnify such person against expenses actually and reasonably incurred by such person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therewith. Section 7.01 also provides that the Registrant may purchase and maintain insurance for the benefit of any person on behalf of whom insurance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to be purchased by Pennsylvania law against any expense, liability or loss whether or not the Registrant would have the power to indemnify such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person under Pennsylvania or other law. The Registrant may also purchase and maintain insurance to insure its indemnification obligations, whether arising under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By-laws or otherwise. Furthermore, Section 7.01 states that the Registrant may create a fund of any nature or otherwise may secure in any manner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 obligations, whether arising under the By-laws or otherwise. Indemnification pursuant to Section 7.01 shall continue as to an indemnified person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 has ceased to be a director or officer and shall inure to the benefit of his heirs, executors and administrators. The rights to indemnification and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advancement of expenses provided in or pursuant to Article 7 of the By-laws are not exclusive of any other rights that any person may have or acquire under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provision of the By-Laws or otherwise.</w:t>
      </w:r>
    </w:p>
    <w:p>
      <w:pPr>
        <w:sectPr>
          <w:pgSz w:w="11900" w:h="16838" w:orient="portrait"/>
          <w:cols w:equalWidth="0" w:num="1">
            <w:col w:w="11380"/>
          </w:cols>
          <w:pgMar w:left="240" w:top="280" w:right="279" w:bottom="1440" w:gutter="0" w:footer="0" w:header="0"/>
        </w:sectPr>
      </w:pPr>
    </w:p>
    <w:bookmarkStart w:id="5" w:name="page6"/>
    <w:bookmarkEnd w:id="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7.02 of the Registrant’s By-laws states that the provisions of the By-laws relating to indemnification constitute a contract between the Registrant and each of its directors and officers which may be modified as to any director and officer only with that person’s consent or as provided in Section 7.02. Furthermore, any repeal or amendment of the indemnification provisions of the By-laws adverse to any director or officer will apply only on a prospective basis. In addition, no repeal or amendment of the By-laws may affect the indemnification provisions of the By-laws so as either to reduce the limitation of directors’ liability or limit indemnification or the advancement of expenses in any manner unless adopted by (a) 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11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Registrant has entered into indemnification agreements with each of its directors pursuant to which the Registrant has agreed to indemnify each director and hold him or her harmless from and against any and all expenses and liabilities reasonably incurred by such director by reason of his or her service as a director of the Registrant, or service in any other capacity of any other corporation or enterprise at the request or for the benefit of the Registrant, to the fullest extent permitted by applicable law. Pursuant to such indemnification agreements, the Registrant also has agreed to pay or reimburse any expenses reasonably incurred by any such director by reason of his or her service as a director of the Registrant, or service in any other capacity of any other corporation or enterprise at the request or for the benefit of the Registrant; provided that the Registrant’s obligation to pay or reimburse any such expenses prior to the final disposition of a Proceeding is subject to the condition that, if, when and to the extent a final, non-appealable judgment of a court of competent jurisdiction determines that such director would not be permitted to be indemnified by law, then the Registrant shall be entitled to be reimbursed promptly by such director for all such amounts theretofore paid. The Registrant is not obligated under such indemnification agreements to indemnify a director or pay or reimburse any expenses (i) in connection with any claims arising under applicable laws concerning insider trading or claims for an accounting of profits from the purchase or sale of the Registrant’s securities by such director within the meaning of Section 16(b) of the Securities Exchange Act of 1934, as amended, unless such director is ultimately successful with respect to such claim (it being understood that the Registrant’s obligations pursuant to the foregoing sentence shall remain in full force and effect with respect to such claims); or (ii) in connection with any action, suit or proceeding initiated by such director (other than to establish or enforce such director’s rights under the indemnification agreement) against the Registrant or its directors, officers, employees or other indemnitees, unless the Board of Directors authorized such action, suit or proceeding before its initiation.</w:t>
      </w:r>
    </w:p>
    <w:p>
      <w:pPr>
        <w:spacing w:after="0" w:line="2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Pepper Hamilton LLP (contained in Exhibits 5.1 and 5.2).</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(contained in the signature pages hereto).</w:t>
      </w:r>
    </w:p>
    <w:p>
      <w:pPr>
        <w:sectPr>
          <w:pgSz w:w="11900" w:h="16838" w:orient="portrait"/>
          <w:cols w:equalWidth="0" w:num="1">
            <w:col w:w="11380"/>
          </w:cols>
          <w:pgMar w:left="240" w:top="280" w:right="279"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To file, during any period in which offers or sales are being made, a post-effective amendment to this Registration Statement:</w:t>
      </w:r>
    </w:p>
    <w:p>
      <w:pPr>
        <w:spacing w:after="0" w:line="171" w:lineRule="exact"/>
        <w:rPr>
          <w:sz w:val="20"/>
          <w:szCs w:val="20"/>
          <w:color w:val="auto"/>
        </w:rPr>
      </w:pPr>
    </w:p>
    <w:p>
      <w:pPr>
        <w:ind w:left="1100" w:hanging="17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71" w:lineRule="exact"/>
        <w:rPr>
          <w:rFonts w:ascii="Arial" w:cs="Arial" w:eastAsia="Arial" w:hAnsi="Arial"/>
          <w:sz w:val="18"/>
          <w:szCs w:val="18"/>
          <w:color w:val="auto"/>
        </w:rPr>
      </w:pPr>
    </w:p>
    <w:p>
      <w:pPr>
        <w:ind w:right="60" w:firstLine="921"/>
        <w:spacing w:after="0" w:line="291" w:lineRule="auto"/>
        <w:tabs>
          <w:tab w:leader="none" w:pos="1088"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20" w:lineRule="exact"/>
        <w:rPr>
          <w:rFonts w:ascii="Arial" w:cs="Arial" w:eastAsia="Arial" w:hAnsi="Arial"/>
          <w:sz w:val="16"/>
          <w:szCs w:val="16"/>
          <w:color w:val="auto"/>
        </w:rPr>
      </w:pPr>
    </w:p>
    <w:p>
      <w:pPr>
        <w:ind w:right="80" w:firstLine="921"/>
        <w:spacing w:after="0" w:line="268" w:lineRule="auto"/>
        <w:tabs>
          <w:tab w:leader="none" w:pos="1088"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31" w:lineRule="exact"/>
        <w:rPr>
          <w:rFonts w:ascii="Arial" w:cs="Arial" w:eastAsia="Arial" w:hAnsi="Arial"/>
          <w:sz w:val="18"/>
          <w:szCs w:val="18"/>
          <w:color w:val="auto"/>
        </w:rPr>
      </w:pPr>
    </w:p>
    <w:p>
      <w:pPr>
        <w:jc w:val="both"/>
        <w:ind w:right="100" w:firstLine="464"/>
        <w:spacing w:after="0" w:line="370" w:lineRule="auto"/>
        <w:tabs>
          <w:tab w:leader="none" w:pos="661"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 and</w:t>
      </w:r>
    </w:p>
    <w:p>
      <w:pPr>
        <w:spacing w:after="0" w:line="62" w:lineRule="exact"/>
        <w:rPr>
          <w:rFonts w:ascii="Arial" w:cs="Arial" w:eastAsia="Arial" w:hAnsi="Arial"/>
          <w:sz w:val="15"/>
          <w:szCs w:val="15"/>
          <w:color w:val="auto"/>
        </w:rPr>
      </w:pPr>
    </w:p>
    <w:p>
      <w:pPr>
        <w:ind w:left="660" w:hanging="196"/>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offering.</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20"/>
          </w:cols>
          <w:pgMar w:left="240" w:top="274"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Commonwealth of Pennsylvania, on August 21, 2009.</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each of Brian L. Roberts, Michael J. Angelakis, David L. Cohen, Arthur R. Block and Lawrence J. Salva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8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2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 Roberts</w:t>
            </w:r>
          </w:p>
        </w:tc>
        <w:tc>
          <w:tcPr>
            <w:tcW w:w="22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Chairman and CEO; Director</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r>
        <w:trPr>
          <w:trHeight w:val="221"/>
        </w:trPr>
        <w:tc>
          <w:tcPr>
            <w:tcW w:w="3480" w:type="dxa"/>
            <w:vAlign w:val="bottom"/>
          </w:tcPr>
          <w:p>
            <w:pPr>
              <w:spacing w:after="0"/>
              <w:rPr>
                <w:sz w:val="20"/>
                <w:szCs w:val="20"/>
                <w:color w:val="auto"/>
              </w:rPr>
            </w:pPr>
            <w:r>
              <w:rPr>
                <w:rFonts w:ascii="Arial" w:cs="Arial" w:eastAsia="Arial" w:hAnsi="Arial"/>
                <w:sz w:val="18"/>
                <w:szCs w:val="18"/>
                <w:color w:val="auto"/>
              </w:rPr>
              <w:t>Brian L. Roberts</w:t>
            </w:r>
          </w:p>
        </w:tc>
        <w:tc>
          <w:tcPr>
            <w:tcW w:w="2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4"/>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Ralph J. Roberts</w:t>
            </w:r>
          </w:p>
        </w:tc>
        <w:tc>
          <w:tcPr>
            <w:tcW w:w="22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Founder; Chairman Emeritus of the Board; Director</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r>
        <w:trPr>
          <w:trHeight w:val="221"/>
        </w:trPr>
        <w:tc>
          <w:tcPr>
            <w:tcW w:w="3480" w:type="dxa"/>
            <w:vAlign w:val="bottom"/>
          </w:tcPr>
          <w:p>
            <w:pPr>
              <w:spacing w:after="0"/>
              <w:rPr>
                <w:sz w:val="20"/>
                <w:szCs w:val="20"/>
                <w:color w:val="auto"/>
              </w:rPr>
            </w:pPr>
            <w:r>
              <w:rPr>
                <w:rFonts w:ascii="Arial" w:cs="Arial" w:eastAsia="Arial" w:hAnsi="Arial"/>
                <w:sz w:val="18"/>
                <w:szCs w:val="18"/>
                <w:color w:val="auto"/>
              </w:rPr>
              <w:t>Ralph J. Roberts</w:t>
            </w:r>
          </w:p>
        </w:tc>
        <w:tc>
          <w:tcPr>
            <w:tcW w:w="2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4"/>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Julian A. Brodsky</w:t>
            </w:r>
          </w:p>
        </w:tc>
        <w:tc>
          <w:tcPr>
            <w:tcW w:w="22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0"/>
              </w:rPr>
              <w:t>Non-Executive Vice Chairman; Director</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r>
        <w:trPr>
          <w:trHeight w:val="221"/>
        </w:trPr>
        <w:tc>
          <w:tcPr>
            <w:tcW w:w="3480" w:type="dxa"/>
            <w:vAlign w:val="bottom"/>
          </w:tcPr>
          <w:p>
            <w:pPr>
              <w:spacing w:after="0"/>
              <w:rPr>
                <w:sz w:val="20"/>
                <w:szCs w:val="20"/>
                <w:color w:val="auto"/>
              </w:rPr>
            </w:pPr>
            <w:r>
              <w:rPr>
                <w:rFonts w:ascii="Arial" w:cs="Arial" w:eastAsia="Arial" w:hAnsi="Arial"/>
                <w:sz w:val="18"/>
                <w:szCs w:val="18"/>
                <w:color w:val="auto"/>
              </w:rPr>
              <w:t>Julian A. Brodsky</w:t>
            </w:r>
          </w:p>
        </w:tc>
        <w:tc>
          <w:tcPr>
            <w:tcW w:w="2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ectPr>
          <w:pgSz w:w="11900" w:h="16838" w:orient="portrait"/>
          <w:cols w:equalWidth="0" w:num="1">
            <w:col w:w="11380"/>
          </w:cols>
          <w:pgMar w:left="240" w:top="274" w:right="279" w:bottom="1440" w:gutter="0" w:footer="0" w:header="0"/>
        </w:sectPr>
      </w:pPr>
    </w:p>
    <w:bookmarkStart w:id="8" w:name="page9"/>
    <w:bookmarkEnd w:id="8"/>
    <w:p>
      <w:pPr>
        <w:jc w:val="right"/>
        <w:ind w:right="96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2040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2040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Angelakis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2040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J. Salva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 Decker Anstrom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2040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 Decker Anstrom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Kenneth J.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2040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Kenneth J. Bacon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2040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Sheldon M. Bonovitz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D.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2040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D. Breen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J.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2040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J. Collins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 Michael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2040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 Michael Cook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2040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Gerald L. Hassell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A. Honickman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2040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Honickman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Dr. Judith 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2040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 Judith Rodin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I. Sovern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2040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I. Sovern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2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45"/>
        </w:trPr>
        <w:tc>
          <w:tcPr>
            <w:tcW w:w="5040" w:type="dxa"/>
            <w:vAlign w:val="bottom"/>
          </w:tcPr>
          <w:p>
            <w:pPr>
              <w:jc w:val="center"/>
              <w:spacing w:after="0"/>
              <w:rPr>
                <w:sz w:val="20"/>
                <w:szCs w:val="20"/>
                <w:color w:val="auto"/>
              </w:rPr>
            </w:pPr>
            <w:r>
              <w:rPr>
                <w:rFonts w:ascii="Arial" w:cs="Arial" w:eastAsia="Arial" w:hAnsi="Arial"/>
                <w:sz w:val="18"/>
                <w:szCs w:val="18"/>
                <w:color w:val="auto"/>
                <w:w w:val="88"/>
              </w:rPr>
              <w:t>Executive Vice President</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r>
        <w:trPr>
          <w:trHeight w:val="222"/>
        </w:trPr>
        <w:tc>
          <w:tcPr>
            <w:tcW w:w="5040" w:type="dxa"/>
            <w:vAlign w:val="bottom"/>
          </w:tcPr>
          <w:p>
            <w:pPr>
              <w:jc w:val="center"/>
              <w:spacing w:after="0"/>
              <w:rPr>
                <w:sz w:val="20"/>
                <w:szCs w:val="20"/>
                <w:color w:val="auto"/>
              </w:rPr>
            </w:pPr>
            <w:r>
              <w:rPr>
                <w:rFonts w:ascii="Arial" w:cs="Arial" w:eastAsia="Arial" w:hAnsi="Arial"/>
                <w:sz w:val="18"/>
                <w:szCs w:val="18"/>
                <w:color w:val="auto"/>
                <w:w w:val="92"/>
              </w:rPr>
              <w:t>(Principal Financial Officer)</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9"/>
        </w:trPr>
        <w:tc>
          <w:tcPr>
            <w:tcW w:w="5040" w:type="dxa"/>
            <w:vAlign w:val="bottom"/>
          </w:tcPr>
          <w:p>
            <w:pPr>
              <w:jc w:val="center"/>
              <w:spacing w:after="0"/>
              <w:rPr>
                <w:sz w:val="20"/>
                <w:szCs w:val="20"/>
                <w:color w:val="auto"/>
              </w:rPr>
            </w:pPr>
            <w:r>
              <w:rPr>
                <w:rFonts w:ascii="Arial" w:cs="Arial" w:eastAsia="Arial" w:hAnsi="Arial"/>
                <w:sz w:val="18"/>
                <w:szCs w:val="18"/>
                <w:color w:val="auto"/>
                <w:w w:val="89"/>
              </w:rPr>
              <w:t>Senior Vice President, Chief Accounting</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r>
        <w:trPr>
          <w:trHeight w:val="222"/>
        </w:trPr>
        <w:tc>
          <w:tcPr>
            <w:tcW w:w="5040" w:type="dxa"/>
            <w:vAlign w:val="bottom"/>
          </w:tcPr>
          <w:p>
            <w:pPr>
              <w:jc w:val="center"/>
              <w:spacing w:after="0"/>
              <w:rPr>
                <w:sz w:val="20"/>
                <w:szCs w:val="20"/>
                <w:color w:val="auto"/>
              </w:rPr>
            </w:pPr>
            <w:r>
              <w:rPr>
                <w:rFonts w:ascii="Arial" w:cs="Arial" w:eastAsia="Arial" w:hAnsi="Arial"/>
                <w:sz w:val="18"/>
                <w:szCs w:val="18"/>
                <w:color w:val="auto"/>
                <w:w w:val="91"/>
              </w:rPr>
              <w:t>Officer and Controller</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040" w:type="dxa"/>
            <w:vAlign w:val="bottom"/>
          </w:tcPr>
          <w:p>
            <w:pPr>
              <w:jc w:val="center"/>
              <w:spacing w:after="0"/>
              <w:rPr>
                <w:sz w:val="20"/>
                <w:szCs w:val="20"/>
                <w:color w:val="auto"/>
              </w:rPr>
            </w:pPr>
            <w:r>
              <w:rPr>
                <w:rFonts w:ascii="Arial" w:cs="Arial" w:eastAsia="Arial" w:hAnsi="Arial"/>
                <w:sz w:val="18"/>
                <w:szCs w:val="18"/>
                <w:color w:val="auto"/>
                <w:w w:val="92"/>
              </w:rPr>
              <w:t>(Principal Accounting Officer)</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59"/>
        </w:trPr>
        <w:tc>
          <w:tcPr>
            <w:tcW w:w="50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r>
        <w:trPr>
          <w:trHeight w:val="675"/>
        </w:trPr>
        <w:tc>
          <w:tcPr>
            <w:tcW w:w="50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r>
        <w:trPr>
          <w:trHeight w:val="675"/>
        </w:trPr>
        <w:tc>
          <w:tcPr>
            <w:tcW w:w="50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r>
        <w:trPr>
          <w:trHeight w:val="675"/>
        </w:trPr>
        <w:tc>
          <w:tcPr>
            <w:tcW w:w="50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r>
        <w:trPr>
          <w:trHeight w:val="675"/>
        </w:trPr>
        <w:tc>
          <w:tcPr>
            <w:tcW w:w="50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r>
        <w:trPr>
          <w:trHeight w:val="675"/>
        </w:trPr>
        <w:tc>
          <w:tcPr>
            <w:tcW w:w="50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r>
        <w:trPr>
          <w:trHeight w:val="675"/>
        </w:trPr>
        <w:tc>
          <w:tcPr>
            <w:tcW w:w="50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r>
        <w:trPr>
          <w:trHeight w:val="675"/>
        </w:trPr>
        <w:tc>
          <w:tcPr>
            <w:tcW w:w="50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r>
        <w:trPr>
          <w:trHeight w:val="675"/>
        </w:trPr>
        <w:tc>
          <w:tcPr>
            <w:tcW w:w="50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r>
        <w:trPr>
          <w:trHeight w:val="675"/>
        </w:trPr>
        <w:tc>
          <w:tcPr>
            <w:tcW w:w="504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August 21,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-5349240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0" w:num="2">
            <w:col w:w="2980" w:space="720"/>
            <w:col w:w="6800"/>
          </w:cols>
          <w:pgMar w:left="240" w:top="275" w:right="11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10340" w:type="dxa"/>
            <w:vAlign w:val="bottom"/>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10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Pepper Hamilton LLP.</w:t>
            </w: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Opinion of Pepper Hamilton LLP.</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Consent of Pepper Hamilton LLP (contained in Exhibits 5.1 and 5.2).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Power of Attorney (contained in the signature pages hereto).</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14,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0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40"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The Registration Statement relates to 68,625,000 shares of Class A Common Stock, par value $0.01, of the Company (the “Shares”), 11,125,000 of which may be issued by the Company pursuant to the Comcast Corporation 2002 Employee Stock Purchase Plan, as Amended and Restated (the “Employee Stock Purchase Plan”), 50,000,000 of which may be issued by the Company pursuant to the Comcast Corporation 2003 Stock Option Plan, as Amended and Restated (the “Stock Option Plan”) and 7,500,000 of which may be issued by the Company pursuant to the Comcast Corporation 2002 Restricted Stock Plan (the “Restricted Stock Plan”, and together with the Employee Stock Purchase Plan and the Stock Option Plan, the “Plans”).</w:t>
      </w:r>
    </w:p>
    <w:p>
      <w:pPr>
        <w:spacing w:after="0" w:line="11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connection with our representation of the Company, as a basis for our opinions hereinafter set forth, we have examined the Registration Statement, including the exhibits thereto, the Company’s Articles of Incorporation, as amended and restated, the Company’s By-laws, as amended and restated, the Plans and such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43"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Based on the foregoing, we are of the opinion that the Shares, when issued in accordance with the terms of the Plans, will be validly issued, fully paid and non-assessable.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ectPr>
          <w:pgSz w:w="11900" w:h="16838" w:orient="portrait"/>
          <w:cols w:equalWidth="0" w:num="1">
            <w:col w:w="11420"/>
          </w:cols>
          <w:pgMar w:left="240" w:top="125" w:right="239" w:bottom="1440" w:gutter="0" w:footer="0" w:header="0"/>
        </w:sectPr>
      </w:pPr>
    </w:p>
    <w:bookmarkStart w:id="11" w:name="page12"/>
    <w:bookmarkEnd w:id="11"/>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opinion is limited to the Business Corporation Law of the Commonwealth of Pennsylvania, as amended, including the statutory provisions and all applicable provisions of the Constitution of the Commonwealth of Pennsylvania and reported judicial decisions interpreting these laws, and the federal securities laws, each as in effect on the date hereof. We assume no obligation to supplement this opinion if any applicable law changes after the date hereof or if we become aware of any fact that might change the opinion expressed herein after the date hereof.</w:t>
      </w:r>
    </w:p>
    <w:p>
      <w:pPr>
        <w:spacing w:after="0" w:line="11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260"/>
          </w:cols>
          <w:pgMar w:left="240" w:top="280" w:right="3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14,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0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Comcast Corporation 2002 Restricted Stock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20" w:firstLine="913"/>
        <w:spacing w:after="0" w:line="323" w:lineRule="auto"/>
        <w:rPr>
          <w:sz w:val="20"/>
          <w:szCs w:val="20"/>
          <w:color w:val="auto"/>
        </w:rPr>
      </w:pPr>
      <w:r>
        <w:rPr>
          <w:rFonts w:ascii="Arial" w:cs="Arial" w:eastAsia="Arial" w:hAnsi="Arial"/>
          <w:sz w:val="15"/>
          <w:szCs w:val="15"/>
          <w:color w:val="auto"/>
        </w:rPr>
        <w:t>We have served as counsel to Comcast Corporation, a Pennsylvania Corporation (the “Company”), in connection with the registration by the Company of 68,625,000 shares of Class A Common Stock, par value $0.01 (the “Shares”), on Form S-8 with the Securities and Exchange Commission (the “Commission”). Of the total Shares registered, 7,500,000 may be issued pursuant to the Company’s 2002 Restricted Stock Plan, as Amended and Restated (the “Restricted Stock Plan”). Unless otherwise defined herein, capitalized terms used herein shall have the meanings assigned to them in the Registration Statement.</w:t>
      </w:r>
    </w:p>
    <w:p>
      <w:pPr>
        <w:spacing w:after="0" w:line="98"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32"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Restricted Stock Plan document states that the Restricted Stock Plan was established to permit eligible employees and non-employee directors to defer the receipt of compensation otherwise payable to such outside directors and eligible employees in accordance with the terms of the Restricted Stock Plan. The Restricted Stock Plan is unfunded and states that it is maintained primarily for the purpose of providing deferred compensation to outside directors and to a select group of management or highly compensated employees. For the purpose of this opinion, we have assumed that (1) the Restricted Stock Plan was duly adopted by the Company on December 19, 1990 and amended and restated, effective as of March 20, 2009 in its current form, and (2) the deferral provisions of the Restricted Stock Plan are maintained primarily for the purpose of providing the opportunity to defer the receipt of shares upon the vesting of awards of restricted stock and restricted stock units and to convert the right to receive shares to the right to receive the cash value of the shares to non-employee directors and a select group of management or highly compensated employees.</w:t>
      </w:r>
    </w:p>
    <w:p>
      <w:pPr>
        <w:sectPr>
          <w:pgSz w:w="11900" w:h="16838" w:orient="portrait"/>
          <w:cols w:equalWidth="0" w:num="1">
            <w:col w:w="11420"/>
          </w:cols>
          <w:pgMar w:left="240" w:top="125" w:right="239" w:bottom="1440" w:gutter="0" w:footer="0" w:header="0"/>
        </w:sectPr>
      </w:pPr>
    </w:p>
    <w:bookmarkStart w:id="13" w:name="page14"/>
    <w:bookmarkEnd w:id="13"/>
    <w:p>
      <w:pPr>
        <w:ind w:right="4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its express terms, the Restricted Stock Plan potentially results in a deferral of income by employees for periods extending to the termination of covered employment or beyond. Accordingly, the Restricted Stock Plan is an “employee pension benefit plan” described in section 3(3) of the Employee Retirement Income Security Act of 1974, as amended (“ERISA”). However, as a plan that is unfunded and maintained primarily for the purpose of providing deferred compensation to outside directors and to a select group of management or highly compensated employees, the Restricted Stock Plan is subject to parts 1 and 5 of Title I of ERISA, but not to any other provisions of ERISA.</w:t>
      </w:r>
    </w:p>
    <w:p>
      <w:pPr>
        <w:spacing w:after="0" w:line="143"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Restricted Stock Plan is not designed or operated with the purpose of satisfying the requirements for qualification under section 401(a) of the Internal Revenue Code of 1986, as amended.</w:t>
      </w:r>
    </w:p>
    <w:p>
      <w:pPr>
        <w:spacing w:after="0" w:line="132"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Parts 1 and 5 of Title 1 of ERISA do not impose any specific written requirements on non-qualified deferred compensation arrangements such as the Restricted Stock Plan as a condition to compliance with the applicable provisions of ERISA. Further, the operation of the Restricted Stock Plan pursuant to the written provisions of the Restricted Stock Plan will not cause the Restricted Stock Plan to fail to comply with parts 1 or 5 of Title 5 of ERISA.</w:t>
      </w:r>
    </w:p>
    <w:p>
      <w:pPr>
        <w:spacing w:after="0" w:line="107"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On the basis of the foregoing, we are of the opinion that the provisions of the written document constituting the Restricted Stock Plan comply with the requirements of ERISA pertaining to such provisions.</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360"/>
          </w:cols>
          <w:pgMar w:left="240" w:top="280" w:right="29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February 20, 2009, relating to the consolidated financial statements and consolidated financial statement schedule of Comcast Corporation (which reports express an unqualified opinion and include an explanatory paragraph relating to the adoption of new accounting pronouncements in 2008 and 2007), and the effectiveness of Comcast Corporation’s internal control over financial reporting, appearing in the Annual Report on Form 10-K of Comcast Corporation for the year ended December 31, 2008.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21,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upperLetter"/>
      <w:start w:val="1"/>
    </w:lvl>
    <w:lvl w:ilvl="1">
      <w:lvlJc w:val="left"/>
      <w:lvlText w:val="%2."/>
      <w:numFmt w:val="decimal"/>
      <w:start w:val="1"/>
    </w:lvl>
  </w:abstractNum>
  <w:abstractNum w:abstractNumId="3">
    <w:nsid w:val="625558EC"/>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2019-12-10T21:29:13Z</dcterms:created>
  <dcterms:modified xsi:type="dcterms:W3CDTF">2019-12-10T21:29:13Z</dcterms:modified>
</cp:coreProperties>
</file>