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1, 2008</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w:t>
      </w:r>
    </w:p>
    <w:p>
      <w:pPr>
        <w:jc w:val="center"/>
        <w:ind w:right="-19"/>
        <w:spacing w:after="0"/>
        <w:rPr>
          <w:sz w:val="20"/>
          <w:szCs w:val="20"/>
          <w:color w:val="auto"/>
        </w:rPr>
      </w:pPr>
      <w:r>
        <w:rPr>
          <w:rFonts w:ascii="Arial" w:cs="Arial" w:eastAsia="Arial" w:hAnsi="Arial"/>
          <w:sz w:val="14"/>
          <w:szCs w:val="14"/>
          <w:b w:val="1"/>
          <w:bCs w:val="1"/>
          <w:color w:val="auto"/>
        </w:rPr>
        <w:t>as Specified in Charter)</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Pennsylvania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62" w:lineRule="exact"/>
        <w:rPr>
          <w:sz w:val="24"/>
          <w:szCs w:val="24"/>
          <w:color w:val="auto"/>
        </w:rPr>
      </w:pPr>
    </w:p>
    <w:tbl>
      <w:tblPr>
        <w:tblLayout w:type="fixed"/>
        <w:tblInd w:w="1720" w:type="dxa"/>
        <w:tblCellMar>
          <w:top w:w="0" w:type="dxa"/>
          <w:left w:w="0" w:type="dxa"/>
          <w:bottom w:w="0" w:type="dxa"/>
          <w:right w:w="0" w:type="dxa"/>
        </w:tblCellMar>
      </w:tblPr>
      <w:tr>
        <w:trPr>
          <w:trHeight w:val="258"/>
        </w:trPr>
        <w:tc>
          <w:tcPr>
            <w:tcW w:w="4140" w:type="dxa"/>
            <w:vAlign w:val="bottom"/>
          </w:tcPr>
          <w:p>
            <w:pPr>
              <w:jc w:val="center"/>
              <w:ind w:right="1748"/>
              <w:spacing w:after="0"/>
              <w:rPr>
                <w:sz w:val="20"/>
                <w:szCs w:val="20"/>
                <w:color w:val="auto"/>
              </w:rPr>
            </w:pPr>
            <w:r>
              <w:rPr>
                <w:rFonts w:ascii="Arial" w:cs="Arial" w:eastAsia="Arial" w:hAnsi="Arial"/>
                <w:sz w:val="22"/>
                <w:szCs w:val="22"/>
                <w:b w:val="1"/>
                <w:bCs w:val="1"/>
                <w:color w:val="auto"/>
                <w:w w:val="89"/>
              </w:rPr>
              <w:t>001-32871</w:t>
            </w:r>
          </w:p>
        </w:tc>
        <w:tc>
          <w:tcPr>
            <w:tcW w:w="3800" w:type="dxa"/>
            <w:vAlign w:val="bottom"/>
          </w:tcPr>
          <w:p>
            <w:pPr>
              <w:jc w:val="center"/>
              <w:ind w:left="1752"/>
              <w:spacing w:after="0"/>
              <w:rPr>
                <w:sz w:val="20"/>
                <w:szCs w:val="20"/>
                <w:color w:val="auto"/>
              </w:rPr>
            </w:pPr>
            <w:r>
              <w:rPr>
                <w:rFonts w:ascii="Arial" w:cs="Arial" w:eastAsia="Arial" w:hAnsi="Arial"/>
                <w:sz w:val="22"/>
                <w:szCs w:val="22"/>
                <w:b w:val="1"/>
                <w:bCs w:val="1"/>
                <w:color w:val="auto"/>
                <w:w w:val="88"/>
              </w:rPr>
              <w:t>27-0000798</w:t>
            </w:r>
          </w:p>
        </w:tc>
      </w:tr>
      <w:tr>
        <w:trPr>
          <w:trHeight w:val="174"/>
        </w:trPr>
        <w:tc>
          <w:tcPr>
            <w:tcW w:w="4140" w:type="dxa"/>
            <w:vAlign w:val="bottom"/>
          </w:tcPr>
          <w:p>
            <w:pPr>
              <w:jc w:val="center"/>
              <w:ind w:right="1768"/>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5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19"/>
        </w:trPr>
        <w:tc>
          <w:tcPr>
            <w:tcW w:w="4140" w:type="dxa"/>
            <w:vAlign w:val="bottom"/>
          </w:tcPr>
          <w:p>
            <w:pPr>
              <w:jc w:val="center"/>
              <w:ind w:right="1748"/>
              <w:spacing w:after="0"/>
              <w:rPr>
                <w:sz w:val="20"/>
                <w:szCs w:val="20"/>
                <w:color w:val="auto"/>
              </w:rPr>
            </w:pPr>
            <w:r>
              <w:rPr>
                <w:rFonts w:ascii="Arial" w:cs="Arial" w:eastAsia="Arial" w:hAnsi="Arial"/>
                <w:sz w:val="22"/>
                <w:szCs w:val="22"/>
                <w:b w:val="1"/>
                <w:bCs w:val="1"/>
                <w:color w:val="auto"/>
                <w:w w:val="89"/>
              </w:rPr>
              <w:t>One Comcast Center</w:t>
            </w:r>
          </w:p>
        </w:tc>
        <w:tc>
          <w:tcPr>
            <w:tcW w:w="3800" w:type="dxa"/>
            <w:vAlign w:val="bottom"/>
          </w:tcPr>
          <w:p>
            <w:pPr>
              <w:spacing w:after="0"/>
              <w:rPr>
                <w:sz w:val="24"/>
                <w:szCs w:val="24"/>
                <w:color w:val="auto"/>
              </w:rPr>
            </w:pPr>
          </w:p>
        </w:tc>
      </w:tr>
      <w:tr>
        <w:trPr>
          <w:trHeight w:val="271"/>
        </w:trPr>
        <w:tc>
          <w:tcPr>
            <w:tcW w:w="4140" w:type="dxa"/>
            <w:vAlign w:val="bottom"/>
          </w:tcPr>
          <w:p>
            <w:pPr>
              <w:jc w:val="center"/>
              <w:ind w:right="1748"/>
              <w:spacing w:after="0"/>
              <w:rPr>
                <w:sz w:val="20"/>
                <w:szCs w:val="20"/>
                <w:color w:val="auto"/>
              </w:rPr>
            </w:pPr>
            <w:r>
              <w:rPr>
                <w:rFonts w:ascii="Arial" w:cs="Arial" w:eastAsia="Arial" w:hAnsi="Arial"/>
                <w:sz w:val="22"/>
                <w:szCs w:val="22"/>
                <w:b w:val="1"/>
                <w:bCs w:val="1"/>
                <w:color w:val="auto"/>
                <w:w w:val="89"/>
              </w:rPr>
              <w:t>Philadelphia, PA</w:t>
            </w:r>
          </w:p>
        </w:tc>
        <w:tc>
          <w:tcPr>
            <w:tcW w:w="3800" w:type="dxa"/>
            <w:vAlign w:val="bottom"/>
          </w:tcPr>
          <w:p>
            <w:pPr>
              <w:jc w:val="center"/>
              <w:ind w:left="1752"/>
              <w:spacing w:after="0"/>
              <w:rPr>
                <w:sz w:val="20"/>
                <w:szCs w:val="20"/>
                <w:color w:val="auto"/>
              </w:rPr>
            </w:pPr>
            <w:r>
              <w:rPr>
                <w:rFonts w:ascii="Arial" w:cs="Arial" w:eastAsia="Arial" w:hAnsi="Arial"/>
                <w:sz w:val="22"/>
                <w:szCs w:val="22"/>
                <w:b w:val="1"/>
                <w:bCs w:val="1"/>
                <w:color w:val="auto"/>
                <w:w w:val="88"/>
              </w:rPr>
              <w:t>19103-2838</w:t>
            </w:r>
          </w:p>
        </w:tc>
      </w:tr>
      <w:tr>
        <w:trPr>
          <w:trHeight w:val="174"/>
        </w:trPr>
        <w:tc>
          <w:tcPr>
            <w:tcW w:w="4140" w:type="dxa"/>
            <w:vAlign w:val="bottom"/>
          </w:tcPr>
          <w:p>
            <w:pPr>
              <w:jc w:val="center"/>
              <w:ind w:right="174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72"/>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May 1, 2008, Comcast Corporation (“Comcast”) issued a press release reporting the results of its operations for the three months ended March 31, 2008.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Exhibits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93" w:lineRule="exact"/>
        <w:rPr>
          <w:sz w:val="20"/>
          <w:szCs w:val="20"/>
          <w:color w:val="auto"/>
        </w:rPr>
      </w:pPr>
    </w:p>
    <w:p>
      <w:pPr>
        <w:ind w:left="1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May 1, 2008.</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680" w:type="dxa"/>
            <w:vAlign w:val="bottom"/>
          </w:tcPr>
          <w:p>
            <w:pPr>
              <w:spacing w:after="0"/>
              <w:rPr>
                <w:sz w:val="24"/>
                <w:szCs w:val="24"/>
                <w:color w:val="auto"/>
              </w:rPr>
            </w:pPr>
          </w:p>
        </w:tc>
        <w:tc>
          <w:tcPr>
            <w:tcW w:w="7740" w:type="dxa"/>
            <w:vAlign w:val="bottom"/>
            <w:gridSpan w:val="2"/>
          </w:tcPr>
          <w:p>
            <w:pPr>
              <w:ind w:left="2360"/>
              <w:spacing w:after="0"/>
              <w:rPr>
                <w:sz w:val="20"/>
                <w:szCs w:val="20"/>
                <w:color w:val="auto"/>
              </w:rPr>
            </w:pPr>
            <w:r>
              <w:rPr>
                <w:rFonts w:ascii="Arial" w:cs="Arial" w:eastAsia="Arial" w:hAnsi="Arial"/>
                <w:sz w:val="22"/>
                <w:szCs w:val="22"/>
                <w:b w:val="1"/>
                <w:bCs w:val="1"/>
                <w:color w:val="auto"/>
              </w:rPr>
              <w:t>COMCAST CORPORATION</w:t>
            </w:r>
          </w:p>
        </w:tc>
      </w:tr>
      <w:tr>
        <w:trPr>
          <w:trHeight w:val="421"/>
        </w:trPr>
        <w:tc>
          <w:tcPr>
            <w:tcW w:w="3680" w:type="dxa"/>
            <w:vAlign w:val="bottom"/>
          </w:tcPr>
          <w:p>
            <w:pPr>
              <w:spacing w:after="0"/>
              <w:rPr>
                <w:sz w:val="20"/>
                <w:szCs w:val="20"/>
                <w:color w:val="auto"/>
              </w:rPr>
            </w:pPr>
            <w:r>
              <w:rPr>
                <w:rFonts w:ascii="Arial" w:cs="Arial" w:eastAsia="Arial" w:hAnsi="Arial"/>
                <w:sz w:val="18"/>
                <w:szCs w:val="18"/>
                <w:color w:val="auto"/>
              </w:rPr>
              <w:t>Date: May 1, 2008</w:t>
            </w:r>
          </w:p>
        </w:tc>
        <w:tc>
          <w:tcPr>
            <w:tcW w:w="7740" w:type="dxa"/>
            <w:vAlign w:val="bottom"/>
            <w:gridSpan w:val="2"/>
          </w:tcPr>
          <w:p>
            <w:pPr>
              <w:ind w:left="2360"/>
              <w:spacing w:after="0"/>
              <w:rPr>
                <w:sz w:val="20"/>
                <w:szCs w:val="20"/>
                <w:color w:val="auto"/>
              </w:rPr>
            </w:pPr>
            <w:r>
              <w:rPr>
                <w:rFonts w:ascii="Arial" w:cs="Arial" w:eastAsia="Arial" w:hAnsi="Arial"/>
                <w:sz w:val="18"/>
                <w:szCs w:val="18"/>
                <w:color w:val="auto"/>
              </w:rPr>
              <w:t>By: /s/ Lawrence J. Salva</w:t>
            </w:r>
          </w:p>
        </w:tc>
      </w:tr>
      <w:tr>
        <w:trPr>
          <w:trHeight w:val="202"/>
        </w:trPr>
        <w:tc>
          <w:tcPr>
            <w:tcW w:w="3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Lawrence J. Salva</w:t>
            </w:r>
          </w:p>
        </w:tc>
      </w:tr>
      <w:tr>
        <w:trPr>
          <w:trHeight w:val="216"/>
        </w:trPr>
        <w:tc>
          <w:tcPr>
            <w:tcW w:w="3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 Chief Accounting Officer</w:t>
            </w:r>
          </w:p>
        </w:tc>
      </w:tr>
      <w:tr>
        <w:trPr>
          <w:trHeight w:val="216"/>
        </w:trPr>
        <w:tc>
          <w:tcPr>
            <w:tcW w:w="3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and Controller</w:t>
            </w:r>
          </w:p>
        </w:tc>
      </w:tr>
      <w:tr>
        <w:trPr>
          <w:trHeight w:val="222"/>
        </w:trPr>
        <w:tc>
          <w:tcPr>
            <w:tcW w:w="36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420"/>
          </w:cols>
          <w:pgMar w:left="240" w:top="256"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864"/>
        </w:trPr>
        <w:tc>
          <w:tcPr>
            <w:tcW w:w="228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Investor Contacts:</w:t>
            </w:r>
          </w:p>
        </w:tc>
        <w:tc>
          <w:tcPr>
            <w:tcW w:w="3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rPr>
              <w:t>PRESS RELEASE</w:t>
            </w:r>
          </w:p>
        </w:tc>
        <w:tc>
          <w:tcPr>
            <w:tcW w:w="0" w:type="dxa"/>
            <w:vAlign w:val="bottom"/>
          </w:tcPr>
          <w:p>
            <w:pPr>
              <w:spacing w:after="0"/>
              <w:rPr>
                <w:sz w:val="1"/>
                <w:szCs w:val="1"/>
                <w:color w:val="auto"/>
              </w:rPr>
            </w:pPr>
          </w:p>
        </w:tc>
      </w:tr>
      <w:tr>
        <w:trPr>
          <w:trHeight w:val="218"/>
        </w:trPr>
        <w:tc>
          <w:tcPr>
            <w:tcW w:w="228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2800" w:type="dxa"/>
            <w:vAlign w:val="bottom"/>
            <w:gridSpan w:val="2"/>
          </w:tcPr>
          <w:p>
            <w:pPr>
              <w:ind w:left="1640"/>
              <w:spacing w:after="0"/>
              <w:rPr>
                <w:sz w:val="20"/>
                <w:szCs w:val="20"/>
                <w:color w:val="auto"/>
              </w:rPr>
            </w:pPr>
            <w:r>
              <w:rPr>
                <w:rFonts w:ascii="Arial" w:cs="Arial" w:eastAsia="Arial" w:hAnsi="Arial"/>
                <w:sz w:val="18"/>
                <w:szCs w:val="18"/>
                <w:b w:val="1"/>
                <w:bCs w:val="1"/>
                <w:color w:val="auto"/>
                <w:w w:val="83"/>
              </w:rPr>
              <w:t>Press Contacts:</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vMerge w:val="restart"/>
          </w:tcPr>
          <w:p>
            <w:pPr>
              <w:jc w:val="right"/>
              <w:ind w:right="1532"/>
              <w:spacing w:after="0"/>
              <w:rPr>
                <w:sz w:val="20"/>
                <w:szCs w:val="20"/>
                <w:color w:val="auto"/>
              </w:rPr>
            </w:pPr>
            <w:r>
              <w:rPr>
                <w:rFonts w:ascii="Arial" w:cs="Arial" w:eastAsia="Arial" w:hAnsi="Arial"/>
                <w:sz w:val="18"/>
                <w:szCs w:val="18"/>
                <w:color w:val="auto"/>
              </w:rPr>
              <w:t>(215) 286-7392</w:t>
            </w:r>
          </w:p>
        </w:tc>
        <w:tc>
          <w:tcPr>
            <w:tcW w:w="2800" w:type="dxa"/>
            <w:vAlign w:val="bottom"/>
            <w:gridSpan w:val="2"/>
            <w:vMerge w:val="restart"/>
          </w:tcPr>
          <w:p>
            <w:pPr>
              <w:ind w:left="1640"/>
              <w:spacing w:after="0"/>
              <w:rPr>
                <w:sz w:val="20"/>
                <w:szCs w:val="20"/>
                <w:color w:val="auto"/>
              </w:rPr>
            </w:pPr>
            <w:r>
              <w:rPr>
                <w:rFonts w:ascii="Arial" w:cs="Arial" w:eastAsia="Arial" w:hAnsi="Arial"/>
                <w:sz w:val="18"/>
                <w:szCs w:val="18"/>
                <w:color w:val="auto"/>
                <w:w w:val="94"/>
              </w:rPr>
              <w:t>D’Arcy Rudnay</w:t>
            </w:r>
          </w:p>
        </w:tc>
        <w:tc>
          <w:tcPr>
            <w:tcW w:w="3260" w:type="dxa"/>
            <w:vAlign w:val="bottom"/>
            <w:vMerge w:val="restart"/>
          </w:tcPr>
          <w:p>
            <w:pPr>
              <w:jc w:val="right"/>
              <w:ind w:right="632"/>
              <w:spacing w:after="0"/>
              <w:rPr>
                <w:sz w:val="20"/>
                <w:szCs w:val="20"/>
                <w:color w:val="auto"/>
              </w:rPr>
            </w:pPr>
            <w:r>
              <w:rPr>
                <w:rFonts w:ascii="Arial" w:cs="Arial" w:eastAsia="Arial" w:hAnsi="Arial"/>
                <w:sz w:val="18"/>
                <w:szCs w:val="18"/>
                <w:color w:val="auto"/>
              </w:rPr>
              <w:t>(215) 286-8582</w:t>
            </w:r>
          </w:p>
        </w:tc>
        <w:tc>
          <w:tcPr>
            <w:tcW w:w="0" w:type="dxa"/>
            <w:vAlign w:val="bottom"/>
          </w:tcPr>
          <w:p>
            <w:pPr>
              <w:spacing w:after="0" w:line="20" w:lineRule="exact"/>
              <w:rPr>
                <w:sz w:val="1"/>
                <w:szCs w:val="1"/>
                <w:color w:val="auto"/>
              </w:rPr>
            </w:pPr>
          </w:p>
        </w:tc>
      </w:tr>
      <w:tr>
        <w:trPr>
          <w:trHeight w:val="188"/>
        </w:trPr>
        <w:tc>
          <w:tcPr>
            <w:tcW w:w="1900" w:type="dxa"/>
            <w:vAlign w:val="bottom"/>
          </w:tcPr>
          <w:p>
            <w:pPr>
              <w:spacing w:after="0" w:line="189" w:lineRule="exact"/>
              <w:rPr>
                <w:sz w:val="20"/>
                <w:szCs w:val="20"/>
                <w:color w:val="auto"/>
              </w:rPr>
            </w:pPr>
            <w:r>
              <w:rPr>
                <w:rFonts w:ascii="Arial" w:cs="Arial" w:eastAsia="Arial" w:hAnsi="Arial"/>
                <w:sz w:val="18"/>
                <w:szCs w:val="18"/>
                <w:color w:val="auto"/>
              </w:rPr>
              <w:t>Marlene S. Dooner</w:t>
            </w:r>
          </w:p>
        </w:tc>
        <w:tc>
          <w:tcPr>
            <w:tcW w:w="38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Daniel J. Goodwin</w:t>
            </w:r>
          </w:p>
        </w:tc>
        <w:tc>
          <w:tcPr>
            <w:tcW w:w="3080" w:type="dxa"/>
            <w:vAlign w:val="bottom"/>
          </w:tcPr>
          <w:p>
            <w:pPr>
              <w:jc w:val="right"/>
              <w:ind w:right="1532"/>
              <w:spacing w:after="0"/>
              <w:rPr>
                <w:sz w:val="20"/>
                <w:szCs w:val="20"/>
                <w:color w:val="auto"/>
              </w:rPr>
            </w:pPr>
            <w:r>
              <w:rPr>
                <w:rFonts w:ascii="Arial" w:cs="Arial" w:eastAsia="Arial" w:hAnsi="Arial"/>
                <w:sz w:val="18"/>
                <w:szCs w:val="18"/>
                <w:color w:val="auto"/>
              </w:rPr>
              <w:t>(215) 286-7518</w:t>
            </w:r>
          </w:p>
        </w:tc>
        <w:tc>
          <w:tcPr>
            <w:tcW w:w="2800" w:type="dxa"/>
            <w:vAlign w:val="bottom"/>
            <w:gridSpan w:val="2"/>
          </w:tcPr>
          <w:p>
            <w:pPr>
              <w:ind w:left="1640"/>
              <w:spacing w:after="0"/>
              <w:rPr>
                <w:sz w:val="20"/>
                <w:szCs w:val="20"/>
                <w:color w:val="auto"/>
              </w:rPr>
            </w:pPr>
            <w:r>
              <w:rPr>
                <w:rFonts w:ascii="Arial" w:cs="Arial" w:eastAsia="Arial" w:hAnsi="Arial"/>
                <w:sz w:val="18"/>
                <w:szCs w:val="18"/>
                <w:color w:val="auto"/>
                <w:w w:val="94"/>
              </w:rPr>
              <w:t>John Demming</w:t>
            </w:r>
          </w:p>
        </w:tc>
        <w:tc>
          <w:tcPr>
            <w:tcW w:w="3260" w:type="dxa"/>
            <w:vAlign w:val="bottom"/>
          </w:tcPr>
          <w:p>
            <w:pPr>
              <w:jc w:val="right"/>
              <w:ind w:right="652"/>
              <w:spacing w:after="0"/>
              <w:rPr>
                <w:sz w:val="20"/>
                <w:szCs w:val="20"/>
                <w:color w:val="auto"/>
              </w:rPr>
            </w:pPr>
            <w:r>
              <w:rPr>
                <w:rFonts w:ascii="Arial" w:cs="Arial" w:eastAsia="Arial" w:hAnsi="Arial"/>
                <w:sz w:val="18"/>
                <w:szCs w:val="18"/>
                <w:color w:val="auto"/>
              </w:rPr>
              <w:t>(215) 286-8011</w:t>
            </w:r>
          </w:p>
        </w:tc>
        <w:tc>
          <w:tcPr>
            <w:tcW w:w="0" w:type="dxa"/>
            <w:vAlign w:val="bottom"/>
          </w:tcPr>
          <w:p>
            <w:pPr>
              <w:spacing w:after="0"/>
              <w:rPr>
                <w:sz w:val="1"/>
                <w:szCs w:val="1"/>
                <w:color w:val="auto"/>
              </w:rPr>
            </w:pP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Michael A. Kelman</w:t>
            </w:r>
          </w:p>
        </w:tc>
        <w:tc>
          <w:tcPr>
            <w:tcW w:w="3080" w:type="dxa"/>
            <w:vAlign w:val="bottom"/>
          </w:tcPr>
          <w:p>
            <w:pPr>
              <w:jc w:val="right"/>
              <w:ind w:right="1532"/>
              <w:spacing w:after="0"/>
              <w:rPr>
                <w:sz w:val="20"/>
                <w:szCs w:val="20"/>
                <w:color w:val="auto"/>
              </w:rPr>
            </w:pPr>
            <w:r>
              <w:rPr>
                <w:rFonts w:ascii="Arial" w:cs="Arial" w:eastAsia="Arial" w:hAnsi="Arial"/>
                <w:sz w:val="18"/>
                <w:szCs w:val="18"/>
                <w:color w:val="auto"/>
              </w:rPr>
              <w:t>(215) 286-3035</w:t>
            </w: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-993140</wp:posOffset>
            </wp:positionV>
            <wp:extent cx="1483360"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3360" cy="420370"/>
                    </a:xfrm>
                    <a:prstGeom prst="rect">
                      <a:avLst/>
                    </a:prstGeom>
                    <a:noFill/>
                  </pic:spPr>
                </pic:pic>
              </a:graphicData>
            </a:graphic>
          </wp:anchor>
        </w:drawing>
      </w:r>
    </w:p>
    <w:p>
      <w:pPr>
        <w:spacing w:after="0" w:line="198"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COMCAST REPORTS FIRST QUARTER 2008 RESULTS</w:t>
      </w:r>
    </w:p>
    <w:p>
      <w:pPr>
        <w:spacing w:after="0" w:line="147"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Consolidated Revenue Increased 14%; Pro Forma Growth of 10%</w:t>
      </w:r>
    </w:p>
    <w:p>
      <w:pPr>
        <w:spacing w:after="0" w:line="152" w:lineRule="exact"/>
        <w:rPr>
          <w:sz w:val="20"/>
          <w:szCs w:val="20"/>
          <w:color w:val="auto"/>
        </w:rPr>
      </w:pPr>
    </w:p>
    <w:p>
      <w:pPr>
        <w:ind w:left="2240"/>
        <w:spacing w:after="0"/>
        <w:rPr>
          <w:sz w:val="20"/>
          <w:szCs w:val="20"/>
          <w:color w:val="auto"/>
        </w:rPr>
      </w:pPr>
      <w:r>
        <w:rPr>
          <w:rFonts w:ascii="Arial" w:cs="Arial" w:eastAsia="Arial" w:hAnsi="Arial"/>
          <w:sz w:val="22"/>
          <w:szCs w:val="22"/>
          <w:b w:val="1"/>
          <w:bCs w:val="1"/>
          <w:color w:val="auto"/>
        </w:rPr>
        <w:t>Comcast High-Speed Internet and Customer Digital Voice Additions</w:t>
      </w:r>
    </w:p>
    <w:p>
      <w:pPr>
        <w:spacing w:after="0" w:line="152"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Drive Strong Unit Growth</w:t>
      </w:r>
    </w:p>
    <w:p>
      <w:pPr>
        <w:spacing w:after="0" w:line="152"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Consolidated Operating Cash Flow Increased 15%; Pro Forma Growth of 12%</w:t>
      </w:r>
    </w:p>
    <w:p>
      <w:pPr>
        <w:spacing w:after="0" w:line="152"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Consolidated Operating Income Increased 23%</w:t>
      </w:r>
    </w:p>
    <w:p>
      <w:pPr>
        <w:spacing w:after="0" w:line="152"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EPS of $0.24; Adjusted EPS of $0.19 Increased 12%</w:t>
      </w:r>
    </w:p>
    <w:p>
      <w:pPr>
        <w:spacing w:after="0" w:line="152"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Repurchased $1.0 Billion or 53 Million of Its Common Shares;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Paid $185 Million Dividend to Shareholders on April 30</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Philadelphia, PA – May 1, 2008…Comcast Corporation (NASDAQ: CMCSA, CMCSK) today reported results for the quarter ended March 31, 2008. The following table highlights financial results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1st Quarter</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Consolidated</w:t>
            </w:r>
          </w:p>
        </w:tc>
        <w:tc>
          <w:tcPr>
            <w:tcW w:w="70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9"/>
              </w:rPr>
              <w:t>2008</w:t>
            </w:r>
          </w:p>
        </w:tc>
        <w:tc>
          <w:tcPr>
            <w:tcW w:w="70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w w:val="89"/>
              </w:rPr>
              <w:t>Growth</w:t>
            </w:r>
          </w:p>
        </w:tc>
        <w:tc>
          <w:tcPr>
            <w:tcW w:w="0" w:type="dxa"/>
            <w:vAlign w:val="bottom"/>
          </w:tcPr>
          <w:p>
            <w:pPr>
              <w:spacing w:after="0"/>
              <w:rPr>
                <w:sz w:val="1"/>
                <w:szCs w:val="1"/>
                <w:color w:val="auto"/>
              </w:rPr>
            </w:pPr>
          </w:p>
        </w:tc>
      </w:tr>
      <w:tr>
        <w:trPr>
          <w:trHeight w:val="201"/>
        </w:trPr>
        <w:tc>
          <w:tcPr>
            <w:tcW w:w="9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$8,389</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7"/>
              </w:rPr>
              <w:t>$7,388</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Operating Cash Flow</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$3,174</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7"/>
              </w:rPr>
              <w:t>$2,763</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Operating Income</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$1,555</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7"/>
              </w:rPr>
              <w:t>$1,261</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$732</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9"/>
              </w:rPr>
              <w:t>$837</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Earnings per Share</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8"/>
              </w:rPr>
              <w:t>$0.24</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8"/>
              </w:rPr>
              <w:t>$0.26</w:t>
            </w:r>
          </w:p>
        </w:tc>
        <w:tc>
          <w:tcPr>
            <w:tcW w:w="2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(8%)</w:t>
            </w:r>
          </w:p>
        </w:tc>
        <w:tc>
          <w:tcPr>
            <w:tcW w:w="0" w:type="dxa"/>
            <w:vAlign w:val="bottom"/>
          </w:tcPr>
          <w:p>
            <w:pPr>
              <w:spacing w:after="0"/>
              <w:rPr>
                <w:sz w:val="1"/>
                <w:szCs w:val="1"/>
                <w:color w:val="auto"/>
              </w:rPr>
            </w:pPr>
          </w:p>
        </w:tc>
      </w:tr>
      <w:tr>
        <w:trPr>
          <w:trHeight w:val="365"/>
        </w:trPr>
        <w:tc>
          <w:tcPr>
            <w:tcW w:w="9340" w:type="dxa"/>
            <w:vAlign w:val="bottom"/>
          </w:tcPr>
          <w:p>
            <w:pPr>
              <w:spacing w:after="0"/>
              <w:rPr>
                <w:sz w:val="20"/>
                <w:szCs w:val="20"/>
                <w:color w:val="auto"/>
              </w:rPr>
            </w:pPr>
            <w:r>
              <w:rPr>
                <w:rFonts w:ascii="Arial" w:cs="Arial" w:eastAsia="Arial" w:hAnsi="Arial"/>
                <w:sz w:val="18"/>
                <w:szCs w:val="18"/>
                <w:color w:val="auto"/>
              </w:rPr>
              <w:t>Free Cash Flow</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$702</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9"/>
              </w:rPr>
              <w:t>$442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59%</w:t>
            </w:r>
          </w:p>
        </w:tc>
        <w:tc>
          <w:tcPr>
            <w:tcW w:w="0" w:type="dxa"/>
            <w:vAlign w:val="bottom"/>
          </w:tcPr>
          <w:p>
            <w:pPr>
              <w:spacing w:after="0"/>
              <w:rPr>
                <w:sz w:val="1"/>
                <w:szCs w:val="1"/>
                <w:color w:val="auto"/>
              </w:rPr>
            </w:pPr>
          </w:p>
        </w:tc>
      </w:tr>
      <w:tr>
        <w:trPr>
          <w:trHeight w:val="358"/>
        </w:trPr>
        <w:tc>
          <w:tcPr>
            <w:tcW w:w="934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22"/>
                <w:szCs w:val="22"/>
                <w:color w:val="auto"/>
                <w:vertAlign w:val="superscript"/>
              </w:rPr>
              <w:t>1</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9"/>
              </w:rPr>
              <w:t>$588</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9"/>
              </w:rPr>
              <w:t>$537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99"/>
        </w:trPr>
        <w:tc>
          <w:tcPr>
            <w:tcW w:w="9340" w:type="dxa"/>
            <w:vAlign w:val="bottom"/>
          </w:tcPr>
          <w:p>
            <w:pPr>
              <w:spacing w:after="0"/>
              <w:rPr>
                <w:sz w:val="20"/>
                <w:szCs w:val="20"/>
                <w:color w:val="auto"/>
              </w:rPr>
            </w:pPr>
            <w:r>
              <w:rPr>
                <w:rFonts w:ascii="Arial" w:cs="Arial" w:eastAsia="Arial" w:hAnsi="Arial"/>
                <w:sz w:val="18"/>
                <w:szCs w:val="18"/>
                <w:color w:val="auto"/>
              </w:rPr>
              <w:t>Adjusted Earnings per Share</w:t>
            </w:r>
            <w:r>
              <w:rPr>
                <w:rFonts w:ascii="Arial" w:cs="Arial" w:eastAsia="Arial" w:hAnsi="Arial"/>
                <w:sz w:val="22"/>
                <w:szCs w:val="22"/>
                <w:color w:val="auto"/>
                <w:vertAlign w:val="superscript"/>
              </w:rPr>
              <w:t>1</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8"/>
              </w:rPr>
              <w:t>$0.19</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8"/>
              </w:rPr>
              <w:t>$0.17</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82"/>
        </w:trPr>
        <w:tc>
          <w:tcPr>
            <w:tcW w:w="9340" w:type="dxa"/>
            <w:vAlign w:val="bottom"/>
          </w:tcPr>
          <w:p>
            <w:pPr>
              <w:spacing w:after="0"/>
              <w:rPr>
                <w:sz w:val="20"/>
                <w:szCs w:val="20"/>
                <w:color w:val="auto"/>
              </w:rPr>
            </w:pPr>
            <w:r>
              <w:rPr>
                <w:rFonts w:ascii="Arial" w:cs="Arial" w:eastAsia="Arial" w:hAnsi="Arial"/>
                <w:sz w:val="18"/>
                <w:szCs w:val="18"/>
                <w:color w:val="auto"/>
              </w:rPr>
              <w:t>Pro Forma Revenue</w:t>
            </w:r>
            <w:r>
              <w:rPr>
                <w:rFonts w:ascii="Arial" w:cs="Arial" w:eastAsia="Arial" w:hAnsi="Arial"/>
                <w:sz w:val="22"/>
                <w:szCs w:val="22"/>
                <w:color w:val="auto"/>
                <w:vertAlign w:val="superscript"/>
              </w:rPr>
              <w:t>2</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$8,389</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7"/>
              </w:rPr>
              <w:t>$7,602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66"/>
        </w:trPr>
        <w:tc>
          <w:tcPr>
            <w:tcW w:w="9340" w:type="dxa"/>
            <w:vAlign w:val="bottom"/>
          </w:tcPr>
          <w:p>
            <w:pPr>
              <w:spacing w:after="0"/>
              <w:rPr>
                <w:sz w:val="20"/>
                <w:szCs w:val="20"/>
                <w:color w:val="auto"/>
              </w:rPr>
            </w:pPr>
            <w:r>
              <w:rPr>
                <w:rFonts w:ascii="Arial" w:cs="Arial" w:eastAsia="Arial" w:hAnsi="Arial"/>
                <w:sz w:val="18"/>
                <w:szCs w:val="18"/>
                <w:color w:val="auto"/>
              </w:rPr>
              <w:t>Pro Forma Operating Cash Flow</w:t>
            </w:r>
            <w:r>
              <w:rPr>
                <w:rFonts w:ascii="Arial" w:cs="Arial" w:eastAsia="Arial" w:hAnsi="Arial"/>
                <w:sz w:val="22"/>
                <w:szCs w:val="22"/>
                <w:color w:val="auto"/>
                <w:vertAlign w:val="superscript"/>
              </w:rPr>
              <w:t>2</w:t>
            </w:r>
          </w:p>
        </w:tc>
        <w:tc>
          <w:tcPr>
            <w:tcW w:w="700" w:type="dxa"/>
            <w:vAlign w:val="bottom"/>
            <w:gridSpan w:val="2"/>
          </w:tcPr>
          <w:p>
            <w:pPr>
              <w:jc w:val="center"/>
              <w:ind w:left="134"/>
              <w:spacing w:after="0"/>
              <w:rPr>
                <w:sz w:val="20"/>
                <w:szCs w:val="20"/>
                <w:color w:val="auto"/>
              </w:rPr>
            </w:pPr>
            <w:r>
              <w:rPr>
                <w:rFonts w:ascii="Arial" w:cs="Arial" w:eastAsia="Arial" w:hAnsi="Arial"/>
                <w:sz w:val="18"/>
                <w:szCs w:val="18"/>
                <w:color w:val="auto"/>
                <w:w w:val="87"/>
              </w:rPr>
              <w:t>$3,174</w:t>
            </w:r>
          </w:p>
        </w:tc>
        <w:tc>
          <w:tcPr>
            <w:tcW w:w="700" w:type="dxa"/>
            <w:vAlign w:val="bottom"/>
            <w:gridSpan w:val="2"/>
          </w:tcPr>
          <w:p>
            <w:pPr>
              <w:jc w:val="center"/>
              <w:ind w:left="136"/>
              <w:spacing w:after="0"/>
              <w:rPr>
                <w:sz w:val="20"/>
                <w:szCs w:val="20"/>
                <w:color w:val="auto"/>
              </w:rPr>
            </w:pPr>
            <w:r>
              <w:rPr>
                <w:rFonts w:ascii="Arial" w:cs="Arial" w:eastAsia="Arial" w:hAnsi="Arial"/>
                <w:sz w:val="18"/>
                <w:szCs w:val="18"/>
                <w:color w:val="auto"/>
                <w:w w:val="87"/>
              </w:rPr>
              <w:t>$2,845</w:t>
            </w:r>
          </w:p>
        </w:tc>
        <w:tc>
          <w:tcPr>
            <w:tcW w:w="22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See notes on page 4</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Brian L. Roberts, Chairman and CEO of Comcast Corporation, said, “Our results for the first quarter mark a solid start to 2008. We delivered healthy growth in revenues, operating cash flow, free cash flow, adjusted EPS and strong unit additions. Our performance demonstrates that our operating strategy is working in an economic and competitive environment that continues to be challenging. We are confident that our outlook for 2008 is achievable and we are on track to deliver on our goal of consistent and profitable growth that builds long term shareholder value. In addition, we invested $1 billion to repurchase nearly 2% of our shares outstanding in the first quarter of 2008, and, on April 30, we made our first payment on our recently announced quarterly dividend to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14% in the first quarter of 2008 to $8.4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(as defined in Table 7) increased 15% to $3.2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23% to $1.6 billion.</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growth was due to strong operating results at Comcast Cable and in our Programming segment as well as the positive impact of cable acquisitions.</w:t>
      </w:r>
    </w:p>
    <w:p>
      <w:pPr>
        <w:spacing w:after="0" w:line="22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On a pro forma basis</w:t>
      </w:r>
      <w:r>
        <w:rPr>
          <w:rFonts w:ascii="Arial" w:cs="Arial" w:eastAsia="Arial" w:hAnsi="Arial"/>
          <w:sz w:val="22"/>
          <w:szCs w:val="22"/>
          <w:color w:val="auto"/>
          <w:vertAlign w:val="superscript"/>
        </w:rPr>
        <w:t>2</w:t>
      </w:r>
      <w:r>
        <w:rPr>
          <w:rFonts w:ascii="Arial" w:cs="Arial" w:eastAsia="Arial" w:hAnsi="Arial"/>
          <w:sz w:val="18"/>
          <w:szCs w:val="18"/>
          <w:color w:val="auto"/>
        </w:rPr>
        <w:t>, Consolidated Revenue increased 10% to $8.4 billion in the first quarter of 2008 while Consolidated Operating Cash Flow increased 12% to $3.2 billion.</w:t>
      </w:r>
    </w:p>
    <w:p>
      <w:pPr>
        <w:spacing w:after="0" w:line="18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in the first quarter of 2008 was $732 million, or $0.24 per share compared to $837 million or $0.26 per share in the prior year. Net income in 2008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2007 includes gains from the dissolution of cable partnerships. Excluding these one-time gains in both periods and as reconciled in Table 7-B, Adjusted Net Income for the first quarter of 2008 increased to $588 million, or $0.19 per share, compared to $537 million or $0.17 per share in the first quarter of 2007.</w:t>
      </w:r>
    </w:p>
    <w:p>
      <w:pPr>
        <w:spacing w:after="0" w:line="10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increased to $2.3 billion for the three months ended March 31, 2008 from $2.0 billion in 2007 due primarily to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results.</w:t>
      </w:r>
    </w:p>
    <w:p>
      <w:pPr>
        <w:spacing w:after="0" w:line="13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 xml:space="preserve">Free Cash Flow </w:t>
      </w:r>
      <w:r>
        <w:rPr>
          <w:rFonts w:ascii="Arial" w:cs="Arial" w:eastAsia="Arial" w:hAnsi="Arial"/>
          <w:sz w:val="16"/>
          <w:szCs w:val="16"/>
          <w:color w:val="auto"/>
        </w:rPr>
        <w:t>(described further on Table 4) totaled $702 million in the first quarter of 2008 as compared to $442 million in 2007. The increase in Free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Flow is due primarily to growth in consolidated Operating Cash Flow along with relatively unchanged capital expenditures at Comcast Cable totaling $1.4 billion.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 Forma Cable Segment Results</w:t>
      </w:r>
      <w:r>
        <w:rPr>
          <w:rFonts w:ascii="Arial" w:cs="Arial" w:eastAsia="Arial" w:hAnsi="Arial"/>
          <w:sz w:val="22"/>
          <w:szCs w:val="22"/>
          <w:b w:val="1"/>
          <w:bCs w:val="1"/>
          <w:u w:val="single" w:color="auto"/>
          <w:color w:val="auto"/>
          <w:vertAlign w:val="superscript"/>
        </w:rPr>
        <w:t>3</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10% to $7.9 billion for the first quarter of 2008 as compared to $7.2 billion in the first quarter of 2007. The increase in first quarter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reflects price increases for our video services as well as solid unit growth for Comcast High-Speed Internet, Comcast Digital Voice and Comcast Digital Cable with advanced services, offset by modestly lower average revenue per unit on several products due to an increase in customers receiving service as part of a promotional offer or in a new product package.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(as defined in Table 7) grew 9% to $3.1 billion in the first quarter of 2008 from $2.9 billion in the first quarter of 2007. Operating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 margin was 39.7%, a slight decrease from the 39.9% reported in the first quarter of 2007, reflecting an increase in marketing expenses as well as increased costs as Comcast scales its Business Class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Basic video subscribers declined 57,000 or 0.2% during the first quarter</w:t>
      </w:r>
    </w:p>
    <w:p>
      <w:pPr>
        <w:spacing w:after="0" w:line="63" w:lineRule="exact"/>
        <w:rPr>
          <w:rFonts w:ascii="Arial" w:cs="Arial" w:eastAsia="Arial" w:hAnsi="Arial"/>
          <w:sz w:val="18"/>
          <w:szCs w:val="18"/>
          <w:i w:val="1"/>
          <w:iCs w:val="1"/>
          <w:color w:val="auto"/>
        </w:rPr>
      </w:pPr>
    </w:p>
    <w:p>
      <w:pPr>
        <w:ind w:left="460" w:hanging="452"/>
        <w:spacing w:after="0" w:line="252"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Added 494,000 digital cable subscribers during the first quarter – 65% or 16.0 million video subscribers have digital service compared to 55% or 13.7 million one year ago</w:t>
      </w:r>
    </w:p>
    <w:p>
      <w:pPr>
        <w:spacing w:after="0" w:line="51"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6.9 million or 43% of digital cable subscribers have advanced services such as digital video recorders (DVR) and/or high-definition television service (HDTV) compared to 5.2 million or 38% one year ago</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Video revenue increased 5% to $4.7 billion in the first quarter of 2008 from $4.5 billion in 2007. The revenue increase reflects price increases for basic and digital video services, growth in digital video customers, and increased demand for digital features including ON DEMAND, DVR and HDTV, offset in part by an increasing number of customers in promotional offers.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added 494,000 digital cable customers in the first quarter of 2008 including 310,000 full digital cable and 184,000 digital starter subscribers. During the quarter, 450,000 digital cable customers added advanced services, like DVR and HDTV, to their digital service either by upgrading or as new customers. As of March 31, 2008, 43% or 6.9 million of our digital cable customers receive advanced services, 33% or 5.3 million receive full digital cable, and 24% or 3.8 million are digital starter subscribers.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Added 492,000 high-speed Internet subscribers during the first quarter – penetration reached 28% or 14.1 million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High-speed Internet revenue increased 12% to $1.8 billion in the first quarter of 2008 from $1.6 billion in 2007. The revenue growth reflects a 1.6 million or 13% increase in subscribers from the prior year offset by a 2% decline in average monthly revenue per subscriber to $42.18. The strong subscriber and revenue growth in the first quarter of 2008 benefited from the introduction of additional promotional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246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See notes on page 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speed tiers, including Comcast’s BLAST and Performance Plus services (8Mbps or higher service) and Comcast’s Economy Internet service (768Kbps service).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Phone</w:t>
      </w:r>
    </w:p>
    <w:p>
      <w:pPr>
        <w:spacing w:after="0" w:line="8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Added 639,000 Comcast Digital Voice (CDV) customers during the first quarter - penetration reached 12% or 5.1 million customers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Phone revenue increased 65% to $587 million in the first quarter of 2008 from $356 million in 2007. Reflecting the addition of 2.6 million CDV subscribers in the last twelve months, revenue from CDV service more than doubled to $573 million in the first quarter of 2008 compared to the same period of the prior year. Circuit-switched phone revenue declined $69 million to $14 million in the first quarter of 2008. Comcast has 66,000 circuit-switched customers, and expects to wind down that business by mid-year 2008.</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revenue increased 6% to $344 million in the first quarter of 2008 from $322 million in 2007, due primarily to one additional week in the broadcast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calendar and an increase in political advertising including revenue from the U.S. presidential primary elections. Excluding the positive impact from the extra broadcast week and political advertising, advertising revenues decreased 5% from a year ago, reflecting softness in the advertising marketplace, particularly in auto and housing-related categories.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Programming Segment Results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Comcast’s Programming segment consists of our national programming networks E! Entertainment Television and Style Network (E! Networks), The Golf Channel, VERSUS, and G4.</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Programming segment reported first quarter 2008 revenue of $363 million, a 20% increase from the $302 million in 2007 reflecting one additional week in the broadcast advertising calendar, higher viewership as well as higher advertising and distribution revenue. Operating Cash Flow increased to $113 million or 76%, from the $65 million in 2007 due to the strong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Other</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Corporate and Other includes corporate overhead, Comcast Spectacor, Comcast Interactive Media (CIM), and other operations and eliminations between Comcast's businesses. For the first quarter of 2008, Corporate and Other revenue increased to $110 million from $88 million in the first quarter of 2007 primarily due to the strong performance at CIM from internet advertising and search revenue and the inclusion of Fandango. The Operating Cash Flow loss for the first quarter of 2008 decreased to $81 million compared to a loss of $96 million for the same period in 2007.</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Share Repurchases and Dividends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first quarter of 2008, Comcast repurchased 53.1 million of its common shares for $1.0 billion, reducing the number of total shares outstanding by nearly 2%. In the twelve months leading up to March 31, 2008, Comcast repurchased 5% of its shares outstanding. As of March 31, 2008, Comcast had approximately $5.9 billion of availability remaining under its share repurchase authorization, which it intends to fully utilize by the end of 2009.</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the repurchase program in December 2003, Comcast has invested $11.5 billion in its common stock and related securities, reducing the number of shares outstanding by 16%. These investments include repurchasing $10.1 billion or 489.4 million shares of its common stock and paying $1.4 billion to redeem several debt issues exchangeable into 70.9 million shares of Comcast common stock.</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14, 2008, Comcast’s Board of Directors declared a $0.0625 quarterly cash dividend on Comcast common stock. The quarterly dividend totaling $185 million was paid on April 30,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2008 Financial Outlook</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2008, Comcast reaffirms the following previously issued guidance:</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Revenue and Operating Cash Flow growth of 8% to 10%</w:t>
      </w:r>
      <w:r>
        <w:rPr>
          <w:rFonts w:ascii="Arial" w:cs="Arial" w:eastAsia="Arial" w:hAnsi="Arial"/>
          <w:sz w:val="22"/>
          <w:szCs w:val="22"/>
          <w:color w:val="auto"/>
          <w:vertAlign w:val="superscript"/>
        </w:rPr>
        <w:t>2</w:t>
      </w:r>
    </w:p>
    <w:p>
      <w:pPr>
        <w:spacing w:after="0" w:line="4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Capital Expenditures as a percent of revenue expected to decline to approximately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2466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See notes on page 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Free Cash Flow growth of at least 20% from the $2.3 billion reported in 2007</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outlook above does not reflect the impact of any tax law changes including the U.S. Government economic stimulus package or any future sales or acquisitions of businesses or operating assets (or related tax effects).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w:t>
      </w:r>
    </w:p>
    <w:p>
      <w:pPr>
        <w:spacing w:after="0" w:line="87" w:lineRule="exact"/>
        <w:rPr>
          <w:sz w:val="20"/>
          <w:szCs w:val="20"/>
          <w:color w:val="auto"/>
        </w:rPr>
      </w:pPr>
    </w:p>
    <w:p>
      <w:pPr>
        <w:jc w:val="both"/>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and earnings per share are adjusted for one-time gains, net of tax, related to the dissolution of the Texas/Kansas City Cable Partnership in 2007 and the dissolution of the Insight Midwest Partnership in 2008. Please refer to Table 7-B for a reconciliation of adjusted net income and earnings per share. Earnings per share amounts are presented on a diluted basis.</w:t>
      </w:r>
    </w:p>
    <w:p>
      <w:pPr>
        <w:spacing w:after="0" w:line="59" w:lineRule="exact"/>
        <w:rPr>
          <w:sz w:val="20"/>
          <w:szCs w:val="20"/>
          <w:color w:val="auto"/>
        </w:rPr>
      </w:pPr>
    </w:p>
    <w:p>
      <w:pPr>
        <w:jc w:val="both"/>
        <w:ind w:left="460" w:hanging="452"/>
        <w:spacing w:after="0" w:line="323"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Consolidated pro forma results adjust only for certain acquisitions and dispositions, including the acquisitions of Comcast SportsNet Bay Area/Comcast SportsNet New England (June 2007), the cable system acquired from Patriot Media (August 2007), and the dissolution of the Insight Midwest Partnership (January 2008). Consolidated pro forma results are presented as if the transactions noted above were effective on January 1, 2007. The net impact of these transactions was to increase the number of basic cable subscribers by 765,000. Please refer to Table 7-A for a reconciliation of pro forma financial data.</w:t>
      </w:r>
    </w:p>
    <w:p>
      <w:pPr>
        <w:spacing w:after="0" w:line="1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Cable results are presented on a pro forma basis as described in note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Comcast Corporation will host a conference call with the financial community today, May 1, 2008 at 8:30 a.m. Eastern Time (ET). The conference call will be broadcast live on Comcast’s Investor Relations website at www.cmcsa.com or www.cmcsk.com. A recording of the call will be available on the Investor Relations website starting at 12:30 p.m. ET on May 1, 2008. Those parties interested in participating via telephone should dial (800) 263-8495 with the conference ID number 39992756. A telephone replay will begin immediately following the call until Friday, May 2, 2008 at midnight ET. To access the rebroadcast, please dial (800) 642-1687 and enter passcode number 39992756. To automatically receive Comcast financial news by email, please visit www.cmcsa.com or www.cmcsk.com and subscribe to email alerts.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provided in Table 7 of this release. All percentages are calculated based on actual amounts. Minor differences may exist due to rounding.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8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Comcast Corporation (Nasdaq: CMCSA, CMCSK) (http://www.comcast.com) is the nation's leading provider of entertainment, information and communications products and services. With 24.7 million cable customers, 14.1 million high-speed Internet customers, and 5.2 million voice customers, Comcast is principally involved in the development, management and operation of broadband cable systems and in the delivery of programming content.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Comcast's content networks and investments include E! Entertainment Television, Style Network, The Golf Channel, VERSUS, G4, PBS KIDS Sprout, TV One, ten Comcast SportsNet networks and Comcast Interactive Media, which develops and operates Comcast's Internet business. Comcast also has a majority ownership in Comcast-Spectacor, whose major holdings include the Philadelphia Flyers NHL hockey team, the Philadelphia 76ers NBA basketball team and two large multipurpose arenas in Philadelphia.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183515</wp:posOffset>
            </wp:positionV>
            <wp:extent cx="1483360"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83360" cy="420370"/>
                    </a:xfrm>
                    <a:prstGeom prst="rect">
                      <a:avLst/>
                    </a:prstGeom>
                    <a:noFill/>
                  </pic:spPr>
                </pic:pic>
              </a:graphicData>
            </a:graphic>
          </wp:anchor>
        </w:drawing>
        <w:t>TABLE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420"/>
          </w:cols>
          <w:pgMar w:left="240" w:top="1066"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Operating expenses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expense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Investment income (loss), net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in net (losses) income of affiliates,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taxes and minority interest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minority interest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Three Months Ended</w:t>
      </w:r>
    </w:p>
    <w:p>
      <w:pPr>
        <w:jc w:val="center"/>
        <w:ind w:left="-139"/>
        <w:spacing w:after="0" w:line="22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220" w:type="dxa"/>
            <w:vAlign w:val="bottom"/>
            <w:tcBorders>
              <w:top w:val="single" w:sz="8" w:color="auto"/>
            </w:tcBorders>
          </w:tcPr>
          <w:p>
            <w:pPr>
              <w:jc w:val="right"/>
              <w:ind w:right="296"/>
              <w:spacing w:after="0" w:line="141" w:lineRule="exact"/>
              <w:rPr>
                <w:sz w:val="20"/>
                <w:szCs w:val="20"/>
                <w:color w:val="auto"/>
              </w:rPr>
            </w:pPr>
            <w:r>
              <w:rPr>
                <w:rFonts w:ascii="Arial" w:cs="Arial" w:eastAsia="Arial" w:hAnsi="Arial"/>
                <w:sz w:val="14"/>
                <w:szCs w:val="14"/>
                <w:b w:val="1"/>
                <w:bCs w:val="1"/>
                <w:color w:val="auto"/>
              </w:rPr>
              <w:t>2008</w:t>
            </w:r>
          </w:p>
        </w:tc>
        <w:tc>
          <w:tcPr>
            <w:tcW w:w="880" w:type="dxa"/>
            <w:vAlign w:val="bottom"/>
            <w:tcBorders>
              <w:top w:val="single" w:sz="8" w:color="auto"/>
            </w:tcBorders>
          </w:tcPr>
          <w:p>
            <w:pPr>
              <w:jc w:val="right"/>
              <w:ind w:right="116"/>
              <w:spacing w:after="0" w:line="141" w:lineRule="exact"/>
              <w:rPr>
                <w:sz w:val="20"/>
                <w:szCs w:val="20"/>
                <w:color w:val="auto"/>
              </w:rPr>
            </w:pPr>
            <w:r>
              <w:rPr>
                <w:rFonts w:ascii="Arial" w:cs="Arial" w:eastAsia="Arial" w:hAnsi="Arial"/>
                <w:sz w:val="14"/>
                <w:szCs w:val="14"/>
                <w:b w:val="1"/>
                <w:bCs w:val="1"/>
                <w:color w:val="auto"/>
              </w:rPr>
              <w:t>2007</w:t>
            </w:r>
          </w:p>
        </w:tc>
      </w:tr>
      <w:tr>
        <w:trPr>
          <w:trHeight w:val="216"/>
        </w:trPr>
        <w:tc>
          <w:tcPr>
            <w:tcW w:w="1220" w:type="dxa"/>
            <w:vAlign w:val="bottom"/>
          </w:tcPr>
          <w:p>
            <w:pPr>
              <w:jc w:val="right"/>
              <w:ind w:right="156"/>
              <w:spacing w:after="0"/>
              <w:rPr>
                <w:sz w:val="20"/>
                <w:szCs w:val="20"/>
                <w:color w:val="auto"/>
              </w:rPr>
            </w:pPr>
            <w:r>
              <w:rPr>
                <w:rFonts w:ascii="Arial" w:cs="Arial" w:eastAsia="Arial" w:hAnsi="Arial"/>
                <w:sz w:val="18"/>
                <w:szCs w:val="18"/>
                <w:b w:val="1"/>
                <w:bCs w:val="1"/>
                <w:color w:val="auto"/>
              </w:rPr>
              <w:t>$ 8,389</w:t>
            </w:r>
          </w:p>
        </w:tc>
        <w:tc>
          <w:tcPr>
            <w:tcW w:w="880" w:type="dxa"/>
            <w:vAlign w:val="bottom"/>
          </w:tcPr>
          <w:p>
            <w:pPr>
              <w:jc w:val="right"/>
              <w:spacing w:after="0"/>
              <w:rPr>
                <w:sz w:val="20"/>
                <w:szCs w:val="20"/>
                <w:color w:val="auto"/>
              </w:rPr>
            </w:pPr>
            <w:r>
              <w:rPr>
                <w:rFonts w:ascii="Arial" w:cs="Arial" w:eastAsia="Arial" w:hAnsi="Arial"/>
                <w:sz w:val="18"/>
                <w:szCs w:val="18"/>
                <w:color w:val="auto"/>
              </w:rPr>
              <w:t>$ 7,388</w:t>
            </w:r>
          </w:p>
        </w:tc>
      </w:tr>
      <w:tr>
        <w:trPr>
          <w:trHeight w:val="216"/>
        </w:trPr>
        <w:tc>
          <w:tcPr>
            <w:tcW w:w="1220" w:type="dxa"/>
            <w:vAlign w:val="bottom"/>
          </w:tcPr>
          <w:p>
            <w:pPr>
              <w:jc w:val="right"/>
              <w:ind w:right="156"/>
              <w:spacing w:after="0"/>
              <w:rPr>
                <w:sz w:val="20"/>
                <w:szCs w:val="20"/>
                <w:color w:val="auto"/>
              </w:rPr>
            </w:pPr>
            <w:r>
              <w:rPr>
                <w:rFonts w:ascii="Arial" w:cs="Arial" w:eastAsia="Arial" w:hAnsi="Arial"/>
                <w:sz w:val="18"/>
                <w:szCs w:val="18"/>
                <w:b w:val="1"/>
                <w:bCs w:val="1"/>
                <w:color w:val="auto"/>
              </w:rPr>
              <w:t>3,107</w:t>
            </w:r>
          </w:p>
        </w:tc>
        <w:tc>
          <w:tcPr>
            <w:tcW w:w="880" w:type="dxa"/>
            <w:vAlign w:val="bottom"/>
          </w:tcPr>
          <w:p>
            <w:pPr>
              <w:jc w:val="right"/>
              <w:spacing w:after="0"/>
              <w:rPr>
                <w:sz w:val="20"/>
                <w:szCs w:val="20"/>
                <w:color w:val="auto"/>
              </w:rPr>
            </w:pPr>
            <w:r>
              <w:rPr>
                <w:rFonts w:ascii="Arial" w:cs="Arial" w:eastAsia="Arial" w:hAnsi="Arial"/>
                <w:sz w:val="18"/>
                <w:szCs w:val="18"/>
                <w:color w:val="auto"/>
              </w:rPr>
              <w:t>2,759</w:t>
            </w:r>
          </w:p>
        </w:tc>
      </w:tr>
      <w:tr>
        <w:trPr>
          <w:trHeight w:val="229"/>
        </w:trPr>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2,108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r>
      <w:tr>
        <w:trPr>
          <w:trHeight w:val="211"/>
        </w:trPr>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5,215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r>
      <w:tr>
        <w:trPr>
          <w:trHeight w:val="222"/>
        </w:trPr>
        <w:tc>
          <w:tcPr>
            <w:tcW w:w="1220" w:type="dxa"/>
            <w:vAlign w:val="bottom"/>
          </w:tcPr>
          <w:p>
            <w:pPr>
              <w:jc w:val="right"/>
              <w:ind w:right="156"/>
              <w:spacing w:after="0"/>
              <w:rPr>
                <w:sz w:val="20"/>
                <w:szCs w:val="20"/>
                <w:color w:val="auto"/>
              </w:rPr>
            </w:pPr>
            <w:r>
              <w:rPr>
                <w:rFonts w:ascii="Arial" w:cs="Arial" w:eastAsia="Arial" w:hAnsi="Arial"/>
                <w:sz w:val="18"/>
                <w:szCs w:val="18"/>
                <w:b w:val="1"/>
                <w:bCs w:val="1"/>
                <w:color w:val="auto"/>
              </w:rPr>
              <w:t>3,174</w:t>
            </w:r>
          </w:p>
        </w:tc>
        <w:tc>
          <w:tcPr>
            <w:tcW w:w="880" w:type="dxa"/>
            <w:vAlign w:val="bottom"/>
          </w:tcPr>
          <w:p>
            <w:pPr>
              <w:jc w:val="right"/>
              <w:spacing w:after="0"/>
              <w:rPr>
                <w:sz w:val="20"/>
                <w:szCs w:val="20"/>
                <w:color w:val="auto"/>
              </w:rPr>
            </w:pPr>
            <w:r>
              <w:rPr>
                <w:rFonts w:ascii="Arial" w:cs="Arial" w:eastAsia="Arial" w:hAnsi="Arial"/>
                <w:sz w:val="18"/>
                <w:szCs w:val="18"/>
                <w:color w:val="auto"/>
              </w:rPr>
              <w:t>2,763</w:t>
            </w:r>
          </w:p>
        </w:tc>
      </w:tr>
    </w:tbl>
    <w:p>
      <w:pPr>
        <w:spacing w:after="0" w:line="81"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b w:val="1"/>
          <w:bCs w:val="1"/>
          <w:color w:val="auto"/>
        </w:rPr>
        <w:t>1,390</w:t>
      </w:r>
      <w:r>
        <w:rPr>
          <w:sz w:val="20"/>
          <w:szCs w:val="20"/>
          <w:color w:val="auto"/>
        </w:rPr>
        <w:tab/>
      </w:r>
      <w:r>
        <w:rPr>
          <w:rFonts w:ascii="Arial" w:cs="Arial" w:eastAsia="Arial" w:hAnsi="Arial"/>
          <w:sz w:val="18"/>
          <w:szCs w:val="18"/>
          <w:color w:val="auto"/>
        </w:rPr>
        <w:t>1,225</w:t>
      </w:r>
    </w:p>
    <w:p>
      <w:pPr>
        <w:spacing w:after="0" w:line="21" w:lineRule="exact"/>
        <w:rPr>
          <w:sz w:val="20"/>
          <w:szCs w:val="20"/>
          <w:color w:val="auto"/>
        </w:rPr>
      </w:pPr>
    </w:p>
    <w:p>
      <w:pPr>
        <w:ind w:left="1760" w:hanging="1044"/>
        <w:spacing w:after="0"/>
        <w:tabs>
          <w:tab w:leader="none" w:pos="17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277</w:t>
      </w:r>
    </w:p>
    <w:p>
      <w:pPr>
        <w:spacing w:after="0" w:line="1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1,619</w:t>
      </w:r>
      <w:r>
        <w:rPr>
          <w:rFonts w:ascii="Arial" w:cs="Arial" w:eastAsia="Arial" w:hAnsi="Arial"/>
          <w:sz w:val="15"/>
          <w:szCs w:val="15"/>
          <w:color w:val="auto"/>
        </w:rPr>
        <w:t>1,502</w:t>
      </w:r>
    </w:p>
    <w:p>
      <w:pPr>
        <w:spacing w:after="0" w:line="2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1,555</w:t>
      </w:r>
      <w:r>
        <w:rPr>
          <w:rFonts w:ascii="Arial" w:cs="Arial" w:eastAsia="Arial" w:hAnsi="Arial"/>
          <w:sz w:val="15"/>
          <w:szCs w:val="15"/>
          <w:color w:val="auto"/>
        </w:rPr>
        <w:t>1,261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1329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9" w:lineRule="exact"/>
        <w:rPr>
          <w:sz w:val="20"/>
          <w:szCs w:val="20"/>
          <w:color w:val="auto"/>
        </w:rPr>
      </w:pPr>
    </w:p>
    <w:p>
      <w:pPr>
        <w:ind w:left="1720" w:hanging="1063"/>
        <w:spacing w:after="0"/>
        <w:tabs>
          <w:tab w:leader="none" w:pos="172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(568)</w:t>
      </w:r>
    </w:p>
    <w:p>
      <w:pPr>
        <w:spacing w:after="0" w:line="38" w:lineRule="exact"/>
        <w:rPr>
          <w:sz w:val="20"/>
          <w:szCs w:val="20"/>
          <w:color w:val="auto"/>
        </w:rPr>
      </w:pPr>
    </w:p>
    <w:p>
      <w:pPr>
        <w:ind w:left="1760" w:hanging="957"/>
        <w:spacing w:after="0"/>
        <w:tabs>
          <w:tab w:leader="none" w:pos="17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174</w:t>
      </w:r>
    </w:p>
    <w:p>
      <w:pPr>
        <w:spacing w:after="0" w:line="9" w:lineRule="exact"/>
        <w:rPr>
          <w:sz w:val="20"/>
          <w:szCs w:val="20"/>
          <w:color w:val="auto"/>
        </w:rPr>
      </w:pPr>
    </w:p>
    <w:p>
      <w:pPr>
        <w:ind w:left="1800" w:hanging="1055"/>
        <w:spacing w:after="0"/>
        <w:tabs>
          <w:tab w:leader="none" w:pos="180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(21)</w:t>
      </w:r>
    </w:p>
    <w:p>
      <w:pPr>
        <w:spacing w:after="0" w:line="32" w:lineRule="exact"/>
        <w:rPr>
          <w:rFonts w:ascii="Arial" w:cs="Arial" w:eastAsia="Arial" w:hAnsi="Arial"/>
          <w:sz w:val="16"/>
          <w:szCs w:val="16"/>
          <w:b w:val="1"/>
          <w:bCs w:val="1"/>
          <w:color w:val="auto"/>
        </w:rPr>
      </w:pPr>
    </w:p>
    <w:p>
      <w:pPr>
        <w:ind w:left="72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268</w:t>
      </w:r>
      <w:r>
        <w:rPr>
          <w:rFonts w:ascii="Arial" w:cs="Arial" w:eastAsia="Arial" w:hAnsi="Arial"/>
          <w:sz w:val="16"/>
          <w:szCs w:val="16"/>
          <w:color w:val="auto"/>
        </w:rPr>
        <w:t>513</w:t>
      </w:r>
    </w:p>
    <w:p>
      <w:pPr>
        <w:spacing w:after="0" w:line="16" w:lineRule="exact"/>
        <w:rPr>
          <w:sz w:val="20"/>
          <w:szCs w:val="20"/>
          <w:color w:val="auto"/>
        </w:rPr>
      </w:pPr>
    </w:p>
    <w:p>
      <w:pPr>
        <w:ind w:left="1860" w:hanging="1203"/>
        <w:spacing w:after="0"/>
        <w:tabs>
          <w:tab w:leader="none" w:pos="18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98</w:t>
      </w:r>
    </w:p>
    <w:p>
      <w:pPr>
        <w:spacing w:after="0" w:line="1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1,246</w:t>
      </w:r>
      <w:r>
        <w:rPr>
          <w:rFonts w:ascii="Arial" w:cs="Arial" w:eastAsia="Arial" w:hAnsi="Arial"/>
          <w:sz w:val="15"/>
          <w:szCs w:val="15"/>
          <w:color w:val="auto"/>
        </w:rPr>
        <w:t>1,359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13290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03" w:lineRule="exact"/>
        <w:rPr>
          <w:sz w:val="20"/>
          <w:szCs w:val="20"/>
          <w:color w:val="auto"/>
        </w:rPr>
      </w:pPr>
    </w:p>
    <w:p>
      <w:pPr>
        <w:ind w:left="1720" w:hanging="1063"/>
        <w:spacing w:after="0"/>
        <w:tabs>
          <w:tab w:leader="none" w:pos="172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(526)</w:t>
      </w:r>
    </w:p>
    <w:p>
      <w:pPr>
        <w:spacing w:after="0" w:line="154" w:lineRule="exact"/>
        <w:rPr>
          <w:sz w:val="20"/>
          <w:szCs w:val="20"/>
          <w:color w:val="auto"/>
        </w:rPr>
      </w:pPr>
    </w:p>
    <w:p>
      <w:pPr>
        <w:ind w:left="1760" w:hanging="1044"/>
        <w:spacing w:after="0"/>
        <w:tabs>
          <w:tab w:leader="none" w:pos="17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833</w:t>
      </w:r>
    </w:p>
    <w:p>
      <w:pPr>
        <w:spacing w:after="0" w:line="126" w:lineRule="exact"/>
        <w:rPr>
          <w:sz w:val="20"/>
          <w:szCs w:val="20"/>
          <w:color w:val="auto"/>
        </w:rPr>
      </w:pPr>
    </w:p>
    <w:p>
      <w:pPr>
        <w:sectPr>
          <w:pgSz w:w="11900" w:h="16838" w:orient="portrait"/>
          <w:cols w:equalWidth="0" w:num="2">
            <w:col w:w="8600" w:space="720"/>
            <w:col w:w="2100"/>
          </w:cols>
          <w:pgMar w:left="240" w:top="1066"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Minority interest</w:t>
            </w:r>
          </w:p>
        </w:tc>
        <w:tc>
          <w:tcPr>
            <w:tcW w:w="5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(6)</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5"/>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732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0.24</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331"/>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Adjusted earnings per common share </w:t>
            </w:r>
            <w:r>
              <w:rPr>
                <w:rFonts w:ascii="Arial" w:cs="Arial" w:eastAsia="Arial" w:hAnsi="Arial"/>
                <w:sz w:val="22"/>
                <w:szCs w:val="22"/>
                <w:b w:val="1"/>
                <w:bCs w:val="1"/>
                <w:color w:val="auto"/>
                <w:vertAlign w:val="superscript"/>
              </w:rPr>
              <w:t>(1)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0.19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30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Diluted weighted-average number of common shares</w:t>
            </w:r>
          </w:p>
        </w:tc>
        <w:tc>
          <w:tcPr>
            <w:tcW w:w="56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w w:val="88"/>
              </w:rPr>
              <w:t>3,017</w:t>
            </w:r>
          </w:p>
        </w:tc>
        <w:tc>
          <w:tcPr>
            <w:tcW w:w="340" w:type="dxa"/>
            <w:vAlign w:val="bottom"/>
            <w:tcBorders>
              <w:bottom w:val="single" w:sz="8" w:color="auto"/>
            </w:tcBorders>
            <w:shd w:val="clear" w:color="auto" w:fill="E5E5E5"/>
          </w:tcPr>
          <w:p>
            <w:pPr>
              <w:spacing w:after="0"/>
              <w:rPr>
                <w:sz w:val="19"/>
                <w:szCs w:val="19"/>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3,161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60" w:right="4540" w:hanging="5652"/>
        <w:spacing w:after="0" w:line="525" w:lineRule="auto"/>
        <w:tabs>
          <w:tab w:leader="none" w:pos="4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Please refer to Table 7-B for a reconciliation of adjusted net income and earnings per share. 5</w:t>
      </w:r>
    </w:p>
    <w:p>
      <w:pPr>
        <w:sectPr>
          <w:pgSz w:w="11900" w:h="16838" w:orient="portrait"/>
          <w:cols w:equalWidth="0" w:num="1">
            <w:col w:w="11420"/>
          </w:cols>
          <w:pgMar w:left="240" w:top="106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183515</wp:posOffset>
            </wp:positionV>
            <wp:extent cx="1483360" cy="420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483360" cy="420370"/>
                    </a:xfrm>
                    <a:prstGeom prst="rect">
                      <a:avLst/>
                    </a:prstGeom>
                    <a:noFill/>
                  </pic:spPr>
                </pic:pic>
              </a:graphicData>
            </a:graphic>
          </wp:anchor>
        </w:drawing>
        <w:t>TABLE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22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5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333"/>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8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428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635</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rPr>
              <w:t>86</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receivable, net</w:t>
            </w:r>
          </w:p>
        </w:tc>
        <w:tc>
          <w:tcPr>
            <w:tcW w:w="3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1,497</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8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886</w:t>
            </w: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860"/>
              <w:spacing w:after="0"/>
              <w:rPr>
                <w:sz w:val="20"/>
                <w:szCs w:val="20"/>
                <w:color w:val="auto"/>
              </w:rPr>
            </w:pPr>
            <w:r>
              <w:rPr>
                <w:rFonts w:ascii="Arial" w:cs="Arial" w:eastAsia="Arial" w:hAnsi="Arial"/>
                <w:sz w:val="18"/>
                <w:szCs w:val="18"/>
                <w:color w:val="auto"/>
              </w:rPr>
              <w:t>Total current assets</w:t>
            </w:r>
          </w:p>
        </w:tc>
        <w:tc>
          <w:tcPr>
            <w:tcW w:w="384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3,104</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rPr>
              <w:t>5,800</w:t>
            </w:r>
          </w:p>
        </w:tc>
        <w:tc>
          <w:tcPr>
            <w:tcW w:w="4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Property and equipment, net</w:t>
            </w:r>
          </w:p>
        </w:tc>
        <w:tc>
          <w:tcPr>
            <w:tcW w:w="3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23,949</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23,624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Franchise rights</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w w:val="98"/>
              </w:rPr>
              <w:t>59,447</w:t>
            </w:r>
          </w:p>
        </w:tc>
        <w:tc>
          <w:tcPr>
            <w:tcW w:w="4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58,077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Goodwill</w:t>
            </w:r>
          </w:p>
        </w:tc>
        <w:tc>
          <w:tcPr>
            <w:tcW w:w="3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14,867</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14,705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rPr>
              <w:t>4,690</w:t>
            </w:r>
          </w:p>
        </w:tc>
        <w:tc>
          <w:tcPr>
            <w:tcW w:w="4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Other noncurrent assets, net</w:t>
            </w:r>
          </w:p>
        </w:tc>
        <w:tc>
          <w:tcPr>
            <w:tcW w:w="384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967</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w w:val="82"/>
              </w:rPr>
              <w:t>112,824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Accounts payable and accrued expenses related to trade creditors</w:t>
            </w:r>
          </w:p>
        </w:tc>
        <w:tc>
          <w:tcPr>
            <w:tcW w:w="4280" w:type="dxa"/>
            <w:vAlign w:val="bottom"/>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2,982</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rPr>
              <w:t>3,071</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84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1,350</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8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7,403</w:t>
            </w: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Long-term debt, less current portion</w:t>
            </w:r>
          </w:p>
        </w:tc>
        <w:tc>
          <w:tcPr>
            <w:tcW w:w="3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30,009</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29,828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w w:val="98"/>
              </w:rPr>
              <w:t>27,116</w:t>
            </w:r>
          </w:p>
        </w:tc>
        <w:tc>
          <w:tcPr>
            <w:tcW w:w="4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26,880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Other noncurrent liabilities</w:t>
            </w:r>
          </w:p>
        </w:tc>
        <w:tc>
          <w:tcPr>
            <w:tcW w:w="38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7,110</w:t>
            </w:r>
          </w:p>
        </w:tc>
        <w:tc>
          <w:tcPr>
            <w:tcW w:w="46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rPr>
              <w:t>388</w:t>
            </w:r>
          </w:p>
        </w:tc>
        <w:tc>
          <w:tcPr>
            <w:tcW w:w="4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8"/>
                <w:szCs w:val="18"/>
                <w:color w:val="auto"/>
              </w:rPr>
              <w:t>Stockholders’ equity</w:t>
            </w:r>
          </w:p>
        </w:tc>
        <w:tc>
          <w:tcPr>
            <w:tcW w:w="384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40,798</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8"/>
              </w:rPr>
              <w:t>41,340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33"/>
              <w:spacing w:after="0"/>
              <w:rPr>
                <w:sz w:val="20"/>
                <w:szCs w:val="20"/>
                <w:color w:val="auto"/>
              </w:rPr>
            </w:pPr>
            <w:r>
              <w:rPr>
                <w:rFonts w:ascii="Arial" w:cs="Arial" w:eastAsia="Arial" w:hAnsi="Arial"/>
                <w:sz w:val="18"/>
                <w:szCs w:val="18"/>
                <w:b w:val="1"/>
                <w:bCs w:val="1"/>
                <w:color w:val="auto"/>
                <w:w w:val="82"/>
              </w:rPr>
              <w:t>112,824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840" w:type="dxa"/>
            <w:vAlign w:val="bottom"/>
          </w:tcPr>
          <w:p>
            <w:pPr>
              <w:jc w:val="right"/>
              <w:ind w:right="3332"/>
              <w:spacing w:after="0"/>
              <w:rPr>
                <w:sz w:val="20"/>
                <w:szCs w:val="20"/>
                <w:color w:val="auto"/>
              </w:rPr>
            </w:pPr>
            <w:r>
              <w:rPr>
                <w:rFonts w:ascii="Arial" w:cs="Arial" w:eastAsia="Arial" w:hAnsi="Arial"/>
                <w:sz w:val="18"/>
                <w:szCs w:val="18"/>
                <w:color w:val="auto"/>
              </w:rPr>
              <w:t>6</w:t>
            </w:r>
          </w:p>
        </w:tc>
        <w:tc>
          <w:tcPr>
            <w:tcW w:w="4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6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183515</wp:posOffset>
            </wp:positionV>
            <wp:extent cx="1483360"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83360" cy="420370"/>
                    </a:xfrm>
                    <a:prstGeom prst="rect">
                      <a:avLst/>
                    </a:prstGeom>
                    <a:noFill/>
                  </pic:spPr>
                </pic:pic>
              </a:graphicData>
            </a:graphic>
          </wp:anchor>
        </w:drawing>
        <w:t>TABLE 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95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5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w w:val="96"/>
              </w:rPr>
              <w:t>2008</w:t>
            </w:r>
          </w:p>
        </w:tc>
        <w:tc>
          <w:tcPr>
            <w:tcW w:w="8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ACTIVITIES</w:t>
            </w:r>
          </w:p>
        </w:tc>
        <w:tc>
          <w:tcPr>
            <w:tcW w:w="44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w w:val="97"/>
              </w:rPr>
              <w:t>2,259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$ 1,965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8"/>
                <w:szCs w:val="18"/>
                <w:color w:val="auto"/>
              </w:rPr>
            </w:pPr>
          </w:p>
        </w:tc>
        <w:tc>
          <w:tcPr>
            <w:tcW w:w="680" w:type="dxa"/>
            <w:vAlign w:val="bottom"/>
          </w:tcPr>
          <w:p>
            <w:pPr>
              <w:jc w:val="right"/>
              <w:ind w:right="135"/>
              <w:spacing w:after="0"/>
              <w:rPr>
                <w:sz w:val="20"/>
                <w:szCs w:val="20"/>
                <w:color w:val="auto"/>
              </w:rPr>
            </w:pPr>
            <w:r>
              <w:rPr>
                <w:rFonts w:ascii="Arial" w:cs="Arial" w:eastAsia="Arial" w:hAnsi="Arial"/>
                <w:sz w:val="18"/>
                <w:szCs w:val="18"/>
                <w:b w:val="1"/>
                <w:bCs w:val="1"/>
                <w:color w:val="auto"/>
              </w:rPr>
              <w:t>192</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Retirements and repayments of debt</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(218)</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b w:val="1"/>
                <w:bCs w:val="1"/>
                <w:color w:val="auto"/>
                <w:w w:val="87"/>
              </w:rPr>
              <w:t>(1,000)</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10</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w w:val="87"/>
              </w:rPr>
              <w:t>(1,044)</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317"/>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w w:val="87"/>
              </w:rPr>
              <w:t>(1,431)</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Cash paid for software and other intangible assets</w:t>
            </w:r>
          </w:p>
        </w:tc>
        <w:tc>
          <w:tcPr>
            <w:tcW w:w="4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b w:val="1"/>
                <w:bCs w:val="1"/>
                <w:color w:val="auto"/>
              </w:rPr>
              <w:t>(126)</w:t>
            </w: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(29)</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Proceeds from sales of investments</w:t>
            </w:r>
          </w:p>
        </w:tc>
        <w:tc>
          <w:tcPr>
            <w:tcW w:w="440" w:type="dxa"/>
            <w:vAlign w:val="bottom"/>
          </w:tcPr>
          <w:p>
            <w:pPr>
              <w:spacing w:after="0"/>
              <w:rPr>
                <w:sz w:val="18"/>
                <w:szCs w:val="18"/>
                <w:color w:val="auto"/>
              </w:rPr>
            </w:pPr>
          </w:p>
        </w:tc>
        <w:tc>
          <w:tcPr>
            <w:tcW w:w="680" w:type="dxa"/>
            <w:vAlign w:val="bottom"/>
          </w:tcPr>
          <w:p>
            <w:pPr>
              <w:jc w:val="right"/>
              <w:ind w:right="135"/>
              <w:spacing w:after="0"/>
              <w:rPr>
                <w:sz w:val="20"/>
                <w:szCs w:val="20"/>
                <w:color w:val="auto"/>
              </w:rPr>
            </w:pPr>
            <w:r>
              <w:rPr>
                <w:rFonts w:ascii="Arial" w:cs="Arial" w:eastAsia="Arial" w:hAnsi="Arial"/>
                <w:sz w:val="18"/>
                <w:szCs w:val="18"/>
                <w:b w:val="1"/>
                <w:bCs w:val="1"/>
                <w:color w:val="auto"/>
              </w:rPr>
              <w:t>49</w:t>
            </w:r>
          </w:p>
        </w:tc>
        <w:tc>
          <w:tcPr>
            <w:tcW w:w="80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4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75"/>
              <w:spacing w:after="0"/>
              <w:rPr>
                <w:sz w:val="20"/>
                <w:szCs w:val="20"/>
                <w:color w:val="auto"/>
              </w:rPr>
            </w:pPr>
            <w:r>
              <w:rPr>
                <w:rFonts w:ascii="Arial" w:cs="Arial" w:eastAsia="Arial" w:hAnsi="Arial"/>
                <w:sz w:val="18"/>
                <w:szCs w:val="18"/>
                <w:b w:val="1"/>
                <w:bCs w:val="1"/>
                <w:color w:val="auto"/>
              </w:rPr>
              <w:t>(26)</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b w:val="1"/>
                <w:bCs w:val="1"/>
                <w:color w:val="auto"/>
                <w:w w:val="87"/>
              </w:rPr>
              <w:t>(1,543)</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316"/>
        </w:trPr>
        <w:tc>
          <w:tcPr>
            <w:tcW w:w="95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440" w:type="dxa"/>
            <w:vAlign w:val="bottom"/>
          </w:tcPr>
          <w:p>
            <w:pPr>
              <w:spacing w:after="0"/>
              <w:rPr>
                <w:sz w:val="24"/>
                <w:szCs w:val="24"/>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b w:val="1"/>
                <w:bCs w:val="1"/>
                <w:color w:val="auto"/>
              </w:rPr>
              <w:t>(328)</w:t>
            </w: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963</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325"/>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635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Free Cash Flow, and Unlevered Free Cash Flow</w:t>
      </w:r>
    </w:p>
    <w:p>
      <w:pPr>
        <w:jc w:val="center"/>
        <w:spacing w:after="0" w:line="237" w:lineRule="auto"/>
        <w:rPr>
          <w:sz w:val="20"/>
          <w:szCs w:val="20"/>
          <w:color w:val="auto"/>
        </w:rPr>
      </w:pPr>
      <w:r>
        <w:rPr>
          <w:rFonts w:ascii="Arial" w:cs="Arial" w:eastAsia="Arial" w:hAnsi="Arial"/>
          <w:sz w:val="22"/>
          <w:szCs w:val="22"/>
          <w:b w:val="1"/>
          <w:bCs w:val="1"/>
          <w:color w:val="auto"/>
        </w:rPr>
        <w:t>(Unaudited) (1)</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9260" w:type="dxa"/>
            <w:vAlign w:val="bottom"/>
          </w:tcPr>
          <w:p>
            <w:pPr>
              <w:spacing w:after="0"/>
              <w:rPr>
                <w:sz w:val="11"/>
                <w:szCs w:val="11"/>
                <w:color w:val="auto"/>
              </w:rPr>
            </w:pPr>
          </w:p>
        </w:tc>
        <w:tc>
          <w:tcPr>
            <w:tcW w:w="2140" w:type="dxa"/>
            <w:vAlign w:val="bottom"/>
            <w:gridSpan w:val="2"/>
          </w:tcPr>
          <w:p>
            <w:pPr>
              <w:jc w:val="right"/>
              <w:ind w:right="174"/>
              <w:spacing w:after="0" w:line="136"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92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4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280" w:type="dxa"/>
            <w:vAlign w:val="bottom"/>
            <w:gridSpan w:val="2"/>
            <w:vMerge w:val="continue"/>
          </w:tcPr>
          <w:p>
            <w:pPr>
              <w:spacing w:after="0"/>
              <w:rPr>
                <w:sz w:val="12"/>
                <w:szCs w:val="12"/>
                <w:color w:val="auto"/>
              </w:rPr>
            </w:pPr>
          </w:p>
        </w:tc>
        <w:tc>
          <w:tcPr>
            <w:tcW w:w="1300" w:type="dxa"/>
            <w:vAlign w:val="bottom"/>
          </w:tcPr>
          <w:p>
            <w:pPr>
              <w:jc w:val="right"/>
              <w:ind w:right="358"/>
              <w:spacing w:after="0" w:line="142" w:lineRule="exact"/>
              <w:rPr>
                <w:sz w:val="20"/>
                <w:szCs w:val="20"/>
                <w:color w:val="auto"/>
              </w:rPr>
            </w:pPr>
            <w:r>
              <w:rPr>
                <w:rFonts w:ascii="Arial" w:cs="Arial" w:eastAsia="Arial" w:hAnsi="Arial"/>
                <w:sz w:val="14"/>
                <w:szCs w:val="14"/>
                <w:b w:val="1"/>
                <w:bCs w:val="1"/>
                <w:color w:val="auto"/>
              </w:rPr>
              <w:t>2008</w:t>
            </w:r>
          </w:p>
        </w:tc>
        <w:tc>
          <w:tcPr>
            <w:tcW w:w="8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tcBorders>
              <w:top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b w:val="1"/>
                <w:bCs w:val="1"/>
                <w:color w:val="auto"/>
              </w:rPr>
              <w:t>$ 2,259</w:t>
            </w:r>
          </w:p>
        </w:tc>
        <w:tc>
          <w:tcPr>
            <w:tcW w:w="8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Capital Expenditures</w:t>
            </w:r>
          </w:p>
        </w:tc>
        <w:tc>
          <w:tcPr>
            <w:tcW w:w="1300" w:type="dxa"/>
            <w:vAlign w:val="bottom"/>
          </w:tcPr>
          <w:p>
            <w:pPr>
              <w:jc w:val="right"/>
              <w:ind w:right="158"/>
              <w:spacing w:after="0"/>
              <w:rPr>
                <w:sz w:val="20"/>
                <w:szCs w:val="20"/>
                <w:color w:val="auto"/>
              </w:rPr>
            </w:pPr>
            <w:r>
              <w:rPr>
                <w:rFonts w:ascii="Arial" w:cs="Arial" w:eastAsia="Arial" w:hAnsi="Arial"/>
                <w:sz w:val="18"/>
                <w:szCs w:val="18"/>
                <w:b w:val="1"/>
                <w:bCs w:val="1"/>
                <w:color w:val="auto"/>
              </w:rPr>
              <w:t>(1,431)</w:t>
            </w:r>
          </w:p>
        </w:tc>
        <w:tc>
          <w:tcPr>
            <w:tcW w:w="84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Cash Paid for Capitalized Software</w:t>
            </w:r>
          </w:p>
        </w:tc>
        <w:tc>
          <w:tcPr>
            <w:tcW w:w="1300" w:type="dxa"/>
            <w:vAlign w:val="bottom"/>
            <w:shd w:val="clear" w:color="auto" w:fill="E5E5E5"/>
          </w:tcPr>
          <w:p>
            <w:pPr>
              <w:jc w:val="right"/>
              <w:ind w:right="158"/>
              <w:spacing w:after="0"/>
              <w:rPr>
                <w:sz w:val="20"/>
                <w:szCs w:val="20"/>
                <w:color w:val="auto"/>
              </w:rPr>
            </w:pPr>
            <w:r>
              <w:rPr>
                <w:rFonts w:ascii="Arial" w:cs="Arial" w:eastAsia="Arial" w:hAnsi="Arial"/>
                <w:sz w:val="18"/>
                <w:szCs w:val="18"/>
                <w:b w:val="1"/>
                <w:bCs w:val="1"/>
                <w:color w:val="auto"/>
              </w:rPr>
              <w:t>(99)</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Paid for Other Intangible Assets</w:t>
            </w:r>
          </w:p>
        </w:tc>
        <w:tc>
          <w:tcPr>
            <w:tcW w:w="1300" w:type="dxa"/>
            <w:vAlign w:val="bottom"/>
          </w:tcPr>
          <w:p>
            <w:pPr>
              <w:jc w:val="right"/>
              <w:ind w:right="158"/>
              <w:spacing w:after="0"/>
              <w:rPr>
                <w:sz w:val="20"/>
                <w:szCs w:val="20"/>
                <w:color w:val="auto"/>
              </w:rPr>
            </w:pPr>
            <w:r>
              <w:rPr>
                <w:rFonts w:ascii="Arial" w:cs="Arial" w:eastAsia="Arial" w:hAnsi="Arial"/>
                <w:sz w:val="18"/>
                <w:szCs w:val="18"/>
                <w:b w:val="1"/>
                <w:bCs w:val="1"/>
                <w:color w:val="auto"/>
              </w:rPr>
              <w:t>(27)</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Nonoperating and Nonrecurring items, net of tax:</w:t>
            </w:r>
          </w:p>
        </w:tc>
        <w:tc>
          <w:tcPr>
            <w:tcW w:w="13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Payment of Tax on Nonoperating Items</w:t>
            </w:r>
          </w:p>
        </w:tc>
        <w:tc>
          <w:tcPr>
            <w:tcW w:w="13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b w:val="1"/>
                <w:bCs w:val="1"/>
                <w:color w:val="auto"/>
              </w:rPr>
              <w:t>Free Cash Flow</w:t>
            </w:r>
          </w:p>
        </w:tc>
        <w:tc>
          <w:tcPr>
            <w:tcW w:w="130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b w:val="1"/>
                <w:bCs w:val="1"/>
                <w:color w:val="auto"/>
              </w:rPr>
              <w:t>702</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paid Interest</w:t>
            </w:r>
          </w:p>
        </w:tc>
        <w:tc>
          <w:tcPr>
            <w:tcW w:w="130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708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8"/>
                <w:szCs w:val="18"/>
                <w:color w:val="auto"/>
              </w:rPr>
              <w:t>Unlevered Free Cash Flow</w:t>
            </w:r>
          </w:p>
        </w:tc>
        <w:tc>
          <w:tcPr>
            <w:tcW w:w="130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b w:val="1"/>
                <w:bCs w:val="1"/>
                <w:color w:val="auto"/>
              </w:rPr>
              <w:t>$ 1,410</w:t>
            </w: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$ 1,104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60" w:right="2100" w:hanging="5652"/>
        <w:spacing w:after="0" w:line="440" w:lineRule="auto"/>
        <w:tabs>
          <w:tab w:leader="none" w:pos="4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for the definition of Free Cash Flow and Unlevered Free Cash Flow. 7</w:t>
      </w:r>
    </w:p>
    <w:p>
      <w:pPr>
        <w:sectPr>
          <w:pgSz w:w="11900" w:h="16838" w:orient="portrait"/>
          <w:cols w:equalWidth="0" w:num="1">
            <w:col w:w="11420"/>
          </w:cols>
          <w:pgMar w:left="240" w:top="106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183515</wp:posOffset>
            </wp:positionV>
            <wp:extent cx="1483360" cy="420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420370"/>
                    </a:xfrm>
                    <a:prstGeom prst="rect">
                      <a:avLst/>
                    </a:prstGeom>
                    <a:noFill/>
                  </pic:spPr>
                </pic:pic>
              </a:graphicData>
            </a:graphic>
          </wp:anchor>
        </w:drawing>
        <w:t>TABLE 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Financial Data by Business Segment</w:t>
      </w:r>
    </w:p>
    <w:p>
      <w:pPr>
        <w:jc w:val="center"/>
        <w:spacing w:after="0"/>
        <w:rPr>
          <w:sz w:val="20"/>
          <w:szCs w:val="20"/>
          <w:color w:val="auto"/>
        </w:rPr>
      </w:pPr>
      <w:r>
        <w:rPr>
          <w:rFonts w:ascii="Arial" w:cs="Arial" w:eastAsia="Arial" w:hAnsi="Arial"/>
          <w:sz w:val="22"/>
          <w:szCs w:val="22"/>
          <w:b w:val="1"/>
          <w:bCs w:val="1"/>
          <w:color w:val="auto"/>
        </w:rPr>
        <w:t>(Unaudited)(1)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Corporate</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8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2940" w:type="dxa"/>
            <w:vAlign w:val="bottom"/>
          </w:tcPr>
          <w:p>
            <w:pPr>
              <w:jc w:val="right"/>
              <w:ind w:right="334"/>
              <w:spacing w:after="0"/>
              <w:rPr>
                <w:sz w:val="20"/>
                <w:szCs w:val="20"/>
                <w:color w:val="auto"/>
              </w:rPr>
            </w:pPr>
            <w:r>
              <w:rPr>
                <w:rFonts w:ascii="Arial" w:cs="Arial" w:eastAsia="Arial" w:hAnsi="Arial"/>
                <w:sz w:val="14"/>
                <w:szCs w:val="14"/>
                <w:b w:val="1"/>
                <w:bCs w:val="1"/>
                <w:color w:val="auto"/>
              </w:rPr>
              <w:t>Cable</w:t>
            </w:r>
          </w:p>
        </w:tc>
        <w:tc>
          <w:tcPr>
            <w:tcW w:w="1580" w:type="dxa"/>
            <w:vAlign w:val="bottom"/>
            <w:gridSpan w:val="2"/>
          </w:tcPr>
          <w:p>
            <w:pPr>
              <w:ind w:left="300"/>
              <w:spacing w:after="0"/>
              <w:rPr>
                <w:sz w:val="20"/>
                <w:szCs w:val="20"/>
                <w:color w:val="auto"/>
              </w:rPr>
            </w:pPr>
            <w:r>
              <w:rPr>
                <w:rFonts w:ascii="Arial" w:cs="Arial" w:eastAsia="Arial" w:hAnsi="Arial"/>
                <w:sz w:val="14"/>
                <w:szCs w:val="14"/>
                <w:b w:val="1"/>
                <w:bCs w:val="1"/>
                <w:color w:val="auto"/>
              </w:rPr>
              <w:t>Programming (2)</w:t>
            </w:r>
          </w:p>
        </w:tc>
        <w:tc>
          <w:tcPr>
            <w:tcW w:w="12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and Other</w:t>
            </w:r>
          </w:p>
        </w:tc>
        <w:tc>
          <w:tcPr>
            <w:tcW w:w="82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00" w:type="dxa"/>
            <w:vAlign w:val="bottom"/>
            <w:tcBorders>
              <w:top w:val="single" w:sz="8" w:color="auto"/>
              <w:bottom w:val="single" w:sz="8" w:color="auto"/>
            </w:tcBorders>
            <w:shd w:val="clear" w:color="auto" w:fill="E5E5E5"/>
          </w:tcPr>
          <w:p>
            <w:pPr>
              <w:spacing w:after="0" w:line="170" w:lineRule="exact"/>
              <w:rPr>
                <w:sz w:val="20"/>
                <w:szCs w:val="20"/>
                <w:color w:val="auto"/>
              </w:rPr>
            </w:pPr>
            <w:r>
              <w:rPr>
                <w:rFonts w:ascii="Arial" w:cs="Arial" w:eastAsia="Arial" w:hAnsi="Arial"/>
                <w:sz w:val="18"/>
                <w:szCs w:val="18"/>
                <w:b w:val="1"/>
                <w:bCs w:val="1"/>
                <w:color w:val="auto"/>
                <w:w w:val="89"/>
              </w:rPr>
              <w:t>Three Months Ended March 31, 2008</w:t>
            </w:r>
          </w:p>
        </w:tc>
        <w:tc>
          <w:tcPr>
            <w:tcW w:w="2060" w:type="dxa"/>
            <w:vAlign w:val="bottom"/>
            <w:tcBorders>
              <w:top w:val="single" w:sz="8" w:color="auto"/>
              <w:bottom w:val="single" w:sz="8" w:color="E5E5E5"/>
            </w:tcBorders>
            <w:shd w:val="clear" w:color="auto" w:fill="E5E5E5"/>
          </w:tcPr>
          <w:p>
            <w:pPr>
              <w:spacing w:after="0"/>
              <w:rPr>
                <w:sz w:val="16"/>
                <w:szCs w:val="16"/>
                <w:color w:val="auto"/>
              </w:rPr>
            </w:pPr>
          </w:p>
        </w:tc>
        <w:tc>
          <w:tcPr>
            <w:tcW w:w="2940" w:type="dxa"/>
            <w:vAlign w:val="bottom"/>
            <w:tcBorders>
              <w:top w:val="single" w:sz="8" w:color="auto"/>
              <w:bottom w:val="single" w:sz="8" w:color="E5E5E5"/>
            </w:tcBorders>
            <w:shd w:val="clear" w:color="auto" w:fill="E5E5E5"/>
          </w:tcPr>
          <w:p>
            <w:pPr>
              <w:spacing w:after="0"/>
              <w:rPr>
                <w:sz w:val="16"/>
                <w:szCs w:val="16"/>
                <w:color w:val="auto"/>
              </w:rPr>
            </w:pPr>
          </w:p>
        </w:tc>
        <w:tc>
          <w:tcPr>
            <w:tcW w:w="600" w:type="dxa"/>
            <w:vAlign w:val="bottom"/>
            <w:tcBorders>
              <w:top w:val="single" w:sz="8" w:color="auto"/>
              <w:bottom w:val="single" w:sz="8" w:color="E5E5E5"/>
            </w:tcBorders>
            <w:shd w:val="clear" w:color="auto" w:fill="E5E5E5"/>
          </w:tcPr>
          <w:p>
            <w:pPr>
              <w:spacing w:after="0"/>
              <w:rPr>
                <w:sz w:val="16"/>
                <w:szCs w:val="16"/>
                <w:color w:val="auto"/>
              </w:rPr>
            </w:pPr>
          </w:p>
        </w:tc>
        <w:tc>
          <w:tcPr>
            <w:tcW w:w="980" w:type="dxa"/>
            <w:vAlign w:val="bottom"/>
            <w:tcBorders>
              <w:top w:val="single" w:sz="8" w:color="auto"/>
              <w:bottom w:val="single" w:sz="8" w:color="E5E5E5"/>
            </w:tcBorders>
            <w:shd w:val="clear" w:color="auto" w:fill="E5E5E5"/>
          </w:tcPr>
          <w:p>
            <w:pPr>
              <w:spacing w:after="0"/>
              <w:rPr>
                <w:sz w:val="16"/>
                <w:szCs w:val="16"/>
                <w:color w:val="auto"/>
              </w:rPr>
            </w:pPr>
          </w:p>
        </w:tc>
        <w:tc>
          <w:tcPr>
            <w:tcW w:w="540" w:type="dxa"/>
            <w:vAlign w:val="bottom"/>
            <w:tcBorders>
              <w:top w:val="single" w:sz="8" w:color="auto"/>
              <w:bottom w:val="single" w:sz="8" w:color="E5E5E5"/>
            </w:tcBorders>
            <w:shd w:val="clear" w:color="auto" w:fill="E5E5E5"/>
          </w:tcPr>
          <w:p>
            <w:pPr>
              <w:spacing w:after="0"/>
              <w:rPr>
                <w:sz w:val="16"/>
                <w:szCs w:val="16"/>
                <w:color w:val="auto"/>
              </w:rPr>
            </w:pPr>
          </w:p>
        </w:tc>
        <w:tc>
          <w:tcPr>
            <w:tcW w:w="680" w:type="dxa"/>
            <w:vAlign w:val="bottom"/>
            <w:tcBorders>
              <w:top w:val="single" w:sz="8" w:color="auto"/>
              <w:bottom w:val="single" w:sz="8" w:color="E5E5E5"/>
            </w:tcBorders>
            <w:shd w:val="clear" w:color="auto" w:fill="E5E5E5"/>
          </w:tcPr>
          <w:p>
            <w:pPr>
              <w:spacing w:after="0"/>
              <w:rPr>
                <w:sz w:val="16"/>
                <w:szCs w:val="16"/>
                <w:color w:val="auto"/>
              </w:rPr>
            </w:pPr>
          </w:p>
        </w:tc>
        <w:tc>
          <w:tcPr>
            <w:tcW w:w="800" w:type="dxa"/>
            <w:vAlign w:val="bottom"/>
            <w:tcBorders>
              <w:top w:val="single" w:sz="8" w:color="auto"/>
              <w:bottom w:val="single" w:sz="8" w:color="E5E5E5"/>
            </w:tcBorders>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940" w:type="dxa"/>
            <w:vAlign w:val="bottom"/>
          </w:tcPr>
          <w:p>
            <w:pPr>
              <w:jc w:val="right"/>
              <w:ind w:right="214"/>
              <w:spacing w:after="0"/>
              <w:rPr>
                <w:sz w:val="20"/>
                <w:szCs w:val="20"/>
                <w:color w:val="auto"/>
              </w:rPr>
            </w:pPr>
            <w:r>
              <w:rPr>
                <w:rFonts w:ascii="Arial" w:cs="Arial" w:eastAsia="Arial" w:hAnsi="Arial"/>
                <w:sz w:val="18"/>
                <w:szCs w:val="18"/>
                <w:color w:val="auto"/>
              </w:rPr>
              <w:t>$ 7,916</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363</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110</w:t>
            </w:r>
          </w:p>
        </w:tc>
        <w:tc>
          <w:tcPr>
            <w:tcW w:w="800" w:type="dxa"/>
            <w:vAlign w:val="bottom"/>
          </w:tcPr>
          <w:p>
            <w:pPr>
              <w:jc w:val="right"/>
              <w:spacing w:after="0"/>
              <w:rPr>
                <w:sz w:val="20"/>
                <w:szCs w:val="20"/>
                <w:color w:val="auto"/>
              </w:rPr>
            </w:pPr>
            <w:r>
              <w:rPr>
                <w:rFonts w:ascii="Arial" w:cs="Arial" w:eastAsia="Arial" w:hAnsi="Arial"/>
                <w:sz w:val="18"/>
                <w:szCs w:val="18"/>
                <w:color w:val="auto"/>
              </w:rPr>
              <w:t>$ 8,389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94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$ 3,142</w:t>
            </w:r>
          </w:p>
        </w:tc>
        <w:tc>
          <w:tcPr>
            <w:tcW w:w="60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113</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81)</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$ 3,174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940" w:type="dxa"/>
            <w:vAlign w:val="bottom"/>
          </w:tcPr>
          <w:p>
            <w:pPr>
              <w:jc w:val="right"/>
              <w:ind w:right="214"/>
              <w:spacing w:after="0"/>
              <w:rPr>
                <w:sz w:val="20"/>
                <w:szCs w:val="20"/>
                <w:color w:val="auto"/>
              </w:rPr>
            </w:pPr>
            <w:r>
              <w:rPr>
                <w:rFonts w:ascii="Arial" w:cs="Arial" w:eastAsia="Arial" w:hAnsi="Arial"/>
                <w:sz w:val="18"/>
                <w:szCs w:val="18"/>
                <w:color w:val="auto"/>
              </w:rPr>
              <w:t>$ 1,594</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59</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98)</w:t>
            </w:r>
          </w:p>
        </w:tc>
        <w:tc>
          <w:tcPr>
            <w:tcW w:w="800" w:type="dxa"/>
            <w:vAlign w:val="bottom"/>
          </w:tcPr>
          <w:p>
            <w:pPr>
              <w:jc w:val="right"/>
              <w:spacing w:after="0"/>
              <w:rPr>
                <w:sz w:val="20"/>
                <w:szCs w:val="20"/>
                <w:color w:val="auto"/>
              </w:rPr>
            </w:pPr>
            <w:r>
              <w:rPr>
                <w:rFonts w:ascii="Arial" w:cs="Arial" w:eastAsia="Arial" w:hAnsi="Arial"/>
                <w:sz w:val="18"/>
                <w:szCs w:val="18"/>
                <w:color w:val="auto"/>
              </w:rPr>
              <w:t>$ 1,555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94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39.7%</w:t>
            </w:r>
          </w:p>
        </w:tc>
        <w:tc>
          <w:tcPr>
            <w:tcW w:w="6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31.2%</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Capital Expenditures (3)</w:t>
            </w:r>
          </w:p>
        </w:tc>
        <w:tc>
          <w:tcPr>
            <w:tcW w:w="2940" w:type="dxa"/>
            <w:vAlign w:val="bottom"/>
          </w:tcPr>
          <w:p>
            <w:pPr>
              <w:jc w:val="right"/>
              <w:ind w:right="214"/>
              <w:spacing w:after="0"/>
              <w:rPr>
                <w:sz w:val="20"/>
                <w:szCs w:val="20"/>
                <w:color w:val="auto"/>
              </w:rPr>
            </w:pPr>
            <w:r>
              <w:rPr>
                <w:rFonts w:ascii="Arial" w:cs="Arial" w:eastAsia="Arial" w:hAnsi="Arial"/>
                <w:sz w:val="18"/>
                <w:szCs w:val="18"/>
                <w:color w:val="auto"/>
              </w:rPr>
              <w:t>$ 1,355</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72</w:t>
            </w:r>
          </w:p>
        </w:tc>
        <w:tc>
          <w:tcPr>
            <w:tcW w:w="800" w:type="dxa"/>
            <w:vAlign w:val="bottom"/>
          </w:tcPr>
          <w:p>
            <w:pPr>
              <w:jc w:val="right"/>
              <w:spacing w:after="0"/>
              <w:rPr>
                <w:sz w:val="20"/>
                <w:szCs w:val="20"/>
                <w:color w:val="auto"/>
              </w:rPr>
            </w:pPr>
            <w:r>
              <w:rPr>
                <w:rFonts w:ascii="Arial" w:cs="Arial" w:eastAsia="Arial" w:hAnsi="Arial"/>
                <w:sz w:val="18"/>
                <w:szCs w:val="18"/>
                <w:color w:val="auto"/>
              </w:rPr>
              <w:t>$ 1,431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00" w:type="dxa"/>
            <w:vAlign w:val="bottom"/>
            <w:tcBorders>
              <w:bottom w:val="single" w:sz="8" w:color="auto"/>
            </w:tcBorders>
            <w:shd w:val="clear" w:color="auto" w:fill="E5E5E5"/>
          </w:tcPr>
          <w:p>
            <w:pPr>
              <w:spacing w:after="0" w:line="176" w:lineRule="exact"/>
              <w:rPr>
                <w:sz w:val="20"/>
                <w:szCs w:val="20"/>
                <w:color w:val="auto"/>
              </w:rPr>
            </w:pPr>
            <w:r>
              <w:rPr>
                <w:rFonts w:ascii="Arial" w:cs="Arial" w:eastAsia="Arial" w:hAnsi="Arial"/>
                <w:sz w:val="18"/>
                <w:szCs w:val="18"/>
                <w:b w:val="1"/>
                <w:bCs w:val="1"/>
                <w:color w:val="auto"/>
                <w:w w:val="89"/>
              </w:rPr>
              <w:t>Three Months Ended March 31, 2007</w:t>
            </w:r>
          </w:p>
        </w:tc>
        <w:tc>
          <w:tcPr>
            <w:tcW w:w="2060" w:type="dxa"/>
            <w:vAlign w:val="bottom"/>
            <w:tcBorders>
              <w:bottom w:val="single" w:sz="8" w:color="E5E5E5"/>
            </w:tcBorders>
            <w:shd w:val="clear" w:color="auto" w:fill="E5E5E5"/>
          </w:tcPr>
          <w:p>
            <w:pPr>
              <w:spacing w:after="0"/>
              <w:rPr>
                <w:sz w:val="17"/>
                <w:szCs w:val="17"/>
                <w:color w:val="auto"/>
              </w:rPr>
            </w:pPr>
          </w:p>
        </w:tc>
        <w:tc>
          <w:tcPr>
            <w:tcW w:w="2940" w:type="dxa"/>
            <w:vAlign w:val="bottom"/>
            <w:tcBorders>
              <w:bottom w:val="single" w:sz="8" w:color="E5E5E5"/>
            </w:tcBorders>
            <w:shd w:val="clear" w:color="auto" w:fill="E5E5E5"/>
          </w:tcPr>
          <w:p>
            <w:pPr>
              <w:spacing w:after="0"/>
              <w:rPr>
                <w:sz w:val="17"/>
                <w:szCs w:val="17"/>
                <w:color w:val="auto"/>
              </w:rPr>
            </w:pPr>
          </w:p>
        </w:tc>
        <w:tc>
          <w:tcPr>
            <w:tcW w:w="600" w:type="dxa"/>
            <w:vAlign w:val="bottom"/>
            <w:tcBorders>
              <w:bottom w:val="single" w:sz="8" w:color="E5E5E5"/>
            </w:tcBorders>
            <w:shd w:val="clear" w:color="auto" w:fill="E5E5E5"/>
          </w:tcPr>
          <w:p>
            <w:pPr>
              <w:spacing w:after="0"/>
              <w:rPr>
                <w:sz w:val="17"/>
                <w:szCs w:val="17"/>
                <w:color w:val="auto"/>
              </w:rPr>
            </w:pPr>
          </w:p>
        </w:tc>
        <w:tc>
          <w:tcPr>
            <w:tcW w:w="980" w:type="dxa"/>
            <w:vAlign w:val="bottom"/>
            <w:tcBorders>
              <w:bottom w:val="single" w:sz="8" w:color="E5E5E5"/>
            </w:tcBorders>
            <w:shd w:val="clear" w:color="auto" w:fill="E5E5E5"/>
          </w:tcPr>
          <w:p>
            <w:pPr>
              <w:spacing w:after="0"/>
              <w:rPr>
                <w:sz w:val="17"/>
                <w:szCs w:val="17"/>
                <w:color w:val="auto"/>
              </w:rPr>
            </w:pPr>
          </w:p>
        </w:tc>
        <w:tc>
          <w:tcPr>
            <w:tcW w:w="540" w:type="dxa"/>
            <w:vAlign w:val="bottom"/>
            <w:tcBorders>
              <w:bottom w:val="single" w:sz="8" w:color="E5E5E5"/>
            </w:tcBorders>
            <w:shd w:val="clear" w:color="auto" w:fill="E5E5E5"/>
          </w:tcPr>
          <w:p>
            <w:pPr>
              <w:spacing w:after="0"/>
              <w:rPr>
                <w:sz w:val="17"/>
                <w:szCs w:val="17"/>
                <w:color w:val="auto"/>
              </w:rPr>
            </w:pPr>
          </w:p>
        </w:tc>
        <w:tc>
          <w:tcPr>
            <w:tcW w:w="680" w:type="dxa"/>
            <w:vAlign w:val="bottom"/>
            <w:tcBorders>
              <w:bottom w:val="single" w:sz="8" w:color="E5E5E5"/>
            </w:tcBorders>
            <w:shd w:val="clear" w:color="auto" w:fill="E5E5E5"/>
          </w:tcPr>
          <w:p>
            <w:pPr>
              <w:spacing w:after="0"/>
              <w:rPr>
                <w:sz w:val="17"/>
                <w:szCs w:val="17"/>
                <w:color w:val="auto"/>
              </w:rPr>
            </w:pPr>
          </w:p>
        </w:tc>
        <w:tc>
          <w:tcPr>
            <w:tcW w:w="800" w:type="dxa"/>
            <w:vAlign w:val="bottom"/>
            <w:tcBorders>
              <w:bottom w:val="single" w:sz="8" w:color="E5E5E5"/>
            </w:tcBorders>
            <w:shd w:val="clear" w:color="auto" w:fill="E5E5E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940" w:type="dxa"/>
            <w:vAlign w:val="bottom"/>
          </w:tcPr>
          <w:p>
            <w:pPr>
              <w:jc w:val="right"/>
              <w:ind w:right="214"/>
              <w:spacing w:after="0"/>
              <w:rPr>
                <w:sz w:val="20"/>
                <w:szCs w:val="20"/>
                <w:color w:val="auto"/>
              </w:rPr>
            </w:pPr>
            <w:r>
              <w:rPr>
                <w:rFonts w:ascii="Arial" w:cs="Arial" w:eastAsia="Arial" w:hAnsi="Arial"/>
                <w:sz w:val="18"/>
                <w:szCs w:val="18"/>
                <w:color w:val="auto"/>
              </w:rPr>
              <w:t>$ 7,212</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302</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88</w:t>
            </w:r>
          </w:p>
        </w:tc>
        <w:tc>
          <w:tcPr>
            <w:tcW w:w="800" w:type="dxa"/>
            <w:vAlign w:val="bottom"/>
          </w:tcPr>
          <w:p>
            <w:pPr>
              <w:jc w:val="right"/>
              <w:spacing w:after="0"/>
              <w:rPr>
                <w:sz w:val="20"/>
                <w:szCs w:val="20"/>
                <w:color w:val="auto"/>
              </w:rPr>
            </w:pPr>
            <w:r>
              <w:rPr>
                <w:rFonts w:ascii="Arial" w:cs="Arial" w:eastAsia="Arial" w:hAnsi="Arial"/>
                <w:sz w:val="18"/>
                <w:szCs w:val="18"/>
                <w:color w:val="auto"/>
              </w:rPr>
              <w:t>$ 7,602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294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$ 2,876</w:t>
            </w:r>
          </w:p>
        </w:tc>
        <w:tc>
          <w:tcPr>
            <w:tcW w:w="60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65</w:t>
            </w:r>
          </w:p>
        </w:tc>
        <w:tc>
          <w:tcPr>
            <w:tcW w:w="5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96)</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$ 2,845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940" w:type="dxa"/>
            <w:vAlign w:val="bottom"/>
          </w:tcPr>
          <w:p>
            <w:pPr>
              <w:jc w:val="right"/>
              <w:ind w:right="214"/>
              <w:spacing w:after="0"/>
              <w:rPr>
                <w:sz w:val="20"/>
                <w:szCs w:val="20"/>
                <w:color w:val="auto"/>
              </w:rPr>
            </w:pPr>
            <w:r>
              <w:rPr>
                <w:rFonts w:ascii="Arial" w:cs="Arial" w:eastAsia="Arial" w:hAnsi="Arial"/>
                <w:sz w:val="18"/>
                <w:szCs w:val="18"/>
                <w:color w:val="auto"/>
              </w:rPr>
              <w:t>$ 1,399</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18</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111)</w:t>
            </w:r>
          </w:p>
        </w:tc>
        <w:tc>
          <w:tcPr>
            <w:tcW w:w="800" w:type="dxa"/>
            <w:vAlign w:val="bottom"/>
          </w:tcPr>
          <w:p>
            <w:pPr>
              <w:jc w:val="right"/>
              <w:spacing w:after="0"/>
              <w:rPr>
                <w:sz w:val="20"/>
                <w:szCs w:val="20"/>
                <w:color w:val="auto"/>
              </w:rPr>
            </w:pPr>
            <w:r>
              <w:rPr>
                <w:rFonts w:ascii="Arial" w:cs="Arial" w:eastAsia="Arial" w:hAnsi="Arial"/>
                <w:sz w:val="18"/>
                <w:szCs w:val="18"/>
                <w:color w:val="auto"/>
              </w:rPr>
              <w:t>$ 1,306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294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39.9%</w:t>
            </w:r>
          </w:p>
        </w:tc>
        <w:tc>
          <w:tcPr>
            <w:tcW w:w="60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21.3%</w:t>
            </w:r>
          </w:p>
        </w:tc>
        <w:tc>
          <w:tcPr>
            <w:tcW w:w="5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NM</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Capital Expenditures (3)</w:t>
            </w:r>
          </w:p>
        </w:tc>
        <w:tc>
          <w:tcPr>
            <w:tcW w:w="2940" w:type="dxa"/>
            <w:vAlign w:val="bottom"/>
          </w:tcPr>
          <w:p>
            <w:pPr>
              <w:jc w:val="right"/>
              <w:ind w:right="214"/>
              <w:spacing w:after="0"/>
              <w:rPr>
                <w:sz w:val="20"/>
                <w:szCs w:val="20"/>
                <w:color w:val="auto"/>
              </w:rPr>
            </w:pPr>
            <w:r>
              <w:rPr>
                <w:rFonts w:ascii="Arial" w:cs="Arial" w:eastAsia="Arial" w:hAnsi="Arial"/>
                <w:sz w:val="18"/>
                <w:szCs w:val="18"/>
                <w:color w:val="auto"/>
              </w:rPr>
              <w:t>$ 1,480</w:t>
            </w:r>
          </w:p>
        </w:tc>
        <w:tc>
          <w:tcPr>
            <w:tcW w:w="600" w:type="dxa"/>
            <w:vAlign w:val="bottom"/>
          </w:tcPr>
          <w:p>
            <w:pPr>
              <w:ind w:lef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$ 1,491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Historical financial data by business segment, in accordance with generally accepted accounting principles in the United States (GAAP), is available in the Company’s Annual Report on Form 10-K. All percentages are calculated based on actual amounts. Minor differences may exist due to rounding.</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Programming includes our national networks E! Entertainment Television and Style Network (E! Networks), The Golf Channel, VERSUS and G4.</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Cable segment’s capital expenditures are comprised of the following categories: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1Q08</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1"/>
              </w:rPr>
              <w:t>1Q07</w:t>
            </w:r>
          </w:p>
        </w:tc>
      </w:tr>
      <w:tr>
        <w:trPr>
          <w:trHeight w:val="210"/>
        </w:trPr>
        <w:tc>
          <w:tcPr>
            <w:tcW w:w="20" w:type="dxa"/>
            <w:vAlign w:val="bottom"/>
          </w:tcPr>
          <w:p>
            <w:pPr>
              <w:spacing w:after="0"/>
              <w:rPr>
                <w:sz w:val="18"/>
                <w:szCs w:val="18"/>
                <w:color w:val="auto"/>
              </w:rPr>
            </w:pPr>
          </w:p>
        </w:tc>
        <w:tc>
          <w:tcPr>
            <w:tcW w:w="7400" w:type="dxa"/>
            <w:vAlign w:val="bottom"/>
            <w:shd w:val="clear" w:color="auto" w:fill="E5E5E5"/>
          </w:tcPr>
          <w:p>
            <w:pPr>
              <w:spacing w:after="0"/>
              <w:rPr>
                <w:sz w:val="20"/>
                <w:szCs w:val="20"/>
                <w:color w:val="auto"/>
              </w:rPr>
            </w:pPr>
            <w:r>
              <w:rPr>
                <w:rFonts w:ascii="Arial" w:cs="Arial" w:eastAsia="Arial" w:hAnsi="Arial"/>
                <w:sz w:val="18"/>
                <w:szCs w:val="18"/>
                <w:color w:val="auto"/>
              </w:rPr>
              <w:t>Growth</w:t>
            </w: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Customer Premise Equipment (CPE)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16"/>
        </w:trPr>
        <w:tc>
          <w:tcPr>
            <w:tcW w:w="20" w:type="dxa"/>
            <w:vAlign w:val="bottom"/>
          </w:tcPr>
          <w:p>
            <w:pPr>
              <w:spacing w:after="0"/>
              <w:rPr>
                <w:sz w:val="18"/>
                <w:szCs w:val="18"/>
                <w:color w:val="auto"/>
              </w:rPr>
            </w:pPr>
          </w:p>
        </w:tc>
        <w:tc>
          <w:tcPr>
            <w:tcW w:w="74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Scalable Infrastructure</w:t>
            </w: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Line Extensions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74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Support Capital</w:t>
            </w: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Upgrades (Capacity Expansion)</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74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Business Services</w:t>
            </w:r>
          </w:p>
        </w:tc>
        <w:tc>
          <w:tcPr>
            <w:tcW w:w="360" w:type="dxa"/>
            <w:vAlign w:val="bottom"/>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r>
      <w:tr>
        <w:trPr>
          <w:trHeight w:val="221"/>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1,051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1,084</w:t>
            </w:r>
          </w:p>
        </w:tc>
      </w:tr>
      <w:tr>
        <w:trPr>
          <w:trHeight w:val="218"/>
        </w:trPr>
        <w:tc>
          <w:tcPr>
            <w:tcW w:w="20" w:type="dxa"/>
            <w:vAlign w:val="bottom"/>
          </w:tcPr>
          <w:p>
            <w:pPr>
              <w:spacing w:after="0"/>
              <w:rPr>
                <w:sz w:val="18"/>
                <w:szCs w:val="18"/>
                <w:color w:val="auto"/>
              </w:rPr>
            </w:pPr>
          </w:p>
        </w:tc>
        <w:tc>
          <w:tcPr>
            <w:tcW w:w="7400" w:type="dxa"/>
            <w:vAlign w:val="bottom"/>
            <w:shd w:val="clear" w:color="auto" w:fill="E5E5E5"/>
          </w:tcPr>
          <w:p>
            <w:pPr>
              <w:spacing w:after="0"/>
              <w:rPr>
                <w:sz w:val="20"/>
                <w:szCs w:val="20"/>
                <w:color w:val="auto"/>
              </w:rPr>
            </w:pPr>
            <w:r>
              <w:rPr>
                <w:rFonts w:ascii="Arial" w:cs="Arial" w:eastAsia="Arial" w:hAnsi="Arial"/>
                <w:sz w:val="18"/>
                <w:szCs w:val="18"/>
                <w:color w:val="auto"/>
              </w:rPr>
              <w:t>Maintenance</w:t>
            </w: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CPE (Drop Replacements)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74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Scalable Infrastructure</w:t>
            </w: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Support Capital</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74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Upgrades</w:t>
            </w:r>
          </w:p>
        </w:tc>
        <w:tc>
          <w:tcPr>
            <w:tcW w:w="360" w:type="dxa"/>
            <w:vAlign w:val="bottom"/>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w:t>
            </w:r>
          </w:p>
        </w:tc>
      </w:tr>
      <w:tr>
        <w:trPr>
          <w:trHeight w:val="221"/>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18"/>
        </w:trPr>
        <w:tc>
          <w:tcPr>
            <w:tcW w:w="20" w:type="dxa"/>
            <w:vAlign w:val="bottom"/>
          </w:tcPr>
          <w:p>
            <w:pPr>
              <w:spacing w:after="0"/>
              <w:rPr>
                <w:sz w:val="18"/>
                <w:szCs w:val="18"/>
                <w:color w:val="auto"/>
              </w:rPr>
            </w:pPr>
          </w:p>
        </w:tc>
        <w:tc>
          <w:tcPr>
            <w:tcW w:w="7400" w:type="dxa"/>
            <w:vAlign w:val="bottom"/>
            <w:shd w:val="clear" w:color="auto" w:fill="E5E5E5"/>
          </w:tcPr>
          <w:p>
            <w:pPr>
              <w:spacing w:after="0"/>
              <w:rPr>
                <w:sz w:val="20"/>
                <w:szCs w:val="20"/>
                <w:color w:val="auto"/>
              </w:rPr>
            </w:pPr>
            <w:r>
              <w:rPr>
                <w:rFonts w:ascii="Arial" w:cs="Arial" w:eastAsia="Arial" w:hAnsi="Arial"/>
                <w:sz w:val="18"/>
                <w:szCs w:val="18"/>
                <w:color w:val="auto"/>
              </w:rPr>
              <w:t>Discretionary</w:t>
            </w:r>
          </w:p>
        </w:tc>
        <w:tc>
          <w:tcPr>
            <w:tcW w:w="360" w:type="dxa"/>
            <w:vAlign w:val="bottom"/>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1,355</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1,480</w:t>
            </w: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Support capital includes costs associated with the replacement or enhancement of non-network assets due to obsolescence and wear out (e.g. non-network equipment, land, buildings and vehicles). Upgrades include costs to enhance or replace existing fiber/coaxial cable networks, including network improvements. Business Services includes fiber/coax extension, electronics, CPE and costs to secure new customers.</w:t>
      </w:r>
    </w:p>
    <w:p>
      <w:pPr>
        <w:spacing w:after="0" w:line="12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Management evaluates capital expenditures by categorizing investments into three groups: Growth, Maintenance and Discretionary. Growth is directly tied to revenue generation and represents the costs required to secure new customers, revenue units or additional bandwidth revenues. Maintenance includes investments that allow the company to maintain its competitive position and provide a foundation for growth. Discretionary includes investments that lay the groundwork for future products and services, such as our investments in interactive advertising, cross-platform product development or switched digital video.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66" w:right="239" w:bottom="1440" w:gutter="0" w:footer="0" w:header="0"/>
        </w:sectPr>
      </w:pPr>
    </w:p>
    <w:bookmarkStart w:id="11" w:name="page12"/>
    <w:bookmarkEnd w:id="11"/>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183515</wp:posOffset>
            </wp:positionV>
            <wp:extent cx="148336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TABLE 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 Forma Data – Cable Segment Components</w:t>
      </w:r>
    </w:p>
    <w:p>
      <w:pPr>
        <w:jc w:val="center"/>
        <w:spacing w:after="0"/>
        <w:rPr>
          <w:sz w:val="20"/>
          <w:szCs w:val="20"/>
          <w:color w:val="auto"/>
        </w:rPr>
      </w:pPr>
      <w:r>
        <w:rPr>
          <w:rFonts w:ascii="Arial" w:cs="Arial" w:eastAsia="Arial" w:hAnsi="Arial"/>
          <w:sz w:val="22"/>
          <w:szCs w:val="22"/>
          <w:b w:val="1"/>
          <w:bCs w:val="1"/>
          <w:color w:val="auto"/>
        </w:rPr>
        <w:t>(Unaudited) (1)(2)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92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952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subscriber and per unit data)</w:t>
            </w:r>
          </w:p>
        </w:tc>
        <w:tc>
          <w:tcPr>
            <w:tcW w:w="192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9520" w:type="dxa"/>
            <w:vAlign w:val="bottom"/>
            <w:gridSpan w:val="2"/>
            <w:vMerge w:val="continue"/>
          </w:tcPr>
          <w:p>
            <w:pPr>
              <w:spacing w:after="0"/>
              <w:rPr>
                <w:sz w:val="12"/>
                <w:szCs w:val="12"/>
                <w:color w:val="auto"/>
              </w:rPr>
            </w:pPr>
          </w:p>
        </w:tc>
        <w:tc>
          <w:tcPr>
            <w:tcW w:w="112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Revenues:</w:t>
            </w:r>
          </w:p>
        </w:tc>
        <w:tc>
          <w:tcPr>
            <w:tcW w:w="11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Video (3)</w:t>
            </w: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$ 4,706</w:t>
            </w:r>
          </w:p>
        </w:tc>
        <w:tc>
          <w:tcPr>
            <w:tcW w:w="780" w:type="dxa"/>
            <w:vAlign w:val="bottom"/>
          </w:tcPr>
          <w:p>
            <w:pPr>
              <w:jc w:val="right"/>
              <w:spacing w:after="0"/>
              <w:rPr>
                <w:sz w:val="20"/>
                <w:szCs w:val="20"/>
                <w:color w:val="auto"/>
              </w:rPr>
            </w:pPr>
            <w:r>
              <w:rPr>
                <w:rFonts w:ascii="Arial" w:cs="Arial" w:eastAsia="Arial" w:hAnsi="Arial"/>
                <w:sz w:val="18"/>
                <w:szCs w:val="18"/>
                <w:color w:val="auto"/>
              </w:rPr>
              <w:t>$ 4,491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High-speed Internet</w:t>
            </w:r>
          </w:p>
        </w:tc>
        <w:tc>
          <w:tcPr>
            <w:tcW w:w="11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1,750</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Phone</w:t>
            </w: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587</w:t>
            </w:r>
          </w:p>
        </w:tc>
        <w:tc>
          <w:tcPr>
            <w:tcW w:w="78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11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344</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(4)</w:t>
            </w: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305</w:t>
            </w:r>
          </w:p>
        </w:tc>
        <w:tc>
          <w:tcPr>
            <w:tcW w:w="780" w:type="dxa"/>
            <w:vAlign w:val="bottom"/>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Borders>
              <w:bottom w:val="single" w:sz="8" w:color="E5E5E5"/>
            </w:tcBorders>
            <w:shd w:val="clear" w:color="auto" w:fill="E5E5E5"/>
          </w:tcPr>
          <w:p>
            <w:pPr>
              <w:ind w:left="420"/>
              <w:spacing w:after="0"/>
              <w:rPr>
                <w:sz w:val="20"/>
                <w:szCs w:val="20"/>
                <w:color w:val="auto"/>
              </w:rPr>
            </w:pPr>
            <w:r>
              <w:rPr>
                <w:rFonts w:ascii="Arial" w:cs="Arial" w:eastAsia="Arial" w:hAnsi="Arial"/>
                <w:sz w:val="18"/>
                <w:szCs w:val="18"/>
                <w:color w:val="auto"/>
              </w:rPr>
              <w:t>Franchise fees</w:t>
            </w:r>
          </w:p>
        </w:tc>
        <w:tc>
          <w:tcPr>
            <w:tcW w:w="11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224</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Total Revenues *</w:t>
            </w: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$ 7,916</w:t>
            </w:r>
          </w:p>
        </w:tc>
        <w:tc>
          <w:tcPr>
            <w:tcW w:w="780" w:type="dxa"/>
            <w:vAlign w:val="bottom"/>
          </w:tcPr>
          <w:p>
            <w:pPr>
              <w:jc w:val="right"/>
              <w:spacing w:after="0"/>
              <w:rPr>
                <w:sz w:val="20"/>
                <w:szCs w:val="20"/>
                <w:color w:val="auto"/>
              </w:rPr>
            </w:pPr>
            <w:r>
              <w:rPr>
                <w:rFonts w:ascii="Arial" w:cs="Arial" w:eastAsia="Arial" w:hAnsi="Arial"/>
                <w:sz w:val="18"/>
                <w:szCs w:val="18"/>
                <w:color w:val="auto"/>
              </w:rPr>
              <w:t>$ 7,212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11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$ 3,142</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$ 2,876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$ 1,594</w:t>
            </w:r>
          </w:p>
        </w:tc>
        <w:tc>
          <w:tcPr>
            <w:tcW w:w="780" w:type="dxa"/>
            <w:vAlign w:val="bottom"/>
          </w:tcPr>
          <w:p>
            <w:pPr>
              <w:jc w:val="right"/>
              <w:spacing w:after="0"/>
              <w:rPr>
                <w:sz w:val="20"/>
                <w:szCs w:val="20"/>
                <w:color w:val="auto"/>
              </w:rPr>
            </w:pPr>
            <w:r>
              <w:rPr>
                <w:rFonts w:ascii="Arial" w:cs="Arial" w:eastAsia="Arial" w:hAnsi="Arial"/>
                <w:sz w:val="18"/>
                <w:szCs w:val="18"/>
                <w:color w:val="auto"/>
              </w:rPr>
              <w:t>$ 1,399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E5E5E5"/>
          </w:tcPr>
          <w:p>
            <w:pPr>
              <w:spacing w:after="0"/>
              <w:rPr>
                <w:sz w:val="20"/>
                <w:szCs w:val="20"/>
                <w:color w:val="auto"/>
              </w:rPr>
            </w:pPr>
            <w:r>
              <w:rPr>
                <w:rFonts w:ascii="Arial" w:cs="Arial" w:eastAsia="Arial" w:hAnsi="Arial"/>
                <w:sz w:val="18"/>
                <w:szCs w:val="18"/>
                <w:color w:val="auto"/>
              </w:rPr>
              <w:t>Operating Cash Flow Margin</w:t>
            </w:r>
          </w:p>
        </w:tc>
        <w:tc>
          <w:tcPr>
            <w:tcW w:w="11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39.7%</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Capital Expenditures</w:t>
            </w: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$ 1,355</w:t>
            </w:r>
          </w:p>
        </w:tc>
        <w:tc>
          <w:tcPr>
            <w:tcW w:w="780" w:type="dxa"/>
            <w:vAlign w:val="bottom"/>
          </w:tcPr>
          <w:p>
            <w:pPr>
              <w:jc w:val="right"/>
              <w:spacing w:after="0"/>
              <w:rPr>
                <w:sz w:val="20"/>
                <w:szCs w:val="20"/>
                <w:color w:val="auto"/>
              </w:rPr>
            </w:pPr>
            <w:r>
              <w:rPr>
                <w:rFonts w:ascii="Arial" w:cs="Arial" w:eastAsia="Arial" w:hAnsi="Arial"/>
                <w:sz w:val="18"/>
                <w:szCs w:val="18"/>
                <w:color w:val="auto"/>
              </w:rPr>
              <w:t>$ 1,480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Total Revenues include revenues from Business Services of $120 million in 1Q08 and $87 million in 1Q07.</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9"/>
              </w:rPr>
              <w:t>1Q08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9"/>
              </w:rPr>
              <w:t>4Q07</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1Q07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Video</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Homes Passed (000’s)</w:t>
            </w:r>
          </w:p>
        </w:tc>
        <w:tc>
          <w:tcPr>
            <w:tcW w:w="38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w w:val="87"/>
              </w:rPr>
              <w:t>49,902</w:t>
            </w:r>
          </w:p>
        </w:tc>
        <w:tc>
          <w:tcPr>
            <w:tcW w:w="24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w w:val="87"/>
              </w:rPr>
              <w:t>49,701</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48,977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Basic Subscribers (000’s)</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24,691</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24,748</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25,005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Basic Penetration</w:t>
            </w:r>
          </w:p>
        </w:tc>
        <w:tc>
          <w:tcPr>
            <w:tcW w:w="38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Quarterly Net Basic Subscriber Additions (000’s)</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(57)</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22"/>
        </w:trPr>
        <w:tc>
          <w:tcPr>
            <w:tcW w:w="7160" w:type="dxa"/>
            <w:vAlign w:val="bottom"/>
            <w:gridSpan w:val="2"/>
          </w:tcPr>
          <w:p>
            <w:pPr>
              <w:spacing w:after="0"/>
              <w:rPr>
                <w:sz w:val="20"/>
                <w:szCs w:val="20"/>
                <w:color w:val="auto"/>
              </w:rPr>
            </w:pPr>
            <w:r>
              <w:rPr>
                <w:rFonts w:ascii="Arial" w:cs="Arial" w:eastAsia="Arial" w:hAnsi="Arial"/>
                <w:sz w:val="18"/>
                <w:szCs w:val="18"/>
                <w:color w:val="auto"/>
              </w:rPr>
              <w:t>Digital Subscribers (000’s)</w:t>
            </w:r>
          </w:p>
        </w:tc>
        <w:tc>
          <w:tcPr>
            <w:tcW w:w="380" w:type="dxa"/>
            <w:vAlign w:val="bottom"/>
          </w:tcPr>
          <w:p>
            <w:pPr>
              <w:spacing w:after="0"/>
              <w:rPr>
                <w:sz w:val="24"/>
                <w:szCs w:val="24"/>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w w:val="87"/>
              </w:rPr>
              <w:t>16,015</w:t>
            </w:r>
          </w:p>
        </w:tc>
        <w:tc>
          <w:tcPr>
            <w:tcW w:w="240" w:type="dxa"/>
            <w:vAlign w:val="bottom"/>
          </w:tcPr>
          <w:p>
            <w:pPr>
              <w:spacing w:after="0"/>
              <w:rPr>
                <w:sz w:val="24"/>
                <w:szCs w:val="24"/>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w w:val="87"/>
              </w:rPr>
              <w:t>15,521</w:t>
            </w:r>
          </w:p>
        </w:tc>
        <w:tc>
          <w:tcPr>
            <w:tcW w:w="240" w:type="dxa"/>
            <w:vAlign w:val="bottom"/>
          </w:tcPr>
          <w:p>
            <w:pPr>
              <w:spacing w:after="0"/>
              <w:rPr>
                <w:sz w:val="24"/>
                <w:szCs w:val="24"/>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13,665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Digital Penetration</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Quarterly Net Digital Subscriber Additions (000’s)</w:t>
            </w:r>
          </w:p>
        </w:tc>
        <w:tc>
          <w:tcPr>
            <w:tcW w:w="38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Digital Set-Top Boxes</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25,856</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24,957</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21,121</w:t>
            </w:r>
          </w:p>
        </w:tc>
        <w:tc>
          <w:tcPr>
            <w:tcW w:w="0" w:type="dxa"/>
            <w:vAlign w:val="bottom"/>
          </w:tcPr>
          <w:p>
            <w:pPr>
              <w:spacing w:after="0"/>
              <w:rPr>
                <w:sz w:val="1"/>
                <w:szCs w:val="1"/>
                <w:color w:val="auto"/>
              </w:rPr>
            </w:pPr>
          </w:p>
        </w:tc>
      </w:tr>
      <w:tr>
        <w:trPr>
          <w:trHeight w:val="322"/>
        </w:trPr>
        <w:tc>
          <w:tcPr>
            <w:tcW w:w="7160" w:type="dxa"/>
            <w:vAlign w:val="bottom"/>
            <w:gridSpan w:val="2"/>
          </w:tcPr>
          <w:p>
            <w:pPr>
              <w:spacing w:after="0"/>
              <w:rPr>
                <w:sz w:val="20"/>
                <w:szCs w:val="20"/>
                <w:color w:val="auto"/>
              </w:rPr>
            </w:pPr>
            <w:r>
              <w:rPr>
                <w:rFonts w:ascii="Arial" w:cs="Arial" w:eastAsia="Arial" w:hAnsi="Arial"/>
                <w:sz w:val="18"/>
                <w:szCs w:val="18"/>
                <w:color w:val="auto"/>
              </w:rPr>
              <w:t>Monthly Average Video Revenue per Basic Subscriber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63.46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61.54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Total Revenue per Basic Subscriber</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106.74</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104.29</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322"/>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High-Speed Internet</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“Available” Homes (000’s)</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49,548</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49,327</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48,503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Subscribers (000’s)</w:t>
            </w:r>
          </w:p>
        </w:tc>
        <w:tc>
          <w:tcPr>
            <w:tcW w:w="38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w w:val="87"/>
              </w:rPr>
              <w:t>14,078</w:t>
            </w:r>
          </w:p>
        </w:tc>
        <w:tc>
          <w:tcPr>
            <w:tcW w:w="24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w w:val="87"/>
              </w:rPr>
              <w:t>13,586</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12,432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Penetration of “Available” Homes</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Quarterly Net Subscriber Additions (000’s)</w:t>
            </w:r>
          </w:p>
        </w:tc>
        <w:tc>
          <w:tcPr>
            <w:tcW w:w="38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Monthly Average Revenue per Subscriber</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42.18</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42.30</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323"/>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Phone</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Comcast Digital Voice</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“Available” Homes (000’s)</w:t>
            </w:r>
          </w:p>
        </w:tc>
        <w:tc>
          <w:tcPr>
            <w:tcW w:w="38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w w:val="87"/>
              </w:rPr>
              <w:t>44,082</w:t>
            </w:r>
          </w:p>
        </w:tc>
        <w:tc>
          <w:tcPr>
            <w:tcW w:w="24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w w:val="87"/>
              </w:rPr>
              <w:t>43,032</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w w:val="87"/>
              </w:rPr>
              <w:t>36,069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Subscribers (000’s)</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5,088</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4,449</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Penetration of “Available” Homes</w:t>
            </w:r>
          </w:p>
        </w:tc>
        <w:tc>
          <w:tcPr>
            <w:tcW w:w="38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639</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618</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Monthly Average Digital Voice Revenue per Subscriber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40.24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40.46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Circuit Switched Phone</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“Available” Homes (000’s)</w:t>
            </w:r>
          </w:p>
        </w:tc>
        <w:tc>
          <w:tcPr>
            <w:tcW w:w="38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5,029</w:t>
            </w:r>
          </w:p>
        </w:tc>
        <w:tc>
          <w:tcPr>
            <w:tcW w:w="240" w:type="dxa"/>
            <w:vAlign w:val="bottom"/>
          </w:tcPr>
          <w:p>
            <w:pPr>
              <w:spacing w:after="0"/>
              <w:rPr>
                <w:sz w:val="18"/>
                <w:szCs w:val="18"/>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5,026</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Subscribers (000’s)</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66</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Penetration of “Available” Homes</w:t>
            </w:r>
          </w:p>
        </w:tc>
        <w:tc>
          <w:tcPr>
            <w:tcW w:w="38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Quarterly Net Subscriber Additions (000’s)</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Monthly Average Circuit Switched Phone Revenue per Subscriber</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40.61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42.41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E5E5E5"/>
          </w:tcPr>
          <w:p>
            <w:pPr>
              <w:spacing w:after="0"/>
              <w:rPr>
                <w:sz w:val="20"/>
                <w:szCs w:val="20"/>
                <w:color w:val="auto"/>
              </w:rPr>
            </w:pPr>
            <w:r>
              <w:rPr>
                <w:rFonts w:ascii="Arial" w:cs="Arial" w:eastAsia="Arial" w:hAnsi="Arial"/>
                <w:sz w:val="18"/>
                <w:szCs w:val="18"/>
                <w:color w:val="auto"/>
              </w:rPr>
              <w:t>Total Revenue Generating Units (000’s) (5)</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59,939</w:t>
            </w:r>
          </w:p>
        </w:tc>
        <w:tc>
          <w:tcPr>
            <w:tcW w:w="2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w w:val="87"/>
              </w:rPr>
              <w:t>58,480</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54,120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Quarterly Net Additions (000’s)</w:t>
            </w:r>
          </w:p>
        </w:tc>
        <w:tc>
          <w:tcPr>
            <w:tcW w:w="380" w:type="dxa"/>
            <w:vAlign w:val="bottom"/>
          </w:tcPr>
          <w:p>
            <w:pPr>
              <w:spacing w:after="0"/>
              <w:rPr>
                <w:sz w:val="19"/>
                <w:szCs w:val="19"/>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1,458</w:t>
            </w:r>
          </w:p>
        </w:tc>
        <w:tc>
          <w:tcPr>
            <w:tcW w:w="240" w:type="dxa"/>
            <w:vAlign w:val="bottom"/>
          </w:tcPr>
          <w:p>
            <w:pPr>
              <w:spacing w:after="0"/>
              <w:rPr>
                <w:sz w:val="19"/>
                <w:szCs w:val="19"/>
                <w:color w:val="auto"/>
              </w:rPr>
            </w:pPr>
          </w:p>
        </w:tc>
        <w:tc>
          <w:tcPr>
            <w:tcW w:w="800" w:type="dxa"/>
            <w:vAlign w:val="bottom"/>
          </w:tcPr>
          <w:p>
            <w:pPr>
              <w:jc w:val="right"/>
              <w:ind w:right="213"/>
              <w:spacing w:after="0"/>
              <w:rPr>
                <w:sz w:val="20"/>
                <w:szCs w:val="20"/>
                <w:color w:val="auto"/>
              </w:rPr>
            </w:pPr>
            <w:r>
              <w:rPr>
                <w:rFonts w:ascii="Arial" w:cs="Arial" w:eastAsia="Arial" w:hAnsi="Arial"/>
                <w:sz w:val="18"/>
                <w:szCs w:val="18"/>
                <w:color w:val="auto"/>
              </w:rPr>
              <w:t>1,261</w:t>
            </w:r>
          </w:p>
        </w:tc>
        <w:tc>
          <w:tcPr>
            <w:tcW w:w="24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Non-GAAP and Other Financial Measures in Table 7. All percentages are calculated based on actual amounts. Minor differences may exist due to rounding.</w:t>
      </w:r>
    </w:p>
    <w:p>
      <w:pPr>
        <w:spacing w:after="0" w:line="5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 forma financial data includes the results of Comcast SportsNet Bay Area and Comcast SportsNet New England acquired on June 30, 2007, the cable system acquired from Patriot Media Holdings, LLC on August 31, 2007, and the cable systems resulting from the dissolution of the Insight Midwest Partnership on January 1, 2008. Pro forma results are presented as if the acquisitions and dispositions were effective on January 1, 2007. The net impact of these transactions was an increase of 765,000 basic cable subscribers.</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Video revenues consist of our basic, expanded basic, digital, premium, pay-per-view and equipment services.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revenues include installation revenues, guide revenues, commissions from electronic retailing, other product offerings, commercial data services and revenues of our digital media center and regional sports programming networks.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sum of basic and digital video, high-speed Internet and net phone subscribers, excluding additional outlets. Subscriptions to DVR and/or HDTV services do not result in additional RGUs.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905" w:orient="portrait"/>
          <w:cols w:equalWidth="0" w:num="1">
            <w:col w:w="11420"/>
          </w:cols>
          <w:pgMar w:left="240" w:top="1066"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183515</wp:posOffset>
            </wp:positionV>
            <wp:extent cx="1483360" cy="420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483360" cy="420370"/>
                    </a:xfrm>
                    <a:prstGeom prst="rect">
                      <a:avLst/>
                    </a:prstGeom>
                    <a:noFill/>
                  </pic:spPr>
                </pic:pic>
              </a:graphicData>
            </a:graphic>
          </wp:anchor>
        </w:drawing>
        <w:t>TABLE 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and Other Financial Measures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performance measure in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in the United States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measure. We believe, among other things, that the “adjusted” data may help investors evaluate our ongoing operations and can assist in making meaningful period-over-period comparisons.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Cash Flow, Free Cash Flow and Unlevered Free Cash Flow should not be considered as substitutes for operating income (loss), net income (loss), net cash provided by operating activities or other measures of performance or liquidity reported in accordance with GAAP. Additionally, in the opinion of management, our pro forma data is not necessarily indicative of future results or what results would have been had the acquired businesses been operated by us after the assumed earlier date.</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provide reconciliations of Consolidated Operating Cash Flow in Table 1, Free Cash Flow and Unlevered Free Cash Flow in Table 4, Pro Forma in Table 7-A and Adjusted Data in Table 7-B.</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6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183515</wp:posOffset>
            </wp:positionV>
            <wp:extent cx="1483360" cy="420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483360" cy="420370"/>
                    </a:xfrm>
                    <a:prstGeom prst="rect">
                      <a:avLst/>
                    </a:prstGeom>
                    <a:noFill/>
                  </pic:spPr>
                </pic:pic>
              </a:graphicData>
            </a:graphic>
          </wp:anchor>
        </w:drawing>
        <w:t>TABLE 7-A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to Pro Forma(1) Financial Data by Business Segment</w:t>
      </w:r>
    </w:p>
    <w:p>
      <w:pPr>
        <w:jc w:val="center"/>
        <w:spacing w:after="0" w:line="236" w:lineRule="auto"/>
        <w:rPr>
          <w:sz w:val="20"/>
          <w:szCs w:val="20"/>
          <w:color w:val="auto"/>
        </w:rPr>
      </w:pPr>
      <w:r>
        <w:rPr>
          <w:rFonts w:ascii="Arial" w:cs="Arial" w:eastAsia="Arial" w:hAnsi="Arial"/>
          <w:sz w:val="22"/>
          <w:szCs w:val="22"/>
          <w:b w:val="1"/>
          <w:bCs w:val="1"/>
          <w:color w:val="auto"/>
        </w:rPr>
        <w:t>(Unaudited)</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ind w:left="340"/>
              <w:spacing w:after="0" w:line="149" w:lineRule="exact"/>
              <w:rPr>
                <w:sz w:val="20"/>
                <w:szCs w:val="20"/>
                <w:color w:val="auto"/>
              </w:rPr>
            </w:pPr>
            <w:r>
              <w:rPr>
                <w:rFonts w:ascii="Arial" w:cs="Arial" w:eastAsia="Arial" w:hAnsi="Arial"/>
                <w:sz w:val="14"/>
                <w:szCs w:val="14"/>
                <w:b w:val="1"/>
                <w:bCs w:val="1"/>
                <w:color w:val="auto"/>
              </w:rPr>
              <w:t>GAAP</w:t>
            </w:r>
          </w:p>
        </w:tc>
        <w:tc>
          <w:tcPr>
            <w:tcW w:w="54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600"/>
              <w:spacing w:after="0" w:line="149" w:lineRule="exact"/>
              <w:rPr>
                <w:sz w:val="20"/>
                <w:szCs w:val="20"/>
                <w:color w:val="auto"/>
              </w:rPr>
            </w:pPr>
            <w:r>
              <w:rPr>
                <w:rFonts w:ascii="Arial" w:cs="Arial" w:eastAsia="Arial" w:hAnsi="Arial"/>
                <w:sz w:val="14"/>
                <w:szCs w:val="14"/>
                <w:b w:val="1"/>
                <w:bCs w:val="1"/>
                <w:color w:val="auto"/>
              </w:rPr>
              <w:t>Cable</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580"/>
              <w:spacing w:after="0" w:line="149" w:lineRule="exact"/>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Corporate,</w:t>
            </w:r>
          </w:p>
        </w:tc>
        <w:tc>
          <w:tcPr>
            <w:tcW w:w="7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Other and</w:t>
            </w:r>
          </w:p>
        </w:tc>
        <w:tc>
          <w:tcPr>
            <w:tcW w:w="7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Pro Forma</w:t>
            </w:r>
          </w:p>
        </w:tc>
        <w:tc>
          <w:tcPr>
            <w:tcW w:w="88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2"/>
                <w:szCs w:val="12"/>
                <w:color w:val="auto"/>
              </w:rPr>
            </w:pPr>
          </w:p>
        </w:tc>
        <w:tc>
          <w:tcPr>
            <w:tcW w:w="10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Pro Forma</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5"/>
              </w:rPr>
              <w:t>Total Pro</w:t>
            </w: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680" w:type="dxa"/>
            <w:vAlign w:val="bottom"/>
          </w:tcPr>
          <w:p>
            <w:pPr>
              <w:jc w:val="right"/>
              <w:ind w:right="54"/>
              <w:spacing w:after="0"/>
              <w:rPr>
                <w:sz w:val="20"/>
                <w:szCs w:val="20"/>
                <w:color w:val="auto"/>
              </w:rPr>
            </w:pPr>
            <w:r>
              <w:rPr>
                <w:rFonts w:ascii="Arial" w:cs="Arial" w:eastAsia="Arial" w:hAnsi="Arial"/>
                <w:sz w:val="14"/>
                <w:szCs w:val="14"/>
                <w:b w:val="1"/>
                <w:bCs w:val="1"/>
                <w:color w:val="auto"/>
              </w:rPr>
              <w:t>Cable</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Programming</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Eliminations</w:t>
            </w:r>
          </w:p>
        </w:tc>
        <w:tc>
          <w:tcPr>
            <w:tcW w:w="740" w:type="dxa"/>
            <w:vAlign w:val="bottom"/>
            <w:tcBorders>
              <w:right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w w:val="91"/>
              </w:rPr>
              <w:t>Adjustments (1) (2)</w:t>
            </w:r>
          </w:p>
        </w:tc>
        <w:tc>
          <w:tcPr>
            <w:tcW w:w="180" w:type="dxa"/>
            <w:vAlign w:val="bottom"/>
          </w:tcPr>
          <w:p>
            <w:pPr>
              <w:spacing w:after="0"/>
              <w:rPr>
                <w:sz w:val="14"/>
                <w:szCs w:val="14"/>
                <w:color w:val="auto"/>
              </w:rPr>
            </w:pPr>
          </w:p>
        </w:tc>
        <w:tc>
          <w:tcPr>
            <w:tcW w:w="700" w:type="dxa"/>
            <w:vAlign w:val="bottom"/>
            <w:tcBorders>
              <w:right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9"/>
              </w:rPr>
              <w:t>Cable</w:t>
            </w: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w w:val="91"/>
              </w:rPr>
              <w:t>Adjustments (1) (2)</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00" w:type="dxa"/>
            <w:vAlign w:val="bottom"/>
            <w:tcBorders>
              <w:top w:val="single" w:sz="8" w:color="auto"/>
              <w:bottom w:val="single" w:sz="8" w:color="auto"/>
            </w:tcBorders>
            <w:shd w:val="clear" w:color="auto" w:fill="E5E5E5"/>
          </w:tcPr>
          <w:p>
            <w:pPr>
              <w:spacing w:after="0" w:line="170" w:lineRule="exact"/>
              <w:rPr>
                <w:sz w:val="20"/>
                <w:szCs w:val="20"/>
                <w:color w:val="auto"/>
              </w:rPr>
            </w:pPr>
            <w:r>
              <w:rPr>
                <w:rFonts w:ascii="Arial" w:cs="Arial" w:eastAsia="Arial" w:hAnsi="Arial"/>
                <w:sz w:val="18"/>
                <w:szCs w:val="18"/>
                <w:b w:val="1"/>
                <w:bCs w:val="1"/>
                <w:color w:val="auto"/>
                <w:w w:val="89"/>
              </w:rPr>
              <w:t>Three Months Ended March 31, 2008</w:t>
            </w:r>
          </w:p>
        </w:tc>
        <w:tc>
          <w:tcPr>
            <w:tcW w:w="1300" w:type="dxa"/>
            <w:vAlign w:val="bottom"/>
            <w:tcBorders>
              <w:top w:val="single" w:sz="8" w:color="auto"/>
              <w:bottom w:val="single" w:sz="8" w:color="E5E5E5"/>
            </w:tcBorders>
            <w:shd w:val="clear" w:color="auto" w:fill="E5E5E5"/>
          </w:tcPr>
          <w:p>
            <w:pPr>
              <w:spacing w:after="0"/>
              <w:rPr>
                <w:sz w:val="16"/>
                <w:szCs w:val="16"/>
                <w:color w:val="auto"/>
              </w:rPr>
            </w:pPr>
          </w:p>
        </w:tc>
        <w:tc>
          <w:tcPr>
            <w:tcW w:w="680" w:type="dxa"/>
            <w:vAlign w:val="bottom"/>
            <w:tcBorders>
              <w:top w:val="single" w:sz="8" w:color="auto"/>
              <w:bottom w:val="single" w:sz="8" w:color="E5E5E5"/>
            </w:tcBorders>
            <w:shd w:val="clear" w:color="auto" w:fill="E5E5E5"/>
          </w:tcPr>
          <w:p>
            <w:pPr>
              <w:spacing w:after="0"/>
              <w:rPr>
                <w:sz w:val="16"/>
                <w:szCs w:val="16"/>
                <w:color w:val="auto"/>
              </w:rPr>
            </w:pPr>
          </w:p>
        </w:tc>
        <w:tc>
          <w:tcPr>
            <w:tcW w:w="380" w:type="dxa"/>
            <w:vAlign w:val="bottom"/>
            <w:tcBorders>
              <w:top w:val="single" w:sz="8" w:color="auto"/>
              <w:bottom w:val="single" w:sz="8" w:color="E5E5E5"/>
            </w:tcBorders>
            <w:shd w:val="clear" w:color="auto" w:fill="E5E5E5"/>
          </w:tcPr>
          <w:p>
            <w:pPr>
              <w:spacing w:after="0"/>
              <w:rPr>
                <w:sz w:val="16"/>
                <w:szCs w:val="16"/>
                <w:color w:val="auto"/>
              </w:rPr>
            </w:pPr>
          </w:p>
        </w:tc>
        <w:tc>
          <w:tcPr>
            <w:tcW w:w="540" w:type="dxa"/>
            <w:vAlign w:val="bottom"/>
            <w:tcBorders>
              <w:top w:val="single" w:sz="8" w:color="auto"/>
              <w:bottom w:val="single" w:sz="8" w:color="E5E5E5"/>
            </w:tcBorders>
            <w:shd w:val="clear" w:color="auto" w:fill="E5E5E5"/>
          </w:tcPr>
          <w:p>
            <w:pPr>
              <w:spacing w:after="0"/>
              <w:rPr>
                <w:sz w:val="16"/>
                <w:szCs w:val="16"/>
                <w:color w:val="auto"/>
              </w:rPr>
            </w:pPr>
          </w:p>
        </w:tc>
        <w:tc>
          <w:tcPr>
            <w:tcW w:w="380" w:type="dxa"/>
            <w:vAlign w:val="bottom"/>
            <w:tcBorders>
              <w:top w:val="single" w:sz="8" w:color="auto"/>
              <w:bottom w:val="single" w:sz="8" w:color="E5E5E5"/>
            </w:tcBorders>
            <w:shd w:val="clear" w:color="auto" w:fill="E5E5E5"/>
          </w:tcPr>
          <w:p>
            <w:pPr>
              <w:spacing w:after="0"/>
              <w:rPr>
                <w:sz w:val="16"/>
                <w:szCs w:val="16"/>
                <w:color w:val="auto"/>
              </w:rPr>
            </w:pPr>
          </w:p>
        </w:tc>
        <w:tc>
          <w:tcPr>
            <w:tcW w:w="540" w:type="dxa"/>
            <w:vAlign w:val="bottom"/>
            <w:tcBorders>
              <w:top w:val="single" w:sz="8" w:color="auto"/>
              <w:bottom w:val="single" w:sz="8" w:color="E5E5E5"/>
            </w:tcBorders>
            <w:shd w:val="clear" w:color="auto" w:fill="E5E5E5"/>
          </w:tcPr>
          <w:p>
            <w:pPr>
              <w:spacing w:after="0"/>
              <w:rPr>
                <w:sz w:val="16"/>
                <w:szCs w:val="16"/>
                <w:color w:val="auto"/>
              </w:rPr>
            </w:pPr>
          </w:p>
        </w:tc>
        <w:tc>
          <w:tcPr>
            <w:tcW w:w="740" w:type="dxa"/>
            <w:vAlign w:val="bottom"/>
            <w:tcBorders>
              <w:top w:val="single" w:sz="8" w:color="auto"/>
              <w:bottom w:val="single" w:sz="8" w:color="E5E5E5"/>
              <w:right w:val="single" w:sz="8" w:color="auto"/>
            </w:tcBorders>
            <w:shd w:val="clear" w:color="auto" w:fill="E5E5E5"/>
          </w:tcPr>
          <w:p>
            <w:pPr>
              <w:spacing w:after="0"/>
              <w:rPr>
                <w:sz w:val="16"/>
                <w:szCs w:val="16"/>
                <w:color w:val="auto"/>
              </w:rPr>
            </w:pPr>
          </w:p>
        </w:tc>
        <w:tc>
          <w:tcPr>
            <w:tcW w:w="260" w:type="dxa"/>
            <w:vAlign w:val="bottom"/>
            <w:tcBorders>
              <w:top w:val="single" w:sz="8" w:color="auto"/>
              <w:bottom w:val="single" w:sz="8" w:color="E5E5E5"/>
            </w:tcBorders>
            <w:shd w:val="clear" w:color="auto" w:fill="E5E5E5"/>
          </w:tcPr>
          <w:p>
            <w:pPr>
              <w:spacing w:after="0"/>
              <w:rPr>
                <w:sz w:val="16"/>
                <w:szCs w:val="16"/>
                <w:color w:val="auto"/>
              </w:rPr>
            </w:pPr>
          </w:p>
        </w:tc>
        <w:tc>
          <w:tcPr>
            <w:tcW w:w="1020" w:type="dxa"/>
            <w:vAlign w:val="bottom"/>
            <w:tcBorders>
              <w:top w:val="single" w:sz="8" w:color="auto"/>
              <w:bottom w:val="single" w:sz="8" w:color="E5E5E5"/>
            </w:tcBorders>
            <w:shd w:val="clear" w:color="auto" w:fill="E5E5E5"/>
          </w:tcPr>
          <w:p>
            <w:pPr>
              <w:spacing w:after="0"/>
              <w:rPr>
                <w:sz w:val="16"/>
                <w:szCs w:val="16"/>
                <w:color w:val="auto"/>
              </w:rPr>
            </w:pPr>
          </w:p>
        </w:tc>
        <w:tc>
          <w:tcPr>
            <w:tcW w:w="180" w:type="dxa"/>
            <w:vAlign w:val="bottom"/>
            <w:tcBorders>
              <w:top w:val="single" w:sz="8" w:color="auto"/>
              <w:bottom w:val="single" w:sz="8" w:color="E5E5E5"/>
            </w:tcBorders>
            <w:shd w:val="clear" w:color="auto" w:fill="E5E5E5"/>
          </w:tcPr>
          <w:p>
            <w:pPr>
              <w:spacing w:after="0"/>
              <w:rPr>
                <w:sz w:val="16"/>
                <w:szCs w:val="16"/>
                <w:color w:val="auto"/>
              </w:rPr>
            </w:pPr>
          </w:p>
        </w:tc>
        <w:tc>
          <w:tcPr>
            <w:tcW w:w="700" w:type="dxa"/>
            <w:vAlign w:val="bottom"/>
            <w:tcBorders>
              <w:top w:val="single" w:sz="8" w:color="auto"/>
              <w:bottom w:val="single" w:sz="8" w:color="E5E5E5"/>
              <w:right w:val="single" w:sz="8" w:color="auto"/>
            </w:tcBorders>
            <w:shd w:val="clear" w:color="auto" w:fill="E5E5E5"/>
          </w:tcPr>
          <w:p>
            <w:pPr>
              <w:spacing w:after="0"/>
              <w:rPr>
                <w:sz w:val="16"/>
                <w:szCs w:val="16"/>
                <w:color w:val="auto"/>
              </w:rPr>
            </w:pPr>
          </w:p>
        </w:tc>
        <w:tc>
          <w:tcPr>
            <w:tcW w:w="260" w:type="dxa"/>
            <w:vAlign w:val="bottom"/>
            <w:tcBorders>
              <w:top w:val="single" w:sz="8" w:color="auto"/>
              <w:bottom w:val="single" w:sz="8" w:color="E5E5E5"/>
            </w:tcBorders>
            <w:shd w:val="clear" w:color="auto" w:fill="E5E5E5"/>
          </w:tcPr>
          <w:p>
            <w:pPr>
              <w:spacing w:after="0"/>
              <w:rPr>
                <w:sz w:val="16"/>
                <w:szCs w:val="16"/>
                <w:color w:val="auto"/>
              </w:rPr>
            </w:pPr>
          </w:p>
        </w:tc>
        <w:tc>
          <w:tcPr>
            <w:tcW w:w="1020" w:type="dxa"/>
            <w:vAlign w:val="bottom"/>
            <w:tcBorders>
              <w:top w:val="single" w:sz="8" w:color="auto"/>
              <w:bottom w:val="single" w:sz="8" w:color="E5E5E5"/>
            </w:tcBorders>
            <w:shd w:val="clear" w:color="auto" w:fill="E5E5E5"/>
          </w:tcPr>
          <w:p>
            <w:pPr>
              <w:spacing w:after="0"/>
              <w:rPr>
                <w:sz w:val="16"/>
                <w:szCs w:val="16"/>
                <w:color w:val="auto"/>
              </w:rPr>
            </w:pPr>
          </w:p>
        </w:tc>
        <w:tc>
          <w:tcPr>
            <w:tcW w:w="600" w:type="dxa"/>
            <w:vAlign w:val="bottom"/>
            <w:tcBorders>
              <w:top w:val="single" w:sz="8" w:color="auto"/>
              <w:bottom w:val="single" w:sz="8" w:color="E5E5E5"/>
            </w:tcBorders>
            <w:shd w:val="clear" w:color="auto" w:fill="E5E5E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$7,916</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363</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74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w w:val="98"/>
              </w:rPr>
              <w:t>$8,389</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7,916</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ind w:left="7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$ 8,389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Expenses (excluding depreciation and</w:t>
            </w: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4,774</w:t>
            </w:r>
          </w:p>
        </w:tc>
        <w:tc>
          <w:tcPr>
            <w:tcW w:w="380" w:type="dxa"/>
            <w:vAlign w:val="bottom"/>
            <w:shd w:val="clear" w:color="auto" w:fill="E5E5E5"/>
          </w:tcPr>
          <w:p>
            <w:pPr>
              <w:spacing w:after="0"/>
              <w:rPr>
                <w:sz w:val="18"/>
                <w:szCs w:val="18"/>
                <w:color w:val="auto"/>
              </w:rPr>
            </w:pPr>
          </w:p>
        </w:tc>
        <w:tc>
          <w:tcPr>
            <w:tcW w:w="54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E5E5E5"/>
          </w:tcPr>
          <w:p>
            <w:pPr>
              <w:spacing w:after="0"/>
              <w:rPr>
                <w:sz w:val="18"/>
                <w:szCs w:val="18"/>
                <w:color w:val="auto"/>
              </w:rPr>
            </w:pPr>
          </w:p>
        </w:tc>
        <w:tc>
          <w:tcPr>
            <w:tcW w:w="540" w:type="dxa"/>
            <w:vAlign w:val="bottom"/>
            <w:vMerge w:val="restart"/>
            <w:shd w:val="clear" w:color="auto" w:fill="E5E5E5"/>
          </w:tcPr>
          <w:p>
            <w:pPr>
              <w:jc w:val="right"/>
              <w:ind w:right="12"/>
              <w:spacing w:after="0"/>
              <w:rPr>
                <w:sz w:val="20"/>
                <w:szCs w:val="20"/>
                <w:color w:val="auto"/>
              </w:rPr>
            </w:pPr>
            <w:r>
              <w:rPr>
                <w:rFonts w:ascii="Arial" w:cs="Arial" w:eastAsia="Arial" w:hAnsi="Arial"/>
                <w:sz w:val="18"/>
                <w:szCs w:val="18"/>
                <w:color w:val="auto"/>
              </w:rPr>
              <w:t>191</w:t>
            </w:r>
          </w:p>
        </w:tc>
        <w:tc>
          <w:tcPr>
            <w:tcW w:w="740" w:type="dxa"/>
            <w:vAlign w:val="bottom"/>
            <w:tcBorders>
              <w:right w:val="single" w:sz="8" w:color="auto"/>
            </w:tcBorders>
            <w:vMerge w:val="restart"/>
            <w:shd w:val="clear" w:color="auto" w:fill="E5E5E5"/>
          </w:tcPr>
          <w:p>
            <w:pPr>
              <w:jc w:val="right"/>
              <w:ind w:right="94"/>
              <w:spacing w:after="0"/>
              <w:rPr>
                <w:sz w:val="20"/>
                <w:szCs w:val="20"/>
                <w:color w:val="auto"/>
              </w:rPr>
            </w:pPr>
            <w:r>
              <w:rPr>
                <w:rFonts w:ascii="Arial" w:cs="Arial" w:eastAsia="Arial" w:hAnsi="Arial"/>
                <w:sz w:val="18"/>
                <w:szCs w:val="18"/>
                <w:color w:val="auto"/>
              </w:rPr>
              <w:t>5,215</w:t>
            </w:r>
          </w:p>
        </w:tc>
        <w:tc>
          <w:tcPr>
            <w:tcW w:w="260" w:type="dxa"/>
            <w:vAlign w:val="bottom"/>
            <w:shd w:val="clear" w:color="auto" w:fill="E5E5E5"/>
          </w:tcPr>
          <w:p>
            <w:pPr>
              <w:spacing w:after="0"/>
              <w:rPr>
                <w:sz w:val="18"/>
                <w:szCs w:val="18"/>
                <w:color w:val="auto"/>
              </w:rPr>
            </w:pPr>
          </w:p>
        </w:tc>
        <w:tc>
          <w:tcPr>
            <w:tcW w:w="1020" w:type="dxa"/>
            <w:vAlign w:val="bottom"/>
            <w:vMerge w:val="restart"/>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700" w:type="dxa"/>
            <w:vAlign w:val="bottom"/>
            <w:tcBorders>
              <w:right w:val="single" w:sz="8" w:color="auto"/>
            </w:tcBorders>
            <w:vMerge w:val="restart"/>
            <w:shd w:val="clear" w:color="auto" w:fill="E5E5E5"/>
          </w:tcPr>
          <w:p>
            <w:pPr>
              <w:jc w:val="right"/>
              <w:ind w:right="94"/>
              <w:spacing w:after="0"/>
              <w:rPr>
                <w:sz w:val="20"/>
                <w:szCs w:val="20"/>
                <w:color w:val="auto"/>
              </w:rPr>
            </w:pPr>
            <w:r>
              <w:rPr>
                <w:rFonts w:ascii="Arial" w:cs="Arial" w:eastAsia="Arial" w:hAnsi="Arial"/>
                <w:sz w:val="18"/>
                <w:szCs w:val="18"/>
                <w:color w:val="auto"/>
              </w:rPr>
              <w:t>4,774</w:t>
            </w:r>
          </w:p>
        </w:tc>
        <w:tc>
          <w:tcPr>
            <w:tcW w:w="260" w:type="dxa"/>
            <w:vAlign w:val="bottom"/>
            <w:shd w:val="clear" w:color="auto" w:fill="E5E5E5"/>
          </w:tcPr>
          <w:p>
            <w:pPr>
              <w:spacing w:after="0"/>
              <w:rPr>
                <w:sz w:val="18"/>
                <w:szCs w:val="18"/>
                <w:color w:val="auto"/>
              </w:rPr>
            </w:pPr>
          </w:p>
        </w:tc>
        <w:tc>
          <w:tcPr>
            <w:tcW w:w="1020" w:type="dxa"/>
            <w:vAlign w:val="bottom"/>
            <w:vMerge w:val="restart"/>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E5E5E5"/>
          </w:tcPr>
          <w:p>
            <w:pPr>
              <w:jc w:val="right"/>
              <w:spacing w:after="0"/>
              <w:rPr>
                <w:sz w:val="20"/>
                <w:szCs w:val="20"/>
                <w:color w:val="auto"/>
              </w:rPr>
            </w:pPr>
            <w:r>
              <w:rPr>
                <w:rFonts w:ascii="Arial" w:cs="Arial" w:eastAsia="Arial" w:hAnsi="Arial"/>
                <w:sz w:val="18"/>
                <w:szCs w:val="18"/>
                <w:color w:val="auto"/>
              </w:rPr>
              <w:t>5,215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tcBorders>
              <w:bottom w:val="single" w:sz="8" w:color="E5E5E5"/>
            </w:tcBorders>
            <w:gridSpan w:val="2"/>
            <w:shd w:val="clear" w:color="auto" w:fill="E5E5E5"/>
          </w:tcPr>
          <w:p>
            <w:pPr>
              <w:ind w:left="200"/>
              <w:spacing w:after="0"/>
              <w:rPr>
                <w:sz w:val="20"/>
                <w:szCs w:val="20"/>
                <w:color w:val="auto"/>
              </w:rPr>
            </w:pPr>
            <w:r>
              <w:rPr>
                <w:rFonts w:ascii="Arial" w:cs="Arial" w:eastAsia="Arial" w:hAnsi="Arial"/>
                <w:sz w:val="18"/>
                <w:szCs w:val="18"/>
                <w:color w:val="auto"/>
              </w:rPr>
              <w:t>amortization)</w:t>
            </w:r>
          </w:p>
        </w:tc>
        <w:tc>
          <w:tcPr>
            <w:tcW w:w="680" w:type="dxa"/>
            <w:vAlign w:val="bottom"/>
            <w:tcBorders>
              <w:bottom w:val="single" w:sz="8" w:color="auto"/>
            </w:tcBorders>
            <w:vMerge w:val="continue"/>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vMerge w:val="continue"/>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vMerge w:val="continue"/>
            <w:shd w:val="clear" w:color="auto" w:fill="E5E5E5"/>
          </w:tcPr>
          <w:p>
            <w:pPr>
              <w:spacing w:after="0"/>
              <w:rPr>
                <w:sz w:val="18"/>
                <w:szCs w:val="18"/>
                <w:color w:val="auto"/>
              </w:rPr>
            </w:pPr>
          </w:p>
        </w:tc>
        <w:tc>
          <w:tcPr>
            <w:tcW w:w="74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vMerge w:val="continue"/>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vMerge w:val="continue"/>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vMerge w:val="continue"/>
            <w:shd w:val="clear" w:color="auto" w:fill="E5E5E5"/>
          </w:tcPr>
          <w:p>
            <w:pPr>
              <w:spacing w:after="0"/>
              <w:rPr>
                <w:sz w:val="18"/>
                <w:szCs w:val="18"/>
                <w:color w:val="auto"/>
              </w:rPr>
            </w:pPr>
          </w:p>
        </w:tc>
        <w:tc>
          <w:tcPr>
            <w:tcW w:w="600" w:type="dxa"/>
            <w:vAlign w:val="bottom"/>
            <w:tcBorders>
              <w:bottom w:val="single" w:sz="8" w:color="auto"/>
            </w:tcBorders>
            <w:vMerge w:val="continue"/>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Cash Flow</w:t>
            </w:r>
          </w:p>
        </w:tc>
        <w:tc>
          <w:tcPr>
            <w:tcW w:w="680" w:type="dxa"/>
            <w:vAlign w:val="bottom"/>
          </w:tcPr>
          <w:p>
            <w:pPr>
              <w:jc w:val="right"/>
              <w:spacing w:after="0"/>
              <w:rPr>
                <w:sz w:val="20"/>
                <w:szCs w:val="20"/>
                <w:color w:val="auto"/>
              </w:rPr>
            </w:pPr>
            <w:r>
              <w:rPr>
                <w:rFonts w:ascii="Arial" w:cs="Arial" w:eastAsia="Arial" w:hAnsi="Arial"/>
                <w:sz w:val="18"/>
                <w:szCs w:val="18"/>
                <w:color w:val="auto"/>
              </w:rPr>
              <w:t>$3,142</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74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w w:val="98"/>
              </w:rPr>
              <w:t>$3,174</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tcPr>
          <w:p>
            <w:pPr>
              <w:jc w:val="right"/>
              <w:ind w:right="94"/>
              <w:spacing w:after="0"/>
              <w:rPr>
                <w:sz w:val="20"/>
                <w:szCs w:val="20"/>
                <w:color w:val="auto"/>
              </w:rPr>
            </w:pPr>
            <w:r>
              <w:rPr>
                <w:rFonts w:ascii="Arial" w:cs="Arial" w:eastAsia="Arial" w:hAnsi="Arial"/>
                <w:sz w:val="18"/>
                <w:szCs w:val="18"/>
                <w:color w:val="auto"/>
              </w:rPr>
              <w:t>3,142</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ind w:left="7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$ 3,174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1,548</w:t>
            </w:r>
          </w:p>
        </w:tc>
        <w:tc>
          <w:tcPr>
            <w:tcW w:w="3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17</w:t>
            </w:r>
          </w:p>
        </w:tc>
        <w:tc>
          <w:tcPr>
            <w:tcW w:w="740" w:type="dxa"/>
            <w:vAlign w:val="bottom"/>
            <w:tcBorders>
              <w:bottom w:val="single" w:sz="8" w:color="auto"/>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1,619</w:t>
            </w:r>
          </w:p>
        </w:tc>
        <w:tc>
          <w:tcPr>
            <w:tcW w:w="2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1,548</w:t>
            </w:r>
          </w:p>
        </w:tc>
        <w:tc>
          <w:tcPr>
            <w:tcW w:w="2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74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color w:val="auto"/>
                <w:w w:val="98"/>
              </w:rPr>
              <w:t>$1,555</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color w:val="auto"/>
              </w:rPr>
              <w:t>1,594</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$ 1,555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0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8"/>
                <w:szCs w:val="18"/>
                <w:color w:val="auto"/>
              </w:rPr>
              <w:t>Capital Expenditures</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$1,355</w:t>
            </w:r>
          </w:p>
        </w:tc>
        <w:tc>
          <w:tcPr>
            <w:tcW w:w="3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72</w:t>
            </w:r>
          </w:p>
        </w:tc>
        <w:tc>
          <w:tcPr>
            <w:tcW w:w="740" w:type="dxa"/>
            <w:vAlign w:val="bottom"/>
            <w:tcBorders>
              <w:bottom w:val="single" w:sz="8" w:color="auto"/>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8"/>
              </w:rPr>
              <w:t>$1,431</w:t>
            </w:r>
          </w:p>
        </w:tc>
        <w:tc>
          <w:tcPr>
            <w:tcW w:w="2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1,355</w:t>
            </w:r>
          </w:p>
        </w:tc>
        <w:tc>
          <w:tcPr>
            <w:tcW w:w="2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6"/>
              </w:rPr>
              <w:t>$ 1,431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 March 31, 2007</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$6,998</w:t>
            </w:r>
          </w:p>
        </w:tc>
        <w:tc>
          <w:tcPr>
            <w:tcW w:w="3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302</w:t>
            </w:r>
          </w:p>
        </w:tc>
        <w:tc>
          <w:tcPr>
            <w:tcW w:w="3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88</w:t>
            </w:r>
          </w:p>
        </w:tc>
        <w:tc>
          <w:tcPr>
            <w:tcW w:w="740" w:type="dxa"/>
            <w:vAlign w:val="bottom"/>
            <w:tcBorders>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8"/>
              </w:rPr>
              <w:t>$7,388</w:t>
            </w:r>
          </w:p>
        </w:tc>
        <w:tc>
          <w:tcPr>
            <w:tcW w:w="2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ind w:left="700"/>
              <w:spacing w:after="0"/>
              <w:rPr>
                <w:sz w:val="20"/>
                <w:szCs w:val="20"/>
                <w:color w:val="auto"/>
              </w:rPr>
            </w:pPr>
            <w:r>
              <w:rPr>
                <w:rFonts w:ascii="Arial" w:cs="Arial" w:eastAsia="Arial" w:hAnsi="Arial"/>
                <w:sz w:val="18"/>
                <w:szCs w:val="18"/>
                <w:color w:val="auto"/>
                <w:w w:val="99"/>
              </w:rPr>
              <w:t>214</w:t>
            </w:r>
          </w:p>
        </w:tc>
        <w:tc>
          <w:tcPr>
            <w:tcW w:w="180" w:type="dxa"/>
            <w:vAlign w:val="bottom"/>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7,212</w:t>
            </w:r>
          </w:p>
        </w:tc>
        <w:tc>
          <w:tcPr>
            <w:tcW w:w="2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ind w:left="700"/>
              <w:spacing w:after="0"/>
              <w:rPr>
                <w:sz w:val="20"/>
                <w:szCs w:val="20"/>
                <w:color w:val="auto"/>
              </w:rPr>
            </w:pPr>
            <w:r>
              <w:rPr>
                <w:rFonts w:ascii="Arial" w:cs="Arial" w:eastAsia="Arial" w:hAnsi="Arial"/>
                <w:sz w:val="18"/>
                <w:szCs w:val="18"/>
                <w:color w:val="auto"/>
                <w:w w:val="99"/>
              </w:rPr>
              <w:t>214</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6"/>
              </w:rPr>
              <w:t>$ 7,602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4120" w:type="dxa"/>
            <w:vAlign w:val="bottom"/>
            <w:gridSpan w:val="3"/>
          </w:tcPr>
          <w:p>
            <w:pPr>
              <w:spacing w:after="0"/>
              <w:rPr>
                <w:sz w:val="20"/>
                <w:szCs w:val="20"/>
                <w:color w:val="auto"/>
              </w:rPr>
            </w:pPr>
            <w:r>
              <w:rPr>
                <w:rFonts w:ascii="Arial" w:cs="Arial" w:eastAsia="Arial" w:hAnsi="Arial"/>
                <w:sz w:val="18"/>
                <w:szCs w:val="18"/>
                <w:color w:val="auto"/>
              </w:rPr>
              <w:t>Operating Expenses (excluding depreciation and</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4,205</w:t>
            </w:r>
          </w:p>
        </w:tc>
        <w:tc>
          <w:tcPr>
            <w:tcW w:w="38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24"/>
                <w:szCs w:val="24"/>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8"/>
                <w:szCs w:val="18"/>
                <w:color w:val="auto"/>
              </w:rPr>
              <w:t>183</w:t>
            </w:r>
          </w:p>
        </w:tc>
        <w:tc>
          <w:tcPr>
            <w:tcW w:w="740" w:type="dxa"/>
            <w:vAlign w:val="bottom"/>
            <w:tcBorders>
              <w:right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4,625</w:t>
            </w:r>
          </w:p>
        </w:tc>
        <w:tc>
          <w:tcPr>
            <w:tcW w:w="260" w:type="dxa"/>
            <w:vAlign w:val="bottom"/>
          </w:tcPr>
          <w:p>
            <w:pPr>
              <w:spacing w:after="0"/>
              <w:rPr>
                <w:sz w:val="24"/>
                <w:szCs w:val="24"/>
                <w:color w:val="auto"/>
              </w:rPr>
            </w:pPr>
          </w:p>
        </w:tc>
        <w:tc>
          <w:tcPr>
            <w:tcW w:w="1020" w:type="dxa"/>
            <w:vAlign w:val="bottom"/>
            <w:vMerge w:val="restart"/>
          </w:tcPr>
          <w:p>
            <w:pPr>
              <w:ind w:left="700"/>
              <w:spacing w:after="0"/>
              <w:rPr>
                <w:sz w:val="20"/>
                <w:szCs w:val="20"/>
                <w:color w:val="auto"/>
              </w:rPr>
            </w:pPr>
            <w:r>
              <w:rPr>
                <w:rFonts w:ascii="Arial" w:cs="Arial" w:eastAsia="Arial" w:hAnsi="Arial"/>
                <w:sz w:val="18"/>
                <w:szCs w:val="18"/>
                <w:color w:val="auto"/>
                <w:w w:val="99"/>
              </w:rPr>
              <w:t>131</w:t>
            </w:r>
          </w:p>
        </w:tc>
        <w:tc>
          <w:tcPr>
            <w:tcW w:w="180" w:type="dxa"/>
            <w:vAlign w:val="bottom"/>
          </w:tcPr>
          <w:p>
            <w:pPr>
              <w:spacing w:after="0"/>
              <w:rPr>
                <w:sz w:val="24"/>
                <w:szCs w:val="24"/>
                <w:color w:val="auto"/>
              </w:rPr>
            </w:pPr>
          </w:p>
        </w:tc>
        <w:tc>
          <w:tcPr>
            <w:tcW w:w="700" w:type="dxa"/>
            <w:vAlign w:val="bottom"/>
            <w:tcBorders>
              <w:right w:val="single" w:sz="8" w:color="auto"/>
            </w:tcBorders>
            <w:vMerge w:val="restart"/>
          </w:tcPr>
          <w:p>
            <w:pPr>
              <w:jc w:val="right"/>
              <w:ind w:right="94"/>
              <w:spacing w:after="0"/>
              <w:rPr>
                <w:sz w:val="20"/>
                <w:szCs w:val="20"/>
                <w:color w:val="auto"/>
              </w:rPr>
            </w:pPr>
            <w:r>
              <w:rPr>
                <w:rFonts w:ascii="Arial" w:cs="Arial" w:eastAsia="Arial" w:hAnsi="Arial"/>
                <w:sz w:val="18"/>
                <w:szCs w:val="18"/>
                <w:color w:val="auto"/>
              </w:rPr>
              <w:t>4,336</w:t>
            </w:r>
          </w:p>
        </w:tc>
        <w:tc>
          <w:tcPr>
            <w:tcW w:w="260" w:type="dxa"/>
            <w:vAlign w:val="bottom"/>
          </w:tcPr>
          <w:p>
            <w:pPr>
              <w:spacing w:after="0"/>
              <w:rPr>
                <w:sz w:val="24"/>
                <w:szCs w:val="24"/>
                <w:color w:val="auto"/>
              </w:rPr>
            </w:pPr>
          </w:p>
        </w:tc>
        <w:tc>
          <w:tcPr>
            <w:tcW w:w="1020" w:type="dxa"/>
            <w:vAlign w:val="bottom"/>
            <w:vMerge w:val="restart"/>
          </w:tcPr>
          <w:p>
            <w:pPr>
              <w:ind w:left="700"/>
              <w:spacing w:after="0"/>
              <w:rPr>
                <w:sz w:val="20"/>
                <w:szCs w:val="20"/>
                <w:color w:val="auto"/>
              </w:rPr>
            </w:pPr>
            <w:r>
              <w:rPr>
                <w:rFonts w:ascii="Arial" w:cs="Arial" w:eastAsia="Arial" w:hAnsi="Arial"/>
                <w:sz w:val="18"/>
                <w:szCs w:val="18"/>
                <w:color w:val="auto"/>
                <w:w w:val="99"/>
              </w:rPr>
              <w:t>132</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amortization)</w:t>
            </w:r>
          </w:p>
        </w:tc>
        <w:tc>
          <w:tcPr>
            <w:tcW w:w="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740" w:type="dxa"/>
            <w:vAlign w:val="bottom"/>
            <w:tcBorders>
              <w:right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right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Operating Cash Flow</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$2,793</w:t>
            </w:r>
          </w:p>
        </w:tc>
        <w:tc>
          <w:tcPr>
            <w:tcW w:w="38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65</w:t>
            </w:r>
          </w:p>
        </w:tc>
        <w:tc>
          <w:tcPr>
            <w:tcW w:w="38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95)</w:t>
            </w:r>
          </w:p>
        </w:tc>
        <w:tc>
          <w:tcPr>
            <w:tcW w:w="740" w:type="dxa"/>
            <w:vAlign w:val="bottom"/>
            <w:tcBorders>
              <w:top w:val="single" w:sz="8" w:color="auto"/>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8"/>
              </w:rPr>
              <w:t>$2,763</w:t>
            </w:r>
          </w:p>
        </w:tc>
        <w:tc>
          <w:tcPr>
            <w:tcW w:w="2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5E5"/>
          </w:tcPr>
          <w:p>
            <w:pPr>
              <w:ind w:left="780"/>
              <w:spacing w:after="0"/>
              <w:rPr>
                <w:sz w:val="20"/>
                <w:szCs w:val="20"/>
                <w:color w:val="auto"/>
              </w:rPr>
            </w:pPr>
            <w:r>
              <w:rPr>
                <w:rFonts w:ascii="Arial" w:cs="Arial" w:eastAsia="Arial" w:hAnsi="Arial"/>
                <w:sz w:val="18"/>
                <w:szCs w:val="18"/>
                <w:color w:val="auto"/>
              </w:rPr>
              <w:t>83</w:t>
            </w:r>
          </w:p>
        </w:tc>
        <w:tc>
          <w:tcPr>
            <w:tcW w:w="18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2,876</w:t>
            </w:r>
          </w:p>
        </w:tc>
        <w:tc>
          <w:tcPr>
            <w:tcW w:w="2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5E5"/>
          </w:tcPr>
          <w:p>
            <w:pPr>
              <w:ind w:left="780"/>
              <w:spacing w:after="0"/>
              <w:rPr>
                <w:sz w:val="20"/>
                <w:szCs w:val="20"/>
                <w:color w:val="auto"/>
              </w:rPr>
            </w:pPr>
            <w:r>
              <w:rPr>
                <w:rFonts w:ascii="Arial" w:cs="Arial" w:eastAsia="Arial" w:hAnsi="Arial"/>
                <w:sz w:val="18"/>
                <w:szCs w:val="18"/>
                <w:color w:val="auto"/>
              </w:rPr>
              <w:t>82</w:t>
            </w:r>
          </w:p>
        </w:tc>
        <w:tc>
          <w:tcPr>
            <w:tcW w:w="6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6"/>
              </w:rPr>
              <w:t>$ 2,845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74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color w:val="auto"/>
              </w:rPr>
              <w:t>1,502</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color w:val="auto"/>
              </w:rPr>
              <w:t>1,477</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37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$1,353</w:t>
            </w:r>
          </w:p>
        </w:tc>
        <w:tc>
          <w:tcPr>
            <w:tcW w:w="3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110)</w:t>
            </w:r>
          </w:p>
        </w:tc>
        <w:tc>
          <w:tcPr>
            <w:tcW w:w="740" w:type="dxa"/>
            <w:vAlign w:val="bottom"/>
            <w:tcBorders>
              <w:bottom w:val="single" w:sz="8" w:color="auto"/>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8"/>
              </w:rPr>
              <w:t>$1,261</w:t>
            </w:r>
          </w:p>
        </w:tc>
        <w:tc>
          <w:tcPr>
            <w:tcW w:w="2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ind w:left="780"/>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1,399</w:t>
            </w:r>
          </w:p>
        </w:tc>
        <w:tc>
          <w:tcPr>
            <w:tcW w:w="2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ind w:left="780"/>
              <w:spacing w:after="0"/>
              <w:rPr>
                <w:sz w:val="20"/>
                <w:szCs w:val="20"/>
                <w:color w:val="auto"/>
              </w:rPr>
            </w:pPr>
            <w:r>
              <w:rPr>
                <w:rFonts w:ascii="Arial" w:cs="Arial" w:eastAsia="Arial" w:hAnsi="Arial"/>
                <w:sz w:val="18"/>
                <w:szCs w:val="18"/>
                <w:color w:val="auto"/>
              </w:rPr>
              <w:t>45</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6"/>
              </w:rPr>
              <w:t>$ 1,306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41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74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color w:val="auto"/>
                <w:w w:val="98"/>
              </w:rPr>
              <w:t>$1,454</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8"/>
                <w:szCs w:val="18"/>
                <w:color w:val="auto"/>
              </w:rPr>
              <w:t>1,480</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37</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6"/>
              </w:rPr>
              <w:t>$ 1,491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 forma data is adjusted only for timing of acquisitions or dispositions and does not include adjustments for costs related to integration activities, cost savings or synergies that have been or may be achieved by the combined businesses. Pro forma results are presented as if the acquisitions and dispositions were effective on January 1, 2007. Minor differences may exist due to rounding.</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Pro Forma adjustments and Cable Pro Forma adjustments for 2007 include the results of Comcast SportsNet Bay Area and Comcast SportsNet New England, the cable system acquired from Patriot Media Holdings, LLC and the cable systems resulting from the dissolution of the Insight Midwest Partnership.</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6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3039110</wp:posOffset>
            </wp:positionH>
            <wp:positionV relativeFrom="page">
              <wp:posOffset>183515</wp:posOffset>
            </wp:positionV>
            <wp:extent cx="1483360" cy="42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483360" cy="420370"/>
                    </a:xfrm>
                    <a:prstGeom prst="rect">
                      <a:avLst/>
                    </a:prstGeom>
                    <a:noFill/>
                  </pic:spPr>
                </pic:pic>
              </a:graphicData>
            </a:graphic>
          </wp:anchor>
        </w:drawing>
        <w:t>TABLE 7-B</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Net Income to Adjusted Net Income</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gridSpan w:val="2"/>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660" w:type="dxa"/>
            <w:vAlign w:val="bottom"/>
            <w:gridSpan w:val="2"/>
            <w:vMerge w:val="restart"/>
          </w:tcPr>
          <w:p>
            <w:pPr>
              <w:jc w:val="right"/>
              <w:ind w:right="338"/>
              <w:spacing w:after="0"/>
              <w:rPr>
                <w:sz w:val="20"/>
                <w:szCs w:val="20"/>
                <w:color w:val="auto"/>
              </w:rPr>
            </w:pPr>
            <w:r>
              <w:rPr>
                <w:rFonts w:ascii="Arial" w:cs="Arial" w:eastAsia="Arial" w:hAnsi="Arial"/>
                <w:sz w:val="14"/>
                <w:szCs w:val="14"/>
                <w:b w:val="1"/>
                <w:bCs w:val="1"/>
                <w:color w:val="auto"/>
              </w:rPr>
              <w:t>2008 vs. 2007</w:t>
            </w:r>
          </w:p>
        </w:tc>
        <w:tc>
          <w:tcPr>
            <w:tcW w:w="0" w:type="dxa"/>
            <w:vAlign w:val="bottom"/>
          </w:tcPr>
          <w:p>
            <w:pPr>
              <w:spacing w:after="0"/>
              <w:rPr>
                <w:sz w:val="1"/>
                <w:szCs w:val="1"/>
                <w:color w:val="auto"/>
              </w:rPr>
            </w:pPr>
          </w:p>
        </w:tc>
      </w:tr>
      <w:tr>
        <w:trPr>
          <w:trHeight w:val="136"/>
        </w:trPr>
        <w:tc>
          <w:tcPr>
            <w:tcW w:w="6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w w:val="89"/>
              </w:rPr>
              <w:t>2008</w:t>
            </w: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right"/>
              <w:ind w:right="680"/>
              <w:spacing w:after="0"/>
              <w:rPr>
                <w:sz w:val="20"/>
                <w:szCs w:val="20"/>
                <w:color w:val="auto"/>
              </w:rPr>
            </w:pPr>
            <w:r>
              <w:rPr>
                <w:rFonts w:ascii="Arial" w:cs="Arial" w:eastAsia="Arial" w:hAnsi="Arial"/>
                <w:sz w:val="14"/>
                <w:szCs w:val="14"/>
                <w:b w:val="1"/>
                <w:bCs w:val="1"/>
                <w:color w:val="auto"/>
                <w:w w:val="83"/>
              </w:rPr>
              <w:t>2007</w:t>
            </w:r>
          </w:p>
        </w:tc>
        <w:tc>
          <w:tcPr>
            <w:tcW w:w="1660" w:type="dxa"/>
            <w:vAlign w:val="bottom"/>
            <w:tcBorders>
              <w:bottom w:val="single" w:sz="8" w:color="auto"/>
            </w:tcBorders>
            <w:gridSpan w:val="2"/>
          </w:tcPr>
          <w:p>
            <w:pPr>
              <w:jc w:val="right"/>
              <w:ind w:right="37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169"/>
        </w:trPr>
        <w:tc>
          <w:tcPr>
            <w:tcW w:w="604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ind w:left="440"/>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5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right w:val="single" w:sz="8" w:color="auto"/>
            </w:tcBorders>
          </w:tcPr>
          <w:p>
            <w:pPr>
              <w:jc w:val="right"/>
              <w:ind w:right="220"/>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8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138"/>
              <w:spacing w:after="0" w:line="169" w:lineRule="exact"/>
              <w:rPr>
                <w:sz w:val="20"/>
                <w:szCs w:val="20"/>
                <w:color w:val="auto"/>
              </w:rPr>
            </w:pPr>
            <w:r>
              <w:rPr>
                <w:rFonts w:ascii="Arial" w:cs="Arial" w:eastAsia="Arial" w:hAnsi="Arial"/>
                <w:sz w:val="12"/>
                <w:szCs w:val="12"/>
                <w:b w:val="1"/>
                <w:bCs w:val="1"/>
                <w:color w:val="auto"/>
              </w:rPr>
              <w:t xml:space="preserve">EPS </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210"/>
        </w:trPr>
        <w:tc>
          <w:tcPr>
            <w:tcW w:w="604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$ 732</w:t>
            </w:r>
          </w:p>
        </w:tc>
        <w:tc>
          <w:tcPr>
            <w:tcW w:w="1360" w:type="dxa"/>
            <w:vAlign w:val="bottom"/>
            <w:shd w:val="clear" w:color="auto" w:fill="E5E5E5"/>
          </w:tcPr>
          <w:p>
            <w:pPr>
              <w:jc w:val="right"/>
              <w:ind w:right="403"/>
              <w:spacing w:after="0"/>
              <w:rPr>
                <w:sz w:val="20"/>
                <w:szCs w:val="20"/>
                <w:color w:val="auto"/>
              </w:rPr>
            </w:pPr>
            <w:r>
              <w:rPr>
                <w:rFonts w:ascii="Arial" w:cs="Arial" w:eastAsia="Arial" w:hAnsi="Arial"/>
                <w:sz w:val="18"/>
                <w:szCs w:val="18"/>
                <w:b w:val="1"/>
                <w:bCs w:val="1"/>
                <w:color w:val="auto"/>
              </w:rPr>
              <w:t>$ 0.24</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$ 837</w:t>
            </w:r>
          </w:p>
        </w:tc>
        <w:tc>
          <w:tcPr>
            <w:tcW w:w="1040" w:type="dxa"/>
            <w:vAlign w:val="bottom"/>
            <w:tcBorders>
              <w:right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color w:val="auto"/>
              </w:rPr>
              <w:t>$ 0.26</w:t>
            </w:r>
          </w:p>
        </w:tc>
        <w:tc>
          <w:tcPr>
            <w:tcW w:w="880" w:type="dxa"/>
            <w:vAlign w:val="bottom"/>
            <w:shd w:val="clear" w:color="auto" w:fill="E5E5E5"/>
          </w:tcPr>
          <w:p>
            <w:pPr>
              <w:jc w:val="right"/>
              <w:ind w:right="61"/>
              <w:spacing w:after="0"/>
              <w:rPr>
                <w:sz w:val="20"/>
                <w:szCs w:val="20"/>
                <w:color w:val="auto"/>
              </w:rPr>
            </w:pPr>
            <w:r>
              <w:rPr>
                <w:rFonts w:ascii="Arial" w:cs="Arial" w:eastAsia="Arial" w:hAnsi="Arial"/>
                <w:sz w:val="18"/>
                <w:szCs w:val="18"/>
                <w:color w:val="auto"/>
              </w:rPr>
              <w:t>(13%)</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Adjustments:</w:t>
            </w: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shd w:val="clear" w:color="auto" w:fill="E5E5E5"/>
          </w:tcPr>
          <w:p>
            <w:pPr>
              <w:ind w:left="220"/>
              <w:spacing w:after="0"/>
              <w:rPr>
                <w:sz w:val="20"/>
                <w:szCs w:val="20"/>
                <w:color w:val="auto"/>
              </w:rPr>
            </w:pPr>
            <w:r>
              <w:rPr>
                <w:rFonts w:ascii="Arial" w:cs="Arial" w:eastAsia="Arial" w:hAnsi="Arial"/>
                <w:sz w:val="18"/>
                <w:szCs w:val="18"/>
                <w:color w:val="auto"/>
                <w:w w:val="89"/>
              </w:rPr>
              <w:t>Gain related to the dissolution of the Texas/Kansas City Cable Partnership, net of</w:t>
            </w:r>
          </w:p>
        </w:tc>
        <w:tc>
          <w:tcPr>
            <w:tcW w:w="820" w:type="dxa"/>
            <w:vAlign w:val="bottom"/>
            <w:vMerge w:val="restart"/>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shd w:val="clear" w:color="auto" w:fill="E5E5E5"/>
          </w:tcPr>
          <w:p>
            <w:pPr>
              <w:jc w:val="right"/>
              <w:ind w:right="503"/>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5E5E5"/>
          </w:tcPr>
          <w:p>
            <w:pPr>
              <w:spacing w:after="0"/>
              <w:rPr>
                <w:sz w:val="18"/>
                <w:szCs w:val="18"/>
                <w:color w:val="auto"/>
              </w:rPr>
            </w:pPr>
          </w:p>
        </w:tc>
        <w:tc>
          <w:tcPr>
            <w:tcW w:w="1040" w:type="dxa"/>
            <w:vAlign w:val="bottom"/>
            <w:tcBorders>
              <w:right w:val="single" w:sz="8" w:color="auto"/>
            </w:tcBorders>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E5E5E5"/>
          </w:tcPr>
          <w:p>
            <w:pPr>
              <w:ind w:left="440"/>
              <w:spacing w:after="0" w:line="224" w:lineRule="exact"/>
              <w:rPr>
                <w:sz w:val="20"/>
                <w:szCs w:val="20"/>
                <w:color w:val="auto"/>
              </w:rPr>
            </w:pPr>
            <w:r>
              <w:rPr>
                <w:rFonts w:ascii="Arial" w:cs="Arial" w:eastAsia="Arial" w:hAnsi="Arial"/>
                <w:sz w:val="18"/>
                <w:szCs w:val="18"/>
                <w:color w:val="auto"/>
              </w:rPr>
              <w:t xml:space="preserve">tax </w:t>
            </w:r>
            <w:r>
              <w:rPr>
                <w:rFonts w:ascii="Arial" w:cs="Arial" w:eastAsia="Arial" w:hAnsi="Arial"/>
                <w:sz w:val="22"/>
                <w:szCs w:val="22"/>
                <w:color w:val="auto"/>
                <w:vertAlign w:val="superscript"/>
              </w:rPr>
              <w:t>(2)</w:t>
            </w:r>
          </w:p>
        </w:tc>
        <w:tc>
          <w:tcPr>
            <w:tcW w:w="820" w:type="dxa"/>
            <w:vAlign w:val="bottom"/>
            <w:vMerge w:val="continue"/>
            <w:shd w:val="clear" w:color="auto" w:fill="E5E5E5"/>
          </w:tcPr>
          <w:p>
            <w:pPr>
              <w:spacing w:after="0"/>
              <w:rPr>
                <w:sz w:val="19"/>
                <w:szCs w:val="19"/>
                <w:color w:val="auto"/>
              </w:rPr>
            </w:pPr>
          </w:p>
        </w:tc>
        <w:tc>
          <w:tcPr>
            <w:tcW w:w="1360" w:type="dxa"/>
            <w:vAlign w:val="bottom"/>
            <w:vMerge w:val="continue"/>
            <w:shd w:val="clear" w:color="auto" w:fill="E5E5E5"/>
          </w:tcPr>
          <w:p>
            <w:pPr>
              <w:spacing w:after="0"/>
              <w:rPr>
                <w:sz w:val="19"/>
                <w:szCs w:val="19"/>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(300)</w:t>
            </w:r>
          </w:p>
        </w:tc>
        <w:tc>
          <w:tcPr>
            <w:tcW w:w="1040" w:type="dxa"/>
            <w:vAlign w:val="bottom"/>
            <w:tcBorders>
              <w:right w:val="single" w:sz="8" w:color="auto"/>
            </w:tcBorders>
            <w:shd w:val="clear" w:color="auto" w:fill="E5E5E5"/>
          </w:tcPr>
          <w:p>
            <w:pPr>
              <w:jc w:val="right"/>
              <w:ind w:right="140"/>
              <w:spacing w:after="0"/>
              <w:rPr>
                <w:sz w:val="20"/>
                <w:szCs w:val="20"/>
                <w:color w:val="auto"/>
              </w:rPr>
            </w:pPr>
            <w:r>
              <w:rPr>
                <w:rFonts w:ascii="Arial" w:cs="Arial" w:eastAsia="Arial" w:hAnsi="Arial"/>
                <w:sz w:val="18"/>
                <w:szCs w:val="18"/>
                <w:color w:val="auto"/>
              </w:rPr>
              <w:t>(0.09)</w:t>
            </w:r>
          </w:p>
        </w:tc>
        <w:tc>
          <w:tcPr>
            <w:tcW w:w="880" w:type="dxa"/>
            <w:vAlign w:val="bottom"/>
            <w:shd w:val="clear" w:color="auto" w:fill="E5E5E5"/>
          </w:tcPr>
          <w:p>
            <w:pPr>
              <w:jc w:val="center"/>
              <w:ind w:right="1"/>
              <w:spacing w:after="0"/>
              <w:rPr>
                <w:sz w:val="20"/>
                <w:szCs w:val="20"/>
                <w:color w:val="auto"/>
              </w:rPr>
            </w:pPr>
            <w:r>
              <w:rPr>
                <w:rFonts w:ascii="Arial" w:cs="Arial" w:eastAsia="Arial" w:hAnsi="Arial"/>
                <w:sz w:val="18"/>
                <w:szCs w:val="18"/>
                <w:color w:val="auto"/>
                <w:w w:val="99"/>
              </w:rPr>
              <w:t>NM</w:t>
            </w:r>
          </w:p>
        </w:tc>
        <w:tc>
          <w:tcPr>
            <w:tcW w:w="78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line="217" w:lineRule="exact"/>
              <w:rPr>
                <w:sz w:val="20"/>
                <w:szCs w:val="20"/>
                <w:color w:val="auto"/>
              </w:rPr>
            </w:pPr>
            <w:r>
              <w:rPr>
                <w:rFonts w:ascii="Arial" w:cs="Arial" w:eastAsia="Arial" w:hAnsi="Arial"/>
                <w:sz w:val="18"/>
                <w:szCs w:val="18"/>
                <w:color w:val="auto"/>
                <w:w w:val="93"/>
              </w:rPr>
              <w:t xml:space="preserve">Gain related to the dissolution of the Insight Midwest Partnership, net of tax </w:t>
            </w:r>
            <w:r>
              <w:rPr>
                <w:rFonts w:ascii="Arial" w:cs="Arial" w:eastAsia="Arial" w:hAnsi="Arial"/>
                <w:sz w:val="22"/>
                <w:szCs w:val="22"/>
                <w:color w:val="auto"/>
                <w:w w:val="93"/>
                <w:vertAlign w:val="superscript"/>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1360" w:type="dxa"/>
            <w:vAlign w:val="bottom"/>
            <w:tcBorders>
              <w:bottom w:val="single" w:sz="8" w:color="auto"/>
            </w:tcBorders>
          </w:tcPr>
          <w:p>
            <w:pPr>
              <w:jc w:val="right"/>
              <w:ind w:right="343"/>
              <w:spacing w:after="0"/>
              <w:rPr>
                <w:sz w:val="20"/>
                <w:szCs w:val="20"/>
                <w:color w:val="auto"/>
              </w:rPr>
            </w:pPr>
            <w:r>
              <w:rPr>
                <w:rFonts w:ascii="Arial" w:cs="Arial" w:eastAsia="Arial" w:hAnsi="Arial"/>
                <w:sz w:val="18"/>
                <w:szCs w:val="18"/>
                <w:b w:val="1"/>
                <w:bCs w:val="1"/>
                <w:color w:val="auto"/>
              </w:rPr>
              <w:t>(0.05)</w:t>
            </w: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1"/>
              <w:spacing w:after="0"/>
              <w:rPr>
                <w:sz w:val="20"/>
                <w:szCs w:val="20"/>
                <w:color w:val="auto"/>
              </w:rPr>
            </w:pPr>
            <w:r>
              <w:rPr>
                <w:rFonts w:ascii="Arial" w:cs="Arial" w:eastAsia="Arial" w:hAnsi="Arial"/>
                <w:sz w:val="18"/>
                <w:szCs w:val="18"/>
                <w:color w:val="auto"/>
                <w:w w:val="99"/>
              </w:rPr>
              <w:t>NM</w:t>
            </w: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6040" w:type="dxa"/>
            <w:vAlign w:val="bottom"/>
            <w:shd w:val="clear" w:color="auto" w:fill="E5E5E5"/>
          </w:tcPr>
          <w:p>
            <w:pPr>
              <w:spacing w:after="0"/>
              <w:rPr>
                <w:sz w:val="20"/>
                <w:szCs w:val="20"/>
                <w:color w:val="auto"/>
              </w:rPr>
            </w:pPr>
            <w:r>
              <w:rPr>
                <w:rFonts w:ascii="Arial" w:cs="Arial" w:eastAsia="Arial" w:hAnsi="Arial"/>
                <w:sz w:val="18"/>
                <w:szCs w:val="18"/>
                <w:color w:val="auto"/>
              </w:rPr>
              <w:t>Adjusted Net Income</w:t>
            </w:r>
          </w:p>
        </w:tc>
        <w:tc>
          <w:tcPr>
            <w:tcW w:w="820" w:type="dxa"/>
            <w:vAlign w:val="bottom"/>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$ 588</w:t>
            </w:r>
          </w:p>
        </w:tc>
        <w:tc>
          <w:tcPr>
            <w:tcW w:w="1360" w:type="dxa"/>
            <w:vAlign w:val="bottom"/>
            <w:shd w:val="clear" w:color="auto" w:fill="E5E5E5"/>
          </w:tcPr>
          <w:p>
            <w:pPr>
              <w:jc w:val="right"/>
              <w:ind w:right="403"/>
              <w:spacing w:after="0"/>
              <w:rPr>
                <w:sz w:val="20"/>
                <w:szCs w:val="20"/>
                <w:color w:val="auto"/>
              </w:rPr>
            </w:pPr>
            <w:r>
              <w:rPr>
                <w:rFonts w:ascii="Arial" w:cs="Arial" w:eastAsia="Arial" w:hAnsi="Arial"/>
                <w:sz w:val="18"/>
                <w:szCs w:val="18"/>
                <w:b w:val="1"/>
                <w:bCs w:val="1"/>
                <w:color w:val="auto"/>
              </w:rPr>
              <w:t>$ 0.19</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$ 537</w:t>
            </w:r>
          </w:p>
        </w:tc>
        <w:tc>
          <w:tcPr>
            <w:tcW w:w="1040" w:type="dxa"/>
            <w:vAlign w:val="bottom"/>
            <w:tcBorders>
              <w:right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color w:val="auto"/>
              </w:rPr>
              <w:t>$ 0.17</w:t>
            </w:r>
          </w:p>
        </w:tc>
        <w:tc>
          <w:tcPr>
            <w:tcW w:w="88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10%</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diluted average number of common shares for the respective periods as presented in Table 1.</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2007 Net Income includes a one-time gain, net of tax, related to the dissolution of the Texas/Kansas City Cable Partnership.</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2008 Net Income includes a one-time gain, net of tax, related to the dissolution of the Insight Midwest Partnership.</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420"/>
      </w:cols>
      <w:pgMar w:left="240" w:top="10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bullet"/>
      <w:start w:val="1"/>
    </w:lvl>
  </w:abstractNum>
  <w:abstractNum w:abstractNumId="7">
    <w:nsid w:val="1BEFD79F"/>
    <w:multiLevelType w:val="hybridMultilevel"/>
    <w:lvl w:ilvl="0">
      <w:lvlJc w:val="left"/>
      <w:lvlText w:val="2"/>
      <w:numFmt w:val="bullet"/>
      <w:start w:val="1"/>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1"/>
      <w:numFmt w:val="decimal"/>
      <w:start w:val="229"/>
    </w:lvl>
  </w:abstractNum>
  <w:abstractNum w:abstractNumId="10">
    <w:nsid w:val="4E6AFB66"/>
    <w:multiLevelType w:val="hybridMultilevel"/>
    <w:lvl w:ilvl="0">
      <w:lvlJc w:val="left"/>
      <w:lvlText w:val="(%1)"/>
      <w:numFmt w:val="decimal"/>
      <w:start w:val="621"/>
    </w:lvl>
  </w:abstractNum>
  <w:abstractNum w:abstractNumId="11">
    <w:nsid w:val="25E45D32"/>
    <w:multiLevelType w:val="hybridMultilevel"/>
    <w:lvl w:ilvl="0">
      <w:lvlJc w:val="left"/>
      <w:lvlText w:val="%1"/>
      <w:numFmt w:val="decimal"/>
      <w:start w:val="79"/>
    </w:lvl>
  </w:abstractNum>
  <w:abstractNum w:abstractNumId="12">
    <w:nsid w:val="519B500D"/>
    <w:multiLevelType w:val="hybridMultilevel"/>
    <w:lvl w:ilvl="0">
      <w:lvlJc w:val="left"/>
      <w:lvlText w:val="(%1)"/>
      <w:numFmt w:val="decimal"/>
      <w:start w:val="35"/>
    </w:lvl>
  </w:abstractNum>
  <w:abstractNum w:abstractNumId="13">
    <w:nsid w:val="431BD7B7"/>
    <w:multiLevelType w:val="hybridMultilevel"/>
    <w:lvl w:ilvl="0">
      <w:lvlJc w:val="left"/>
      <w:lvlText w:val="(%1)"/>
      <w:numFmt w:val="decimal"/>
      <w:start w:val="309"/>
    </w:lvl>
  </w:abstractNum>
  <w:abstractNum w:abstractNumId="14">
    <w:nsid w:val="3F2DBA31"/>
    <w:multiLevelType w:val="hybridMultilevel"/>
    <w:lvl w:ilvl="0">
      <w:lvlJc w:val="left"/>
      <w:lvlText w:val="(%1)"/>
      <w:numFmt w:val="decimal"/>
      <w:start w:val="508"/>
    </w:lvl>
  </w:abstractNum>
  <w:abstractNum w:abstractNumId="15">
    <w:nsid w:val="7C83E458"/>
    <w:multiLevelType w:val="hybridMultilevel"/>
    <w:lvl w:ilvl="0">
      <w:lvlJc w:val="left"/>
      <w:lvlText w:val="%1"/>
      <w:numFmt w:val="decimal"/>
      <w:start w:val="738"/>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2019-12-15T06:41:44Z</dcterms:created>
  <dcterms:modified xsi:type="dcterms:W3CDTF">2019-12-15T06:41:44Z</dcterms:modified>
</cp:coreProperties>
</file>