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19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19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21,615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4,100,837.27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4,094,980.27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6,775,600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21,615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8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exempt estate planning transactions pursuant to Rule 16a-13 that resulted in a net increase in the number of shares of Class A common stock directly owned by the Reporting Person and a corresponding net decrease in the number of shares of Class A common stock indirectly owned by the Reporting Person.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automatically converted to shares of Class A common stock on the transaction date pursuant to a previously deferred stock award.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2023-01-05T15:52:16Z</dcterms:created>
  <dcterms:modified xsi:type="dcterms:W3CDTF">2023-01-05T15:52:16Z</dcterms:modified>
</cp:coreProperties>
</file>