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389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38975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Cavanagh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COMCAST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CMCSA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02/12/2019</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3" w:lineRule="exact"/>
        <w:rPr>
          <w:sz w:val="24"/>
          <w:szCs w:val="24"/>
          <w:color w:val="auto"/>
        </w:rPr>
      </w:pPr>
    </w:p>
    <w:tbl>
      <w:tblPr>
        <w:tblLayout w:type="fixed"/>
        <w:tblInd w:w="202"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15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2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2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7"/>
                <w:szCs w:val="17"/>
                <w:color w:val="0000FF"/>
              </w:rPr>
              <w:t>CFO</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3" w:lineRule="exact"/>
        <w:rPr>
          <w:sz w:val="24"/>
          <w:szCs w:val="24"/>
          <w:color w:val="auto"/>
        </w:rPr>
      </w:pPr>
    </w:p>
    <w:p>
      <w:pPr>
        <w:sectPr>
          <w:pgSz w:w="11900" w:h="16838" w:orient="portrait"/>
          <w:cols w:equalWidth="0" w:num="3">
            <w:col w:w="3360" w:space="720"/>
            <w:col w:w="3258" w:space="720"/>
            <w:col w:w="3462"/>
          </w:cols>
          <w:pgMar w:left="240" w:top="224"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PHILIDELPHIA PA</w:t>
            </w:r>
          </w:p>
        </w:tc>
        <w:tc>
          <w:tcPr>
            <w:tcW w:w="1680" w:type="dxa"/>
            <w:vAlign w:val="bottom"/>
          </w:tcPr>
          <w:p>
            <w:pPr>
              <w:ind w:left="420"/>
              <w:spacing w:after="0"/>
              <w:rPr>
                <w:sz w:val="20"/>
                <w:szCs w:val="20"/>
                <w:color w:val="auto"/>
              </w:rPr>
            </w:pPr>
            <w:r>
              <w:rPr>
                <w:rFonts w:ascii="Arial" w:cs="Arial" w:eastAsia="Arial" w:hAnsi="Arial"/>
                <w:sz w:val="17"/>
                <w:szCs w:val="17"/>
                <w:color w:val="0000FF"/>
              </w:rPr>
              <w:t>19103</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8"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20" w:space="160"/>
            <w:col w:w="744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2"/>
              <w:spacing w:after="0"/>
              <w:rPr>
                <w:sz w:val="20"/>
                <w:szCs w:val="20"/>
                <w:color w:val="auto"/>
              </w:rPr>
            </w:pPr>
            <w:r>
              <w:rPr>
                <w:rFonts w:ascii="Arial" w:cs="Arial" w:eastAsia="Arial" w:hAnsi="Arial"/>
                <w:sz w:val="11"/>
                <w:szCs w:val="11"/>
                <w:color w:val="008000"/>
              </w:rPr>
              <w:t>(2)</w:t>
            </w:r>
          </w:p>
        </w:tc>
        <w:tc>
          <w:tcPr>
            <w:tcW w:w="70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120,861</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20" w:type="dxa"/>
            <w:vAlign w:val="bottom"/>
          </w:tcPr>
          <w:p>
            <w:pPr>
              <w:jc w:val="right"/>
              <w:ind w:right="199"/>
              <w:spacing w:after="0" w:line="146" w:lineRule="exact"/>
              <w:rPr>
                <w:sz w:val="20"/>
                <w:szCs w:val="20"/>
                <w:color w:val="auto"/>
              </w:rPr>
            </w:pPr>
            <w:r>
              <w:rPr>
                <w:rFonts w:ascii="Arial" w:cs="Arial" w:eastAsia="Arial" w:hAnsi="Arial"/>
                <w:sz w:val="13"/>
                <w:szCs w:val="13"/>
                <w:color w:val="0000FF"/>
              </w:rPr>
              <w:t>02/12/2019</w:t>
            </w:r>
          </w:p>
        </w:tc>
        <w:tc>
          <w:tcPr>
            <w:tcW w:w="1120" w:type="dxa"/>
            <w:vAlign w:val="bottom"/>
          </w:tcPr>
          <w:p>
            <w:pPr>
              <w:spacing w:after="0"/>
              <w:rPr>
                <w:sz w:val="12"/>
                <w:szCs w:val="12"/>
                <w:color w:val="auto"/>
              </w:rPr>
            </w:pPr>
          </w:p>
        </w:tc>
        <w:tc>
          <w:tcPr>
            <w:tcW w:w="820" w:type="dxa"/>
            <w:vAlign w:val="bottom"/>
          </w:tcPr>
          <w:p>
            <w:pPr>
              <w:ind w:left="160"/>
              <w:spacing w:after="0" w:line="146" w:lineRule="exact"/>
              <w:rPr>
                <w:sz w:val="20"/>
                <w:szCs w:val="20"/>
                <w:color w:val="auto"/>
              </w:rPr>
            </w:pPr>
            <w:r>
              <w:rPr>
                <w:rFonts w:ascii="Arial" w:cs="Arial" w:eastAsia="Arial" w:hAnsi="Arial"/>
                <w:sz w:val="13"/>
                <w:szCs w:val="13"/>
                <w:color w:val="0000FF"/>
              </w:rPr>
              <w:t>A</w:t>
            </w:r>
          </w:p>
        </w:tc>
        <w:tc>
          <w:tcPr>
            <w:tcW w:w="640" w:type="dxa"/>
            <w:vAlign w:val="bottom"/>
          </w:tcPr>
          <w:p>
            <w:pPr>
              <w:ind w:left="80"/>
              <w:spacing w:after="0" w:line="146" w:lineRule="exact"/>
              <w:rPr>
                <w:sz w:val="20"/>
                <w:szCs w:val="20"/>
                <w:color w:val="auto"/>
              </w:rPr>
            </w:pPr>
            <w:r>
              <w:rPr>
                <w:rFonts w:ascii="Arial" w:cs="Arial" w:eastAsia="Arial" w:hAnsi="Arial"/>
                <w:sz w:val="13"/>
                <w:szCs w:val="13"/>
                <w:color w:val="0000FF"/>
              </w:rPr>
              <w:t>120,861</w:t>
            </w: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700" w:type="dxa"/>
            <w:vAlign w:val="bottom"/>
          </w:tcPr>
          <w:p>
            <w:pPr>
              <w:ind w:left="2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280"/>
              <w:spacing w:after="0" w:line="146" w:lineRule="exact"/>
              <w:rPr>
                <w:sz w:val="20"/>
                <w:szCs w:val="20"/>
                <w:color w:val="auto"/>
              </w:rPr>
            </w:pPr>
            <w:r>
              <w:rPr>
                <w:rFonts w:ascii="Arial" w:cs="Arial" w:eastAsia="Arial" w:hAnsi="Arial"/>
                <w:sz w:val="13"/>
                <w:szCs w:val="13"/>
                <w:color w:val="0000FF"/>
              </w:rPr>
              <w:t>243,143</w:t>
            </w:r>
          </w:p>
        </w:tc>
        <w:tc>
          <w:tcPr>
            <w:tcW w:w="7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Class A Common Stock.</w:t>
      </w:r>
    </w:p>
    <w:p>
      <w:pPr>
        <w:spacing w:after="0" w:line="49" w:lineRule="exact"/>
        <w:rPr>
          <w:rFonts w:ascii="Arial" w:cs="Arial" w:eastAsia="Arial" w:hAnsi="Arial"/>
          <w:sz w:val="13"/>
          <w:szCs w:val="13"/>
          <w:color w:val="008000"/>
        </w:rPr>
      </w:pPr>
    </w:p>
    <w:p>
      <w:pPr>
        <w:ind w:left="40" w:right="26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were granted subject to satisfaction of a performance condition. Based on achievement of the performance condition, the restricted stock units vests in installments of 15%, 15%, 15%, 15% and 40% on the 13th month, 2nd, 3rd, 4th and 5th anniversaries of the date of the grant (March 16, 2018), respectively.</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Arthur R. Block, Attorney-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02/14/2019</w:t>
            </w:r>
          </w:p>
        </w:tc>
        <w:tc>
          <w:tcPr>
            <w:tcW w:w="0" w:type="dxa"/>
            <w:vAlign w:val="bottom"/>
          </w:tcPr>
          <w:p>
            <w:pPr>
              <w:spacing w:after="0"/>
              <w:rPr>
                <w:sz w:val="1"/>
                <w:szCs w:val="1"/>
                <w:color w:val="auto"/>
              </w:rPr>
            </w:pPr>
          </w:p>
        </w:tc>
      </w:tr>
      <w:tr>
        <w:trPr>
          <w:trHeight w:val="91"/>
        </w:trPr>
        <w:tc>
          <w:tcPr>
            <w:tcW w:w="460" w:type="dxa"/>
            <w:vAlign w:val="bottom"/>
            <w:tcBorders>
              <w:top w:val="single" w:sz="8" w:color="auto"/>
              <w:bottom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4"/>
              </w:rPr>
              <w:t>in-fact</w:t>
            </w:r>
          </w:p>
        </w:tc>
        <w:tc>
          <w:tcPr>
            <w:tcW w:w="162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60" w:type="dxa"/>
            <w:vAlign w:val="bottom"/>
            <w:tcBorders>
              <w:bottom w:val="single" w:sz="8" w:color="auto"/>
            </w:tcBorders>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1"/>
          <w:szCs w:val="21"/>
          <w:b w:val="1"/>
          <w:bCs w:val="1"/>
          <w:color w:val="auto"/>
        </w:rPr>
        <w:t>Exhibit 24</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3" w:lineRule="exact"/>
        <w:rPr>
          <w:sz w:val="20"/>
          <w:szCs w:val="20"/>
          <w:color w:val="auto"/>
        </w:rPr>
      </w:pPr>
    </w:p>
    <w:p>
      <w:pPr>
        <w:ind w:right="160" w:firstLine="636"/>
        <w:spacing w:after="0" w:line="264" w:lineRule="auto"/>
        <w:rPr>
          <w:sz w:val="20"/>
          <w:szCs w:val="20"/>
          <w:color w:val="auto"/>
        </w:rPr>
      </w:pPr>
      <w:r>
        <w:rPr>
          <w:rFonts w:ascii="Arial" w:cs="Arial" w:eastAsia="Arial" w:hAnsi="Arial"/>
          <w:sz w:val="18"/>
          <w:szCs w:val="18"/>
          <w:color w:val="auto"/>
        </w:rPr>
        <w:t>Know all by these presents, that the undersigned hereby constitutes and appoints each of Arthur R. Block, David L. Cohen and Elizabeth Wideman, as the undersigned’s true and lawful attorneys-in-fact to:</w:t>
      </w:r>
    </w:p>
    <w:p>
      <w:pPr>
        <w:spacing w:after="0" w:line="180" w:lineRule="exact"/>
        <w:rPr>
          <w:sz w:val="20"/>
          <w:szCs w:val="20"/>
          <w:color w:val="auto"/>
        </w:rPr>
      </w:pPr>
    </w:p>
    <w:p>
      <w:pPr>
        <w:ind w:right="240" w:firstLine="642"/>
        <w:spacing w:after="0" w:line="255" w:lineRule="auto"/>
        <w:tabs>
          <w:tab w:leader="none" w:pos="115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87" w:lineRule="exact"/>
        <w:rPr>
          <w:rFonts w:ascii="Arial" w:cs="Arial" w:eastAsia="Arial" w:hAnsi="Arial"/>
          <w:sz w:val="18"/>
          <w:szCs w:val="18"/>
          <w:color w:val="auto"/>
        </w:rPr>
      </w:pPr>
    </w:p>
    <w:p>
      <w:pPr>
        <w:ind w:right="360" w:firstLine="642"/>
        <w:spacing w:after="0" w:line="365" w:lineRule="auto"/>
        <w:tabs>
          <w:tab w:leader="none" w:pos="1150" w:val="left"/>
        </w:tabs>
        <w:numPr>
          <w:ilvl w:val="0"/>
          <w:numId w:val="4"/>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11" w:lineRule="exact"/>
        <w:rPr>
          <w:rFonts w:ascii="Arial" w:cs="Arial" w:eastAsia="Arial" w:hAnsi="Arial"/>
          <w:sz w:val="15"/>
          <w:szCs w:val="15"/>
          <w:color w:val="auto"/>
        </w:rPr>
      </w:pPr>
    </w:p>
    <w:p>
      <w:pPr>
        <w:ind w:right="160" w:firstLine="642"/>
        <w:spacing w:after="0" w:line="252" w:lineRule="auto"/>
        <w:tabs>
          <w:tab w:leader="none" w:pos="11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90" w:lineRule="exact"/>
        <w:rPr>
          <w:sz w:val="20"/>
          <w:szCs w:val="20"/>
          <w:color w:val="auto"/>
        </w:rPr>
      </w:pPr>
    </w:p>
    <w:p>
      <w:pPr>
        <w:ind w:right="20" w:firstLine="636"/>
        <w:spacing w:after="0" w:line="308" w:lineRule="auto"/>
        <w:rPr>
          <w:sz w:val="20"/>
          <w:szCs w:val="20"/>
          <w:color w:val="auto"/>
        </w:rPr>
      </w:pPr>
      <w:r>
        <w:rPr>
          <w:rFonts w:ascii="Arial" w:cs="Arial" w:eastAsia="Arial" w:hAnsi="Arial"/>
          <w:sz w:val="15"/>
          <w:szCs w:val="15"/>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55" w:lineRule="exact"/>
        <w:rPr>
          <w:sz w:val="20"/>
          <w:szCs w:val="20"/>
          <w:color w:val="auto"/>
        </w:rPr>
      </w:pPr>
    </w:p>
    <w:p>
      <w:pPr>
        <w:ind w:right="300" w:firstLine="636"/>
        <w:spacing w:after="0" w:line="255"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2019.</w:t>
      </w:r>
    </w:p>
    <w:p>
      <w:pPr>
        <w:spacing w:after="0" w:line="12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i w:val="1"/>
          <w:iCs w:val="1"/>
          <w:u w:val="single" w:color="auto"/>
          <w:color w:val="auto"/>
        </w:rPr>
        <w:t>/s/ Michael J. Cavanagh</w:t>
      </w:r>
    </w:p>
    <w:p>
      <w:pPr>
        <w:spacing w:after="0" w:line="21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u w:val="single" w:color="auto"/>
          <w:color w:val="auto"/>
        </w:rPr>
        <w:t>Michael J. Cavanagh</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4481"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2019-12-23T16:40:26Z</dcterms:created>
  <dcterms:modified xsi:type="dcterms:W3CDTF">2019-12-23T16:40:26Z</dcterms:modified>
</cp:coreProperties>
</file>