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333-266390</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 prospectus dated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160020</wp:posOffset>
            </wp:positionV>
            <wp:extent cx="139700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$1,000,000,000 4.650% Notes due 2033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offering $1,000,000,000 of 4.650% Notes due 2033 (the “notes”). The notes will bear interest at a rate of 4.650% per year and will mature on February 15, 2033. We will pay interest on the notes on February 15 and August 15 of each year, beginning on August 15, 2023. We may redeem any of the notes at any time by paying the applicable redemption price described under the heading “Description of the Notes—Optional Redemption.”</w:t>
      </w:r>
    </w:p>
    <w:p>
      <w:pPr>
        <w:spacing w:after="0" w:line="176" w:lineRule="exact"/>
        <w:rPr>
          <w:sz w:val="24"/>
          <w:szCs w:val="24"/>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140" w:lineRule="exact"/>
        <w:rPr>
          <w:sz w:val="24"/>
          <w:szCs w:val="24"/>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after deducting the underwriting commission, fees and expenses, to the financing or refinancing, in whole or in part, of one or more Eligible Green Investments (as defined herein). See “Use of Proceeds”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right="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certain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S-5 of this prospectus supplement and “Item 1A—Risk Factors” beginning on page 24 of Comcast Corporation’s (“Comcast”) Annual Report on Form 10-K for the year ended December 31, 2022, which is incorporated by reference herein.</w:t>
      </w:r>
    </w:p>
    <w:p>
      <w:pPr>
        <w:spacing w:after="0" w:line="188"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15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6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Proceeds to Us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173"/>
        </w:trPr>
        <w:tc>
          <w:tcPr>
            <w:tcW w:w="32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3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 due 2033 (1)</w:t>
            </w:r>
          </w:p>
        </w:tc>
        <w:tc>
          <w:tcPr>
            <w:tcW w:w="1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99.904%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99.504%</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$999,040,000</w:t>
            </w:r>
          </w:p>
        </w:tc>
        <w:tc>
          <w:tcPr>
            <w:tcW w:w="3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$ 4,000,000</w:t>
            </w:r>
          </w:p>
        </w:tc>
        <w:tc>
          <w:tcPr>
            <w:tcW w:w="3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$995,040,000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if any, from February 9, 2023, if settlement occurs after that date.</w:t>
      </w:r>
    </w:p>
    <w:p>
      <w:pPr>
        <w:spacing w:after="0" w:line="221" w:lineRule="exact"/>
        <w:rPr>
          <w:sz w:val="24"/>
          <w:szCs w:val="24"/>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ready for delivery only through The Depository Trust Company and its participants, including Euroclear SA/NV (“Euroclear”) and Clearstream Banking SA (“Clearstream”), in book-entry form on or about February 9, 2023 which is the second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43" w:lineRule="exact"/>
        <w:rPr>
          <w:sz w:val="24"/>
          <w:szCs w:val="24"/>
          <w:color w:val="auto"/>
        </w:rPr>
      </w:pPr>
    </w:p>
    <w:p>
      <w:pPr>
        <w:ind w:left="320"/>
        <w:spacing w:after="0"/>
        <w:tabs>
          <w:tab w:leader="none" w:pos="2220" w:val="left"/>
          <w:tab w:leader="none" w:pos="4400" w:val="left"/>
          <w:tab w:leader="none" w:pos="6800" w:val="left"/>
          <w:tab w:leader="none" w:pos="8920" w:val="left"/>
        </w:tabs>
        <w:rPr>
          <w:sz w:val="20"/>
          <w:szCs w:val="20"/>
          <w:color w:val="auto"/>
        </w:rPr>
      </w:pP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2"/>
          <w:szCs w:val="22"/>
          <w:b w:val="1"/>
          <w:bCs w:val="1"/>
          <w:color w:val="auto"/>
        </w:rPr>
        <w:t>Academy Securities</w:t>
        <w:tab/>
        <w:t>Loop Capital Markets</w:t>
        <w:tab/>
        <w:t>Ramirez &amp; Co., Inc.</w:t>
      </w:r>
      <w:r>
        <w:rPr>
          <w:sz w:val="20"/>
          <w:szCs w:val="20"/>
          <w:color w:val="auto"/>
        </w:rPr>
        <w:tab/>
      </w:r>
      <w:r>
        <w:rPr>
          <w:rFonts w:ascii="Times New Roman" w:cs="Times New Roman" w:eastAsia="Times New Roman" w:hAnsi="Times New Roman"/>
          <w:sz w:val="21"/>
          <w:szCs w:val="21"/>
          <w:b w:val="1"/>
          <w:bCs w:val="1"/>
          <w:color w:val="auto"/>
        </w:rPr>
        <w:t>Siebert Williams Shank</w:t>
      </w:r>
    </w:p>
    <w:p>
      <w:pPr>
        <w:spacing w:after="0" w:line="2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Green Structuring Agent</w:t>
      </w:r>
    </w:p>
    <w:p>
      <w:pPr>
        <w:spacing w:after="0" w:line="2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7, 2023.</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1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3"/>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3900" w:type="dxa"/>
            <w:vAlign w:val="bottom"/>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3"/>
            <w:vMerge w:val="continue"/>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800" w:type="dxa"/>
            <w:vAlign w:val="bottom"/>
            <w:gridSpan w:val="5"/>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40" w:type="dxa"/>
            <w:vAlign w:val="bottom"/>
            <w:gridSpan w:val="6"/>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4900" w:type="dxa"/>
            <w:vAlign w:val="bottom"/>
            <w:gridSpan w:val="8"/>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for Non-U.S. Holders</w:t>
            </w: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51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5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660" w:type="dxa"/>
            <w:vAlign w:val="bottom"/>
            <w:gridSpan w:val="14"/>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5500" w:type="dxa"/>
            <w:vAlign w:val="bottom"/>
            <w:gridSpan w:val="13"/>
          </w:tcPr>
          <w:p>
            <w:pPr>
              <w:spacing w:after="0"/>
              <w:rPr>
                <w:sz w:val="24"/>
                <w:szCs w:val="24"/>
                <w:color w:val="auto"/>
              </w:rPr>
            </w:pP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Caution Concerning Forward-Looking Statements</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60" w:type="dxa"/>
            <w:vAlign w:val="bottom"/>
            <w:gridSpan w:val="3"/>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5480" w:type="dxa"/>
            <w:vAlign w:val="bottom"/>
            <w:gridSpan w:val="12"/>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3320" w:type="dxa"/>
            <w:vAlign w:val="bottom"/>
            <w:gridSpan w:val="4"/>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620" w:type="dxa"/>
            <w:vAlign w:val="bottom"/>
            <w:gridSpan w:val="7"/>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240" w:type="dxa"/>
            <w:vAlign w:val="bottom"/>
            <w:gridSpan w:val="10"/>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660" w:type="dxa"/>
            <w:vAlign w:val="bottom"/>
            <w:gridSpan w:val="14"/>
          </w:tcPr>
          <w:p>
            <w:pPr>
              <w:spacing w:after="0"/>
              <w:rPr>
                <w:sz w:val="17"/>
                <w:szCs w:val="17"/>
                <w:color w:val="auto"/>
              </w:rPr>
            </w:pP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9"/>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We and the underwriters take no responsibility for, and can provide no assurance as to the reliability of, any other information that others may give you. If information in this prospectus supplement is inconsistent with the accompanying prospectus, you should rely on this prospectus supplement.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Comcast Cable Communications, LLC and its consolidated subsidiaries as “Comcast Cable,” NBCUniversal Media, LLC and its consolidated subsidiaries as “NBCUniversal,” and both of them collectively as the “guarantors.”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information statements and amendments to reports filed or furnished pursuant to the Securities Exchange Act of 1934, as amended (the “Exchange Act”), with the SEC. The SEC maintains an internet website at www.sec.gov that contains periodic and current reports, proxy and information statements, and other information regarding registrants that file electronically with the SEC. 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of Comcast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1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on February 3,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w:t>
      </w:r>
      <w:hyperlink r:id="rId17">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on January 6, 2023.</w:t>
      </w:r>
    </w:p>
    <w:p>
      <w:pPr>
        <w:spacing w:after="0" w:line="225" w:lineRule="exact"/>
        <w:rPr>
          <w:rFonts w:ascii="Times New Roman" w:cs="Times New Roman" w:eastAsia="Times New Roman" w:hAnsi="Times New Roman"/>
          <w:sz w:val="18"/>
          <w:szCs w:val="18"/>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and the accompanying prospectus additional documents that we may file with the SEC under Sections 13(a), 13(c), 14 or 15(d) of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0"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01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 We present our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operations in five reportable business segments: (1) Comcast Cable in one reportable business segment, referred to as Cable Communications;</w:t>
      </w:r>
    </w:p>
    <w:p>
      <w:pPr>
        <w:spacing w:after="0" w:line="9" w:lineRule="exact"/>
        <w:rPr>
          <w:sz w:val="20"/>
          <w:szCs w:val="20"/>
          <w:color w:val="auto"/>
        </w:rPr>
      </w:pPr>
    </w:p>
    <w:p>
      <w:pPr>
        <w:ind w:left="560" w:hanging="26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in three reportable business segments: Media, Studios and Theme Parks (collectively, the “NBCUniversal segments”); and</w:t>
      </w:r>
    </w:p>
    <w:p>
      <w:pPr>
        <w:spacing w:after="0" w:line="9" w:lineRule="exact"/>
        <w:rPr>
          <w:rFonts w:ascii="Times New Roman" w:cs="Times New Roman" w:eastAsia="Times New Roman" w:hAnsi="Times New Roman"/>
          <w:sz w:val="18"/>
          <w:szCs w:val="18"/>
          <w:color w:val="auto"/>
        </w:rPr>
      </w:pPr>
    </w:p>
    <w:p>
      <w:pPr>
        <w:ind w:left="560" w:hanging="26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 in one reportable business segment.</w:t>
      </w:r>
    </w:p>
    <w:p>
      <w:pPr>
        <w:spacing w:after="0" w:line="112" w:lineRule="exact"/>
        <w:rPr>
          <w:rFonts w:ascii="Times New Roman" w:cs="Times New Roman" w:eastAsia="Times New Roman" w:hAnsi="Times New Roman"/>
          <w:sz w:val="18"/>
          <w:szCs w:val="18"/>
          <w:color w:val="auto"/>
        </w:rPr>
      </w:pPr>
    </w:p>
    <w:p>
      <w:pPr>
        <w:ind w:left="1240" w:right="380" w:hanging="415"/>
        <w:spacing w:after="0" w:line="266"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Communications: Consists of the operations of Comcast Cable, which is a leading provider of broadband, video, voice, wireless, and other services to residential customers in the United States under the Xfinity brand; we also provide these and other services to business customers and sell advertising.</w:t>
      </w:r>
    </w:p>
    <w:p>
      <w:pPr>
        <w:spacing w:after="0" w:line="81" w:lineRule="exact"/>
        <w:rPr>
          <w:rFonts w:ascii="Times New Roman" w:cs="Times New Roman" w:eastAsia="Times New Roman" w:hAnsi="Times New Roman"/>
          <w:sz w:val="18"/>
          <w:szCs w:val="18"/>
          <w:color w:val="auto"/>
        </w:rPr>
      </w:pPr>
    </w:p>
    <w:p>
      <w:pPr>
        <w:jc w:val="both"/>
        <w:ind w:left="1240" w:right="40" w:hanging="415"/>
        <w:spacing w:after="0" w:line="266"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Consists primarily of NBCUniversal’s television and streaming platforms, including national, regional and international cable networks; the NBC and Telemundo broadcast networks, NBC and Telemundo owned local broadcast television stations; and Peacock, our direct-to-consumer streaming service.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Studios: 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Theme Parks: Consists primarily of our Universal theme parks in Orlando, Florida; Hollywood, California; Osaka, Japan; and Beijing, China.</w:t>
      </w:r>
    </w:p>
    <w:p>
      <w:pPr>
        <w:spacing w:after="0" w:line="67" w:lineRule="exact"/>
        <w:rPr>
          <w:rFonts w:ascii="Times New Roman" w:cs="Times New Roman" w:eastAsia="Times New Roman" w:hAnsi="Times New Roman"/>
          <w:sz w:val="18"/>
          <w:szCs w:val="18"/>
          <w:color w:val="auto"/>
        </w:rPr>
      </w:pPr>
    </w:p>
    <w:p>
      <w:pPr>
        <w:ind w:left="1240" w:right="560" w:hanging="415"/>
        <w:spacing w:after="0" w:line="266"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 Consists of the operations of Sky, one of Europe’s leading entertainment companies, which primarily includes a direct-to-consumer business, providing video, broadband, voice and wireless phone services, and a content business, operating entertainment networks, the Sky News broadcast network and Sky Sports networks.</w:t>
      </w:r>
    </w:p>
    <w:p>
      <w:pPr>
        <w:spacing w:after="0" w:line="176"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76"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350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8970" cy="1350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80"/>
          </w:cols>
          <w:pgMar w:left="320" w:top="455" w:right="6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Comcast Corporation.</w:t>
            </w:r>
          </w:p>
        </w:tc>
      </w:tr>
      <w:tr>
        <w:trPr>
          <w:trHeight w:val="473"/>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$1,000,000,000 aggregate principal amount of 4.650% Notes due 2033.</w:t>
            </w:r>
          </w:p>
        </w:tc>
      </w:tr>
      <w:tr>
        <w:trPr>
          <w:trHeight w:val="473"/>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will mature on February 15, 2033.</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Interest on the notes will accrue at the rate of 4.650% per year, payable semiannually in</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cash in arrears on each February 15 and August 15, beginning August 15, 2023.</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and the guarantors’</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unsecured and unsubordinated indebtedness.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Comcast Cable and NBCUniversal.</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principal, premium, if any, and interest. The guarantees will rank equally with all other</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general unsecured and unsubordinated obligations of the guarantors.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may, at our option, redeem the notes, in whole or in part, at any time at the applicable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redemption price determined as set forth under the heading “Description of the Notes—</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after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deducting the underwriting commission, fees and expenses, to the financing or refinancing,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 whole or in part, of one or more Eligible Green Investments. See “Use of Proceeds.”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global notes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deposited with, or on behalf of, DTC and registered in the name of DTC or its nominees.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Beneficial interests in any of the notes will be shown on, and transfers will be effected only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through, records maintained by DTC or its nominee or indirectly through organizations that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have accounts with DTC, including Euroclear and Clearstream, and these beneficial</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interests may not be exchanged for certificated notes, except in limited circumstances. See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“Description of the Notes—Book-Entry System” in this prospectus supplement.</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Notes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have the ability to “reopen” these notes and issue additional notes. Additional notes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will be consolidated with and form a single series with the notes then outstanding; provided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that if such additional notes are not fungible with the notes offered hereby for U.S. federal</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income tax purposes, such additional notes will have one or more separate CUSIP</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numbers.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consider carefully all the information set forth and incorporated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and, in particular, you should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evaluate the</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29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998970" cy="929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8" w:lineRule="auto"/>
        <w:rPr>
          <w:sz w:val="20"/>
          <w:szCs w:val="20"/>
          <w:color w:val="auto"/>
        </w:rPr>
      </w:pPr>
      <w:r>
        <w:rPr>
          <w:rFonts w:ascii="Times New Roman" w:cs="Times New Roman" w:eastAsia="Times New Roman" w:hAnsi="Times New Roman"/>
          <w:sz w:val="18"/>
          <w:szCs w:val="18"/>
          <w:color w:val="auto"/>
        </w:rPr>
        <w:t>specific factors set forth under the heading “Risk Factors” beginning on page S-5 of this prospectus supplement and described under “Item 1A—Risk Factors” in our Annual Report on Form 10-K for the year ended December 31, 2022, as well as the other information contained or incorporated herein by reference, before investing in any of the notes offered hereby.</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28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There can be no assurance that the anticipated use of proceeds of the notes to finance or refinance Eligible Green Investments will be suitable for the investment criteria of an investor.</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finance or refinance, in whole or in part, new or existing Eligible Green Investments, but no assurance can be given that any such Eligible Green Investments will be capable of being implemented or implemented substantially, or that such Eligible Green Investments will be completed within any specified time period or at all or with the results or outcome (whether or not related to the environmental or sustainability impact) as originally expected or anticipated. The examples of projects set forth under the heading “Use of Proceeds” in this prospectus supplement are for illustrative purposes only, and no assurance can be provided that disbursements for projects with these specific characteristics will be made by us with the net proceeds from the notes. We have significant flexibility in allocating the net proceeds from the issuance of the notes, including re-allocating the net proceeds in the event we determine in our discretion that projects receiving allocations no longer meet the eligibility criteria for Eligible Green Investments, and may also be unable to allocate the net proceeds as intended. We may also in our discretion update or amend our green financing policies from time to time, which gives us further flexibility with respect to both the allocation of the net proceeds from the issuance of the notes as well as the reporting about such allocation or the environmental impact of the Eligible Green Investments to which such net proceeds may be allocated. No underwriter for this offering or the trustee under the indenture (as defined below) is responsible for assessing or verifying whether or not the Eligible Green Investments to which we allocate the net proceeds from this offering meet the criteria described under the heading “Use of Proceeds” in this prospectus supplement, or for the monitoring of the use of proceeds. Neither the terms of the notes nor the Indenture require us to use the proceeds as described under the heading “Use of Proceeds” and any failure by us to comply with the anticipated use of proceeds will not constitute a breach of or an event of default under the notes or the Indenture.</w:t>
      </w:r>
    </w:p>
    <w:p>
      <w:pPr>
        <w:spacing w:after="0" w:line="196" w:lineRule="exact"/>
        <w:rPr>
          <w:sz w:val="20"/>
          <w:szCs w:val="20"/>
          <w:color w:val="auto"/>
        </w:rPr>
      </w:pPr>
    </w:p>
    <w:p>
      <w:pPr>
        <w:ind w:left="120" w:right="200" w:firstLine="440"/>
        <w:spacing w:after="0" w:line="253" w:lineRule="auto"/>
        <w:rPr>
          <w:sz w:val="20"/>
          <w:szCs w:val="20"/>
          <w:color w:val="auto"/>
        </w:rPr>
      </w:pPr>
      <w:r>
        <w:rPr>
          <w:rFonts w:ascii="Times New Roman" w:cs="Times New Roman" w:eastAsia="Times New Roman" w:hAnsi="Times New Roman"/>
          <w:sz w:val="18"/>
          <w:szCs w:val="18"/>
          <w:color w:val="auto"/>
        </w:rPr>
        <w:t>Prospective investors should carefully review the information set out in this prospectus supplement regarding such use of the net proceeds and must determine for themselves the relevance of such information for the purpose of any investment in the notes together with any other investigation such investor deems necessary. In particular, no assurance is given by us or any underwriter of the notes that the use of such net proceeds to fund any Eligible Green Investments will satisfy (or will continue to satisfy), whether in whole or in part, any present or future investor expectations, requirements, taxonomies, standards, or other investment criteria, or guidelines with which such investor or its investments are required to comply, whether by any present or future applicable laws or regulations or by its own governing rules or investment portfolio mandates, ratings mandates or criteria, taxonomies, or standards, or other independent expectations, in particular with regard to any direct or indirect environmental or sustainability impact of any projects or uses, the subject of or related to, any Eligible Green Investments. Any failure by us to allocate an amount equal to the net proceeds from this offering to finance or refinance one or more Eligible Green Investments, or the failure of those investments or financings to satisfy investor expectations or requirements, could have a material adverse effect on the market price of the notes and/or result in adverse consequences for certain investors with mandates to invest in securities to be used for a particular purpose.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Eligible Green Investments to which we allocate the net proceeds from this offering have complex direct or indirect environmental or sustainability impacts, and adverse environmental or social impacts may occur during the design, construction, and operation of the projects. In addition, projects may become controversial or criticized by activist groups or other stakeholders, which could have a negative effect on the trading price of the notes.</w:t>
      </w:r>
    </w:p>
    <w:p>
      <w:pPr>
        <w:spacing w:after="0" w:line="28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There is no legal, regulatory, or market definition of or standardized criteria for what constitutes a “green,” “sustainable,” or other equivalently labeled project, and any such designations made by third parties with respect to the notes may not be suitable for the investment criteria of an investor.</w:t>
      </w:r>
    </w:p>
    <w:p>
      <w:pPr>
        <w:spacing w:after="0" w:line="6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There is currently no clear definition (legal, regulatory, or otherwise) of, nor market consensus as to what constitutes, a “green,” “sustainable,” or an equivalently labeled project, or as to what precise attributes are required for a particular project to be defined as “green,” “sustainable,” or such other equivalent label, and no assurance can be given that such a clear definition or consensus will develop over time or, if such definition or consensus develops in the future, that the Eligible Green Investments will meet such criteria. Accordingly, no assurance is or can be given to investors that any Eligible Green Investments selected to receive an allocation of funds from the net proceeds from this offering will meet any or all investor expectations regarding such “green,” “sustainable,” or other equivalently labeled performance objectives, or that any adverse environmental, social, and/or other impacts will not occur during the implementation of any Eligible Green Investments financed or refinanced, in whole or in part, by the net proceeds from this offering.</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 assurance or representation is given as to the suitability or reliability for any purpose whatsoever of any opinion or certification of any third party (whether or not solicited by us), including any second party opinion such as that discussed under “Use of Proceeds” in this prospectus supplement, that may be made available and, in particular, with respect to whether any Eligible Green Investments fulfill any environmental, sustainability, and/or other criteria. For the avoidance of doubt, any such opinion or certification is not and shall not be deemed to be incorporated into and/or form part of this prospectus supplement and the accompanying prospectus. Any such opinion or certification is not, nor should be deemed to be, a recommendation by us or any underwriter, or any other person (including, without limitation, the trustee), to buy, sell, or hold the notes. Any such opinion or certification is only current as of the date that opinion or certification was initially issued. Prospective investors must determine for themselves the relevance of any such opinion or certification and/or the information contained therein and/or the provider of such opinion or certification for the purpose of any investment in the notes. The providers of such opinions and certifications are not currently subject to any specific regulatory or other regime or oversight. Any withdrawal of any such opinion or certification or any additional opinion or certification attesting that we are not complying in whole or in part with any matters for which such opinion or certification is opining or certifying may have a material adverse effect on the value of the notes and/or result in adverse consequences for certain investors with mandates to invest in securities to be used for a particular purpose.</w:t>
      </w:r>
    </w:p>
    <w:p>
      <w:pPr>
        <w:spacing w:after="0" w:line="29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notes may not be listed or admitted to any dedicated “green,” “sustainable,” or other equivalently-labeled segment of any stock exchange or securities market or included in any green bond or similar index, and any such potential listing, admission, or inclusion may not be indicative that the notes will be suitable for the investment criteria of an investor.</w:t>
      </w:r>
    </w:p>
    <w:p>
      <w:pPr>
        <w:spacing w:after="0" w:line="6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While no assurance can be given that any such listing or admission will happen, in the event that the notes are listed or admitted to trading on any dedicated “green,” “sustainable,” or other equivalently-labeled segment of any stock exchange or securities market (whether or not regulated) or included in any green bond or similar index, no representation or assurance can be given by Comcast, any underwriter, or any other person:</w:t>
      </w:r>
    </w:p>
    <w:p>
      <w:pPr>
        <w:spacing w:after="0" w:line="81" w:lineRule="exact"/>
        <w:rPr>
          <w:sz w:val="20"/>
          <w:szCs w:val="20"/>
          <w:color w:val="auto"/>
        </w:rPr>
      </w:pPr>
    </w:p>
    <w:p>
      <w:pPr>
        <w:ind w:left="1080" w:right="200" w:hanging="424"/>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listing, admission, or inclusion would satisfy (or would continue to satisfy), whether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such investor’s own governing documents or rules or investment portfolio mandates, ratings mandates, or other expectations, in particular with regard to any direct or indirect environmental or sustainability impact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312" w:lineRule="auto"/>
        <w:rPr>
          <w:sz w:val="20"/>
          <w:szCs w:val="20"/>
          <w:color w:val="auto"/>
        </w:rPr>
      </w:pPr>
      <w:r>
        <w:rPr>
          <w:rFonts w:ascii="Times New Roman" w:cs="Times New Roman" w:eastAsia="Times New Roman" w:hAnsi="Times New Roman"/>
          <w:sz w:val="17"/>
          <w:szCs w:val="17"/>
          <w:color w:val="auto"/>
        </w:rPr>
        <w:t>of any projects or uses, the subject of or related to, any Eligible Green Investments (and it should be noted that the criteria for any such listing or admission to trading or for inclusion in an index may vary from one stock exchange, securities market, or index to another); or</w:t>
      </w:r>
    </w:p>
    <w:p>
      <w:pPr>
        <w:spacing w:after="0" w:line="45"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such listing or admission to trading will be maintained during the life of the notes.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notes are listed on any such exchange or securities market or included in any such index, any change to the listing or admission status of the notes or their inclusion in any such index, including, but not limited to, if the notes are no longer being listed or admitted to trading on any stock exchange or securities market or included in any index, may have a material adverse effect on the value of the notes and/or result in adverse consequences for certain investors with mandates to invest in securities to be used for a particular purpose.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after deducting the underwriting commission, fees and expenses, to the financing or refinancing, in whole or in part, of one or more green projects, assets or activities that meet the eligibility criteria described below (such projects, “Eligible Green Investments”). Eligible Green Investments may include new and existing investments made by Comcast that meet the eligibility criteria set forth below and occur within the two full calendar years prior to the consummation of this offering through maturity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 Criteria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each of our Eligible Green Investments will meet one or more of the following eligibility criteria.</w:t>
      </w:r>
    </w:p>
    <w:p>
      <w:pPr>
        <w:spacing w:after="0" w:line="131" w:lineRule="exact"/>
        <w:rPr>
          <w:sz w:val="20"/>
          <w:szCs w:val="20"/>
          <w:color w:val="auto"/>
        </w:rPr>
      </w:pPr>
    </w:p>
    <w:p>
      <w:pPr>
        <w:jc w:val="both"/>
        <w:ind w:left="1080" w:right="240" w:hanging="424"/>
        <w:spacing w:after="0" w:line="312" w:lineRule="auto"/>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Renewable Energy—expenditures related to the construction, development, acquisition, operation, or maintenance of renewable energy generation, such as solar and wind energy, that are long-term and new to the grid, as well as renewable energy storage projects, such as:</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related to generation, transmission, distribution and storage of owned or on-site renewable energy projects;</w:t>
      </w:r>
    </w:p>
    <w:p>
      <w:pPr>
        <w:spacing w:after="0" w:line="130"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renewable energy in our global operations through power purchase agreements, virtual power purchase agreements, and green tariffs or other supplier retail products that are:</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(i.e., at least 5 years); and</w:t>
      </w:r>
    </w:p>
    <w:p>
      <w:pPr>
        <w:spacing w:after="0" w:line="130" w:lineRule="exact"/>
        <w:rPr>
          <w:rFonts w:ascii="Times New Roman" w:cs="Times New Roman" w:eastAsia="Times New Roman" w:hAnsi="Times New Roman"/>
          <w:sz w:val="18"/>
          <w:szCs w:val="18"/>
          <w:color w:val="auto"/>
        </w:rPr>
      </w:pPr>
    </w:p>
    <w:p>
      <w:pPr>
        <w:ind w:left="2200" w:right="380" w:hanging="545"/>
        <w:spacing w:after="0" w:line="282" w:lineRule="auto"/>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prior to the commencement, or in the case of rehabilitated projects, the re-commencement, of commercial operation of the renewable project, thus supporting the addition of new renewable energy to the grid.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Efficiency—expenditures related to the design, construction, manufacture, installation, or operation of systems, products, and technologies intended to reduce energy consumption or greenhouse gas emission, such as:</w:t>
      </w:r>
    </w:p>
    <w:p>
      <w:pPr>
        <w:spacing w:after="0" w:line="67"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to minimize energy use in offices and everyday operations, such as sensors and controls, LED lighting, energy efficient HVAC systems, cooling towers, and remote management and data management applications, with projected energy savings of up to 15 - 30%; or</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and implementation of energy efficiencies in consumer equipment, such as set-top boxes, gateways, and televisions.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Buildings, Campuses, Communities, and Cities—expenditures related to design, construction, and improvement of real estate projects that have received (in the past two calendar years) or are expected to receive (within the next three years) regional, national, or international third-party sustainable certifications or verifications and meet the following eligibility requirements: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sustainable certifications or verifications include:</w:t>
      </w:r>
    </w:p>
    <w:p>
      <w:pPr>
        <w:spacing w:after="0" w:line="130" w:lineRule="exact"/>
        <w:rPr>
          <w:rFonts w:ascii="Times New Roman" w:cs="Times New Roman" w:eastAsia="Times New Roman" w:hAnsi="Times New Roman"/>
          <w:sz w:val="18"/>
          <w:szCs w:val="18"/>
          <w:color w:val="auto"/>
        </w:rPr>
      </w:pPr>
    </w:p>
    <w:p>
      <w:pPr>
        <w:ind w:left="2200" w:right="780" w:hanging="545"/>
        <w:spacing w:after="0" w:line="282" w:lineRule="auto"/>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in Energy and Environmental Design Gold or higher (for Building, Campus, or Community and City designations);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STAR rating of 85 or higher;</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Research Establishment Environmental Assessment Methodology Excellent or Outstanding;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equivalent third-party verified green building certification;</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qualifying buildings (such as office buildings, technical facilities, and studios), eligible expenditures include the full cost of design and construction, or improvements required to obtain the sustainable certification;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80" w:hanging="331"/>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qualifying campus or community and city certifications, under which a multi-building campus or a theme park may be certified, eligible expenditures include those directly related to projects required to meet the sustainable certification, and do not include the full cost of design, construction, or improvement for the entire campus, community, or city;</w:t>
      </w:r>
    </w:p>
    <w:p>
      <w:pPr>
        <w:spacing w:after="0" w:line="81"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leasing, new or existing buildings that have received one of the above third party-verified green building certifications, and that meet the following criteria:</w:t>
      </w:r>
    </w:p>
    <w:p>
      <w:pPr>
        <w:spacing w:after="0" w:line="67" w:lineRule="exact"/>
        <w:rPr>
          <w:rFonts w:ascii="Times New Roman" w:cs="Times New Roman" w:eastAsia="Times New Roman" w:hAnsi="Times New Roman"/>
          <w:sz w:val="18"/>
          <w:szCs w:val="18"/>
          <w:color w:val="auto"/>
        </w:rPr>
      </w:pPr>
    </w:p>
    <w:p>
      <w:pPr>
        <w:ind w:left="2200" w:right="200" w:hanging="545"/>
        <w:spacing w:after="0" w:line="282" w:lineRule="auto"/>
        <w:tabs>
          <w:tab w:leader="none" w:pos="22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that were entered into prior to the operation of the building, thereby contributing to the addition of new sustainable buildings to the community; and</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leases (at least 15 years).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Transportation—expenditures related to the acquisition, design, development, construction, maintenance, or operation of electric and alternative vehicles and related infrastructure, such as:</w:t>
      </w:r>
    </w:p>
    <w:p>
      <w:pPr>
        <w:spacing w:after="0" w:line="67" w:lineRule="exact"/>
        <w:rPr>
          <w:rFonts w:ascii="Times New Roman" w:cs="Times New Roman" w:eastAsia="Times New Roman" w:hAnsi="Times New Roman"/>
          <w:sz w:val="18"/>
          <w:szCs w:val="18"/>
          <w:color w:val="auto"/>
        </w:rPr>
      </w:pPr>
    </w:p>
    <w:p>
      <w:pPr>
        <w:ind w:left="1540" w:right="80" w:hanging="331"/>
        <w:spacing w:after="0" w:line="261"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(whether owned or leased) of vehicles, such as cars, trucks, vans, buses, trams, trolleys and carts, that are based on clean transportation technologies, including electric, hydrogen and hybrid vehicles, or new clean vehicle types that may become available as technology evolves, subject to the condition that any qualifying vehicle must have CO2 emissions less than or equal to 50g per passenger-km;</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of electric vehicle charging infrastructure.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Circular Economy Adapted Products, Production Technologies, and Processes—expenditures related to designing out waste in Comcast’s products and services, and projects for waste prevention, reduction, and recycling for Comcast’s facilities, operations, and supply chain, such as: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use of sustainable, recycled, refurbished, or reused materials and components in our products and services;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recovery of materials;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of packaging;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E-waste;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plastic usage and/or waste.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of Project Evaluation and Selection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net proceeds from this offering will be allocated across Eligible Green Investments evaluated and selected by representatives from Comcast’s Sustainability, Treasury, Finance, Accounting and Legal teams based on compliance with the eligibility criteria set forth above. On an annual basis, these teams will evaluate the ongoing eligibility of selected projects through the maturity of the notes. Projects selected for allocation from the proceeds of this offering will be consistent with our existing corporate policies and procedures, such as our internal environmental health and safety policies and practices, our Code of Conduct, our Code of Conduct for Suppliers and Business Partners, our Statement on Modern Slavery and Supply Chain Values, and our Human Rights Statement, with evaluations, as appropriate, of any perceived environmental and social risks and benefits associated with the project.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Proceeds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to the financing or refinancing of existing and future Eligible Green Investments. Pending allocation, an amount equal to the net proceeds from this offering may be held in accordance with our internal investment policy and normal liquidity practices. Actual spend allocated to Eligible Green Investments will be tracked by our Finance department and will be reflected in our internal records. If at some point during the life of the notes, a project to which funds have been previously allocated no longer meets the eligibility criteria listed above, we intend to reallocate the funds to other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Eligible Green Investments with commercially reasonable efforts. Any payment of principal and interest on the notes will be made from our corporate account and will not be linked to the performance of any Eligible Green Investment.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Until full allocation of the net proceeds from this offering, we will publish an annual report (each, a “Green Financing Report”) that will include:</w:t>
      </w:r>
    </w:p>
    <w:p>
      <w:pPr>
        <w:spacing w:after="0" w:line="131" w:lineRule="exact"/>
        <w:rPr>
          <w:sz w:val="20"/>
          <w:szCs w:val="20"/>
          <w:color w:val="auto"/>
        </w:rPr>
      </w:pPr>
    </w:p>
    <w:p>
      <w:pPr>
        <w:ind w:left="108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proceeds from this offering that have been allocated to one or more Eligible Green Investments either individually or by category;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Eligible Green Investments at such level of detail as we deem appropriate under the circumstances;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studies and expected impact metrics, where applicable and feasible;</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net proceeds from this offering yet to be allocated to Eligible Green Investments at the end of the reporting period;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Comcast’s management with respect to (i) and (iv) above.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Examples of the impact metrics that may be included in any report we publish are as follows, and we expect to disclose the methodology used to calculate such metrics where helpful:</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GHG emissions reduced/avoided in metric tons of CO2 equivalent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renewable energy generation (MWh/GWh)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GHG emissions reduced/avoided in metric tons of CO2 equivalent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reduction in energy consumption (MWh)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Buildings, Campuses, Communities and Cities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Square footage of new green certified buildings, by certification type and level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Transportation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GHG emissions reduced/avoided in metric tons of CO2 equivalent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clean vehicles deployed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Circular Economy Adapted Products, Production Technologies, and Processes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GHG emissions reduced/avoided in metric tons of CO2 equivalent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prevented, minimized, reused, or recycled in metric tons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External Review</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retained an independent consultant with recognized environmental expertise to provide a Second Party Opinion (“SPO”) on the environmental benefits of our Green Financing Framework, dated January 2023 (the “Framework”), as well as the alignment to the International Capital Markets Association (ICMA) Green Bond Principles 2021 (with June 2022 Appendix 1).</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an annual basis, starting no later than one year after the consummation of this offering and until full allocation of the net proceeds from this offering, we expect each Green Financing Report to be accompanied by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verification or attestation report from an external accountant with respect to the firm’s examination of assertions by our management as to the amount of the net proceeds from this offering that have been allocated to Eligible Green Investments. This examination will be conducted in accordance with attestation standards established by the American Institute of Certified Public Accountants.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none of the Framework, the SPO, or any Green Financing Report, are, and none shall be deemed to be, incorporated by reference into or form a part of this prospectus supplement or the accompanying prospectus.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We are offering $1,000,000,000 aggregate principal amount of our 4.650% Notes due 2033. The notes will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and as further amended by the second supplemental indenture dated as of July 29, 2022,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the notes and issue additional notes. Additional notes will be consolidated with and form a single series with the notes then outstanding; provided that if such additional notes are not fungible with the notes offered hereby for U.S. federal income tax purposes, such additional notes will have one or more separate CUSIP numbers. Copies of the indenture and the form of notes are available from us upon request.</w:t>
      </w:r>
    </w:p>
    <w:p>
      <w:pPr>
        <w:spacing w:after="0" w:line="192"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right="2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initial aggregate principal amount of $1,000,000,000;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mature on February 15, 2033;</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interest at the rate of 4.650% per year, payable semiannually on each February 15 and August 15, beginning August 15, 2023, to holders of record on the preceding February 1 and August 1;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$2,000 and in multiples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on the notes will be computed on the basis of a 360-day year consisting of twelve 30-day months.</w:t>
      </w:r>
    </w:p>
    <w:p>
      <w:pPr>
        <w:spacing w:after="0" w:line="225" w:lineRule="exact"/>
        <w:rPr>
          <w:sz w:val="20"/>
          <w:szCs w:val="20"/>
          <w:color w:val="auto"/>
        </w:rPr>
      </w:pPr>
    </w:p>
    <w:p>
      <w:pPr>
        <w:jc w:val="both"/>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Interest on the notes will accrue from (i) the earlier of February 9, 2023 and the date of original issuance or (ii) from the most recent interest payment date to which interest has been paid, and will be payable semiannually on the interest payment dates described for each year.</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“—Book-Entry System” below.</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Prior to November 15, 2032 (three (3) months prior to the maturity date of the notes) (the “Par Call Date”), we may redeem the notes at our option, in whole or in part, at any time and from time to time, at a redemption price (expressed as a percentage of the principal amount and rounded to three decimal places) equal to the greater of:</w:t>
      </w:r>
    </w:p>
    <w:p>
      <w:pPr>
        <w:spacing w:after="0" w:line="68" w:lineRule="exact"/>
        <w:rPr>
          <w:sz w:val="20"/>
          <w:szCs w:val="20"/>
          <w:color w:val="auto"/>
        </w:rPr>
      </w:pPr>
    </w:p>
    <w:p>
      <w:pPr>
        <w:jc w:val="both"/>
        <w:ind w:left="560" w:right="260" w:hanging="4"/>
        <w:spacing w:after="0" w:line="266" w:lineRule="auto"/>
        <w:tabs>
          <w:tab w:leader="none" w:pos="9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the notes matured on the Par Call Date) on a semi-annual basis (assuming a 360-day year consisting of twelve 30-day months) at the Treasury Rate plus 15 basis points, less (b) interest accrued to the date of redemption, and</w:t>
      </w:r>
    </w:p>
    <w:p>
      <w:pPr>
        <w:spacing w:after="0" w:line="67" w:lineRule="exact"/>
        <w:rPr>
          <w:rFonts w:ascii="Times New Roman" w:cs="Times New Roman" w:eastAsia="Times New Roman" w:hAnsi="Times New Roman"/>
          <w:sz w:val="18"/>
          <w:szCs w:val="18"/>
          <w:color w:val="auto"/>
        </w:rPr>
      </w:pPr>
    </w:p>
    <w:p>
      <w:pPr>
        <w:ind w:left="940" w:hanging="3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if the notes are in the form of one or more global securities, in accordance with the procedures of The Depository Trust Company (or another depositary) or, if the notes are not in the form of one or more global securities,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registered in the name of The Depository Trust Company (or another depositary) or such depositary’s nominee, the redemption of the notes shall be done in accordance with the policies and procedures of the depositary.</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Holders may hold interests in the notes outside the United States through Euroclear or Clearstream if they are participants in those systems, or indirectly through organizations which are participants in those systems.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6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4" w:lineRule="exact"/>
        <w:rPr>
          <w:sz w:val="20"/>
          <w:szCs w:val="20"/>
          <w:color w:val="auto"/>
        </w:rPr>
      </w:pPr>
    </w:p>
    <w:p>
      <w:pPr>
        <w:ind w:left="560" w:right="140" w:firstLine="419"/>
        <w:spacing w:after="0" w:line="282" w:lineRule="auto"/>
        <w:tabs>
          <w:tab w:leader="none" w:pos="1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3"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at any time determine not to have all the notes represented by the Global Notes; or</w:t>
      </w:r>
    </w:p>
    <w:p>
      <w:pPr>
        <w:spacing w:after="0" w:line="117"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 NON-U.S. HOLDERS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ownership and disposition of the notes. This discussion only applies to notes that meet all of the following conditions: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as capital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beneficially owned by Non-U.S. Holders (as defined below).</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beneficial owners of notes in light of their particular circumstances or to beneficial owners of notes subject to special rules, such as:</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arrangements or entities classified as partnerships for U.S. federal income tax purposes;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with respect to the notes to their financial statements under Section 451 of the Internal Revenue Code of 1986, as amended (the “Code”).</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arrangement or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not a U.S. citizen and who is classified as a nonresident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“Non-U.S. Holder” does not include an individual present in the United States for 183 days or more in the taxable year of disposition or a former citizen or former resident of the United States. Such persons are urged to consult their tax advisors regarding the U.S. federal income tax consequences of the sale, exchange or other disposition of a note.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a Note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1" w:lineRule="exact"/>
        <w:rPr>
          <w:sz w:val="20"/>
          <w:szCs w:val="20"/>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does not own, actually or constructively, 10% or more of the total combined voting power of all classes of our stock entitled to vote and is not a controlled foreign corporation related, directly or indirectly, to us through stock ownership;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if interest on the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Internal Revenue Service Form W-8ECI) is provided to the applicable withholding agent. Such a Non-U.S. Holder will, however, generally be taxed on such interest in the same manner as a U.S. person, unless an applicable income tax treaty provides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Redemption or Other Disposition of a Note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 Non-U.S. Holder will not be subject to U.S. federal income tax on gain realized on the sale, exchange, redemption or other disposition of such note, unless the gain is effectively connected with the conduct by the holder of a trade or business in the United States (and, if required by an applicable income tax treaty, is attributable to a U.S. permanent establishment or a fixed base of the Non-U.S. Holder).</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if gain realized by the Non-U.S. Holder on a sale, exchange, redemption or other disposition of such note is effectively connected with the conduct of such trade or business, the Non-U.S. Holder will generally be taxed in the same manner as a U.S. person, subject to an applicable income tax treaty providing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Notes To Be</w:t>
            </w:r>
          </w:p>
        </w:tc>
        <w:tc>
          <w:tcPr>
            <w:tcW w:w="0" w:type="dxa"/>
            <w:vAlign w:val="bottom"/>
          </w:tcPr>
          <w:p>
            <w:pPr>
              <w:spacing w:after="0"/>
              <w:rPr>
                <w:sz w:val="1"/>
                <w:szCs w:val="1"/>
                <w:color w:val="auto"/>
              </w:rPr>
            </w:pPr>
          </w:p>
        </w:tc>
      </w:tr>
      <w:tr>
        <w:trPr>
          <w:trHeight w:val="173"/>
        </w:trPr>
        <w:tc>
          <w:tcPr>
            <w:tcW w:w="6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9"/>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Veterans Group, PBC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Bancroft Capital, LLC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Cabrera Capital Markets LLC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CastleOak Securities, L.P.</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 King &amp; Associates, Inc.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Mischler Financial Group, Inc.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Telsey Advisory Group LLC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0.250% of the principal amount of the notes. The underwriters may allow, and the dealers may reallow, a discount not in excess of 0.150% of the principal amount of the notes to other dealers. After the initial public offering, the public offering prices, concessions and discounts may be changed.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to be $500,000.</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6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5" w:lineRule="exact"/>
        <w:rPr>
          <w:sz w:val="20"/>
          <w:szCs w:val="20"/>
          <w:color w:val="auto"/>
        </w:rPr>
      </w:pPr>
    </w:p>
    <w:p>
      <w:pPr>
        <w:ind w:left="120" w:right="380" w:hanging="4"/>
        <w:spacing w:after="0" w:line="260" w:lineRule="auto"/>
        <w:tabs>
          <w:tab w:leader="none" w:pos="4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it forms part of domestic law by virtue of the EUWA (the “UK Prospectus Regulation”). Consequently no key information document required by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72" w:lineRule="exact"/>
        <w:rPr>
          <w:sz w:val="20"/>
          <w:szCs w:val="20"/>
          <w:color w:val="auto"/>
        </w:rPr>
      </w:pPr>
    </w:p>
    <w:p>
      <w:pPr>
        <w:ind w:left="560" w:right="500" w:firstLine="419"/>
        <w:spacing w:after="0" w:line="282" w:lineRule="auto"/>
        <w:tabs>
          <w:tab w:leader="none" w:pos="13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620" w:firstLine="419"/>
        <w:spacing w:after="0" w:line="282" w:lineRule="auto"/>
        <w:tabs>
          <w:tab w:leader="none" w:pos="13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3"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17" w:lineRule="exact"/>
        <w:rPr>
          <w:sz w:val="20"/>
          <w:szCs w:val="20"/>
          <w:color w:val="auto"/>
        </w:rPr>
      </w:pPr>
    </w:p>
    <w:p>
      <w:pPr>
        <w:ind w:left="560" w:right="740" w:firstLine="419"/>
        <w:spacing w:after="0" w:line="282" w:lineRule="auto"/>
        <w:tabs>
          <w:tab w:leader="none" w:pos="13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3" w:lineRule="exact"/>
        <w:rPr>
          <w:rFonts w:ascii="Times New Roman" w:cs="Times New Roman" w:eastAsia="Times New Roman" w:hAnsi="Times New Roman"/>
          <w:sz w:val="18"/>
          <w:szCs w:val="18"/>
          <w:color w:val="auto"/>
        </w:rPr>
      </w:pPr>
    </w:p>
    <w:p>
      <w:pPr>
        <w:ind w:left="560" w:right="40" w:firstLine="419"/>
        <w:spacing w:after="0" w:line="261" w:lineRule="auto"/>
        <w:tabs>
          <w:tab w:leader="none" w:pos="13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2" w:lineRule="exact"/>
        <w:rPr>
          <w:sz w:val="20"/>
          <w:szCs w:val="20"/>
          <w:color w:val="auto"/>
        </w:rPr>
      </w:pPr>
    </w:p>
    <w:p>
      <w:pPr>
        <w:ind w:left="560" w:right="1040" w:firstLine="419"/>
        <w:spacing w:after="0" w:line="282" w:lineRule="auto"/>
        <w:tabs>
          <w:tab w:leader="none" w:pos="13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53"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7"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17"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17" w:lineRule="exact"/>
        <w:rPr>
          <w:rFonts w:ascii="Times New Roman" w:cs="Times New Roman" w:eastAsia="Times New Roman" w:hAnsi="Times New Roman"/>
          <w:sz w:val="18"/>
          <w:szCs w:val="18"/>
          <w:color w:val="auto"/>
        </w:rPr>
      </w:pPr>
    </w:p>
    <w:p>
      <w:pPr>
        <w:ind w:left="560" w:right="480" w:firstLine="419"/>
        <w:spacing w:after="0" w:line="282" w:lineRule="auto"/>
        <w:tabs>
          <w:tab w:leader="none" w:pos="13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Classification—Solely for the purposes of our obligations pursuant to Sections 309(B)(1)(a) and 309(B)(1)(c)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offering of the notes has not been approved or licensed by the UAE Central Bank, the UAE Securities and Commodities Authority (“SCA”), the Dubai Financial Services Authority (“DFSA”) or any other relevant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licensing authorities in the UAE, and the notes may not be offered to the public in the UAE (including the DIFC). This prospectus supplement is being issued to a limited number of institutional and individual investors:</w:t>
      </w:r>
    </w:p>
    <w:p>
      <w:pPr>
        <w:spacing w:after="0" w:line="54" w:lineRule="exact"/>
        <w:rPr>
          <w:sz w:val="20"/>
          <w:szCs w:val="20"/>
          <w:color w:val="auto"/>
        </w:rPr>
      </w:pPr>
    </w:p>
    <w:p>
      <w:pPr>
        <w:ind w:left="560" w:right="140" w:firstLine="419"/>
        <w:spacing w:after="0" w:line="282" w:lineRule="auto"/>
        <w:tabs>
          <w:tab w:leader="none" w:pos="13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53"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3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53"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3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Various legal matters relating to the offering will be passed upon for us by Elizabeth Wideman, Esquire, Senior Vice President, Senior Deputy General Counsel and Assistant Secretary, Francis M. Buono, Esquire, Executive Vice President, Legal Regulatory Affairs and Senior Deputy General Counsel of Comcast Corporation, and by Davis Polk &amp; Wardwell LLP, New York, New York. Cahill Gordon &amp; Reindel LLP, New York, New York, is representing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2022 and 2021, and for each of the three years in the period ended December 31, 2022, incorporated by reference in this Prospectus Supplement by reference to Comcast Corporation’s annual report on Form 10-K for the year ended December 31, 2022,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208280</wp:posOffset>
            </wp:positionV>
            <wp:extent cx="1397000" cy="488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3970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060"/>
          </w:cols>
          <w:pgMar w:left="320" w:top="455" w:right="519" w:bottom="1440" w:gutter="0" w:footer="0" w:header="0"/>
        </w:sectPr>
      </w:pP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 Unsecured senior debt securities</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 Preferred stock</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 Warrants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 Depositary shares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 Purchase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 Class A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 Units</w:t>
      </w:r>
    </w:p>
    <w:p>
      <w:pPr>
        <w:spacing w:after="0" w:line="415" w:lineRule="exact"/>
        <w:rPr>
          <w:sz w:val="20"/>
          <w:szCs w:val="20"/>
          <w:color w:val="auto"/>
        </w:rPr>
      </w:pPr>
    </w:p>
    <w:p>
      <w:pPr>
        <w:sectPr>
          <w:pgSz w:w="11900" w:h="16838" w:orient="portrait"/>
          <w:cols w:equalWidth="0" w:num="2">
            <w:col w:w="5300" w:space="720"/>
            <w:col w:w="5040"/>
          </w:cols>
          <w:pgMar w:left="320" w:top="455" w:right="519" w:bottom="1440" w:gutter="0" w:footer="0" w:header="0"/>
          <w:type w:val="continuous"/>
        </w:sectPr>
      </w:pPr>
    </w:p>
    <w:p>
      <w:pPr>
        <w:spacing w:after="0" w:line="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 owned subsidiaries named in this 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ticker symbol “CMCSA.” On July 28, 2022, the reported last sale price on the Nasdaq Global Select Market for our Class A common stock was $39.41.</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 Maturity</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 Redemption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 Subsidiary guarantees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 Dividends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 Liquidation amount</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 Currency of payments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 Sinking fund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 Amount payable at maturity</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 Interest rate</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 Listing on a securities exchange</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1A—Risk Factors” beginning on page 22 of our Annual Report on Form 10-K for the fiscal year ended December 31, 2021, which is incorporated by reference herein.</w:t>
      </w:r>
    </w:p>
    <w:p>
      <w:pPr>
        <w:spacing w:after="0" w:line="155" w:lineRule="exact"/>
        <w:rPr>
          <w:sz w:val="20"/>
          <w:szCs w:val="20"/>
          <w:color w:val="auto"/>
        </w:rPr>
      </w:pPr>
    </w:p>
    <w:p>
      <w:pPr>
        <w:jc w:val="both"/>
        <w:ind w:left="120" w:right="5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(the “SEC” or the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29, 2022</w:t>
      </w:r>
    </w:p>
    <w:p>
      <w:pPr>
        <w:sectPr>
          <w:pgSz w:w="11900" w:h="16838" w:orient="portrait"/>
          <w:cols w:equalWidth="0" w:num="1">
            <w:col w:w="11060"/>
          </w:cols>
          <w:pgMar w:left="320" w:top="455" w:right="5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5"/>
            <w:vMerge w:val="restart"/>
          </w:tcPr>
          <w:p>
            <w:pPr>
              <w:spacing w:after="0"/>
              <w:rPr>
                <w:sz w:val="24"/>
                <w:szCs w:val="24"/>
                <w:color w:val="auto"/>
              </w:rPr>
            </w:pPr>
          </w:p>
        </w:tc>
        <w:tc>
          <w:tcPr>
            <w:tcW w:w="656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0000EE"/>
            </w:tcBorders>
            <w:gridSpan w:val="9"/>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2940" w:type="dxa"/>
            <w:vAlign w:val="bottom"/>
            <w:gridSpan w:val="11"/>
          </w:tcPr>
          <w:p>
            <w:pPr>
              <w:spacing w:after="0"/>
              <w:rPr>
                <w:sz w:val="18"/>
                <w:szCs w:val="18"/>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 Concerning Forward-Looking Statements</w:t>
            </w:r>
          </w:p>
        </w:tc>
        <w:tc>
          <w:tcPr>
            <w:tcW w:w="46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00" w:type="dxa"/>
            <w:vAlign w:val="bottom"/>
            <w:gridSpan w:val="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4"/>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7"/>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480" w:type="dxa"/>
            <w:vAlign w:val="bottom"/>
            <w:gridSpan w:val="2"/>
          </w:tcPr>
          <w:p>
            <w:pPr>
              <w:spacing w:after="0"/>
              <w:rPr>
                <w:sz w:val="17"/>
                <w:szCs w:val="17"/>
                <w:color w:val="auto"/>
              </w:rPr>
            </w:pPr>
          </w:p>
        </w:tc>
        <w:tc>
          <w:tcPr>
            <w:tcW w:w="6560" w:type="dxa"/>
            <w:vAlign w:val="bottom"/>
          </w:tcPr>
          <w:p>
            <w:pPr>
              <w:spacing w:after="0"/>
              <w:rPr>
                <w:sz w:val="17"/>
                <w:szCs w:val="17"/>
                <w:color w:val="auto"/>
              </w:rPr>
            </w:pP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7" w:lineRule="exact"/>
        <w:rPr>
          <w:sz w:val="20"/>
          <w:szCs w:val="20"/>
          <w:color w:val="auto"/>
        </w:rPr>
      </w:pPr>
    </w:p>
    <w:p>
      <w:pPr>
        <w:ind w:left="1080" w:right="120" w:hanging="424"/>
        <w:spacing w:after="0" w:line="26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broadband, video, voice,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services to residential customers in the United States under the Xfinity brand; we also provide these and other services to business customers and sell advertising.</w:t>
      </w:r>
    </w:p>
    <w:p>
      <w:pPr>
        <w:spacing w:after="0" w:line="76" w:lineRule="exact"/>
        <w:rPr>
          <w:rFonts w:ascii="Times New Roman" w:cs="Times New Roman" w:eastAsia="Times New Roman" w:hAnsi="Times New Roman"/>
          <w:sz w:val="18"/>
          <w:szCs w:val="18"/>
          <w:color w:val="auto"/>
        </w:rPr>
      </w:pPr>
    </w:p>
    <w:p>
      <w:pPr>
        <w:jc w:val="both"/>
        <w:ind w:left="1080" w:right="320" w:hanging="424"/>
        <w:spacing w:after="0" w:line="317" w:lineRule="auto"/>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Media: </w:t>
      </w:r>
      <w:r>
        <w:rPr>
          <w:rFonts w:ascii="Times New Roman" w:cs="Times New Roman" w:eastAsia="Times New Roman" w:hAnsi="Times New Roman"/>
          <w:sz w:val="17"/>
          <w:szCs w:val="17"/>
          <w:color w:val="auto"/>
        </w:rPr>
        <w:t>Consists primarily of NBCUniversal’s television and streaming platforms, including national, regional and international 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networks; the NBC and Telemundo broadcast networks, NBC and Telemundo owned local broadcast television stations; and Peacock.</w:t>
      </w:r>
    </w:p>
    <w:p>
      <w:pPr>
        <w:spacing w:after="0" w:line="37"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Osaka, Japan; and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w:t>
      </w:r>
    </w:p>
    <w:p>
      <w:pPr>
        <w:spacing w:after="0" w:line="60"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 direct-to-consumer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providing video, broadband, voice and wireless phone services, and a content business, operating entertainment networks, the Sky News broadcast network and Sky Sports networks.</w:t>
      </w:r>
    </w:p>
    <w:p>
      <w:pPr>
        <w:spacing w:after="0" w:line="17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2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 owned subsidiary of ours.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NBCUniversal Media, LLC</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Comcast and Comcast Cable are located at One Comcast Center, Philadelphia, Pennsylvania 19103-2838, and our telephone number is (215) 286-1700.</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NBCUniversal are located at 30 Rockefeller Plaza, New York, New York 10112-0015, and its telephone number is (212) 664-4444.</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http://www.comcastcorporation.com where general information about us is available. We are not incorporating the contents of the website into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 —Risk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 material adverse effect on our businesses and results of operations;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which could adversely affect our Cable Communications’ video businesses;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and licensing agreements, or the renewal of these agreements on less favorable terms, could adversely affect its businesses;</w:t>
      </w:r>
    </w:p>
    <w:p>
      <w:pPr>
        <w:spacing w:after="0" w:line="67" w:lineRule="exact"/>
        <w:rPr>
          <w:rFonts w:ascii="Times New Roman" w:cs="Times New Roman" w:eastAsia="Times New Roman" w:hAnsi="Times New Roman"/>
          <w:sz w:val="18"/>
          <w:szCs w:val="18"/>
          <w:color w:val="auto"/>
        </w:rPr>
      </w:pPr>
    </w:p>
    <w:p>
      <w:pPr>
        <w:jc w:val="both"/>
        <w:ind w:left="1080" w:right="680" w:hanging="424"/>
        <w:spacing w:after="0" w:line="312"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45"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acquisitions of Sky, and other strategic initiatives present many risks, and we may not realize the financial and strategic goals that we had contemplated;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130" w:lineRule="exact"/>
        <w:rPr>
          <w:rFonts w:ascii="Times New Roman" w:cs="Times New Roman" w:eastAsia="Times New Roman" w:hAnsi="Times New Roman"/>
          <w:sz w:val="18"/>
          <w:szCs w:val="18"/>
          <w:color w:val="auto"/>
        </w:rPr>
      </w:pPr>
    </w:p>
    <w:p>
      <w:pPr>
        <w:ind w:left="5580" w:right="140" w:hanging="4924"/>
        <w:spacing w:after="0" w:line="454" w:lineRule="auto"/>
        <w:tabs>
          <w:tab w:leader="none" w:pos="10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 4</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Our Board of Directors retains the right to change our dividend policy at any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indenture is included as an exhibit to the registration statement of which this prospectus is a part.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117" w:lineRule="exact"/>
        <w:rPr>
          <w:sz w:val="20"/>
          <w:szCs w:val="20"/>
          <w:color w:val="auto"/>
        </w:rPr>
      </w:pPr>
    </w:p>
    <w:p>
      <w:pPr>
        <w:ind w:left="120" w:right="460" w:firstLine="436"/>
        <w:spacing w:after="0" w:line="282" w:lineRule="auto"/>
        <w:tabs>
          <w:tab w:leader="none" w:pos="8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3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640" w:firstLine="436"/>
        <w:spacing w:after="0" w:line="282" w:lineRule="auto"/>
        <w:tabs>
          <w:tab w:leader="none" w:pos="8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117" w:lineRule="exact"/>
        <w:rPr>
          <w:sz w:val="20"/>
          <w:szCs w:val="20"/>
          <w:color w:val="auto"/>
        </w:rPr>
      </w:pPr>
    </w:p>
    <w:p>
      <w:pPr>
        <w:ind w:left="120" w:right="80" w:firstLine="436"/>
        <w:spacing w:after="0" w:line="266" w:lineRule="auto"/>
        <w:tabs>
          <w:tab w:leader="none" w:pos="8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7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36"/>
        <w:spacing w:after="0" w:line="282" w:lineRule="auto"/>
        <w:tabs>
          <w:tab w:leader="none" w:pos="8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117"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53"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53" w:lineRule="exact"/>
        <w:rPr>
          <w:rFonts w:ascii="Times New Roman" w:cs="Times New Roman" w:eastAsia="Times New Roman" w:hAnsi="Times New Roman"/>
          <w:sz w:val="18"/>
          <w:szCs w:val="18"/>
          <w:color w:val="auto"/>
        </w:rPr>
      </w:pPr>
    </w:p>
    <w:p>
      <w:pPr>
        <w:ind w:left="120" w:right="300" w:firstLine="436"/>
        <w:spacing w:after="0" w:line="266"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7"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7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6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3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senior indenture. The restrictive covenants summarized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apply, unless the covenants are waived or amended, so long as any of the senior debt securities are outstanding.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45"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without equally and ratably securing the senior debt securities of such series pursuant to the first paragraph of “—Limitation on Liens Securing Indebtedness” above; or</w:t>
      </w:r>
    </w:p>
    <w:p>
      <w:pPr>
        <w:spacing w:after="0" w:line="67" w:lineRule="exact"/>
        <w:rPr>
          <w:sz w:val="20"/>
          <w:szCs w:val="20"/>
          <w:color w:val="auto"/>
        </w:rPr>
      </w:pPr>
    </w:p>
    <w:p>
      <w:pPr>
        <w:ind w:left="108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of Assets.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ind w:left="1080" w:right="1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Existence.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senior indenture with respect to the senior debt securities of any series: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default in paying interest on the senior debt securities of such series when it becomes due and the default continues for a period of 30 days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w:t>
      </w:r>
    </w:p>
    <w:p>
      <w:pPr>
        <w:spacing w:after="0" w:line="207" w:lineRule="exact"/>
        <w:rPr>
          <w:sz w:val="20"/>
          <w:szCs w:val="20"/>
          <w:color w:val="auto"/>
        </w:rPr>
      </w:pPr>
    </w:p>
    <w:p>
      <w:pPr>
        <w:ind w:left="820" w:hanging="264"/>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225"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us or any Obligor have occurred;</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800" w:hanging="244"/>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6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senior indenture within 120 days of the end of each fiscal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ind w:left="1080" w:hanging="424"/>
        <w:spacing w:after="0" w:line="312" w:lineRule="auto"/>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ind w:left="1080" w:right="8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senior indenture or the senior debt securities of any series without notice to or the consent of any holder in order to:</w:t>
      </w:r>
    </w:p>
    <w:p>
      <w:pPr>
        <w:spacing w:after="0" w:line="67" w:lineRule="exact"/>
        <w:rPr>
          <w:sz w:val="20"/>
          <w:szCs w:val="20"/>
          <w:color w:val="auto"/>
        </w:rPr>
      </w:pPr>
    </w:p>
    <w:p>
      <w:pPr>
        <w:ind w:left="1080" w:right="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senior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5"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Debt Securities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4" w:lineRule="exact"/>
        <w:rPr>
          <w:sz w:val="20"/>
          <w:szCs w:val="20"/>
          <w:color w:val="auto"/>
        </w:rPr>
      </w:pPr>
    </w:p>
    <w:p>
      <w:pPr>
        <w:ind w:left="1080" w:right="4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including any Guarantee, and each senior debt security is governed by and construed in accordance with the laws of the State of New York.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See “Dividend Policy”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Class A common stock, subject to certain restrictions.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21" w:lineRule="exact"/>
        <w:rPr>
          <w:sz w:val="20"/>
          <w:szCs w:val="20"/>
          <w:color w:val="auto"/>
        </w:rPr>
      </w:pPr>
    </w:p>
    <w:p>
      <w:pPr>
        <w:jc w:val="both"/>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D/B/A EQ Shareowner Services, P.O. Box 64854, 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Minnesota 55164-0854. Its telephone number is (888) 883-8903.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four ways:</w:t>
      </w:r>
    </w:p>
    <w:p>
      <w:pPr>
        <w:spacing w:after="0" w:line="13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customers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7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February 2,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Reports on Form 10-Q for the quarters ended </w:t>
      </w:r>
      <w:hyperlink r:id="rId78">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9">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filed on April 28, 2022 and July 28, 2022,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Form 8-K filed on </w:t>
      </w:r>
      <w:hyperlink r:id="rId80">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8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shareholders incorporated by reference in Comcast’s Annual Report on </w:t>
      </w:r>
      <w:hyperlink r:id="rId7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included in Item 3.02 under the caption “Amended and Restated Description of our Class A Common Stock” in Comcast’s Current Report on </w:t>
      </w:r>
      <w:hyperlink r:id="rId8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2015, as the same may be further amended from time to time.</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1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514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995160" cy="51435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$1,000,000,000 4.650%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1741170</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88"/>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0" w:type="dxa"/>
            <w:vAlign w:val="bottom"/>
          </w:tcPr>
          <w:p>
            <w:pPr>
              <w:jc w:val="center"/>
              <w:ind w:right="3938"/>
              <w:spacing w:after="0"/>
              <w:rPr>
                <w:sz w:val="20"/>
                <w:szCs w:val="20"/>
                <w:color w:val="auto"/>
              </w:rPr>
            </w:pPr>
            <w:r>
              <w:rPr>
                <w:rFonts w:ascii="Times New Roman" w:cs="Times New Roman" w:eastAsia="Times New Roman" w:hAnsi="Times New Roman"/>
                <w:sz w:val="22"/>
                <w:szCs w:val="22"/>
                <w:b w:val="1"/>
                <w:bCs w:val="1"/>
                <w:i w:val="1"/>
                <w:iCs w:val="1"/>
                <w:color w:val="auto"/>
                <w:w w:val="98"/>
              </w:rPr>
              <w:t>Joint Book-Running Managers</w:t>
            </w:r>
          </w:p>
        </w:tc>
      </w:tr>
      <w:tr>
        <w:trPr>
          <w:trHeight w:val="456"/>
        </w:trPr>
        <w:tc>
          <w:tcPr>
            <w:tcW w:w="1940" w:type="dxa"/>
            <w:vAlign w:val="bottom"/>
          </w:tcPr>
          <w:p>
            <w:pPr>
              <w:jc w:val="center"/>
              <w:ind w:right="6"/>
              <w:spacing w:after="0"/>
              <w:rPr>
                <w:sz w:val="20"/>
                <w:szCs w:val="20"/>
                <w:color w:val="auto"/>
              </w:rPr>
            </w:pPr>
            <w:r>
              <w:rPr>
                <w:rFonts w:ascii="Times New Roman" w:cs="Times New Roman" w:eastAsia="Times New Roman" w:hAnsi="Times New Roman"/>
                <w:sz w:val="22"/>
                <w:szCs w:val="22"/>
                <w:b w:val="1"/>
                <w:bCs w:val="1"/>
                <w:color w:val="auto"/>
                <w:w w:val="98"/>
              </w:rPr>
              <w:t>BofA Securities</w:t>
            </w:r>
          </w:p>
        </w:tc>
        <w:tc>
          <w:tcPr>
            <w:tcW w:w="20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Academy Securities</w:t>
            </w:r>
          </w:p>
        </w:tc>
        <w:tc>
          <w:tcPr>
            <w:tcW w:w="70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Loop Capital Markets   Ramirez &amp; Co., Inc.   Siebert Williams Shank</w:t>
            </w:r>
          </w:p>
        </w:tc>
      </w:tr>
      <w:tr>
        <w:trPr>
          <w:trHeight w:val="214"/>
        </w:trPr>
        <w:tc>
          <w:tcPr>
            <w:tcW w:w="19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i w:val="1"/>
                <w:iCs w:val="1"/>
                <w:color w:val="auto"/>
              </w:rPr>
              <w:t>Green Structuring Agent</w:t>
            </w:r>
          </w:p>
        </w:tc>
        <w:tc>
          <w:tcPr>
            <w:tcW w:w="208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668"/>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0" w:type="dxa"/>
            <w:vAlign w:val="bottom"/>
          </w:tcPr>
          <w:p>
            <w:pPr>
              <w:jc w:val="center"/>
              <w:ind w:right="3938"/>
              <w:spacing w:after="0"/>
              <w:rPr>
                <w:sz w:val="20"/>
                <w:szCs w:val="20"/>
                <w:color w:val="auto"/>
              </w:rPr>
            </w:pPr>
            <w:r>
              <w:rPr>
                <w:rFonts w:ascii="Times New Roman" w:cs="Times New Roman" w:eastAsia="Times New Roman" w:hAnsi="Times New Roman"/>
                <w:sz w:val="18"/>
                <w:szCs w:val="18"/>
                <w:b w:val="1"/>
                <w:bCs w:val="1"/>
                <w:color w:val="auto"/>
              </w:rPr>
              <w:t>February 7, 2023</w:t>
            </w:r>
          </w:p>
        </w:tc>
      </w:tr>
      <w:tr>
        <w:trPr>
          <w:trHeight w:val="648"/>
        </w:trPr>
        <w:tc>
          <w:tcPr>
            <w:tcW w:w="19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r>
    </w:tbl>
    <w:p>
      <w:pPr>
        <w:sectPr>
          <w:pgSz w:w="11900" w:h="16838" w:orient="portrait"/>
          <w:cols w:equalWidth="0" w:num="1">
            <w:col w:w="11140"/>
          </w:cols>
          <w:pgMar w:left="320" w:top="455" w:right="43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Issuer:</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Guarantors: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Comcast Cable Communications,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920" w:type="dxa"/>
            <w:vAlign w:val="bottom"/>
            <w:tcBorders>
              <w:top w:val="single" w:sz="8" w:color="auto"/>
              <w:left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28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98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 Calculation</w:t>
            </w:r>
          </w:p>
        </w:tc>
        <w:tc>
          <w:tcPr>
            <w:tcW w:w="11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6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920" w:type="dxa"/>
            <w:vAlign w:val="bottom"/>
            <w:tcBorders>
              <w:left w:val="single" w:sz="8" w:color="auto"/>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28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 Forward</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Offering Price Per</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6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65"/>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Security Class 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33"/>
        </w:trPr>
        <w:tc>
          <w:tcPr>
            <w:tcW w:w="92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r>
      <w:tr>
        <w:trPr>
          <w:trHeight w:val="200"/>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52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r>
      <w:tr>
        <w:trPr>
          <w:trHeight w:val="223"/>
        </w:trPr>
        <w:tc>
          <w:tcPr>
            <w:tcW w:w="920" w:type="dxa"/>
            <w:vAlign w:val="bottom"/>
            <w:tcBorders>
              <w:left w:val="single" w:sz="8" w:color="auto"/>
              <w:bottom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8"/>
              </w:rPr>
              <w:t>Paid</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Debt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4.650% Notes due 2033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457(r)</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$1,000,000,000</w:t>
            </w:r>
          </w:p>
        </w:tc>
        <w:tc>
          <w:tcPr>
            <w:tcW w:w="1020" w:type="dxa"/>
            <w:vAlign w:val="bottom"/>
            <w:tcBorders>
              <w:bottom w:val="single" w:sz="8" w:color="auto"/>
              <w:right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color w:val="auto"/>
              </w:rPr>
              <w:t>99.904%</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$999,040,000</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$110.20 per $1,000,000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$110,094.21</w:t>
            </w:r>
          </w:p>
        </w:tc>
      </w:tr>
      <w:tr>
        <w:trPr>
          <w:trHeight w:val="223"/>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Debt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Guarantees of 4.650% Notes due 2033 (1)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Other (2)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3"/>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2"/>
          </w:tcPr>
          <w:p>
            <w:pPr>
              <w:jc w:val="center"/>
              <w:ind w:left="483"/>
              <w:spacing w:after="0"/>
              <w:rPr>
                <w:sz w:val="20"/>
                <w:szCs w:val="20"/>
                <w:color w:val="auto"/>
              </w:rPr>
            </w:pPr>
            <w:r>
              <w:rPr>
                <w:rFonts w:ascii="Times New Roman" w:cs="Times New Roman" w:eastAsia="Times New Roman" w:hAnsi="Times New Roman"/>
                <w:sz w:val="16"/>
                <w:szCs w:val="16"/>
                <w:color w:val="auto"/>
              </w:rPr>
              <w:t>Total Offering Amounts</w:t>
            </w:r>
          </w:p>
        </w:tc>
        <w:tc>
          <w:tcPr>
            <w:tcW w:w="11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$999,040,000</w:t>
            </w:r>
          </w:p>
        </w:tc>
        <w:tc>
          <w:tcPr>
            <w:tcW w:w="16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$110,094.21</w:t>
            </w:r>
          </w:p>
        </w:tc>
      </w:tr>
      <w:tr>
        <w:trPr>
          <w:trHeight w:val="223"/>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center"/>
              <w:ind w:left="1483"/>
              <w:spacing w:after="0"/>
              <w:rPr>
                <w:sz w:val="20"/>
                <w:szCs w:val="20"/>
                <w:color w:val="auto"/>
              </w:rPr>
            </w:pPr>
            <w:r>
              <w:rPr>
                <w:rFonts w:ascii="Times New Roman" w:cs="Times New Roman" w:eastAsia="Times New Roman" w:hAnsi="Times New Roman"/>
                <w:sz w:val="16"/>
                <w:szCs w:val="16"/>
                <w:color w:val="auto"/>
              </w:rPr>
              <w:t>Net Fee Due</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$110,094.21</w:t>
            </w:r>
          </w:p>
        </w:tc>
      </w:tr>
    </w:tbl>
    <w:p>
      <w:pPr>
        <w:spacing w:after="0" w:line="225" w:lineRule="exact"/>
        <w:rPr>
          <w:sz w:val="20"/>
          <w:szCs w:val="20"/>
          <w:color w:val="auto"/>
        </w:rPr>
      </w:pPr>
    </w:p>
    <w:p>
      <w:pPr>
        <w:ind w:left="424" w:right="380" w:hanging="424"/>
        <w:spacing w:after="0" w:line="261"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Cable Communications, LLC and NBCUniversal Media, LLC have each provided a guarantee with respect to the 4.650% Notes due 2033 issued by Comcast Corporation.</w:t>
      </w:r>
    </w:p>
    <w:p>
      <w:pPr>
        <w:ind w:left="424" w:hanging="424"/>
        <w:spacing w:after="0"/>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457(n) under the Securities Act of 1933, as amended, no additional registration fee is due with respect to the guarantees.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2"/>
    </w:lvl>
    <w:lvl w:ilvl="1">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813864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1E7FF521"/>
    <w:multiLevelType w:val="hybridMultilevel"/>
    <w:lvl w:ilvl="0">
      <w:lvlJc w:val="left"/>
      <w:lvlText w:val="%1."/>
      <w:numFmt w:val="lowerRoman"/>
      <w:start w:val="1"/>
    </w:lvl>
  </w:abstractNum>
  <w:abstractNum w:abstractNumId="9">
    <w:nsid w:val="7C3DBD3D"/>
    <w:multiLevelType w:val="hybridMultilevel"/>
    <w:lvl w:ilvl="0">
      <w:lvlJc w:val="left"/>
      <w:lvlText w:val="•"/>
      <w:numFmt w:val="bullet"/>
      <w:start w:val="1"/>
    </w:lvl>
    <w:lvl w:ilvl="1">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lowerRoman"/>
      <w:start w:val="3"/>
    </w:lvl>
  </w:abstractNum>
  <w:abstractNum w:abstractNumId="19">
    <w:nsid w:val="5072367"/>
    <w:multiLevelType w:val="hybridMultilevel"/>
    <w:lvl w:ilvl="0">
      <w:lvlJc w:val="left"/>
      <w:lvlText w:val="(%1)"/>
      <w:numFmt w:val="lowerRoman"/>
      <w:start w:val="1"/>
    </w:lvl>
  </w:abstractNum>
  <w:abstractNum w:abstractNumId="20">
    <w:nsid w:val="3804823E"/>
    <w:multiLevelType w:val="hybridMultilevel"/>
    <w:lvl w:ilvl="0">
      <w:lvlJc w:val="left"/>
      <w:lvlText w:val="(%1)"/>
      <w:numFmt w:val="lowerRoman"/>
      <w:start w:val="2"/>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lowerRoman"/>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2"/>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3"/>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lowerLetter"/>
      <w:start w:val="2"/>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jpe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16" Type="http://schemas.openxmlformats.org/officeDocument/2006/relationships/hyperlink" Target="http://www.sec.gov/Archives/edgar/data/1166691/000116669123000010/cmcsa-20221231.htm" TargetMode="External"/><Relationship Id="rId17" Type="http://schemas.openxmlformats.org/officeDocument/2006/relationships/hyperlink" Target="http://www.sec.gov/Archives/edgar/data/1166691/000095010323000208/dp186651_8k.htm" TargetMode="External"/><Relationship Id="rId77" Type="http://schemas.openxmlformats.org/officeDocument/2006/relationships/hyperlink" Target="http://www.sec.gov/ix?doc=/Archives/edgar/data/1166691/000116669122000009/cmcsa-20211231.htm" TargetMode="External"/><Relationship Id="rId78" Type="http://schemas.openxmlformats.org/officeDocument/2006/relationships/hyperlink" Target="http://www.sec.gov/ix?doc=/Archives/edgar/data/1166691/000116669122000018/cmcsa-20220331.htm" TargetMode="External"/><Relationship Id="rId79" Type="http://schemas.openxmlformats.org/officeDocument/2006/relationships/hyperlink" Target="http://www.sec.gov/ix?doc=/Archives/edgar/data/1166691/000116669122000030/cmcsa-20220630.htm" TargetMode="External"/><Relationship Id="rId80" Type="http://schemas.openxmlformats.org/officeDocument/2006/relationships/hyperlink" Target="http://www.sec.gov/ix?doc=/Archives/edgar/data/1166691/000095010322010112/dp174738_8k.htm" TargetMode="External"/><Relationship Id="rId81" Type="http://schemas.openxmlformats.org/officeDocument/2006/relationships/hyperlink" Target="http://www.sec.gov/Archives/edgar/data/1166691/000120677422001186/cmcsa4011221-def14a.htm" TargetMode="External"/><Relationship Id="rId82"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2023-02-08T15:39:45Z</dcterms:created>
  <dcterms:modified xsi:type="dcterms:W3CDTF">2023-02-08T15:39:45Z</dcterms:modified>
</cp:coreProperties>
</file>