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200300101</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(A fee is not required only if the filing person: (1) has a previous statement on file reporting beneficial ownership of more than five percent of the class of securities described in Item l; and (2) has filed no amendment subsequent thereto reporting beneficial ownership of five percent or less of such class.)(See Rule 13d-7).</w:t>
      </w: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3560" w:val="left"/>
          <w:tab w:leader="none" w:pos="5680" w:val="left"/>
        </w:tabs>
        <w:rPr>
          <w:sz w:val="20"/>
          <w:szCs w:val="20"/>
          <w:color w:val="auto"/>
        </w:rPr>
      </w:pPr>
      <w:r>
        <w:rPr>
          <w:rFonts w:ascii="Courier New" w:cs="Courier New" w:eastAsia="Courier New" w:hAnsi="Courier New"/>
          <w:sz w:val="18"/>
          <w:szCs w:val="18"/>
          <w:color w:val="auto"/>
        </w:rPr>
        <w:t>CUSIP No. 200300101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640"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Neuberger &amp; Berman, LLC</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13-5521910</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860" w:type="dxa"/>
            <w:vAlign w:val="bottom"/>
          </w:tcPr>
          <w:p>
            <w:pPr>
              <w:ind w:left="1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8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/__/</w:t>
            </w:r>
          </w:p>
        </w:tc>
      </w:tr>
      <w:tr>
        <w:trPr>
          <w:trHeight w:val="203"/>
        </w:trPr>
        <w:tc>
          <w:tcPr>
            <w:tcW w:w="4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/X/</w:t>
            </w: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c>
          <w:tcPr>
            <w:tcW w:w="5860" w:type="dxa"/>
            <w:vAlign w:val="bottom"/>
          </w:tcPr>
          <w:p>
            <w:pPr>
              <w:ind w:left="220"/>
              <w:spacing w:after="0"/>
              <w:rPr>
                <w:sz w:val="20"/>
                <w:szCs w:val="20"/>
                <w:color w:val="auto"/>
              </w:rPr>
            </w:pPr>
            <w:r>
              <w:rPr>
                <w:rFonts w:ascii="Courier New" w:cs="Courier New" w:eastAsia="Courier New" w:hAnsi="Courier New"/>
                <w:sz w:val="18"/>
                <w:szCs w:val="18"/>
                <w:color w:val="auto"/>
              </w:rPr>
              <w:t>SEC USE ONLY</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608"/>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w:t>
            </w:r>
          </w:p>
        </w:tc>
        <w:tc>
          <w:tcPr>
            <w:tcW w:w="5860" w:type="dxa"/>
            <w:vAlign w:val="bottom"/>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5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640" w:right="7779" w:hanging="527"/>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177,825</w:t>
      </w:r>
    </w:p>
    <w:p>
      <w:pPr>
        <w:spacing w:after="0" w:line="208" w:lineRule="exact"/>
        <w:rPr>
          <w:rFonts w:ascii="Courier New" w:cs="Courier New" w:eastAsia="Courier New" w:hAnsi="Courier New"/>
          <w:sz w:val="18"/>
          <w:szCs w:val="18"/>
          <w:color w:val="auto"/>
        </w:rPr>
      </w:pPr>
    </w:p>
    <w:p>
      <w:pPr>
        <w:ind w:left="640" w:right="7579" w:hanging="527"/>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1,125,000</w:t>
      </w:r>
    </w:p>
    <w:p>
      <w:pPr>
        <w:spacing w:after="0" w:line="208" w:lineRule="exact"/>
        <w:rPr>
          <w:rFonts w:ascii="Courier New" w:cs="Courier New" w:eastAsia="Courier New" w:hAnsi="Courier New"/>
          <w:sz w:val="18"/>
          <w:szCs w:val="18"/>
          <w:color w:val="auto"/>
        </w:rPr>
      </w:pPr>
    </w:p>
    <w:p>
      <w:pPr>
        <w:ind w:left="640" w:right="7259" w:hanging="527"/>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640" w:right="7059" w:hanging="527"/>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2,145,521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3259" w:hanging="527"/>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2,145,521</w:t>
      </w:r>
    </w:p>
    <w:p>
      <w:pPr>
        <w:sectPr>
          <w:pgSz w:w="11900" w:h="16838" w:orient="portrait"/>
          <w:cols w:equalWidth="0" w:num="1">
            <w:col w:w="10219"/>
          </w:cols>
          <w:pgMar w:left="240" w:top="244" w:right="1440" w:bottom="0" w:gutter="0" w:footer="0" w:header="0"/>
        </w:sectPr>
      </w:pPr>
    </w:p>
    <w:bookmarkStart w:id="1" w:name="page2"/>
    <w:bookmarkEnd w:id="1"/>
    <w:p>
      <w:pPr>
        <w:ind w:left="640" w:right="2319" w:hanging="632"/>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20,000</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6.31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6939" w:hanging="632"/>
        <w:spacing w:after="0" w:line="470"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BD/IA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gridSpan w:val="3"/>
          </w:tcPr>
          <w:p>
            <w:pPr>
              <w:spacing w:after="0"/>
              <w:rPr>
                <w:sz w:val="20"/>
                <w:szCs w:val="20"/>
                <w:color w:val="auto"/>
              </w:rPr>
            </w:pPr>
            <w:r>
              <w:rPr>
                <w:rFonts w:ascii="Courier New" w:cs="Courier New" w:eastAsia="Courier New" w:hAnsi="Courier New"/>
                <w:sz w:val="18"/>
                <w:szCs w:val="18"/>
                <w:color w:val="auto"/>
                <w:w w:val="99"/>
              </w:rPr>
              <w:t>CUSIP No. 200300101</w:t>
            </w:r>
          </w:p>
        </w:tc>
        <w:tc>
          <w:tcPr>
            <w:tcW w:w="3540" w:type="dxa"/>
            <w:vAlign w:val="bottom"/>
          </w:tcPr>
          <w:p>
            <w:pPr>
              <w:ind w:left="1520"/>
              <w:spacing w:after="0"/>
              <w:rPr>
                <w:sz w:val="20"/>
                <w:szCs w:val="20"/>
                <w:color w:val="auto"/>
              </w:rPr>
            </w:pPr>
            <w:r>
              <w:rPr>
                <w:rFonts w:ascii="Courier New" w:cs="Courier New" w:eastAsia="Courier New" w:hAnsi="Courier New"/>
                <w:sz w:val="18"/>
                <w:szCs w:val="18"/>
                <w:color w:val="auto"/>
              </w:rPr>
              <w:t>13G</w:t>
            </w:r>
          </w:p>
        </w:tc>
        <w:tc>
          <w:tcPr>
            <w:tcW w:w="2300" w:type="dxa"/>
            <w:vAlign w:val="bottom"/>
          </w:tcPr>
          <w:p>
            <w:pPr>
              <w:ind w:left="100"/>
              <w:spacing w:after="0"/>
              <w:rPr>
                <w:sz w:val="20"/>
                <w:szCs w:val="20"/>
                <w:color w:val="auto"/>
              </w:rPr>
            </w:pPr>
            <w:r>
              <w:rPr>
                <w:rFonts w:ascii="Courier New" w:cs="Courier New" w:eastAsia="Courier New" w:hAnsi="Courier New"/>
                <w:sz w:val="18"/>
                <w:szCs w:val="18"/>
                <w:color w:val="auto"/>
              </w:rPr>
              <w:t>Page 3 of 5 Pages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42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Name of Issuer:</w:t>
            </w:r>
          </w:p>
        </w:tc>
        <w:tc>
          <w:tcPr>
            <w:tcW w:w="230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Comcast Corporation</w:t>
            </w:r>
          </w:p>
        </w:tc>
        <w:tc>
          <w:tcPr>
            <w:tcW w:w="230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652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2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1500 Market Street, Philadelphia, PA 19102</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42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Name of Person Filing:</w:t>
            </w:r>
          </w:p>
        </w:tc>
        <w:tc>
          <w:tcPr>
            <w:tcW w:w="230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Neuberger &amp; Berman, LLC</w:t>
            </w:r>
          </w:p>
        </w:tc>
        <w:tc>
          <w:tcPr>
            <w:tcW w:w="230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42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Address of Principal Business Office:</w:t>
            </w:r>
          </w:p>
        </w:tc>
        <w:tc>
          <w:tcPr>
            <w:tcW w:w="230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2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605 Third Ave., New York, NY, 10158-3698</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42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Citizenship:</w:t>
            </w:r>
          </w:p>
        </w:tc>
        <w:tc>
          <w:tcPr>
            <w:tcW w:w="230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USA</w:t>
            </w:r>
          </w:p>
        </w:tc>
        <w:tc>
          <w:tcPr>
            <w:tcW w:w="35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(d)</w:t>
            </w:r>
          </w:p>
        </w:tc>
        <w:tc>
          <w:tcPr>
            <w:tcW w:w="42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Title of Class of Securities:</w:t>
            </w:r>
          </w:p>
        </w:tc>
        <w:tc>
          <w:tcPr>
            <w:tcW w:w="230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Class A</w:t>
            </w:r>
          </w:p>
        </w:tc>
        <w:tc>
          <w:tcPr>
            <w:tcW w:w="230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(e)</w:t>
            </w:r>
          </w:p>
        </w:tc>
        <w:tc>
          <w:tcPr>
            <w:tcW w:w="42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CUSIP Number:</w:t>
            </w:r>
          </w:p>
        </w:tc>
        <w:tc>
          <w:tcPr>
            <w:tcW w:w="230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200300101</w:t>
            </w:r>
          </w:p>
        </w:tc>
        <w:tc>
          <w:tcPr>
            <w:tcW w:w="230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/X/</w:t>
            </w:r>
          </w:p>
        </w:tc>
        <w:tc>
          <w:tcPr>
            <w:tcW w:w="58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Broker or Dealer registered under Section 15 of the Act</w:t>
            </w: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/X/</w:t>
            </w:r>
          </w:p>
        </w:tc>
        <w:tc>
          <w:tcPr>
            <w:tcW w:w="58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Investment Adviser registered under Section 203 of the</w:t>
            </w: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Advisers Act of 1940</w:t>
            </w:r>
          </w:p>
        </w:tc>
        <w:tc>
          <w:tcPr>
            <w:tcW w:w="2300" w:type="dxa"/>
            <w:vAlign w:val="bottom"/>
          </w:tcPr>
          <w:p>
            <w:pPr>
              <w:spacing w:after="0"/>
              <w:rPr>
                <w:sz w:val="17"/>
                <w:szCs w:val="17"/>
                <w:color w:val="auto"/>
              </w:rPr>
            </w:pP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580" w:type="dxa"/>
            <w:vAlign w:val="bottom"/>
          </w:tcPr>
          <w:p>
            <w:pPr>
              <w:spacing w:after="0"/>
              <w:rPr>
                <w:sz w:val="24"/>
                <w:szCs w:val="24"/>
                <w:color w:val="auto"/>
              </w:rPr>
            </w:pPr>
          </w:p>
        </w:tc>
        <w:tc>
          <w:tcPr>
            <w:tcW w:w="42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Ownership:</w:t>
            </w:r>
          </w:p>
        </w:tc>
        <w:tc>
          <w:tcPr>
            <w:tcW w:w="230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42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Amount Beneficially Owned:</w:t>
            </w:r>
          </w:p>
        </w:tc>
        <w:tc>
          <w:tcPr>
            <w:tcW w:w="230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2,145,521</w:t>
            </w:r>
          </w:p>
        </w:tc>
        <w:tc>
          <w:tcPr>
            <w:tcW w:w="230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42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Percent of Class:</w:t>
            </w:r>
          </w:p>
        </w:tc>
        <w:tc>
          <w:tcPr>
            <w:tcW w:w="230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Courier New" w:cs="Courier New" w:eastAsia="Courier New" w:hAnsi="Courier New"/>
                <w:sz w:val="18"/>
                <w:szCs w:val="18"/>
                <w:color w:val="auto"/>
              </w:rPr>
              <w:t>6.31</w:t>
            </w:r>
          </w:p>
        </w:tc>
        <w:tc>
          <w:tcPr>
            <w:tcW w:w="35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05"/>
        </w:trPr>
        <w:tc>
          <w:tcPr>
            <w:tcW w:w="2060" w:type="dxa"/>
            <w:vAlign w:val="bottom"/>
            <w:gridSpan w:val="3"/>
          </w:tcPr>
          <w:p>
            <w:pPr>
              <w:spacing w:after="0"/>
              <w:rPr>
                <w:sz w:val="20"/>
                <w:szCs w:val="20"/>
                <w:color w:val="auto"/>
              </w:rPr>
            </w:pPr>
            <w:r>
              <w:rPr>
                <w:rFonts w:ascii="Courier New" w:cs="Courier New" w:eastAsia="Courier New" w:hAnsi="Courier New"/>
                <w:sz w:val="18"/>
                <w:szCs w:val="18"/>
                <w:color w:val="auto"/>
                <w:w w:val="99"/>
              </w:rPr>
              <w:t>CUSIP No. 200300101</w:t>
            </w:r>
          </w:p>
        </w:tc>
        <w:tc>
          <w:tcPr>
            <w:tcW w:w="3540" w:type="dxa"/>
            <w:vAlign w:val="bottom"/>
          </w:tcPr>
          <w:p>
            <w:pPr>
              <w:ind w:left="1520"/>
              <w:spacing w:after="0"/>
              <w:rPr>
                <w:sz w:val="20"/>
                <w:szCs w:val="20"/>
                <w:color w:val="auto"/>
              </w:rPr>
            </w:pPr>
            <w:r>
              <w:rPr>
                <w:rFonts w:ascii="Courier New" w:cs="Courier New" w:eastAsia="Courier New" w:hAnsi="Courier New"/>
                <w:sz w:val="18"/>
                <w:szCs w:val="18"/>
                <w:color w:val="auto"/>
              </w:rPr>
              <w:t>13G</w:t>
            </w:r>
          </w:p>
        </w:tc>
        <w:tc>
          <w:tcPr>
            <w:tcW w:w="2300" w:type="dxa"/>
            <w:vAlign w:val="bottom"/>
          </w:tcPr>
          <w:p>
            <w:pPr>
              <w:ind w:left="100"/>
              <w:spacing w:after="0"/>
              <w:rPr>
                <w:sz w:val="20"/>
                <w:szCs w:val="20"/>
                <w:color w:val="auto"/>
              </w:rPr>
            </w:pPr>
            <w:r>
              <w:rPr>
                <w:rFonts w:ascii="Courier New" w:cs="Courier New" w:eastAsia="Courier New" w:hAnsi="Courier New"/>
                <w:sz w:val="18"/>
                <w:szCs w:val="18"/>
                <w:color w:val="auto"/>
              </w:rPr>
              <w:t>Page 4 of 5 Pages</w:t>
            </w:r>
          </w:p>
        </w:tc>
      </w:tr>
    </w:tbl>
    <w:p>
      <w:pPr>
        <w:spacing w:after="0" w:line="201" w:lineRule="exact"/>
        <w:rPr>
          <w:sz w:val="20"/>
          <w:szCs w:val="20"/>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800" w:right="4739" w:hanging="739"/>
        <w:spacing w:after="0" w:line="235" w:lineRule="auto"/>
        <w:tabs>
          <w:tab w:leader="none" w:pos="18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177,825</w:t>
      </w:r>
    </w:p>
    <w:p>
      <w:pPr>
        <w:spacing w:after="0" w:line="208" w:lineRule="exact"/>
        <w:rPr>
          <w:sz w:val="20"/>
          <w:szCs w:val="20"/>
          <w:color w:val="auto"/>
        </w:rPr>
      </w:pPr>
    </w:p>
    <w:p>
      <w:pPr>
        <w:ind w:left="1800" w:right="4519" w:hanging="739"/>
        <w:spacing w:after="0" w:line="235" w:lineRule="auto"/>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1,125,000</w:t>
      </w:r>
    </w:p>
    <w:p>
      <w:pPr>
        <w:spacing w:after="0" w:line="208" w:lineRule="exact"/>
        <w:rPr>
          <w:rFonts w:ascii="Courier New" w:cs="Courier New" w:eastAsia="Courier New" w:hAnsi="Courier New"/>
          <w:sz w:val="18"/>
          <w:szCs w:val="18"/>
          <w:color w:val="auto"/>
        </w:rPr>
      </w:pPr>
    </w:p>
    <w:p>
      <w:pPr>
        <w:ind w:left="1800" w:right="3159" w:hanging="739"/>
        <w:spacing w:after="0" w:line="235" w:lineRule="auto"/>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8" w:lineRule="exact"/>
        <w:rPr>
          <w:rFonts w:ascii="Courier New" w:cs="Courier New" w:eastAsia="Courier New" w:hAnsi="Courier New"/>
          <w:sz w:val="18"/>
          <w:szCs w:val="18"/>
          <w:color w:val="auto"/>
        </w:rPr>
      </w:pPr>
    </w:p>
    <w:p>
      <w:pPr>
        <w:ind w:left="1800" w:right="2939" w:hanging="739"/>
        <w:spacing w:after="0" w:line="235" w:lineRule="auto"/>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2,145,521</w:t>
      </w:r>
    </w:p>
    <w:p>
      <w:pPr>
        <w:spacing w:after="0" w:line="200" w:lineRule="exact"/>
        <w:rPr>
          <w:sz w:val="20"/>
          <w:szCs w:val="20"/>
          <w:color w:val="auto"/>
        </w:rPr>
      </w:pPr>
    </w:p>
    <w:p>
      <w:pPr>
        <w:spacing w:after="0" w:line="20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58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p>
      <w:pPr>
        <w:sectPr>
          <w:pgSz w:w="11900" w:h="16838" w:orient="portrait"/>
          <w:cols w:equalWidth="0" w:num="1">
            <w:col w:w="10219"/>
          </w:cols>
          <w:pgMar w:left="240" w:top="344" w:right="1440" w:bottom="0" w:gutter="0" w:footer="0" w:header="0"/>
        </w:sectPr>
      </w:pPr>
    </w:p>
    <w:bookmarkStart w:id="2" w:name="page3"/>
    <w:bookmarkEnd w:id="2"/>
    <w:p>
      <w:pPr>
        <w:ind w:right="2319"/>
        <w:spacing w:after="0" w:line="237" w:lineRule="auto"/>
        <w:rPr>
          <w:sz w:val="20"/>
          <w:szCs w:val="20"/>
          <w:color w:val="auto"/>
        </w:rPr>
      </w:pPr>
      <w:r>
        <w:rPr>
          <w:rFonts w:ascii="Courier New" w:cs="Courier New" w:eastAsia="Courier New" w:hAnsi="Courier New"/>
          <w:sz w:val="18"/>
          <w:szCs w:val="18"/>
          <w:color w:val="auto"/>
        </w:rPr>
        <w:t>Neuberger &amp; Berman, LLC is deemed to be a beneficial owner for purpose of Rule 13(d) since it has shared power to make decisions whether to retain or dispose of the securities of many unrelated clients. Neuberger &amp; Berman, LLC does not, however have any economic interest in the securities of those clients. The clients are the actual owners of the securities and have the sole right to receive and the power to direct the receipt of dividends from or proceeds from the sale of such securities.</w:t>
      </w:r>
    </w:p>
    <w:p>
      <w:pPr>
        <w:spacing w:after="0" w:line="211"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Principal(s) of Neuberger &amp; Berman, LLC own 20,000 shares. Principal(s) own these shares in their own personal securities accounts. Neuberger &amp; Berman LLC disclaims beneficial ownership of these shares since; these shares were purchased with each principal(s)' personal funds and each principal has exclusive dispositive and voting power over the shares held in their respective accounts.</w:t>
      </w:r>
    </w:p>
    <w:p>
      <w:pPr>
        <w:spacing w:after="0" w:line="200" w:lineRule="exact"/>
        <w:rPr>
          <w:sz w:val="20"/>
          <w:szCs w:val="20"/>
          <w:color w:val="auto"/>
        </w:rPr>
      </w:pPr>
    </w:p>
    <w:p>
      <w:pPr>
        <w:spacing w:after="0" w:line="21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With regard to the shares set forth under Item 4.(c)(II), Neuberger &amp; Berman, LLC and Neuberger &amp; Berman Management Inc. are deemed to be beneficial owners for purposes of Rule 13(d) since they both have shared power to make decisions whether to retain or dispose of the securities. Neuberger &amp; Berman, LLC and Neuberger &amp; Berman Management Inc. serve as sub-adviser and investment manager, respectively, of Neuberger &amp; Berman's various Funds which hold such shares in the ordinary course of their business and not with the purpose nor with the effect of changing or influencing the control of the issuer.</w:t>
      </w:r>
    </w:p>
    <w:p>
      <w:pPr>
        <w:spacing w:after="0" w:line="21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No other Neuberger &amp; Berman, LLC advisory client has an interest of more than 5% of the issuer.</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It should be further noted that the share calculation under item 4.(c)(IV) is derived from a total combination of the shares set forth under Item 4.(c)(I and II). The remaining balance of shares, if any, are for individual client accounts over which Neuberger &amp; Berman, LLC has shared power to dispose.</w:t>
      </w:r>
    </w:p>
    <w:p>
      <w:pPr>
        <w:spacing w:after="0"/>
        <w:tabs>
          <w:tab w:leader="none" w:pos="3560" w:val="left"/>
          <w:tab w:leader="none" w:pos="5680" w:val="left"/>
        </w:tabs>
        <w:rPr>
          <w:sz w:val="20"/>
          <w:szCs w:val="20"/>
          <w:color w:val="auto"/>
        </w:rPr>
      </w:pPr>
      <w:r>
        <w:rPr>
          <w:rFonts w:ascii="Courier New" w:cs="Courier New" w:eastAsia="Courier New" w:hAnsi="Courier New"/>
          <w:sz w:val="18"/>
          <w:szCs w:val="18"/>
          <w:color w:val="auto"/>
        </w:rPr>
        <w:t>CUSIP No. 200300101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7" w:lineRule="exact"/>
        <w:rPr>
          <w:sz w:val="20"/>
          <w:szCs w:val="20"/>
          <w:color w:val="auto"/>
        </w:rPr>
      </w:pPr>
    </w:p>
    <w:p>
      <w:pPr>
        <w:ind w:left="1800" w:right="2419" w:hanging="1790"/>
        <w:spacing w:after="0" w:line="236" w:lineRule="auto"/>
        <w:tabs>
          <w:tab w:leader="none" w:pos="17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10,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C. Carl Randolph</w:t>
      </w:r>
    </w:p>
    <w:p>
      <w:pPr>
        <w:spacing w:after="0" w:line="207" w:lineRule="exact"/>
        <w:rPr>
          <w:sz w:val="20"/>
          <w:szCs w:val="20"/>
          <w:color w:val="auto"/>
        </w:rPr>
      </w:pPr>
    </w:p>
    <w:p>
      <w:pPr>
        <w:ind w:left="540" w:right="7059" w:hanging="216"/>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Principal/General Counsel Name/Title</w:t>
      </w:r>
    </w:p>
    <w:sectPr>
      <w:pgSz w:w="11900" w:h="16838" w:orient="portrait"/>
      <w:cols w:equalWidth="0" w:num="1">
        <w:col w:w="10219"/>
      </w:cols>
      <w:pgMar w:left="240" w:top="547" w:right="1440" w:bottom="74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0"/>
    </w:lvl>
  </w:abstractNum>
  <w:abstractNum w:abstractNumId="3">
    <w:nsid w:val="46E87CCD"/>
    <w:multiLevelType w:val="hybridMultilevel"/>
    <w:lvl w:ilvl="0">
      <w:lvlJc w:val="left"/>
      <w:lvlText w:val="(%1)"/>
      <w:numFmt w:val="lowerLetter"/>
      <w:start w:val="3"/>
    </w:lvl>
    <w:lvl w:ilvl="1">
      <w:lvlJc w:val="left"/>
      <w:lvlText w:val="(%2)"/>
      <w:numFmt w:val="upperLetter"/>
      <w:start w:val="9"/>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_"/>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2019-12-12T06:27:37Z</dcterms:created>
  <dcterms:modified xsi:type="dcterms:W3CDTF">2019-12-12T06:27:37Z</dcterms:modified>
</cp:coreProperties>
</file>