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FORM 10-Q</w:t>
      </w:r>
    </w:p>
    <w:p>
      <w:pPr>
        <w:spacing w:after="0"/>
        <w:rPr>
          <w:sz w:val="20"/>
          <w:szCs w:val="20"/>
          <w:color w:val="auto"/>
        </w:rPr>
      </w:pPr>
      <w:r>
        <w:rPr>
          <w:rFonts w:ascii="Courier New" w:cs="Courier New" w:eastAsia="Courier New" w:hAnsi="Courier New"/>
          <w:sz w:val="17"/>
          <w:szCs w:val="17"/>
          <w:color w:val="auto"/>
        </w:rPr>
        <w:t>(Mark One)</w:t>
      </w:r>
    </w:p>
    <w:p>
      <w:pPr>
        <w:spacing w:after="0" w:line="198" w:lineRule="exact"/>
        <w:rPr>
          <w:sz w:val="24"/>
          <w:szCs w:val="24"/>
          <w:color w:val="auto"/>
        </w:rPr>
      </w:pPr>
    </w:p>
    <w:p>
      <w:pPr>
        <w:ind w:left="500" w:right="2199" w:hanging="497"/>
        <w:spacing w:after="0" w:line="236"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 for the Quarterly Period Ended:</w:t>
      </w:r>
    </w:p>
    <w:p>
      <w:pPr>
        <w:spacing w:after="0" w:line="392" w:lineRule="exact"/>
        <w:rPr>
          <w:sz w:val="24"/>
          <w:szCs w:val="24"/>
          <w:color w:val="auto"/>
        </w:rPr>
      </w:pPr>
    </w:p>
    <w:p>
      <w:pPr>
        <w:ind w:left="500" w:right="2399" w:hanging="497"/>
        <w:spacing w:after="0" w:line="262" w:lineRule="auto"/>
        <w:tabs>
          <w:tab w:leader="none" w:pos="19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7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Commission File Number 0-6983</w:t>
      </w:r>
    </w:p>
    <w:p>
      <w:pPr>
        <w:spacing w:after="0" w:line="193"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[GRAPHIC OMITTED - LOGO]</w:t>
      </w:r>
    </w:p>
    <w:p>
      <w:pPr>
        <w:spacing w:after="0" w:line="38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COMCAST CORPORATION</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3" w:lineRule="exact"/>
        <w:rPr>
          <w:sz w:val="24"/>
          <w:szCs w:val="24"/>
          <w:color w:val="auto"/>
        </w:rPr>
      </w:pPr>
    </w:p>
    <w:p>
      <w:pPr>
        <w:ind w:left="700"/>
        <w:spacing w:after="0"/>
        <w:tabs>
          <w:tab w:leader="none" w:pos="6400" w:val="left"/>
        </w:tabs>
        <w:rPr>
          <w:sz w:val="20"/>
          <w:szCs w:val="20"/>
          <w:color w:val="auto"/>
        </w:rPr>
      </w:pPr>
      <w:r>
        <w:rPr>
          <w:rFonts w:ascii="Courier New" w:cs="Courier New" w:eastAsia="Courier New" w:hAnsi="Courier New"/>
          <w:sz w:val="17"/>
          <w:szCs w:val="17"/>
          <w:color w:val="auto"/>
        </w:rPr>
        <w:t>PENNSYLVANIA</w:t>
      </w:r>
      <w:r>
        <w:rPr>
          <w:sz w:val="20"/>
          <w:szCs w:val="20"/>
          <w:color w:val="auto"/>
        </w:rPr>
        <w:tab/>
      </w:r>
      <w:r>
        <w:rPr>
          <w:rFonts w:ascii="Courier New" w:cs="Courier New" w:eastAsia="Courier New" w:hAnsi="Courier New"/>
          <w:sz w:val="17"/>
          <w:szCs w:val="17"/>
          <w:color w:val="auto"/>
        </w:rPr>
        <w:t>23-1709202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4" w:lineRule="exact"/>
        <w:rPr>
          <w:sz w:val="24"/>
          <w:szCs w:val="24"/>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194"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1500 Market Street, Philadelphia, PA 19102-2148</w:t>
      </w:r>
    </w:p>
    <w:p>
      <w:pPr>
        <w:spacing w:after="0" w:line="6" w:lineRule="exact"/>
        <w:rPr>
          <w:sz w:val="24"/>
          <w:szCs w:val="24"/>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(Address of principal executive offices)</w:t>
      </w:r>
    </w:p>
    <w:p>
      <w:pPr>
        <w:ind w:left="3520"/>
        <w:spacing w:after="0"/>
        <w:rPr>
          <w:sz w:val="20"/>
          <w:szCs w:val="20"/>
          <w:color w:val="auto"/>
        </w:rPr>
      </w:pPr>
      <w:r>
        <w:rPr>
          <w:rFonts w:ascii="Courier New" w:cs="Courier New" w:eastAsia="Courier New" w:hAnsi="Courier New"/>
          <w:sz w:val="17"/>
          <w:szCs w:val="17"/>
          <w:color w:val="auto"/>
        </w:rPr>
        <w:t>(Zip Code)</w:t>
      </w:r>
    </w:p>
    <w:p>
      <w:pPr>
        <w:spacing w:after="0" w:line="193" w:lineRule="exact"/>
        <w:rPr>
          <w:sz w:val="24"/>
          <w:szCs w:val="24"/>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Registrant's telephone number, including area code:</w:t>
      </w:r>
      <w:r>
        <w:rPr>
          <w:sz w:val="20"/>
          <w:szCs w:val="20"/>
          <w:color w:val="auto"/>
        </w:rPr>
        <w:tab/>
      </w:r>
      <w:r>
        <w:rPr>
          <w:rFonts w:ascii="Courier New" w:cs="Courier New" w:eastAsia="Courier New" w:hAnsi="Courier New"/>
          <w:sz w:val="16"/>
          <w:szCs w:val="16"/>
          <w:color w:val="auto"/>
        </w:rPr>
        <w:t>(215) 665-1700</w:t>
      </w:r>
    </w:p>
    <w:p>
      <w:pPr>
        <w:spacing w:after="0" w:line="193"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jc w:val="both"/>
        <w:ind w:right="2199"/>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19"/>
          </w:cols>
          <w:pgMar w:left="240" w:top="239" w:right="1440" w:bottom="0" w:gutter="0" w:footer="0" w:header="0"/>
        </w:sectPr>
      </w:pPr>
    </w:p>
    <w:p>
      <w:pPr>
        <w:spacing w:after="0" w:line="202" w:lineRule="exact"/>
        <w:rPr>
          <w:sz w:val="24"/>
          <w:szCs w:val="24"/>
          <w:color w:val="auto"/>
        </w:rPr>
      </w:pPr>
    </w:p>
    <w:p>
      <w:pPr>
        <w:ind w:left="9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7"/>
          <w:szCs w:val="17"/>
          <w:color w:val="auto"/>
        </w:rPr>
        <w:t>X</w:t>
      </w:r>
    </w:p>
    <w:p>
      <w:pPr>
        <w:spacing w:after="0" w:line="6"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No</w:t>
      </w:r>
    </w:p>
    <w:p>
      <w:pPr>
        <w:spacing w:after="0" w:line="6"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sectPr>
          <w:pgSz w:w="11900" w:h="16838" w:orient="portrait"/>
          <w:cols w:equalWidth="0" w:num="3">
            <w:col w:w="1200" w:space="0"/>
            <w:col w:w="780" w:space="720"/>
            <w:col w:w="7519"/>
          </w:cols>
          <w:pgMar w:left="240" w:top="239" w:right="1440" w:bottom="0" w:gutter="0" w:footer="0" w:header="0"/>
          <w:type w:val="continuous"/>
        </w:sectPr>
      </w:pPr>
    </w:p>
    <w:p>
      <w:pPr>
        <w:jc w:val="both"/>
        <w:ind w:right="2199"/>
        <w:spacing w:after="0" w:line="237" w:lineRule="auto"/>
        <w:rPr>
          <w:sz w:val="20"/>
          <w:szCs w:val="20"/>
          <w:color w:val="auto"/>
        </w:rPr>
      </w:pPr>
      <w:r>
        <w:rPr>
          <w:rFonts w:ascii="Courier New" w:cs="Courier New" w:eastAsia="Courier New" w:hAnsi="Courier New"/>
          <w:sz w:val="17"/>
          <w:szCs w:val="17"/>
          <w:color w:val="auto"/>
        </w:rPr>
        <w:t>As of March 31, 2001, there were 913,736,892 shares of Class A Special Common Stock, 21,832,250 shares of Class A Common Stock and 9,444,375 shares of Class B Common Stock outstanding.</w:t>
      </w:r>
    </w:p>
    <w:p>
      <w:pPr>
        <w:spacing w:after="0" w:line="200" w:lineRule="exact"/>
        <w:rPr>
          <w:sz w:val="24"/>
          <w:szCs w:val="24"/>
          <w:color w:val="auto"/>
        </w:rPr>
      </w:pPr>
    </w:p>
    <w:p>
      <w:pPr>
        <w:spacing w:after="0" w:line="35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spacing w:after="0" w:line="19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TABLE OF CONTENTS</w:t>
      </w:r>
    </w:p>
    <w:p>
      <w:pPr>
        <w:ind w:left="7520"/>
        <w:spacing w:after="0"/>
        <w:rPr>
          <w:sz w:val="20"/>
          <w:szCs w:val="20"/>
          <w:color w:val="auto"/>
        </w:rPr>
      </w:pPr>
      <w:r>
        <w:rPr>
          <w:rFonts w:ascii="Courier New" w:cs="Courier New" w:eastAsia="Courier New" w:hAnsi="Courier New"/>
          <w:sz w:val="17"/>
          <w:szCs w:val="17"/>
          <w:color w:val="auto"/>
        </w:rPr>
        <w:t>Page</w:t>
      </w:r>
    </w:p>
    <w:p>
      <w:pPr>
        <w:spacing w:after="0" w:line="6" w:lineRule="exact"/>
        <w:rPr>
          <w:sz w:val="24"/>
          <w:szCs w:val="24"/>
          <w:color w:val="auto"/>
        </w:rPr>
      </w:pPr>
    </w:p>
    <w:p>
      <w:pPr>
        <w:ind w:left="7420"/>
        <w:spacing w:after="0"/>
        <w:rPr>
          <w:sz w:val="20"/>
          <w:szCs w:val="20"/>
          <w:color w:val="auto"/>
        </w:rPr>
      </w:pPr>
      <w:r>
        <w:rPr>
          <w:rFonts w:ascii="Courier New" w:cs="Courier New" w:eastAsia="Courier New" w:hAnsi="Courier New"/>
          <w:sz w:val="16"/>
          <w:szCs w:val="16"/>
          <w:color w:val="auto"/>
        </w:rPr>
        <w:t>Number</w:t>
      </w:r>
    </w:p>
    <w:p>
      <w:pPr>
        <w:spacing w:after="0" w:line="11" w:lineRule="exact"/>
        <w:rPr>
          <w:sz w:val="24"/>
          <w:szCs w:val="24"/>
          <w:color w:val="auto"/>
        </w:rPr>
      </w:pPr>
    </w:p>
    <w:p>
      <w:pPr>
        <w:ind w:left="7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3"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ITEM 1. Financial Statements</w:t>
      </w:r>
    </w:p>
    <w:p>
      <w:pPr>
        <w:spacing w:after="0" w:line="193"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Balance Sheet as of March 31, 2001</w:t>
      </w:r>
    </w:p>
    <w:p>
      <w:pPr>
        <w:ind w:left="1700"/>
        <w:spacing w:after="0"/>
        <w:tabs>
          <w:tab w:leader="dot" w:pos="7900" w:val="left"/>
        </w:tabs>
        <w:rPr>
          <w:sz w:val="20"/>
          <w:szCs w:val="20"/>
          <w:color w:val="auto"/>
        </w:rPr>
      </w:pPr>
      <w:r>
        <w:rPr>
          <w:rFonts w:ascii="Courier New" w:cs="Courier New" w:eastAsia="Courier New" w:hAnsi="Courier New"/>
          <w:sz w:val="17"/>
          <w:szCs w:val="17"/>
          <w:color w:val="auto"/>
        </w:rPr>
        <w:t>and December 31, 2000 (Unaudited)</w:t>
      </w:r>
      <w:r>
        <w:rPr>
          <w:sz w:val="20"/>
          <w:szCs w:val="20"/>
          <w:color w:val="auto"/>
        </w:rPr>
        <w:tab/>
      </w:r>
      <w:r>
        <w:rPr>
          <w:rFonts w:ascii="Courier New" w:cs="Courier New" w:eastAsia="Courier New" w:hAnsi="Courier New"/>
          <w:sz w:val="16"/>
          <w:szCs w:val="16"/>
          <w:color w:val="auto"/>
        </w:rPr>
        <w:t>2</w:t>
      </w:r>
    </w:p>
    <w:p>
      <w:pPr>
        <w:spacing w:after="0" w:line="193"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Statement of Operations and Retained</w:t>
      </w:r>
    </w:p>
    <w:p>
      <w:pPr>
        <w:ind w:left="1700"/>
        <w:spacing w:after="0"/>
        <w:rPr>
          <w:sz w:val="20"/>
          <w:szCs w:val="20"/>
          <w:color w:val="auto"/>
        </w:rPr>
      </w:pPr>
      <w:r>
        <w:rPr>
          <w:rFonts w:ascii="Courier New" w:cs="Courier New" w:eastAsia="Courier New" w:hAnsi="Courier New"/>
          <w:sz w:val="17"/>
          <w:szCs w:val="17"/>
          <w:color w:val="auto"/>
        </w:rPr>
        <w:t>Earnings (Accumulated Deficit) for the Three Months Ended</w:t>
      </w:r>
    </w:p>
    <w:p>
      <w:pPr>
        <w:ind w:left="1700"/>
        <w:spacing w:after="0"/>
        <w:tabs>
          <w:tab w:leader="dot" w:pos="7900" w:val="left"/>
        </w:tabs>
        <w:rPr>
          <w:sz w:val="20"/>
          <w:szCs w:val="20"/>
          <w:color w:val="auto"/>
        </w:rPr>
      </w:pPr>
      <w:r>
        <w:rPr>
          <w:rFonts w:ascii="Courier New" w:cs="Courier New" w:eastAsia="Courier New" w:hAnsi="Courier New"/>
          <w:sz w:val="17"/>
          <w:szCs w:val="17"/>
          <w:color w:val="auto"/>
        </w:rPr>
        <w:t>March 31, 2001 and 2000 (Unaudited)</w:t>
      </w:r>
      <w:r>
        <w:rPr>
          <w:sz w:val="20"/>
          <w:szCs w:val="20"/>
          <w:color w:val="auto"/>
        </w:rPr>
        <w:tab/>
      </w:r>
      <w:r>
        <w:rPr>
          <w:rFonts w:ascii="Courier New" w:cs="Courier New" w:eastAsia="Courier New" w:hAnsi="Courier New"/>
          <w:sz w:val="16"/>
          <w:szCs w:val="16"/>
          <w:color w:val="auto"/>
        </w:rPr>
        <w:t>3</w:t>
      </w:r>
    </w:p>
    <w:p>
      <w:pPr>
        <w:spacing w:after="0" w:line="193"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Statement of Cash Flows for the</w:t>
      </w:r>
    </w:p>
    <w:p>
      <w:pPr>
        <w:ind w:left="1700"/>
        <w:spacing w:after="0"/>
        <w:tabs>
          <w:tab w:leader="dot" w:pos="7900" w:val="left"/>
        </w:tabs>
        <w:rPr>
          <w:sz w:val="20"/>
          <w:szCs w:val="20"/>
          <w:color w:val="auto"/>
        </w:rPr>
      </w:pPr>
      <w:r>
        <w:rPr>
          <w:rFonts w:ascii="Courier New" w:cs="Courier New" w:eastAsia="Courier New" w:hAnsi="Courier New"/>
          <w:sz w:val="17"/>
          <w:szCs w:val="17"/>
          <w:color w:val="auto"/>
        </w:rPr>
        <w:t>Three Months Ended March 31, 2001 and 2000 (Unaudited)</w:t>
      </w:r>
      <w:r>
        <w:rPr>
          <w:sz w:val="20"/>
          <w:szCs w:val="20"/>
          <w:color w:val="auto"/>
        </w:rPr>
        <w:tab/>
      </w:r>
      <w:r>
        <w:rPr>
          <w:rFonts w:ascii="Courier New" w:cs="Courier New" w:eastAsia="Courier New" w:hAnsi="Courier New"/>
          <w:sz w:val="16"/>
          <w:szCs w:val="16"/>
          <w:color w:val="auto"/>
        </w:rPr>
        <w:t>4</w:t>
      </w:r>
    </w:p>
    <w:p>
      <w:pPr>
        <w:spacing w:after="0" w:line="193"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Notes to Condensed Consolidated Financial Statements</w:t>
      </w:r>
    </w:p>
    <w:p>
      <w:pPr>
        <w:ind w:left="1700"/>
        <w:spacing w:after="0"/>
        <w:tabs>
          <w:tab w:leader="dot" w:pos="7400" w:val="left"/>
        </w:tabs>
        <w:rPr>
          <w:sz w:val="20"/>
          <w:szCs w:val="20"/>
          <w:color w:val="auto"/>
        </w:rPr>
      </w:pPr>
      <w:r>
        <w:rPr>
          <w:rFonts w:ascii="Courier New" w:cs="Courier New" w:eastAsia="Courier New" w:hAnsi="Courier New"/>
          <w:sz w:val="17"/>
          <w:szCs w:val="17"/>
          <w:color w:val="auto"/>
        </w:rPr>
        <w:t>(Unaudited)</w:t>
      </w:r>
      <w:r>
        <w:rPr>
          <w:sz w:val="20"/>
          <w:szCs w:val="20"/>
          <w:color w:val="auto"/>
        </w:rPr>
        <w:tab/>
      </w:r>
      <w:r>
        <w:rPr>
          <w:rFonts w:ascii="Courier New" w:cs="Courier New" w:eastAsia="Courier New" w:hAnsi="Courier New"/>
          <w:sz w:val="16"/>
          <w:szCs w:val="16"/>
          <w:color w:val="auto"/>
        </w:rPr>
        <w:t>5 - 12</w:t>
      </w:r>
    </w:p>
    <w:p>
      <w:pPr>
        <w:spacing w:after="0" w:line="193"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ITEM 2. Management's Discussion and Analysis of Financial</w:t>
      </w:r>
    </w:p>
    <w:p>
      <w:pPr>
        <w:ind w:left="1700"/>
        <w:spacing w:after="0"/>
        <w:tabs>
          <w:tab w:leader="dot" w:pos="7300" w:val="left"/>
        </w:tabs>
        <w:rPr>
          <w:sz w:val="20"/>
          <w:szCs w:val="20"/>
          <w:color w:val="auto"/>
        </w:rPr>
      </w:pPr>
      <w:r>
        <w:rPr>
          <w:rFonts w:ascii="Courier New" w:cs="Courier New" w:eastAsia="Courier New" w:hAnsi="Courier New"/>
          <w:sz w:val="17"/>
          <w:szCs w:val="17"/>
          <w:color w:val="auto"/>
        </w:rPr>
        <w:t>Condition and Results of Operations</w:t>
      </w:r>
      <w:r>
        <w:rPr>
          <w:sz w:val="20"/>
          <w:szCs w:val="20"/>
          <w:color w:val="auto"/>
        </w:rPr>
        <w:tab/>
      </w:r>
      <w:r>
        <w:rPr>
          <w:rFonts w:ascii="Courier New" w:cs="Courier New" w:eastAsia="Courier New" w:hAnsi="Courier New"/>
          <w:sz w:val="16"/>
          <w:szCs w:val="16"/>
          <w:color w:val="auto"/>
        </w:rPr>
        <w:t>13 - 18</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193" w:lineRule="exact"/>
        <w:rPr>
          <w:sz w:val="24"/>
          <w:szCs w:val="24"/>
          <w:color w:val="auto"/>
        </w:rPr>
      </w:pPr>
    </w:p>
    <w:p>
      <w:pPr>
        <w:ind w:left="900"/>
        <w:spacing w:after="0"/>
        <w:tabs>
          <w:tab w:leader="dot" w:pos="7800" w:val="left"/>
        </w:tabs>
        <w:rPr>
          <w:sz w:val="20"/>
          <w:szCs w:val="20"/>
          <w:color w:val="auto"/>
        </w:rPr>
      </w:pPr>
      <w:r>
        <w:rPr>
          <w:rFonts w:ascii="Courier New" w:cs="Courier New" w:eastAsia="Courier New" w:hAnsi="Courier New"/>
          <w:sz w:val="17"/>
          <w:szCs w:val="17"/>
          <w:color w:val="auto"/>
        </w:rPr>
        <w:t>ITEM 1. Legal Proceedings</w:t>
      </w:r>
      <w:r>
        <w:rPr>
          <w:sz w:val="20"/>
          <w:szCs w:val="20"/>
          <w:color w:val="auto"/>
        </w:rPr>
        <w:tab/>
      </w:r>
      <w:r>
        <w:rPr>
          <w:rFonts w:ascii="Courier New" w:cs="Courier New" w:eastAsia="Courier New" w:hAnsi="Courier New"/>
          <w:sz w:val="16"/>
          <w:szCs w:val="16"/>
          <w:color w:val="auto"/>
        </w:rPr>
        <w:t>19</w:t>
      </w:r>
    </w:p>
    <w:p>
      <w:pPr>
        <w:spacing w:after="0" w:line="193" w:lineRule="exact"/>
        <w:rPr>
          <w:sz w:val="24"/>
          <w:szCs w:val="24"/>
          <w:color w:val="auto"/>
        </w:rPr>
      </w:pPr>
    </w:p>
    <w:p>
      <w:pPr>
        <w:ind w:left="900"/>
        <w:spacing w:after="0"/>
        <w:tabs>
          <w:tab w:leader="dot" w:pos="7800" w:val="left"/>
        </w:tabs>
        <w:rPr>
          <w:sz w:val="20"/>
          <w:szCs w:val="20"/>
          <w:color w:val="auto"/>
        </w:rPr>
      </w:pPr>
      <w:r>
        <w:rPr>
          <w:rFonts w:ascii="Courier New" w:cs="Courier New" w:eastAsia="Courier New" w:hAnsi="Courier New"/>
          <w:sz w:val="17"/>
          <w:szCs w:val="17"/>
          <w:color w:val="auto"/>
        </w:rPr>
        <w:t>ITEM 6. Exhibits and Reports on Form 8-K</w:t>
      </w:r>
      <w:r>
        <w:rPr>
          <w:sz w:val="20"/>
          <w:szCs w:val="20"/>
          <w:color w:val="auto"/>
        </w:rPr>
        <w:tab/>
      </w:r>
      <w:r>
        <w:rPr>
          <w:rFonts w:ascii="Courier New" w:cs="Courier New" w:eastAsia="Courier New" w:hAnsi="Courier New"/>
          <w:sz w:val="16"/>
          <w:szCs w:val="16"/>
          <w:color w:val="auto"/>
        </w:rPr>
        <w:t>19</w:t>
      </w:r>
    </w:p>
    <w:p>
      <w:pPr>
        <w:sectPr>
          <w:pgSz w:w="11900" w:h="16838" w:orient="portrait"/>
          <w:cols w:equalWidth="0" w:num="1">
            <w:col w:w="10219"/>
          </w:cols>
          <w:pgMar w:left="240" w:top="239" w:right="1440" w:bottom="0" w:gutter="0" w:footer="0" w:header="0"/>
          <w:type w:val="continuous"/>
        </w:sectPr>
      </w:pPr>
    </w:p>
    <w:bookmarkStart w:id="1" w:name="page2"/>
    <w:bookmarkEnd w:id="1"/>
    <w:p>
      <w:pPr>
        <w:jc w:val="right"/>
        <w:ind w:right="2199"/>
        <w:spacing w:after="0"/>
        <w:tabs>
          <w:tab w:leader="dot" w:pos="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20</w:t>
      </w:r>
    </w:p>
    <w:p>
      <w:pPr>
        <w:ind w:left="23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This Quarterly Report on Form 10-Q is for the three months ended March 31, 2001.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97" w:lineRule="exact"/>
        <w:rPr>
          <w:sz w:val="20"/>
          <w:szCs w:val="20"/>
          <w:color w:val="auto"/>
        </w:rPr>
      </w:pPr>
    </w:p>
    <w:p>
      <w:pPr>
        <w:ind w:left="500"/>
        <w:spacing w:after="0"/>
        <w:tabs>
          <w:tab w:leader="none" w:pos="1680" w:val="left"/>
          <w:tab w:leader="none" w:pos="2780" w:val="left"/>
          <w:tab w:leader="none" w:pos="4000" w:val="left"/>
          <w:tab w:leader="none" w:pos="5300" w:val="left"/>
        </w:tabs>
        <w:rPr>
          <w:sz w:val="20"/>
          <w:szCs w:val="20"/>
          <w:color w:val="auto"/>
        </w:rPr>
      </w:pPr>
      <w:r>
        <w:rPr>
          <w:rFonts w:ascii="Courier New" w:cs="Courier New" w:eastAsia="Courier New" w:hAnsi="Courier New"/>
          <w:sz w:val="17"/>
          <w:szCs w:val="17"/>
          <w:color w:val="auto"/>
        </w:rPr>
        <w:t>You should</w:t>
        <w:tab/>
        <w:t>carefully</w:t>
        <w:tab/>
        <w:t>review the</w:t>
        <w:tab/>
        <w:t>information</w:t>
      </w:r>
      <w:r>
        <w:rPr>
          <w:sz w:val="20"/>
          <w:szCs w:val="20"/>
          <w:color w:val="auto"/>
        </w:rPr>
        <w:tab/>
      </w:r>
      <w:r>
        <w:rPr>
          <w:rFonts w:ascii="Courier New" w:cs="Courier New" w:eastAsia="Courier New" w:hAnsi="Courier New"/>
          <w:sz w:val="16"/>
          <w:szCs w:val="16"/>
          <w:color w:val="auto"/>
        </w:rPr>
        <w:t>contained in this Quarterly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and in other reports or documents that we file from time to time with the</w:t>
      </w:r>
    </w:p>
    <w:p>
      <w:pPr>
        <w:spacing w:after="0" w:line="6"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SEC. In this Quarterly</w:t>
      </w:r>
      <w:r>
        <w:rPr>
          <w:sz w:val="20"/>
          <w:szCs w:val="20"/>
          <w:color w:val="auto"/>
        </w:rPr>
        <w:tab/>
      </w:r>
      <w:r>
        <w:rPr>
          <w:rFonts w:ascii="Courier New" w:cs="Courier New" w:eastAsia="Courier New" w:hAnsi="Courier New"/>
          <w:sz w:val="16"/>
          <w:szCs w:val="16"/>
          <w:color w:val="auto"/>
        </w:rPr>
        <w:t>Report, we state our beliefs of future events and of our</w:t>
      </w:r>
    </w:p>
    <w:p>
      <w:pPr>
        <w:spacing w:after="0"/>
        <w:tabs>
          <w:tab w:leader="none" w:pos="780" w:val="left"/>
          <w:tab w:leader="none" w:pos="1880" w:val="left"/>
          <w:tab w:leader="none" w:pos="3300" w:val="left"/>
        </w:tabs>
        <w:rPr>
          <w:sz w:val="20"/>
          <w:szCs w:val="20"/>
          <w:color w:val="auto"/>
        </w:rPr>
      </w:pPr>
      <w:r>
        <w:rPr>
          <w:rFonts w:ascii="Courier New" w:cs="Courier New" w:eastAsia="Courier New" w:hAnsi="Courier New"/>
          <w:sz w:val="17"/>
          <w:szCs w:val="17"/>
          <w:color w:val="auto"/>
        </w:rPr>
        <w:t>future</w:t>
        <w:tab/>
        <w:t>financial</w:t>
        <w:tab/>
        <w:t>performance.</w:t>
      </w:r>
      <w:r>
        <w:rPr>
          <w:sz w:val="20"/>
          <w:szCs w:val="20"/>
          <w:color w:val="auto"/>
        </w:rPr>
        <w:tab/>
      </w:r>
      <w:r>
        <w:rPr>
          <w:rFonts w:ascii="Courier New" w:cs="Courier New" w:eastAsia="Courier New" w:hAnsi="Courier New"/>
          <w:sz w:val="16"/>
          <w:szCs w:val="16"/>
          <w:color w:val="auto"/>
        </w:rPr>
        <w:t>In some cases, you can identify those so-called</w:t>
      </w:r>
    </w:p>
    <w:p>
      <w:pPr>
        <w:spacing w:after="0"/>
        <w:tabs>
          <w:tab w:leader="none" w:pos="1880" w:val="left"/>
          <w:tab w:leader="none" w:pos="3180" w:val="left"/>
          <w:tab w:leader="none" w:pos="3600" w:val="left"/>
          <w:tab w:leader="none" w:pos="4300" w:val="left"/>
          <w:tab w:leader="none" w:pos="4900" w:val="left"/>
          <w:tab w:leader="none" w:pos="5300" w:val="left"/>
          <w:tab w:leader="none" w:pos="6100" w:val="left"/>
          <w:tab w:leader="none" w:pos="7100" w:val="left"/>
        </w:tabs>
        <w:rPr>
          <w:sz w:val="20"/>
          <w:szCs w:val="20"/>
          <w:color w:val="auto"/>
        </w:rPr>
      </w:pPr>
      <w:r>
        <w:rPr>
          <w:rFonts w:ascii="Courier New" w:cs="Courier New" w:eastAsia="Courier New" w:hAnsi="Courier New"/>
          <w:sz w:val="17"/>
          <w:szCs w:val="17"/>
          <w:color w:val="auto"/>
        </w:rPr>
        <w:t>"forward-looking</w:t>
        <w:tab/>
        <w:t>statements"</w:t>
        <w:tab/>
        <w:t>by</w:t>
        <w:tab/>
        <w:t>words</w:t>
        <w:tab/>
        <w:t>such</w:t>
        <w:tab/>
        <w:t>as</w:t>
        <w:tab/>
        <w:t>"may,"</w:t>
        <w:tab/>
        <w:t>"will,"</w:t>
      </w:r>
      <w:r>
        <w:rPr>
          <w:sz w:val="20"/>
          <w:szCs w:val="20"/>
          <w:color w:val="auto"/>
        </w:rPr>
        <w:tab/>
      </w:r>
      <w:r>
        <w:rPr>
          <w:rFonts w:ascii="Courier New" w:cs="Courier New" w:eastAsia="Courier New" w:hAnsi="Courier New"/>
          <w:sz w:val="16"/>
          <w:szCs w:val="16"/>
          <w:color w:val="auto"/>
        </w:rPr>
        <w:t>"should,"</w:t>
      </w:r>
    </w:p>
    <w:p>
      <w:pPr>
        <w:spacing w:after="0"/>
        <w:tabs>
          <w:tab w:leader="none" w:pos="1180" w:val="left"/>
          <w:tab w:leader="none" w:pos="2280" w:val="left"/>
          <w:tab w:leader="none" w:pos="4000" w:val="left"/>
          <w:tab w:leader="none" w:pos="5400" w:val="left"/>
          <w:tab w:leader="none" w:pos="6900" w:val="left"/>
        </w:tabs>
        <w:rPr>
          <w:sz w:val="20"/>
          <w:szCs w:val="20"/>
          <w:color w:val="auto"/>
        </w:rPr>
      </w:pPr>
      <w:r>
        <w:rPr>
          <w:rFonts w:ascii="Courier New" w:cs="Courier New" w:eastAsia="Courier New" w:hAnsi="Courier New"/>
          <w:sz w:val="17"/>
          <w:szCs w:val="17"/>
          <w:color w:val="auto"/>
        </w:rPr>
        <w:t>"expects,"</w:t>
        <w:tab/>
        <w:t>"plans,"</w:t>
        <w:tab/>
        <w:t>"anticipates,"</w:t>
        <w:tab/>
        <w:t>"believes,"</w:t>
        <w:tab/>
        <w:t>"estimates,"</w:t>
      </w:r>
      <w:r>
        <w:rPr>
          <w:sz w:val="20"/>
          <w:szCs w:val="20"/>
          <w:color w:val="auto"/>
        </w:rPr>
        <w:tab/>
      </w:r>
      <w:r>
        <w:rPr>
          <w:rFonts w:ascii="Courier New" w:cs="Courier New" w:eastAsia="Courier New" w:hAnsi="Courier New"/>
          <w:sz w:val="16"/>
          <w:szCs w:val="16"/>
          <w:color w:val="auto"/>
        </w:rPr>
        <w:t>"predicts,"</w:t>
      </w:r>
    </w:p>
    <w:p>
      <w:pPr>
        <w:spacing w:after="0"/>
        <w:tabs>
          <w:tab w:leader="none" w:pos="1380" w:val="left"/>
          <w:tab w:leader="none" w:pos="7000" w:val="left"/>
        </w:tabs>
        <w:rPr>
          <w:sz w:val="20"/>
          <w:szCs w:val="20"/>
          <w:color w:val="auto"/>
        </w:rPr>
      </w:pPr>
      <w:r>
        <w:rPr>
          <w:rFonts w:ascii="Courier New" w:cs="Courier New" w:eastAsia="Courier New" w:hAnsi="Courier New"/>
          <w:sz w:val="17"/>
          <w:szCs w:val="17"/>
          <w:color w:val="auto"/>
        </w:rPr>
        <w:t>"potential,"</w:t>
        <w:tab/>
        <w:t>or "continue" or the negative of those words and other</w:t>
      </w:r>
      <w:r>
        <w:rPr>
          <w:sz w:val="20"/>
          <w:szCs w:val="20"/>
          <w:color w:val="auto"/>
        </w:rPr>
        <w:tab/>
      </w:r>
      <w:r>
        <w:rPr>
          <w:rFonts w:ascii="Courier New" w:cs="Courier New" w:eastAsia="Courier New" w:hAnsi="Courier New"/>
          <w:sz w:val="16"/>
          <w:szCs w:val="16"/>
          <w:color w:val="auto"/>
        </w:rPr>
        <w:t>comparable</w:t>
      </w:r>
    </w:p>
    <w:p>
      <w:pPr>
        <w:spacing w:after="0"/>
        <w:tabs>
          <w:tab w:leader="none" w:pos="780" w:val="left"/>
          <w:tab w:leader="none" w:pos="1280" w:val="left"/>
          <w:tab w:leader="none" w:pos="2980" w:val="left"/>
          <w:tab w:leader="none" w:pos="4200" w:val="left"/>
          <w:tab w:leader="none" w:pos="5400" w:val="left"/>
          <w:tab w:leader="none" w:pos="6800" w:val="left"/>
        </w:tabs>
        <w:rPr>
          <w:sz w:val="20"/>
          <w:szCs w:val="20"/>
          <w:color w:val="auto"/>
        </w:rPr>
      </w:pPr>
      <w:r>
        <w:rPr>
          <w:rFonts w:ascii="Courier New" w:cs="Courier New" w:eastAsia="Courier New" w:hAnsi="Courier New"/>
          <w:sz w:val="17"/>
          <w:szCs w:val="17"/>
          <w:color w:val="auto"/>
        </w:rPr>
        <w:t>words.</w:t>
        <w:tab/>
        <w:t>You</w:t>
        <w:tab/>
        <w:t>should be aware</w:t>
        <w:tab/>
        <w:t>that those</w:t>
        <w:tab/>
        <w:t>statements</w:t>
        <w:tab/>
        <w:t>are only our</w:t>
      </w:r>
      <w:r>
        <w:rPr>
          <w:sz w:val="20"/>
          <w:szCs w:val="20"/>
          <w:color w:val="auto"/>
        </w:rPr>
        <w:tab/>
      </w:r>
      <w:r>
        <w:rPr>
          <w:rFonts w:ascii="Courier New" w:cs="Courier New" w:eastAsia="Courier New" w:hAnsi="Courier New"/>
          <w:sz w:val="16"/>
          <w:szCs w:val="16"/>
          <w:color w:val="auto"/>
        </w:rPr>
        <w:t>predictions.</w:t>
      </w:r>
    </w:p>
    <w:p>
      <w:pPr>
        <w:spacing w:after="0"/>
        <w:tabs>
          <w:tab w:leader="none" w:pos="4900" w:val="left"/>
        </w:tabs>
        <w:rPr>
          <w:sz w:val="20"/>
          <w:szCs w:val="20"/>
          <w:color w:val="auto"/>
        </w:rPr>
      </w:pPr>
      <w:r>
        <w:rPr>
          <w:rFonts w:ascii="Courier New" w:cs="Courier New" w:eastAsia="Courier New" w:hAnsi="Courier New"/>
          <w:sz w:val="17"/>
          <w:szCs w:val="17"/>
          <w:color w:val="auto"/>
        </w:rPr>
        <w:t>Actual events or results may differ materially.</w:t>
      </w:r>
      <w:r>
        <w:rPr>
          <w:sz w:val="20"/>
          <w:szCs w:val="20"/>
          <w:color w:val="auto"/>
        </w:rPr>
        <w:tab/>
      </w:r>
      <w:r>
        <w:rPr>
          <w:rFonts w:ascii="Courier New" w:cs="Courier New" w:eastAsia="Courier New" w:hAnsi="Courier New"/>
          <w:sz w:val="16"/>
          <w:szCs w:val="16"/>
          <w:color w:val="auto"/>
        </w:rPr>
        <w:t>In evaluating those statements,</w:t>
      </w:r>
    </w:p>
    <w:p>
      <w:pPr>
        <w:spacing w:after="0"/>
        <w:tabs>
          <w:tab w:leader="none" w:pos="2480" w:val="left"/>
          <w:tab w:leader="none" w:pos="5200" w:val="left"/>
        </w:tabs>
        <w:rPr>
          <w:sz w:val="20"/>
          <w:szCs w:val="20"/>
          <w:color w:val="auto"/>
        </w:rPr>
      </w:pPr>
      <w:r>
        <w:rPr>
          <w:rFonts w:ascii="Courier New" w:cs="Courier New" w:eastAsia="Courier New" w:hAnsi="Courier New"/>
          <w:sz w:val="17"/>
          <w:szCs w:val="17"/>
          <w:color w:val="auto"/>
        </w:rPr>
        <w:t>you should specifically</w:t>
        <w:tab/>
        <w:t>consider various factors,</w:t>
      </w:r>
      <w:r>
        <w:rPr>
          <w:sz w:val="20"/>
          <w:szCs w:val="20"/>
          <w:color w:val="auto"/>
        </w:rPr>
        <w:tab/>
      </w:r>
      <w:r>
        <w:rPr>
          <w:rFonts w:ascii="Courier New" w:cs="Courier New" w:eastAsia="Courier New" w:hAnsi="Courier New"/>
          <w:sz w:val="16"/>
          <w:szCs w:val="16"/>
          <w:color w:val="auto"/>
        </w:rPr>
        <w:t>including the risks outlined</w:t>
      </w:r>
    </w:p>
    <w:p>
      <w:pPr>
        <w:spacing w:after="0"/>
        <w:tabs>
          <w:tab w:leader="none" w:pos="780" w:val="left"/>
        </w:tabs>
        <w:rPr>
          <w:sz w:val="20"/>
          <w:szCs w:val="20"/>
          <w:color w:val="auto"/>
        </w:rPr>
      </w:pPr>
      <w:r>
        <w:rPr>
          <w:rFonts w:ascii="Courier New" w:cs="Courier New" w:eastAsia="Courier New" w:hAnsi="Courier New"/>
          <w:sz w:val="17"/>
          <w:szCs w:val="17"/>
          <w:color w:val="auto"/>
        </w:rPr>
        <w:t>below.</w:t>
      </w:r>
      <w:r>
        <w:rPr>
          <w:sz w:val="20"/>
          <w:szCs w:val="20"/>
          <w:color w:val="auto"/>
        </w:rPr>
        <w:tab/>
      </w:r>
      <w:r>
        <w:rPr>
          <w:rFonts w:ascii="Courier New" w:cs="Courier New" w:eastAsia="Courier New" w:hAnsi="Courier New"/>
          <w:sz w:val="16"/>
          <w:szCs w:val="16"/>
          <w:color w:val="auto"/>
        </w:rPr>
        <w:t>Those factors may cause our actual results to differ materially from any</w:t>
      </w:r>
    </w:p>
    <w:p>
      <w:pPr>
        <w:spacing w:after="0"/>
        <w:rPr>
          <w:sz w:val="20"/>
          <w:szCs w:val="20"/>
          <w:color w:val="auto"/>
        </w:rPr>
      </w:pPr>
      <w:r>
        <w:rPr>
          <w:rFonts w:ascii="Courier New" w:cs="Courier New" w:eastAsia="Courier New" w:hAnsi="Courier New"/>
          <w:sz w:val="17"/>
          <w:szCs w:val="17"/>
          <w:color w:val="auto"/>
        </w:rPr>
        <w:t>of our forward-looking statements.</w:t>
      </w:r>
    </w:p>
    <w:p>
      <w:pPr>
        <w:spacing w:after="0"/>
        <w:rPr>
          <w:sz w:val="20"/>
          <w:szCs w:val="20"/>
          <w:color w:val="auto"/>
        </w:rPr>
      </w:pPr>
      <w:r>
        <w:rPr>
          <w:rFonts w:ascii="Courier New" w:cs="Courier New" w:eastAsia="Courier New" w:hAnsi="Courier New"/>
          <w:sz w:val="17"/>
          <w:szCs w:val="17"/>
          <w:color w:val="auto"/>
        </w:rPr>
        <w:t>Factors Affecting Future Operations</w:t>
      </w:r>
    </w:p>
    <w:p>
      <w:pPr>
        <w:spacing w:after="0" w:line="198"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We have acquired and we anticipate acquiring cable communications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addition, our businesses may be affected by, among other things:</w:t>
      </w:r>
    </w:p>
    <w:p>
      <w:pPr>
        <w:spacing w:after="0" w:line="193" w:lineRule="exact"/>
        <w:rPr>
          <w:sz w:val="20"/>
          <w:szCs w:val="20"/>
          <w:color w:val="auto"/>
        </w:rPr>
      </w:pPr>
    </w:p>
    <w:p>
      <w:pPr>
        <w:ind w:left="1000" w:hanging="496"/>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laws and regulations,</w:t>
      </w:r>
    </w:p>
    <w:p>
      <w:pPr>
        <w:ind w:left="1000" w:hanging="496"/>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competitive environment,</w:t>
      </w:r>
    </w:p>
    <w:p>
      <w:pPr>
        <w:ind w:left="1000" w:hanging="496"/>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technology,</w:t>
      </w:r>
    </w:p>
    <w:p>
      <w:pPr>
        <w:ind w:left="1000" w:hanging="496"/>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industry consolidation and mergers,</w:t>
      </w:r>
    </w:p>
    <w:p>
      <w:pPr>
        <w:ind w:left="1000" w:hanging="496"/>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franchise related matters,</w:t>
      </w:r>
    </w:p>
    <w:p>
      <w:pPr>
        <w:spacing w:after="0" w:line="5" w:lineRule="exact"/>
        <w:rPr>
          <w:rFonts w:ascii="Courier New" w:cs="Courier New" w:eastAsia="Courier New" w:hAnsi="Courier New"/>
          <w:sz w:val="17"/>
          <w:szCs w:val="17"/>
          <w:color w:val="auto"/>
        </w:rPr>
      </w:pPr>
    </w:p>
    <w:p>
      <w:pPr>
        <w:ind w:left="1000" w:right="2399" w:hanging="496"/>
        <w:spacing w:after="0" w:line="237" w:lineRule="auto"/>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conditions that may adversely affect the availability of debt and equity financing for working capital, capital expenditures or other purposes,</w:t>
      </w:r>
    </w:p>
    <w:p>
      <w:pPr>
        <w:spacing w:after="0" w:line="7" w:lineRule="exact"/>
        <w:rPr>
          <w:rFonts w:ascii="Courier New" w:cs="Courier New" w:eastAsia="Courier New" w:hAnsi="Courier New"/>
          <w:sz w:val="17"/>
          <w:szCs w:val="17"/>
          <w:color w:val="auto"/>
        </w:rPr>
      </w:pPr>
    </w:p>
    <w:p>
      <w:pPr>
        <w:ind w:left="1000" w:right="2199" w:hanging="496"/>
        <w:spacing w:after="0" w:line="236" w:lineRule="auto"/>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w:t>
      </w:r>
    </w:p>
    <w:p>
      <w:pPr>
        <w:sectPr>
          <w:pgSz w:w="11900" w:h="16838" w:orient="portrait"/>
          <w:cols w:equalWidth="0" w:num="1">
            <w:col w:w="10219"/>
          </w:cols>
          <w:pgMar w:left="240" w:top="329" w:right="1440" w:bottom="1440" w:gutter="0" w:footer="0" w:header="0"/>
        </w:sectPr>
      </w:pPr>
    </w:p>
    <w:bookmarkStart w:id="2" w:name="page3"/>
    <w:bookmarkEnd w:id="2"/>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60" w:type="dxa"/>
            <w:vAlign w:val="bottom"/>
          </w:tcPr>
          <w:p>
            <w:pPr>
              <w:spacing w:after="0"/>
              <w:rPr>
                <w:sz w:val="16"/>
                <w:szCs w:val="16"/>
                <w:color w:val="auto"/>
              </w:rPr>
            </w:pPr>
          </w:p>
        </w:tc>
        <w:tc>
          <w:tcPr>
            <w:tcW w:w="6560" w:type="dxa"/>
            <w:vAlign w:val="bottom"/>
          </w:tcPr>
          <w:p>
            <w:pPr>
              <w:jc w:val="right"/>
              <w:ind w:right="1616"/>
              <w:spacing w:after="0"/>
              <w:rPr>
                <w:sz w:val="20"/>
                <w:szCs w:val="20"/>
                <w:color w:val="auto"/>
              </w:rPr>
            </w:pPr>
            <w:r>
              <w:rPr>
                <w:rFonts w:ascii="Courier New" w:cs="Courier New" w:eastAsia="Courier New" w:hAnsi="Courier New"/>
                <w:sz w:val="17"/>
                <w:szCs w:val="17"/>
                <w:color w:val="auto"/>
              </w:rPr>
              <w:t>COMCAST CORPORATION AND SUBSIDIARIES</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960" w:type="dxa"/>
            <w:vAlign w:val="bottom"/>
          </w:tcPr>
          <w:p>
            <w:pPr>
              <w:spacing w:after="0"/>
              <w:rPr>
                <w:sz w:val="16"/>
                <w:szCs w:val="16"/>
                <w:color w:val="auto"/>
              </w:rPr>
            </w:pPr>
          </w:p>
        </w:tc>
        <w:tc>
          <w:tcPr>
            <w:tcW w:w="6560" w:type="dxa"/>
            <w:vAlign w:val="bottom"/>
          </w:tcPr>
          <w:p>
            <w:pPr>
              <w:jc w:val="right"/>
              <w:ind w:right="2916"/>
              <w:spacing w:after="0"/>
              <w:rPr>
                <w:sz w:val="20"/>
                <w:szCs w:val="20"/>
                <w:color w:val="auto"/>
              </w:rPr>
            </w:pPr>
            <w:r>
              <w:rPr>
                <w:rFonts w:ascii="Courier New" w:cs="Courier New" w:eastAsia="Courier New" w:hAnsi="Courier New"/>
                <w:sz w:val="17"/>
                <w:szCs w:val="17"/>
                <w:color w:val="auto"/>
              </w:rPr>
              <w:t>FORM 10-Q</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960" w:type="dxa"/>
            <w:vAlign w:val="bottom"/>
          </w:tcPr>
          <w:p>
            <w:pPr>
              <w:spacing w:after="0"/>
              <w:rPr>
                <w:sz w:val="16"/>
                <w:szCs w:val="16"/>
                <w:color w:val="auto"/>
              </w:rPr>
            </w:pPr>
          </w:p>
        </w:tc>
        <w:tc>
          <w:tcPr>
            <w:tcW w:w="6560" w:type="dxa"/>
            <w:vAlign w:val="bottom"/>
          </w:tcPr>
          <w:p>
            <w:pPr>
              <w:jc w:val="right"/>
              <w:ind w:right="2016"/>
              <w:spacing w:after="0"/>
              <w:rPr>
                <w:sz w:val="20"/>
                <w:szCs w:val="20"/>
                <w:color w:val="auto"/>
              </w:rPr>
            </w:pPr>
            <w:r>
              <w:rPr>
                <w:rFonts w:ascii="Courier New" w:cs="Courier New" w:eastAsia="Courier New" w:hAnsi="Courier New"/>
                <w:sz w:val="17"/>
                <w:szCs w:val="17"/>
                <w:color w:val="auto"/>
              </w:rPr>
              <w:t>QUARTER ENDED MARCH 31, 2001</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85"/>
        </w:trPr>
        <w:tc>
          <w:tcPr>
            <w:tcW w:w="96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560" w:type="dxa"/>
            <w:vAlign w:val="bottom"/>
          </w:tcPr>
          <w:p>
            <w:pPr>
              <w:ind w:left="40"/>
              <w:spacing w:after="0"/>
              <w:rPr>
                <w:sz w:val="20"/>
                <w:szCs w:val="20"/>
                <w:color w:val="auto"/>
              </w:rPr>
            </w:pPr>
            <w:r>
              <w:rPr>
                <w:rFonts w:ascii="Courier New" w:cs="Courier New" w:eastAsia="Courier New" w:hAnsi="Courier New"/>
                <w:sz w:val="17"/>
                <w:szCs w:val="17"/>
                <w:color w:val="auto"/>
              </w:rPr>
              <w:t>FINANCIAL INFORMATION</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560" w:type="dxa"/>
            <w:vAlign w:val="bottom"/>
          </w:tcPr>
          <w:p>
            <w:pPr>
              <w:jc w:val="right"/>
              <w:ind w:right="4116"/>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85"/>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560" w:type="dxa"/>
            <w:vAlign w:val="bottom"/>
          </w:tcPr>
          <w:p>
            <w:pPr>
              <w:ind w:left="40"/>
              <w:spacing w:after="0"/>
              <w:rPr>
                <w:sz w:val="20"/>
                <w:szCs w:val="20"/>
                <w:color w:val="auto"/>
              </w:rPr>
            </w:pPr>
            <w:r>
              <w:rPr>
                <w:rFonts w:ascii="Courier New" w:cs="Courier New" w:eastAsia="Courier New" w:hAnsi="Courier New"/>
                <w:sz w:val="17"/>
                <w:szCs w:val="17"/>
                <w:color w:val="auto"/>
              </w:rPr>
              <w:t>FINANCIAL STATEMENTS</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71"/>
        </w:trPr>
        <w:tc>
          <w:tcPr>
            <w:tcW w:w="960" w:type="dxa"/>
            <w:vAlign w:val="bottom"/>
          </w:tcPr>
          <w:p>
            <w:pPr>
              <w:spacing w:after="0"/>
              <w:rPr>
                <w:sz w:val="24"/>
                <w:szCs w:val="24"/>
                <w:color w:val="auto"/>
              </w:rPr>
            </w:pPr>
          </w:p>
        </w:tc>
        <w:tc>
          <w:tcPr>
            <w:tcW w:w="6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CONDENSED CONSOLIDATED BALANCE SHEET</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3"/>
        </w:trPr>
        <w:tc>
          <w:tcPr>
            <w:tcW w:w="960" w:type="dxa"/>
            <w:vAlign w:val="bottom"/>
          </w:tcPr>
          <w:p>
            <w:pPr>
              <w:spacing w:after="0"/>
              <w:rPr>
                <w:sz w:val="16"/>
                <w:szCs w:val="16"/>
                <w:color w:val="auto"/>
              </w:rPr>
            </w:pPr>
          </w:p>
        </w:tc>
        <w:tc>
          <w:tcPr>
            <w:tcW w:w="6560" w:type="dxa"/>
            <w:vAlign w:val="bottom"/>
          </w:tcPr>
          <w:p>
            <w:pPr>
              <w:jc w:val="right"/>
              <w:ind w:right="1316"/>
              <w:spacing w:after="0"/>
              <w:rPr>
                <w:sz w:val="20"/>
                <w:szCs w:val="20"/>
                <w:color w:val="auto"/>
              </w:rPr>
            </w:pPr>
            <w:r>
              <w:rPr>
                <w:rFonts w:ascii="Courier New" w:cs="Courier New" w:eastAsia="Courier New" w:hAnsi="Courier New"/>
                <w:sz w:val="17"/>
                <w:szCs w:val="17"/>
                <w:color w:val="auto"/>
              </w:rPr>
              <w:t>(Unaudited)</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85"/>
        </w:trPr>
        <w:tc>
          <w:tcPr>
            <w:tcW w:w="9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(Dollars in millions, except share data)</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March 31,</w:t>
            </w:r>
          </w:p>
        </w:tc>
        <w:tc>
          <w:tcPr>
            <w:tcW w:w="1800" w:type="dxa"/>
            <w:vAlign w:val="bottom"/>
          </w:tcPr>
          <w:p>
            <w:pPr>
              <w:ind w:left="200"/>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2001</w:t>
            </w:r>
          </w:p>
        </w:tc>
        <w:tc>
          <w:tcPr>
            <w:tcW w:w="18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385"/>
        </w:trPr>
        <w:tc>
          <w:tcPr>
            <w:tcW w:w="9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6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spacing w:after="0"/>
              <w:rPr>
                <w:sz w:val="20"/>
                <w:szCs w:val="20"/>
                <w:color w:val="auto"/>
              </w:rPr>
            </w:pPr>
            <w:r>
              <w:rPr>
                <w:rFonts w:ascii="Courier New" w:cs="Courier New" w:eastAsia="Courier New" w:hAnsi="Courier New"/>
                <w:sz w:val="17"/>
                <w:szCs w:val="17"/>
                <w:color w:val="auto"/>
              </w:rPr>
              <w:t>CURRENT ASSETS</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1"/>
              </w:rPr>
              <w:t>Cash and cash equivalents....................................................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$668.3</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$651.5</w:t>
            </w:r>
          </w:p>
        </w:tc>
      </w:tr>
      <w:tr>
        <w:trPr>
          <w:trHeight w:val="193"/>
        </w:trPr>
        <w:tc>
          <w:tcPr>
            <w:tcW w:w="75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1"/>
              </w:rPr>
              <w:t>Investments..................................................................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2,950.8</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3,059.7</w:t>
            </w:r>
          </w:p>
        </w:tc>
      </w:tr>
      <w:tr>
        <w:trPr>
          <w:trHeight w:val="193"/>
        </w:trPr>
        <w:tc>
          <w:tcPr>
            <w:tcW w:w="75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Accounts receivable, less allowance for doubtful accounts of</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ind w:left="500"/>
              <w:spacing w:after="0"/>
              <w:rPr>
                <w:sz w:val="20"/>
                <w:szCs w:val="20"/>
                <w:color w:val="auto"/>
              </w:rPr>
            </w:pPr>
            <w:r>
              <w:rPr>
                <w:rFonts w:ascii="Courier New" w:cs="Courier New" w:eastAsia="Courier New" w:hAnsi="Courier New"/>
                <w:sz w:val="17"/>
                <w:szCs w:val="17"/>
                <w:color w:val="auto"/>
                <w:w w:val="91"/>
              </w:rPr>
              <w:t>$142.2 and $141.7..........................................................</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792.5</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891.9</w:t>
            </w:r>
          </w:p>
        </w:tc>
      </w:tr>
      <w:tr>
        <w:trPr>
          <w:trHeight w:val="193"/>
        </w:trPr>
        <w:tc>
          <w:tcPr>
            <w:tcW w:w="75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1"/>
              </w:rPr>
              <w:t>Inventories, net.............................................................</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448.3</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438.5</w:t>
            </w:r>
          </w:p>
        </w:tc>
      </w:tr>
      <w:tr>
        <w:trPr>
          <w:trHeight w:val="193"/>
        </w:trPr>
        <w:tc>
          <w:tcPr>
            <w:tcW w:w="75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1"/>
              </w:rPr>
              <w:t>Other current assets.........................................................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163.3</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102.8</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Total current assets.....................................................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5,023.2</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5,144.4</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INVESTMENTS.....................................................................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2,893.1</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2,661.9</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PROPERTY AND EQUIPMENT..........................................................</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7,347.9</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6,799.2</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Accumulated depreciation.....................................................</w:t>
            </w:r>
          </w:p>
        </w:tc>
        <w:tc>
          <w:tcPr>
            <w:tcW w:w="2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(1,683.2)</w:t>
            </w: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(1,596.5)</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Property and equipment, net..................................................</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5,664.7</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5,202.7</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DEFERRED CHARGES................................................................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28,164.7</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26,865.9</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Accumulated amortization.....................................................</w:t>
            </w:r>
          </w:p>
        </w:tc>
        <w:tc>
          <w:tcPr>
            <w:tcW w:w="2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(4,529.5)</w:t>
            </w: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(4,130.4)</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Deferred charges, net........................................................</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23,635.2</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22,735.5</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$37,216.2</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$35,744.5</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spacing w:after="0"/>
              <w:rPr>
                <w:sz w:val="20"/>
                <w:szCs w:val="20"/>
                <w:color w:val="auto"/>
              </w:rPr>
            </w:pPr>
            <w:r>
              <w:rPr>
                <w:rFonts w:ascii="Courier New" w:cs="Courier New" w:eastAsia="Courier New" w:hAnsi="Courier New"/>
                <w:sz w:val="17"/>
                <w:szCs w:val="17"/>
                <w:color w:val="auto"/>
              </w:rPr>
              <w:t>CURRENT LIABILITIES</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Accounts payable and accrued expenses........................................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$2,702.3</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$2,852.9</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Accrued interest.............................................................</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172.5</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105.5</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Deferred income taxes........................................................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692.5</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789.9</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Current portion of long-term debt............................................</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523.0</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293.9</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Total current liabilities................................................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4,090.3</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4,042.2</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LONG-TERM DEBT, less current portion............................................</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10,263.0</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10,517.4</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DEFERRED INCOME TAXES...........................................................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6,285.0</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5,786.7</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MINORITY INTEREST AND OTHER.....................................................</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1,580.9</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1,257.2</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spacing w:after="0"/>
              <w:rPr>
                <w:sz w:val="20"/>
                <w:szCs w:val="20"/>
                <w:color w:val="auto"/>
              </w:rPr>
            </w:pPr>
            <w:r>
              <w:rPr>
                <w:rFonts w:ascii="Courier New" w:cs="Courier New" w:eastAsia="Courier New" w:hAnsi="Courier New"/>
                <w:sz w:val="17"/>
                <w:szCs w:val="17"/>
                <w:color w:val="auto"/>
              </w:rPr>
              <w:t>COMMITMENTS AND CONTINGENCIES (NOTE 9)</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9720" w:type="dxa"/>
            <w:vAlign w:val="bottom"/>
            <w:gridSpan w:val="3"/>
          </w:tcPr>
          <w:p>
            <w:pPr>
              <w:spacing w:after="0"/>
              <w:rPr>
                <w:sz w:val="20"/>
                <w:szCs w:val="20"/>
                <w:color w:val="auto"/>
              </w:rPr>
            </w:pPr>
            <w:r>
              <w:rPr>
                <w:rFonts w:ascii="Courier New" w:cs="Courier New" w:eastAsia="Courier New" w:hAnsi="Courier New"/>
                <w:sz w:val="17"/>
                <w:szCs w:val="17"/>
                <w:color w:val="auto"/>
              </w:rPr>
              <w:t>COMMON EQUITY PUT OPTIONS.......................................................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54.6</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spacing w:after="0"/>
              <w:rPr>
                <w:sz w:val="20"/>
                <w:szCs w:val="20"/>
                <w:color w:val="auto"/>
              </w:rPr>
            </w:pPr>
            <w:r>
              <w:rPr>
                <w:rFonts w:ascii="Courier New" w:cs="Courier New" w:eastAsia="Courier New" w:hAnsi="Courier New"/>
                <w:sz w:val="17"/>
                <w:szCs w:val="17"/>
                <w:color w:val="auto"/>
              </w:rPr>
              <w:t>STOCKHOLDERS' EQUITY</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972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Preferred stock - authorized, 20,000,000 shares..............................</w:t>
            </w:r>
          </w:p>
        </w:tc>
        <w:tc>
          <w:tcPr>
            <w:tcW w:w="1800" w:type="dxa"/>
            <w:vAlign w:val="bottom"/>
          </w:tcPr>
          <w:p>
            <w:pPr>
              <w:spacing w:after="0"/>
              <w:rPr>
                <w:sz w:val="16"/>
                <w:szCs w:val="16"/>
                <w:color w:val="auto"/>
              </w:rPr>
            </w:pPr>
          </w:p>
        </w:tc>
      </w:tr>
      <w:tr>
        <w:trPr>
          <w:trHeight w:val="193"/>
        </w:trPr>
        <w:tc>
          <w:tcPr>
            <w:tcW w:w="752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5.25% series B mandatorily redeemable convertible, $1,000 par value;</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972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issued, zero and 59,450 at redemption value................................</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59.5</w:t>
            </w:r>
          </w:p>
        </w:tc>
      </w:tr>
      <w:tr>
        <w:trPr>
          <w:trHeight w:val="193"/>
        </w:trPr>
        <w:tc>
          <w:tcPr>
            <w:tcW w:w="75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Class A special common stock, $1 par value - authorized, 2,500,000,000</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ind w:left="500"/>
              <w:spacing w:after="0"/>
              <w:rPr>
                <w:sz w:val="20"/>
                <w:szCs w:val="20"/>
                <w:color w:val="auto"/>
              </w:rPr>
            </w:pPr>
            <w:r>
              <w:rPr>
                <w:rFonts w:ascii="Courier New" w:cs="Courier New" w:eastAsia="Courier New" w:hAnsi="Courier New"/>
                <w:sz w:val="17"/>
                <w:szCs w:val="17"/>
                <w:color w:val="auto"/>
                <w:w w:val="99"/>
              </w:rPr>
              <w:t>shares; issued, 937,061,803 and 931,340,103; outstanding, 913,736,892</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and 908,015,192............................................................</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913.7</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908.0</w:t>
            </w:r>
          </w:p>
        </w:tc>
      </w:tr>
      <w:tr>
        <w:trPr>
          <w:trHeight w:val="193"/>
        </w:trPr>
        <w:tc>
          <w:tcPr>
            <w:tcW w:w="75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Class A common stock, $1 par value - authorized,</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200,000,000 shares; issued, 21,832,250.....................................</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21.8</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21.8</w:t>
            </w:r>
          </w:p>
        </w:tc>
      </w:tr>
      <w:tr>
        <w:trPr>
          <w:trHeight w:val="193"/>
        </w:trPr>
        <w:tc>
          <w:tcPr>
            <w:tcW w:w="75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Class B common stock, $1 par value - authorized,</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50,000,000 shares; issued, 9,444,375.......................................</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9.4</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9.4</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Additional capital...........................................................</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11,738.8</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11,598.8</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Retained earnings............................................................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2,040.6</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1,056.5</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Accumulated other comprehensive income.......................................</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272.7</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432.4</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Total stockholders' equity...............................................</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14,997.0</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14,086.4</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$37,216.2</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$35,744.5</w:t>
            </w:r>
          </w:p>
        </w:tc>
      </w:tr>
      <w:tr>
        <w:trPr>
          <w:trHeight w:val="193"/>
        </w:trPr>
        <w:tc>
          <w:tcPr>
            <w:tcW w:w="9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7520" w:type="dxa"/>
            <w:vAlign w:val="bottom"/>
            <w:gridSpan w:val="2"/>
          </w:tcPr>
          <w:p>
            <w:pPr>
              <w:spacing w:after="0"/>
              <w:rPr>
                <w:sz w:val="20"/>
                <w:szCs w:val="20"/>
                <w:color w:val="auto"/>
              </w:rPr>
            </w:pPr>
            <w:r>
              <w:rPr>
                <w:rFonts w:ascii="Courier New" w:cs="Courier New" w:eastAsia="Courier New" w:hAnsi="Courier New"/>
                <w:sz w:val="17"/>
                <w:szCs w:val="17"/>
                <w:color w:val="auto"/>
              </w:rPr>
              <w:t>See notes to condensed consolidated financial statements.</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ectPr>
          <w:pgSz w:w="11900" w:h="16886" w:orient="portrait"/>
          <w:cols w:equalWidth="0" w:num="1">
            <w:col w:w="11520"/>
          </w:cols>
          <w:pgMar w:left="240" w:top="496" w:right="139" w:bottom="0" w:gutter="0" w:footer="0" w:header="0"/>
        </w:sectPr>
      </w:pPr>
    </w:p>
    <w:bookmarkStart w:id="3" w:name="page4"/>
    <w:bookmarkEnd w:id="3"/>
    <w:p>
      <w:pPr>
        <w:jc w:val="center"/>
        <w:ind w:right="27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34" w:right="1440" w:bottom="1440" w:gutter="0" w:footer="0" w:header="0"/>
        </w:sectPr>
      </w:pPr>
    </w:p>
    <w:bookmarkStart w:id="4" w:name="page5"/>
    <w:bookmarkEnd w:id="4"/>
    <w:p>
      <w:pPr>
        <w:spacing w:after="0" w:line="47"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600"/>
        <w:spacing w:after="0"/>
        <w:rPr>
          <w:sz w:val="20"/>
          <w:szCs w:val="20"/>
          <w:color w:val="auto"/>
        </w:rPr>
      </w:pPr>
      <w:r>
        <w:rPr>
          <w:rFonts w:ascii="Courier New" w:cs="Courier New" w:eastAsia="Courier New" w:hAnsi="Courier New"/>
          <w:sz w:val="17"/>
          <w:szCs w:val="17"/>
          <w:color w:val="auto"/>
        </w:rPr>
        <w:t>FORM 10-Q</w:t>
      </w:r>
    </w:p>
    <w:p>
      <w:pPr>
        <w:jc w:val="center"/>
        <w:ind w:right="500"/>
        <w:spacing w:after="0"/>
        <w:rPr>
          <w:sz w:val="20"/>
          <w:szCs w:val="20"/>
          <w:color w:val="auto"/>
        </w:rPr>
      </w:pPr>
      <w:r>
        <w:rPr>
          <w:rFonts w:ascii="Courier New" w:cs="Courier New" w:eastAsia="Courier New" w:hAnsi="Courier New"/>
          <w:sz w:val="17"/>
          <w:szCs w:val="17"/>
          <w:color w:val="auto"/>
        </w:rPr>
        <w:t>QUARTER ENDED MARCH 31, 2001</w:t>
      </w:r>
    </w:p>
    <w:p>
      <w:pPr>
        <w:ind w:left="3000"/>
        <w:spacing w:after="0"/>
        <w:rPr>
          <w:sz w:val="20"/>
          <w:szCs w:val="20"/>
          <w:color w:val="auto"/>
        </w:rPr>
      </w:pPr>
      <w:r>
        <w:rPr>
          <w:rFonts w:ascii="Courier New" w:cs="Courier New" w:eastAsia="Courier New" w:hAnsi="Courier New"/>
          <w:sz w:val="17"/>
          <w:szCs w:val="17"/>
          <w:color w:val="auto"/>
        </w:rPr>
        <w:t>CONDENSED CONSOLIDATED STATEMENT OF OPERATIONS AND</w:t>
      </w:r>
    </w:p>
    <w:p>
      <w:pPr>
        <w:ind w:left="3520"/>
        <w:spacing w:after="0"/>
        <w:rPr>
          <w:sz w:val="20"/>
          <w:szCs w:val="20"/>
          <w:color w:val="auto"/>
        </w:rPr>
      </w:pPr>
      <w:r>
        <w:rPr>
          <w:rFonts w:ascii="Courier New" w:cs="Courier New" w:eastAsia="Courier New" w:hAnsi="Courier New"/>
          <w:sz w:val="17"/>
          <w:szCs w:val="17"/>
          <w:color w:val="auto"/>
        </w:rPr>
        <w:t>RETAINED EARNINGS (ACCUMULATED DEFICIT)</w:t>
      </w:r>
    </w:p>
    <w:p>
      <w:pPr>
        <w:ind w:left="4920"/>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20" w:type="dxa"/>
            <w:vAlign w:val="bottom"/>
          </w:tcPr>
          <w:p>
            <w:pPr>
              <w:spacing w:after="0"/>
              <w:rPr>
                <w:sz w:val="16"/>
                <w:szCs w:val="16"/>
                <w:color w:val="auto"/>
              </w:rPr>
            </w:pPr>
          </w:p>
        </w:tc>
        <w:tc>
          <w:tcPr>
            <w:tcW w:w="4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(Amounts in millions, except per share data)</w:t>
            </w:r>
          </w:p>
        </w:tc>
      </w:tr>
      <w:tr>
        <w:trPr>
          <w:trHeight w:val="193"/>
        </w:trPr>
        <w:tc>
          <w:tcPr>
            <w:tcW w:w="7120" w:type="dxa"/>
            <w:vAlign w:val="bottom"/>
          </w:tcPr>
          <w:p>
            <w:pPr>
              <w:spacing w:after="0"/>
              <w:rPr>
                <w:sz w:val="16"/>
                <w:szCs w:val="16"/>
                <w:color w:val="auto"/>
              </w:rPr>
            </w:pPr>
          </w:p>
        </w:tc>
        <w:tc>
          <w:tcPr>
            <w:tcW w:w="4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Three Months Ended March 31,</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2001</w:t>
            </w:r>
          </w:p>
        </w:tc>
        <w:tc>
          <w:tcPr>
            <w:tcW w:w="18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385"/>
        </w:trPr>
        <w:tc>
          <w:tcPr>
            <w:tcW w:w="71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5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Service income...........................................................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$1,312.1</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$1,117.9</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Net sales from electronic retailing......................................</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884.0</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821.0</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2,196.1</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1,938.9</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Operating................................................................</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640.3</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548.9</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Cost of goods sold from electronic retailing.............................</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556.6</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527.1</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Selling, general and administrative......................................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358.3</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276.0</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Depreciation.............................................................</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221.3</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171.9</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Amortization.............................................................</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520.1</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373.8</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2,296.6</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1,897.7</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w w:val="90"/>
              </w:rPr>
              <w:t>OPERATING (LOSS) INCOME......................................................</w:t>
            </w:r>
          </w:p>
        </w:tc>
        <w:tc>
          <w:tcPr>
            <w:tcW w:w="25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(100.5)</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41.2</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Interest expense.........................................................</w:t>
            </w:r>
          </w:p>
        </w:tc>
        <w:tc>
          <w:tcPr>
            <w:tcW w:w="25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(182.3)</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(168.6)</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Investment income........................................................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214.7</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644.6</w:t>
            </w:r>
          </w:p>
        </w:tc>
      </w:tr>
      <w:tr>
        <w:trPr>
          <w:trHeight w:val="193"/>
        </w:trPr>
        <w:tc>
          <w:tcPr>
            <w:tcW w:w="96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Expense related to indexed debt..........................................</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(687.5)</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Equity in net income (losses) of affiliates..............................</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2.9</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(2.9)</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Other income (expense)...................................................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1,194.2</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(10.8)</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1,229.5</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(225.2)</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 MINORITY INTEREST,</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rPr>
              <w:t>EXTRAORDINARY ITEMS AND CUMULATIVE</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EFFECT OF ACCOUNTING CHANGE..............................................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1,129.0</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(184.0)</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w w:val="90"/>
              </w:rPr>
              <w:t>INCOME TAX (EXPENSE) BENEFIT.................................................</w:t>
            </w:r>
          </w:p>
        </w:tc>
        <w:tc>
          <w:tcPr>
            <w:tcW w:w="25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(485.6)</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31.8</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INCOME (LOSS) BEFORE MINORITY INTEREST,</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rPr>
              <w:t>EXTRAORDINARY ITEMS AND CUMULATIVE</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EFFECT OF ACCOUNTING CHANGE..............................................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643.4</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(152.2)</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w w:val="90"/>
              </w:rPr>
              <w:t>MINORITY INTEREST............................................................</w:t>
            </w:r>
          </w:p>
        </w:tc>
        <w:tc>
          <w:tcPr>
            <w:tcW w:w="25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(26.7)</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(34.2)</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INCOME (LOSS) BEFORE EXTRAORDINARY ITEMS AND CUMULATIVE</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EFFECT OF ACCOUNTING CHANGE..............................................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616.7</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(186.4)</w:t>
            </w:r>
          </w:p>
        </w:tc>
      </w:tr>
      <w:tr>
        <w:trPr>
          <w:trHeight w:val="193"/>
        </w:trPr>
        <w:tc>
          <w:tcPr>
            <w:tcW w:w="9680" w:type="dxa"/>
            <w:vAlign w:val="bottom"/>
            <w:gridSpan w:val="2"/>
          </w:tcPr>
          <w:p>
            <w:pPr>
              <w:spacing w:after="0"/>
              <w:rPr>
                <w:sz w:val="20"/>
                <w:szCs w:val="20"/>
                <w:color w:val="auto"/>
              </w:rPr>
            </w:pPr>
            <w:r>
              <w:rPr>
                <w:rFonts w:ascii="Courier New" w:cs="Courier New" w:eastAsia="Courier New" w:hAnsi="Courier New"/>
                <w:sz w:val="17"/>
                <w:szCs w:val="17"/>
                <w:color w:val="auto"/>
              </w:rPr>
              <w:t>EXTRAORDINARY ITEMS..........................................................</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(5.1)</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w w:val="90"/>
              </w:rPr>
              <w:t>CUMULATIVE EFFECT OF ACCOUNTING CHANGE.......................................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384.5</w:t>
            </w:r>
          </w:p>
        </w:tc>
        <w:tc>
          <w:tcPr>
            <w:tcW w:w="1840" w:type="dxa"/>
            <w:vAlign w:val="bottom"/>
          </w:tcPr>
          <w:p>
            <w:pPr>
              <w:spacing w:after="0"/>
              <w:rPr>
                <w:sz w:val="16"/>
                <w:szCs w:val="16"/>
                <w:color w:val="auto"/>
              </w:rPr>
            </w:pP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w w:val="90"/>
              </w:rPr>
              <w:t>NET INCOME (LOSS)............................................................</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1,001.2</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(191.5)</w:t>
            </w:r>
          </w:p>
        </w:tc>
      </w:tr>
      <w:tr>
        <w:trPr>
          <w:trHeight w:val="193"/>
        </w:trPr>
        <w:tc>
          <w:tcPr>
            <w:tcW w:w="9680" w:type="dxa"/>
            <w:vAlign w:val="bottom"/>
            <w:gridSpan w:val="2"/>
          </w:tcPr>
          <w:p>
            <w:pPr>
              <w:spacing w:after="0"/>
              <w:rPr>
                <w:sz w:val="20"/>
                <w:szCs w:val="20"/>
                <w:color w:val="auto"/>
              </w:rPr>
            </w:pPr>
            <w:r>
              <w:rPr>
                <w:rFonts w:ascii="Courier New" w:cs="Courier New" w:eastAsia="Courier New" w:hAnsi="Courier New"/>
                <w:sz w:val="17"/>
                <w:szCs w:val="17"/>
                <w:color w:val="auto"/>
              </w:rPr>
              <w:t>PREFERRED DIVIDENDS..........................................................</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(7.5)</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w w:val="90"/>
              </w:rPr>
              <w:t>NET INCOME (LOSS) FOR COMMON STOCKHOLDERS....................................</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$1,001.2</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($199.0)</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RETAINED EARNINGS (ACCUMULATED DEFICIT)</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Beginning of period......................................................</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$1,056.5</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($619.8)</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Net income (loss)........................................................</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1,001.2</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(191.5)</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Retirement of common stock...............................................</w:t>
            </w:r>
          </w:p>
        </w:tc>
        <w:tc>
          <w:tcPr>
            <w:tcW w:w="25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(17.1)</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(164.6)</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End of period............................................................</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$2,040.6</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($975.9)</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BASIC EARNINGS (LOSS) FOR COMMON STOCKHOLDERS PER COMMON SHARE</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rPr>
              <w:t>Income (loss) before extraordinary items and cumulative effect</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jc w:val="right"/>
              <w:spacing w:after="0"/>
              <w:rPr>
                <w:sz w:val="20"/>
                <w:szCs w:val="20"/>
                <w:color w:val="auto"/>
              </w:rPr>
            </w:pPr>
            <w:r>
              <w:rPr>
                <w:rFonts w:ascii="Courier New" w:cs="Courier New" w:eastAsia="Courier New" w:hAnsi="Courier New"/>
                <w:sz w:val="17"/>
                <w:szCs w:val="17"/>
                <w:color w:val="auto"/>
                <w:w w:val="98"/>
              </w:rPr>
              <w:t>of accounting change...................................................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$.65</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($.23)</w:t>
            </w:r>
          </w:p>
        </w:tc>
      </w:tr>
      <w:tr>
        <w:trPr>
          <w:trHeight w:val="193"/>
        </w:trPr>
        <w:tc>
          <w:tcPr>
            <w:tcW w:w="96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Extraordinary items......................................................</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(.01)</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Cumulative effect of accounting change...................................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w:t>
            </w:r>
          </w:p>
        </w:tc>
        <w:tc>
          <w:tcPr>
            <w:tcW w:w="1840" w:type="dxa"/>
            <w:vAlign w:val="bottom"/>
          </w:tcPr>
          <w:p>
            <w:pPr>
              <w:spacing w:after="0"/>
              <w:rPr>
                <w:sz w:val="16"/>
                <w:szCs w:val="16"/>
                <w:color w:val="auto"/>
              </w:rPr>
            </w:pP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jc w:val="right"/>
              <w:spacing w:after="0"/>
              <w:rPr>
                <w:sz w:val="20"/>
                <w:szCs w:val="20"/>
                <w:color w:val="auto"/>
              </w:rPr>
            </w:pPr>
            <w:r>
              <w:rPr>
                <w:rFonts w:ascii="Courier New" w:cs="Courier New" w:eastAsia="Courier New" w:hAnsi="Courier New"/>
                <w:sz w:val="17"/>
                <w:szCs w:val="17"/>
                <w:color w:val="auto"/>
                <w:w w:val="99"/>
              </w:rPr>
              <w:t>Net income (loss).....................................................</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($.24)</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w w:val="90"/>
              </w:rPr>
              <w:t>BASIC WEIGHTED AVERAGE NUMBER OF COMMON SHARES OUTSTANDING...................</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945.3</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836.6</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DILUTED EARNINGS (LOSS) FOR COMMON STOCKHOLDERS PER COMMON SHARE</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rPr>
              <w:t>Income (loss) before extraordinary items and cumulative effect</w:t>
            </w:r>
          </w:p>
        </w:tc>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7120" w:type="dxa"/>
            <w:vAlign w:val="bottom"/>
          </w:tcPr>
          <w:p>
            <w:pPr>
              <w:jc w:val="right"/>
              <w:spacing w:after="0"/>
              <w:rPr>
                <w:sz w:val="20"/>
                <w:szCs w:val="20"/>
                <w:color w:val="auto"/>
              </w:rPr>
            </w:pPr>
            <w:r>
              <w:rPr>
                <w:rFonts w:ascii="Courier New" w:cs="Courier New" w:eastAsia="Courier New" w:hAnsi="Courier New"/>
                <w:sz w:val="17"/>
                <w:szCs w:val="17"/>
                <w:color w:val="auto"/>
                <w:w w:val="98"/>
              </w:rPr>
              <w:t>of accounting change...................................................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$.64</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($.23)</w:t>
            </w:r>
          </w:p>
        </w:tc>
      </w:tr>
      <w:tr>
        <w:trPr>
          <w:trHeight w:val="193"/>
        </w:trPr>
        <w:tc>
          <w:tcPr>
            <w:tcW w:w="96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Extraordinary items......................................................</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(.01)</w:t>
            </w:r>
          </w:p>
        </w:tc>
      </w:tr>
      <w:tr>
        <w:trPr>
          <w:trHeight w:val="193"/>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w w:val="89"/>
              </w:rPr>
              <w:t>Cumulative effect of accounting change...................................</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.40</w:t>
            </w:r>
          </w:p>
        </w:tc>
        <w:tc>
          <w:tcPr>
            <w:tcW w:w="1840" w:type="dxa"/>
            <w:vAlign w:val="bottom"/>
          </w:tcPr>
          <w:p>
            <w:pPr>
              <w:spacing w:after="0"/>
              <w:rPr>
                <w:sz w:val="16"/>
                <w:szCs w:val="16"/>
                <w:color w:val="auto"/>
              </w:rPr>
            </w:pP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7120" w:type="dxa"/>
            <w:vAlign w:val="bottom"/>
          </w:tcPr>
          <w:p>
            <w:pPr>
              <w:jc w:val="right"/>
              <w:spacing w:after="0"/>
              <w:rPr>
                <w:sz w:val="20"/>
                <w:szCs w:val="20"/>
                <w:color w:val="auto"/>
              </w:rPr>
            </w:pPr>
            <w:r>
              <w:rPr>
                <w:rFonts w:ascii="Courier New" w:cs="Courier New" w:eastAsia="Courier New" w:hAnsi="Courier New"/>
                <w:sz w:val="17"/>
                <w:szCs w:val="17"/>
                <w:color w:val="auto"/>
                <w:w w:val="99"/>
              </w:rPr>
              <w:t>Net income (loss).....................................................</w:t>
            </w: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w:t>
            </w:r>
          </w:p>
        </w:tc>
        <w:tc>
          <w:tcPr>
            <w:tcW w:w="18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($.24)</w:t>
            </w:r>
          </w:p>
        </w:tc>
      </w:tr>
      <w:tr>
        <w:trPr>
          <w:trHeight w:val="193"/>
        </w:trPr>
        <w:tc>
          <w:tcPr>
            <w:tcW w:w="7120" w:type="dxa"/>
            <w:vAlign w:val="bottom"/>
          </w:tcPr>
          <w:p>
            <w:pPr>
              <w:spacing w:after="0"/>
              <w:rPr>
                <w:sz w:val="16"/>
                <w:szCs w:val="16"/>
                <w:color w:val="auto"/>
              </w:rPr>
            </w:pPr>
          </w:p>
        </w:tc>
        <w:tc>
          <w:tcPr>
            <w:tcW w:w="25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bl>
    <w:p>
      <w:pPr>
        <w:sectPr>
          <w:pgSz w:w="11900" w:h="16886" w:orient="portrait"/>
          <w:cols w:equalWidth="0" w:num="1">
            <w:col w:w="11520"/>
          </w:cols>
          <w:pgMar w:left="240" w:top="881" w:right="139" w:bottom="0" w:gutter="0" w:footer="0" w:header="0"/>
        </w:sectPr>
      </w:pPr>
    </w:p>
    <w:bookmarkStart w:id="5" w:name="page6"/>
    <w:bookmarkEnd w:id="5"/>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 WEIGHTED AVERAGE NUMBER OF COMMON SHARES OUTSTANDING.................</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7"/>
          <w:szCs w:val="17"/>
          <w:color w:val="auto"/>
        </w:rPr>
        <w:t>965.0</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spacing w:after="0" w:line="262" w:lineRule="auto"/>
        <w:rPr>
          <w:sz w:val="20"/>
          <w:szCs w:val="20"/>
          <w:color w:val="auto"/>
        </w:rPr>
      </w:pPr>
      <w:r>
        <w:rPr>
          <w:rFonts w:ascii="Courier New" w:cs="Courier New" w:eastAsia="Courier New" w:hAnsi="Courier New"/>
          <w:sz w:val="16"/>
          <w:szCs w:val="16"/>
          <w:color w:val="auto"/>
        </w:rPr>
        <w:t>836.6 =========</w:t>
      </w:r>
    </w:p>
    <w:p>
      <w:pPr>
        <w:spacing w:after="0" w:line="182" w:lineRule="exact"/>
        <w:rPr>
          <w:sz w:val="20"/>
          <w:szCs w:val="20"/>
          <w:color w:val="auto"/>
        </w:rPr>
      </w:pPr>
    </w:p>
    <w:p>
      <w:pPr>
        <w:sectPr>
          <w:pgSz w:w="11900" w:h="16838" w:orient="portrait"/>
          <w:cols w:equalWidth="0" w:num="3">
            <w:col w:w="7720" w:space="700"/>
            <w:col w:w="900" w:space="600"/>
            <w:col w:w="900"/>
          </w:cols>
          <w:pgMar w:left="240" w:top="136" w:right="839" w:bottom="1440" w:gutter="0" w:footer="0" w:header="0"/>
        </w:sect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9"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820"/>
          </w:cols>
          <w:pgMar w:left="240" w:top="136" w:right="839" w:bottom="1440" w:gutter="0" w:footer="0" w:header="0"/>
          <w:type w:val="continuous"/>
        </w:sectPr>
      </w:pPr>
    </w:p>
    <w:bookmarkStart w:id="6" w:name="page7"/>
    <w:bookmarkEnd w:id="6"/>
    <w:p>
      <w:pPr>
        <w:jc w:val="center"/>
        <w:ind w:right="-11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19"/>
        <w:spacing w:after="0"/>
        <w:rPr>
          <w:sz w:val="20"/>
          <w:szCs w:val="20"/>
          <w:color w:val="auto"/>
        </w:rPr>
      </w:pPr>
      <w:r>
        <w:rPr>
          <w:rFonts w:ascii="Courier New" w:cs="Courier New" w:eastAsia="Courier New" w:hAnsi="Courier New"/>
          <w:sz w:val="17"/>
          <w:szCs w:val="17"/>
          <w:color w:val="auto"/>
        </w:rPr>
        <w:t>FORM 10-Q</w:t>
      </w:r>
    </w:p>
    <w:p>
      <w:pPr>
        <w:jc w:val="center"/>
        <w:ind w:right="-119"/>
        <w:spacing w:after="0"/>
        <w:rPr>
          <w:sz w:val="20"/>
          <w:szCs w:val="20"/>
          <w:color w:val="auto"/>
        </w:rPr>
      </w:pPr>
      <w:r>
        <w:rPr>
          <w:rFonts w:ascii="Courier New" w:cs="Courier New" w:eastAsia="Courier New" w:hAnsi="Courier New"/>
          <w:sz w:val="17"/>
          <w:szCs w:val="17"/>
          <w:color w:val="auto"/>
        </w:rPr>
        <w:t>QUARTER ENDED MARCH 31, 2001</w:t>
      </w:r>
    </w:p>
    <w:p>
      <w:pPr>
        <w:jc w:val="center"/>
        <w:ind w:right="-119"/>
        <w:spacing w:after="0"/>
        <w:rPr>
          <w:sz w:val="20"/>
          <w:szCs w:val="20"/>
          <w:color w:val="auto"/>
        </w:rPr>
      </w:pPr>
      <w:r>
        <w:rPr>
          <w:rFonts w:ascii="Courier New" w:cs="Courier New" w:eastAsia="Courier New" w:hAnsi="Courier New"/>
          <w:sz w:val="17"/>
          <w:szCs w:val="17"/>
          <w:color w:val="auto"/>
        </w:rPr>
        <w:t>CONDENSED CONSOLIDATED STATEMENT OF CASH FLOWS</w:t>
      </w:r>
    </w:p>
    <w:tbl>
      <w:tblPr>
        <w:tblLayout w:type="fixed"/>
        <w:tblInd w:w="0" w:type="dxa"/>
        <w:tblCellMar>
          <w:top w:w="0" w:type="dxa"/>
          <w:left w:w="0" w:type="dxa"/>
          <w:bottom w:w="0" w:type="dxa"/>
          <w:right w:w="0" w:type="dxa"/>
        </w:tblCellMar>
      </w:tblPr>
      <w:tr>
        <w:trPr>
          <w:trHeight w:val="193"/>
        </w:trPr>
        <w:tc>
          <w:tcPr>
            <w:tcW w:w="8480" w:type="dxa"/>
            <w:vAlign w:val="bottom"/>
          </w:tcPr>
          <w:p>
            <w:pPr>
              <w:jc w:val="right"/>
              <w:ind w:right="2176"/>
              <w:spacing w:after="0"/>
              <w:rPr>
                <w:sz w:val="20"/>
                <w:szCs w:val="20"/>
                <w:color w:val="auto"/>
              </w:rPr>
            </w:pPr>
            <w:r>
              <w:rPr>
                <w:rFonts w:ascii="Courier New" w:cs="Courier New" w:eastAsia="Courier New" w:hAnsi="Courier New"/>
                <w:sz w:val="17"/>
                <w:szCs w:val="17"/>
                <w:color w:val="auto"/>
              </w:rPr>
              <w:t>(Unaudited)</w:t>
            </w:r>
          </w:p>
        </w:tc>
        <w:tc>
          <w:tcPr>
            <w:tcW w:w="16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5"/>
        </w:trPr>
        <w:tc>
          <w:tcPr>
            <w:tcW w:w="8480" w:type="dxa"/>
            <w:vAlign w:val="bottom"/>
          </w:tcPr>
          <w:p>
            <w:pPr>
              <w:spacing w:after="0"/>
              <w:rPr>
                <w:sz w:val="24"/>
                <w:szCs w:val="24"/>
                <w:color w:val="auto"/>
              </w:rPr>
            </w:pPr>
          </w:p>
        </w:tc>
        <w:tc>
          <w:tcPr>
            <w:tcW w:w="28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(Dollars in millions)</w:t>
            </w:r>
          </w:p>
        </w:tc>
      </w:tr>
      <w:tr>
        <w:trPr>
          <w:trHeight w:val="193"/>
        </w:trPr>
        <w:tc>
          <w:tcPr>
            <w:tcW w:w="8480" w:type="dxa"/>
            <w:vAlign w:val="bottom"/>
          </w:tcPr>
          <w:p>
            <w:pPr>
              <w:spacing w:after="0"/>
              <w:rPr>
                <w:sz w:val="16"/>
                <w:szCs w:val="16"/>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Three Months Ended March 31,</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2001</w:t>
            </w:r>
          </w:p>
        </w:tc>
        <w:tc>
          <w:tcPr>
            <w:tcW w:w="12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8480" w:type="dxa"/>
            <w:vAlign w:val="bottom"/>
          </w:tcPr>
          <w:p>
            <w:pPr>
              <w:jc w:val="right"/>
              <w:ind w:right="6396"/>
              <w:spacing w:after="0"/>
              <w:rPr>
                <w:sz w:val="20"/>
                <w:szCs w:val="20"/>
                <w:color w:val="auto"/>
              </w:rPr>
            </w:pPr>
            <w:r>
              <w:rPr>
                <w:rFonts w:ascii="Courier New" w:cs="Courier New" w:eastAsia="Courier New" w:hAnsi="Courier New"/>
                <w:sz w:val="17"/>
                <w:szCs w:val="17"/>
                <w:color w:val="auto"/>
                <w:w w:val="97"/>
              </w:rPr>
              <w:t>OPERATING ACTIVITIES</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Net income (loss)................................................................</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$1,001.2</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($191.5)</w:t>
            </w:r>
          </w:p>
        </w:tc>
      </w:tr>
      <w:tr>
        <w:trPr>
          <w:trHeight w:val="193"/>
        </w:trPr>
        <w:tc>
          <w:tcPr>
            <w:tcW w:w="8480" w:type="dxa"/>
            <w:vAlign w:val="bottom"/>
          </w:tcPr>
          <w:p>
            <w:pPr>
              <w:jc w:val="right"/>
              <w:ind w:right="1476"/>
              <w:spacing w:after="0"/>
              <w:rPr>
                <w:sz w:val="20"/>
                <w:szCs w:val="20"/>
                <w:color w:val="auto"/>
              </w:rPr>
            </w:pPr>
            <w:r>
              <w:rPr>
                <w:rFonts w:ascii="Courier New" w:cs="Courier New" w:eastAsia="Courier New" w:hAnsi="Courier New"/>
                <w:sz w:val="17"/>
                <w:szCs w:val="17"/>
                <w:color w:val="auto"/>
              </w:rPr>
              <w:t>Adjustments to reconcile net income (loss) to net cash provided by</w:t>
            </w:r>
          </w:p>
        </w:tc>
        <w:tc>
          <w:tcPr>
            <w:tcW w:w="16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8480" w:type="dxa"/>
            <w:vAlign w:val="bottom"/>
          </w:tcPr>
          <w:p>
            <w:pPr>
              <w:jc w:val="right"/>
              <w:ind w:right="4876"/>
              <w:spacing w:after="0"/>
              <w:rPr>
                <w:sz w:val="20"/>
                <w:szCs w:val="20"/>
                <w:color w:val="auto"/>
              </w:rPr>
            </w:pPr>
            <w:r>
              <w:rPr>
                <w:rFonts w:ascii="Courier New" w:cs="Courier New" w:eastAsia="Courier New" w:hAnsi="Courier New"/>
                <w:sz w:val="17"/>
                <w:szCs w:val="17"/>
                <w:color w:val="auto"/>
              </w:rPr>
              <w:t>(used in) operating activities:</w:t>
            </w:r>
          </w:p>
        </w:tc>
        <w:tc>
          <w:tcPr>
            <w:tcW w:w="16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Depreciation...................................................................</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221.3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171.9</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Amortization...................................................................</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520.1</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373.8</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Non-cash interest expense (income), net........................................</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12.0</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Non-cash expense related to indexed debt.......................................</w:t>
            </w:r>
          </w:p>
        </w:tc>
        <w:tc>
          <w:tcPr>
            <w:tcW w:w="1600" w:type="dxa"/>
            <w:vAlign w:val="bottom"/>
          </w:tcPr>
          <w:p>
            <w:pPr>
              <w:spacing w:after="0"/>
              <w:rPr>
                <w:sz w:val="16"/>
                <w:szCs w:val="16"/>
                <w:color w:val="auto"/>
              </w:rPr>
            </w:pP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687.5</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Equity in net (income) losses of affiliates....................................</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Gains on investments and other income, net.....................................</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(1,395.8)</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(590.7)</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Minority interest..............................................................</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26.7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34.2</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Extraordinary items............................................................</w:t>
            </w:r>
          </w:p>
        </w:tc>
        <w:tc>
          <w:tcPr>
            <w:tcW w:w="1600" w:type="dxa"/>
            <w:vAlign w:val="bottom"/>
          </w:tcPr>
          <w:p>
            <w:pPr>
              <w:spacing w:after="0"/>
              <w:rPr>
                <w:sz w:val="16"/>
                <w:szCs w:val="16"/>
                <w:color w:val="auto"/>
              </w:rPr>
            </w:pP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Cumulative effect of accounting change.........................................</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(384.5)</w:t>
            </w:r>
          </w:p>
        </w:tc>
        <w:tc>
          <w:tcPr>
            <w:tcW w:w="1240" w:type="dxa"/>
            <w:vAlign w:val="bottom"/>
          </w:tcPr>
          <w:p>
            <w:pPr>
              <w:spacing w:after="0"/>
              <w:rPr>
                <w:sz w:val="16"/>
                <w:szCs w:val="16"/>
                <w:color w:val="auto"/>
              </w:rPr>
            </w:pP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Deferred income taxes and other................................................</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428.9</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(253.6)</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427.0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226.3</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Changes in working capital.....................................................</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(169.0)</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(369.8)</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(used in) operating activities......................</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258.0</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(143.5)</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tcPr>
          <w:p>
            <w:pPr>
              <w:jc w:val="right"/>
              <w:ind w:right="6396"/>
              <w:spacing w:after="0"/>
              <w:rPr>
                <w:sz w:val="20"/>
                <w:szCs w:val="20"/>
                <w:color w:val="auto"/>
              </w:rPr>
            </w:pPr>
            <w:r>
              <w:rPr>
                <w:rFonts w:ascii="Courier New" w:cs="Courier New" w:eastAsia="Courier New" w:hAnsi="Courier New"/>
                <w:sz w:val="17"/>
                <w:szCs w:val="17"/>
                <w:color w:val="auto"/>
                <w:w w:val="97"/>
              </w:rPr>
              <w:t>FINANCING ACTIVITIES</w:t>
            </w:r>
          </w:p>
        </w:tc>
        <w:tc>
          <w:tcPr>
            <w:tcW w:w="16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Proceeds from borrowings.........................................................</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2,608.2</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88.2</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Retirements and repayments of debt...............................................</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(2,219.6)</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(700.7)</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Issuances of common stock and sales of put options on common stock...............</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13.5</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18.8</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Repurchases of common stock......................................................</w:t>
            </w:r>
          </w:p>
        </w:tc>
        <w:tc>
          <w:tcPr>
            <w:tcW w:w="1600" w:type="dxa"/>
            <w:vAlign w:val="bottom"/>
          </w:tcPr>
          <w:p>
            <w:pPr>
              <w:spacing w:after="0"/>
              <w:rPr>
                <w:sz w:val="16"/>
                <w:szCs w:val="16"/>
                <w:color w:val="auto"/>
              </w:rPr>
            </w:pP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(127.9)</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402.1</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(721.6)</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tcPr>
          <w:p>
            <w:pPr>
              <w:jc w:val="right"/>
              <w:ind w:right="6396"/>
              <w:spacing w:after="0"/>
              <w:rPr>
                <w:sz w:val="20"/>
                <w:szCs w:val="20"/>
                <w:color w:val="auto"/>
              </w:rPr>
            </w:pPr>
            <w:r>
              <w:rPr>
                <w:rFonts w:ascii="Courier New" w:cs="Courier New" w:eastAsia="Courier New" w:hAnsi="Courier New"/>
                <w:sz w:val="17"/>
                <w:szCs w:val="17"/>
                <w:color w:val="auto"/>
                <w:w w:val="97"/>
              </w:rPr>
              <w:t>INVESTING ACTIVITIES</w:t>
            </w:r>
          </w:p>
        </w:tc>
        <w:tc>
          <w:tcPr>
            <w:tcW w:w="16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Acquisitions, net of cash acquired...............................................</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(26.4)</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(75.3)</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(Purchases) sales of short-term investments, net.................................</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663.0</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Purchases of investments.........................................................</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(166.3)</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(174.9)</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Proceeds from sales of investments...............................................</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151.7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649.2</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Capital expenditures.............................................................</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(521.9)</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(289.1)</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Additions to deferred charges....................................................</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(71.7)</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(79.4)</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provided by investing activities......................</w:t>
            </w:r>
          </w:p>
        </w:tc>
        <w:tc>
          <w:tcPr>
            <w:tcW w:w="16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(643.3)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693.5</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w w:val="98"/>
              </w:rPr>
              <w:t>INCREASE (DECREASE) IN CASH AND CASH EQUIVALENTS....................................</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16.8</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(171.6)</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w w:val="98"/>
              </w:rPr>
              <w:t>CASH AND CASH EQUIVALENTS, beginning of period......................................</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$651.5</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922.2</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tcPr>
          <w:p>
            <w:pPr>
              <w:jc w:val="right"/>
              <w:spacing w:after="0"/>
              <w:rPr>
                <w:sz w:val="20"/>
                <w:szCs w:val="20"/>
                <w:color w:val="auto"/>
              </w:rPr>
            </w:pPr>
            <w:r>
              <w:rPr>
                <w:rFonts w:ascii="Courier New" w:cs="Courier New" w:eastAsia="Courier New" w:hAnsi="Courier New"/>
                <w:sz w:val="17"/>
                <w:szCs w:val="17"/>
                <w:color w:val="auto"/>
                <w:w w:val="98"/>
              </w:rPr>
              <w:t>CASH AND CASH EQUIVALENTS, end of period............................................</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$668.3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$750.6</w:t>
            </w:r>
          </w:p>
        </w:tc>
      </w:tr>
      <w:tr>
        <w:trPr>
          <w:trHeight w:val="193"/>
        </w:trPr>
        <w:tc>
          <w:tcPr>
            <w:tcW w:w="848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jc w:val="right"/>
        <w:ind w:right="5600"/>
        <w:spacing w:after="0" w:line="473" w:lineRule="auto"/>
        <w:rPr>
          <w:sz w:val="20"/>
          <w:szCs w:val="20"/>
          <w:color w:val="auto"/>
        </w:rPr>
      </w:pPr>
      <w:r>
        <w:rPr>
          <w:rFonts w:ascii="Courier New" w:cs="Courier New" w:eastAsia="Courier New" w:hAnsi="Courier New"/>
          <w:sz w:val="17"/>
          <w:szCs w:val="17"/>
          <w:color w:val="auto"/>
        </w:rPr>
        <w:t>See notes to condensed consolidated financial statements. 4</w:t>
      </w:r>
    </w:p>
    <w:p>
      <w:pPr>
        <w:sectPr>
          <w:pgSz w:w="11900" w:h="16838" w:orient="portrait"/>
          <w:cols w:equalWidth="0" w:num="1">
            <w:col w:w="11320"/>
          </w:cols>
          <w:pgMar w:left="240" w:top="881" w:right="339" w:bottom="1440" w:gutter="0" w:footer="0" w:header="0"/>
        </w:sectPr>
      </w:pPr>
    </w:p>
    <w:bookmarkStart w:id="7" w:name="page8"/>
    <w:bookmarkEnd w:id="7"/>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hanging="497"/>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CONSOLIDATED FINANCIAL STATEMENTS</w:t>
      </w:r>
    </w:p>
    <w:p>
      <w:pPr>
        <w:spacing w:after="0" w:line="19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condensed consolidated balance sheet as of December 31, 2000 has been condensed from the audited consolidated balance sheet as of that date. The condensed consolidated balance sheet as of March 31, 2001 and the condensed consolidated statements of operations and retained earnings (accumulated deficit) and of cash flows for the three months ended March 31, 2001 and 2000 have been prepared by Comcast Corporation (the "Company") and have not been audited by the Company's independent auditors. In the opinion of management, all adjustments necessary to present fairly the financial position, results of operations and cash flows as of March 31, 2001 and for all periods presented have been made.</w:t>
      </w:r>
    </w:p>
    <w:p>
      <w:pPr>
        <w:spacing w:after="0" w:line="202" w:lineRule="exact"/>
        <w:rPr>
          <w:rFonts w:ascii="Courier New" w:cs="Courier New" w:eastAsia="Courier New" w:hAnsi="Courier New"/>
          <w:sz w:val="17"/>
          <w:szCs w:val="17"/>
          <w:color w:val="auto"/>
        </w:rPr>
      </w:pPr>
    </w:p>
    <w:p>
      <w:pPr>
        <w:jc w:val="both"/>
        <w:ind w:left="500" w:right="219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2000 Annual Report on Form 10-K filed with the Securities and Exchange Commission. The results of operations for the period ended March 31, 2001 are not necessarily indicative of operating results for the full year.</w:t>
      </w:r>
    </w:p>
    <w:p>
      <w:pPr>
        <w:spacing w:after="0" w:line="18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Reclassifications</w:t>
      </w:r>
    </w:p>
    <w:p>
      <w:pPr>
        <w:spacing w:after="0" w:line="5" w:lineRule="exact"/>
        <w:rPr>
          <w:rFonts w:ascii="Courier New" w:cs="Courier New" w:eastAsia="Courier New" w:hAnsi="Courier New"/>
          <w:sz w:val="17"/>
          <w:szCs w:val="17"/>
          <w:color w:val="auto"/>
        </w:rPr>
      </w:pPr>
    </w:p>
    <w:p>
      <w:pPr>
        <w:jc w:val="both"/>
        <w:ind w:left="500" w:right="21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Certain reclassifications have been made to the prior year condensed consolidated financial statements to conform to those classifications used in 2001.</w:t>
      </w:r>
    </w:p>
    <w:p>
      <w:pPr>
        <w:spacing w:after="0" w:line="194"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ADOPTION OF NEW ACCOUNTING STANDARD</w:t>
      </w:r>
    </w:p>
    <w:p>
      <w:pPr>
        <w:spacing w:after="0" w:line="198"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1, 2001, the Company adopted Statement of Financial Accounting Standards No. 133, "Accounting for Derivative Instruments and Hedging Activities", as amended ("SFAS No. 133"). SFAS No. 133 establishes accounting and reporting standards for derivatives and hedging activities. SFAS No. 133 requires that all derivative instruments be reported on the balance sheet at their fair values. For derivative instruments designated and effective as fair value hedges, changes in the fair value of the derivative instrument will be substantially offset in the statement of operations by changes in the fair value of the hedged item. For derivative instruments designated as cash flow hedges, the effective portion of any change in fair value is reported in other comprehensive income until it is recognized in earnings during the same period in which the hedged item affects earnings. The ineffective portion of all hedges will be recognized in current earnings each period. Changes in the fair value of derivative instruments that are not designated as a hedge will be recorded each period in current earnings.</w:t>
      </w:r>
    </w:p>
    <w:p>
      <w:pPr>
        <w:spacing w:after="0" w:line="208"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Upon adoption of SFAS No. 133, the Company recognized as income a cumulative effect of accounting change, net of related income taxes, of $384.5 million and a cumulative decrease in other comprehensive income, net of related income taxes, of $127.0 million. The increase in income consisted of a $400.2 million adjustment to record the debt component of indexed debt at a discount from its value at maturity (see Note 6) and $191.3 million principally related to the reclassification of gains previously recognized as a component of accumulated other comprehensive income on the Company's equity derivative instruments, net of related deferred income taxes. The decrease in other comprehensive income consisted principally of the reclassification of the gains noted above.</w:t>
      </w:r>
    </w:p>
    <w:p>
      <w:pPr>
        <w:spacing w:after="0" w:line="197"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(LOSS) PER SHARE</w:t>
      </w:r>
    </w:p>
    <w:p>
      <w:pPr>
        <w:spacing w:after="0" w:line="198" w:lineRule="exact"/>
        <w:rPr>
          <w:rFonts w:ascii="Courier New" w:cs="Courier New" w:eastAsia="Courier New" w:hAnsi="Courier New"/>
          <w:sz w:val="17"/>
          <w:szCs w:val="17"/>
          <w:color w:val="auto"/>
        </w:rPr>
      </w:pPr>
    </w:p>
    <w:p>
      <w:pPr>
        <w:jc w:val="both"/>
        <w:ind w:left="5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(loss) for common stockholders per common share is computed by dividing net income (loss), after deduction of preferred stock dividends, when applicable, by the weighted average number of common shares outstanding during the period on a basic and diluted basis.</w:t>
      </w:r>
    </w:p>
    <w:p>
      <w:pPr>
        <w:spacing w:after="0" w:line="1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496" w:right="1440" w:bottom="1440" w:gutter="0" w:footer="0" w:header="0"/>
        </w:sectPr>
      </w:pPr>
    </w:p>
    <w:bookmarkStart w:id="8" w:name="page9"/>
    <w:bookmarkEnd w:id="8"/>
    <w:p>
      <w:pPr>
        <w:jc w:val="center"/>
        <w:ind w:right="300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900"/>
        <w:spacing w:after="0"/>
        <w:rPr>
          <w:sz w:val="20"/>
          <w:szCs w:val="20"/>
          <w:color w:val="auto"/>
        </w:rPr>
      </w:pPr>
      <w:r>
        <w:rPr>
          <w:rFonts w:ascii="Courier New" w:cs="Courier New" w:eastAsia="Courier New" w:hAnsi="Courier New"/>
          <w:sz w:val="17"/>
          <w:szCs w:val="17"/>
          <w:color w:val="auto"/>
        </w:rPr>
        <w:t>FORM 10-Q</w:t>
      </w:r>
    </w:p>
    <w:p>
      <w:pPr>
        <w:jc w:val="center"/>
        <w:ind w:right="3000"/>
        <w:spacing w:after="0"/>
        <w:rPr>
          <w:sz w:val="20"/>
          <w:szCs w:val="20"/>
          <w:color w:val="auto"/>
        </w:rPr>
      </w:pPr>
      <w:r>
        <w:rPr>
          <w:rFonts w:ascii="Courier New" w:cs="Courier New" w:eastAsia="Courier New" w:hAnsi="Courier New"/>
          <w:sz w:val="17"/>
          <w:szCs w:val="17"/>
          <w:color w:val="auto"/>
        </w:rPr>
        <w:t>QUARTER ENDED MARCH 31, 2001</w:t>
      </w:r>
    </w:p>
    <w:p>
      <w:pPr>
        <w:jc w:val="center"/>
        <w:ind w:right="300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900"/>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jc w:val="both"/>
        <w:ind w:left="500" w:right="3000"/>
        <w:spacing w:after="0" w:line="238" w:lineRule="auto"/>
        <w:rPr>
          <w:sz w:val="20"/>
          <w:szCs w:val="20"/>
          <w:color w:val="auto"/>
        </w:rPr>
      </w:pPr>
      <w:r>
        <w:rPr>
          <w:rFonts w:ascii="Courier New" w:cs="Courier New" w:eastAsia="Courier New" w:hAnsi="Courier New"/>
          <w:sz w:val="17"/>
          <w:szCs w:val="17"/>
          <w:color w:val="auto"/>
        </w:rPr>
        <w:t>The following table reconciles the numerator and denominator of the computations of diluted earnings (loss) for common stockholders per common share ("Diluted EPS") for the three months ended March 31, 2001 and 2000, respectively.</w:t>
      </w:r>
    </w:p>
    <w:p>
      <w:pPr>
        <w:spacing w:after="0" w:line="200" w:lineRule="exact"/>
        <w:rPr>
          <w:sz w:val="20"/>
          <w:szCs w:val="20"/>
          <w:color w:val="auto"/>
        </w:rPr>
      </w:pPr>
    </w:p>
    <w:p>
      <w:pPr>
        <w:spacing w:after="0" w:line="380"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4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(Amounts in millions, except per share data)</w:t>
            </w:r>
          </w:p>
        </w:tc>
      </w:tr>
      <w:tr>
        <w:trPr>
          <w:trHeight w:val="193"/>
        </w:trPr>
        <w:tc>
          <w:tcPr>
            <w:tcW w:w="6120" w:type="dxa"/>
            <w:vAlign w:val="bottom"/>
          </w:tcPr>
          <w:p>
            <w:pPr>
              <w:spacing w:after="0"/>
              <w:rPr>
                <w:sz w:val="16"/>
                <w:szCs w:val="16"/>
                <w:color w:val="auto"/>
              </w:rPr>
            </w:pPr>
          </w:p>
        </w:tc>
        <w:tc>
          <w:tcPr>
            <w:tcW w:w="4400" w:type="dxa"/>
            <w:vAlign w:val="bottom"/>
            <w:gridSpan w:val="2"/>
          </w:tcPr>
          <w:p>
            <w:pPr>
              <w:jc w:val="right"/>
              <w:ind w:right="14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612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7"/>
                <w:szCs w:val="17"/>
                <w:color w:val="auto"/>
              </w:rPr>
              <w:t>March 31,</w:t>
            </w:r>
          </w:p>
        </w:tc>
        <w:tc>
          <w:tcPr>
            <w:tcW w:w="2000" w:type="dxa"/>
            <w:vAlign w:val="bottom"/>
          </w:tcPr>
          <w:p>
            <w:pPr>
              <w:spacing w:after="0"/>
              <w:rPr>
                <w:sz w:val="16"/>
                <w:szCs w:val="16"/>
                <w:color w:val="auto"/>
              </w:rPr>
            </w:pPr>
          </w:p>
        </w:tc>
      </w:tr>
      <w:tr>
        <w:trPr>
          <w:trHeight w:val="193"/>
        </w:trPr>
        <w:tc>
          <w:tcPr>
            <w:tcW w:w="6120" w:type="dxa"/>
            <w:vAlign w:val="bottom"/>
          </w:tcPr>
          <w:p>
            <w:pPr>
              <w:spacing w:after="0"/>
              <w:rPr>
                <w:sz w:val="16"/>
                <w:szCs w:val="16"/>
                <w:color w:val="auto"/>
              </w:rPr>
            </w:pPr>
          </w:p>
        </w:tc>
        <w:tc>
          <w:tcPr>
            <w:tcW w:w="24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2001</w:t>
            </w:r>
          </w:p>
        </w:tc>
        <w:tc>
          <w:tcPr>
            <w:tcW w:w="2000" w:type="dxa"/>
            <w:vAlign w:val="bottom"/>
          </w:tcPr>
          <w:p>
            <w:pPr>
              <w:jc w:val="right"/>
              <w:ind w:right="13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6120" w:type="dxa"/>
            <w:vAlign w:val="bottom"/>
          </w:tcPr>
          <w:p>
            <w:pPr>
              <w:spacing w:after="0"/>
              <w:rPr>
                <w:sz w:val="16"/>
                <w:szCs w:val="16"/>
                <w:color w:val="auto"/>
              </w:rPr>
            </w:pP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5"/>
              </w:rPr>
              <w:t>---------</w:t>
            </w:r>
          </w:p>
        </w:tc>
      </w:tr>
      <w:tr>
        <w:trPr>
          <w:trHeight w:val="385"/>
        </w:trPr>
        <w:tc>
          <w:tcPr>
            <w:tcW w:w="6120" w:type="dxa"/>
            <w:vAlign w:val="bottom"/>
          </w:tcPr>
          <w:p>
            <w:pPr>
              <w:spacing w:after="0"/>
              <w:rPr>
                <w:sz w:val="20"/>
                <w:szCs w:val="20"/>
                <w:color w:val="auto"/>
              </w:rPr>
            </w:pPr>
            <w:r>
              <w:rPr>
                <w:rFonts w:ascii="Courier New" w:cs="Courier New" w:eastAsia="Courier New" w:hAnsi="Courier New"/>
                <w:sz w:val="17"/>
                <w:szCs w:val="17"/>
                <w:color w:val="auto"/>
                <w:w w:val="92"/>
              </w:rPr>
              <w:t>Net income (loss) for common stockholders........................</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$1,001.2</w:t>
            </w:r>
          </w:p>
        </w:tc>
        <w:tc>
          <w:tcPr>
            <w:tcW w:w="20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($199.0)</w:t>
            </w:r>
          </w:p>
        </w:tc>
      </w:tr>
      <w:tr>
        <w:trPr>
          <w:trHeight w:val="193"/>
        </w:trPr>
        <w:tc>
          <w:tcPr>
            <w:tcW w:w="8520" w:type="dxa"/>
            <w:vAlign w:val="bottom"/>
            <w:gridSpan w:val="2"/>
          </w:tcPr>
          <w:p>
            <w:pPr>
              <w:spacing w:after="0"/>
              <w:rPr>
                <w:sz w:val="20"/>
                <w:szCs w:val="20"/>
                <w:color w:val="auto"/>
              </w:rPr>
            </w:pPr>
            <w:r>
              <w:rPr>
                <w:rFonts w:ascii="Courier New" w:cs="Courier New" w:eastAsia="Courier New" w:hAnsi="Courier New"/>
                <w:sz w:val="17"/>
                <w:szCs w:val="17"/>
                <w:color w:val="auto"/>
              </w:rPr>
              <w:t>Preferred dividends..............................................</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7.5</w:t>
            </w:r>
          </w:p>
        </w:tc>
      </w:tr>
      <w:tr>
        <w:trPr>
          <w:trHeight w:val="193"/>
        </w:trPr>
        <w:tc>
          <w:tcPr>
            <w:tcW w:w="6120" w:type="dxa"/>
            <w:vAlign w:val="bottom"/>
          </w:tcPr>
          <w:p>
            <w:pPr>
              <w:spacing w:after="0"/>
              <w:rPr>
                <w:sz w:val="16"/>
                <w:szCs w:val="16"/>
                <w:color w:val="auto"/>
              </w:rPr>
            </w:pP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Net income (loss) for common stockholders used for</w:t>
            </w:r>
          </w:p>
        </w:tc>
        <w:tc>
          <w:tcPr>
            <w:tcW w:w="24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w w:val="91"/>
              </w:rPr>
              <w:t>Diluted EPS....................................................</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$1,001.2</w:t>
            </w:r>
          </w:p>
        </w:tc>
        <w:tc>
          <w:tcPr>
            <w:tcW w:w="20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($191.5)</w:t>
            </w:r>
          </w:p>
        </w:tc>
      </w:tr>
      <w:tr>
        <w:trPr>
          <w:trHeight w:val="193"/>
        </w:trPr>
        <w:tc>
          <w:tcPr>
            <w:tcW w:w="6120" w:type="dxa"/>
            <w:vAlign w:val="bottom"/>
          </w:tcPr>
          <w:p>
            <w:pPr>
              <w:spacing w:after="0"/>
              <w:rPr>
                <w:sz w:val="16"/>
                <w:szCs w:val="16"/>
                <w:color w:val="auto"/>
              </w:rPr>
            </w:pP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2"/>
              </w:rPr>
              <w:t>Basic weighted average number of common shares outstanding.......</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945.3</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836.6</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Dilutive securities:</w:t>
            </w:r>
          </w:p>
        </w:tc>
        <w:tc>
          <w:tcPr>
            <w:tcW w:w="24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w w:val="91"/>
              </w:rPr>
              <w:t>Series B convertible preferred stock...........................</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4.2</w:t>
            </w:r>
          </w:p>
        </w:tc>
        <w:tc>
          <w:tcPr>
            <w:tcW w:w="2000" w:type="dxa"/>
            <w:vAlign w:val="bottom"/>
          </w:tcPr>
          <w:p>
            <w:pPr>
              <w:spacing w:after="0"/>
              <w:rPr>
                <w:sz w:val="16"/>
                <w:szCs w:val="16"/>
                <w:color w:val="auto"/>
              </w:rPr>
            </w:pP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w w:val="91"/>
              </w:rPr>
              <w:t>Stock option and restricted stock plans........................</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15.5</w:t>
            </w:r>
          </w:p>
        </w:tc>
        <w:tc>
          <w:tcPr>
            <w:tcW w:w="2000" w:type="dxa"/>
            <w:vAlign w:val="bottom"/>
          </w:tcPr>
          <w:p>
            <w:pPr>
              <w:spacing w:after="0"/>
              <w:rPr>
                <w:sz w:val="16"/>
                <w:szCs w:val="16"/>
                <w:color w:val="auto"/>
              </w:rPr>
            </w:pPr>
          </w:p>
        </w:tc>
      </w:tr>
      <w:tr>
        <w:trPr>
          <w:trHeight w:val="193"/>
        </w:trPr>
        <w:tc>
          <w:tcPr>
            <w:tcW w:w="6120" w:type="dxa"/>
            <w:vAlign w:val="bottom"/>
          </w:tcPr>
          <w:p>
            <w:pPr>
              <w:spacing w:after="0"/>
              <w:rPr>
                <w:sz w:val="16"/>
                <w:szCs w:val="16"/>
                <w:color w:val="auto"/>
              </w:rPr>
            </w:pP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 common shares</w:t>
            </w:r>
          </w:p>
        </w:tc>
        <w:tc>
          <w:tcPr>
            <w:tcW w:w="24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w w:val="91"/>
              </w:rPr>
              <w:t>outstanding....................................................</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965.0</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836.6</w:t>
            </w:r>
          </w:p>
        </w:tc>
      </w:tr>
      <w:tr>
        <w:trPr>
          <w:trHeight w:val="193"/>
        </w:trPr>
        <w:tc>
          <w:tcPr>
            <w:tcW w:w="6120" w:type="dxa"/>
            <w:vAlign w:val="bottom"/>
          </w:tcPr>
          <w:p>
            <w:pPr>
              <w:spacing w:after="0"/>
              <w:rPr>
                <w:sz w:val="16"/>
                <w:szCs w:val="16"/>
                <w:color w:val="auto"/>
              </w:rPr>
            </w:pP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Diluted earnings (loss) for common stockholders</w:t>
            </w:r>
          </w:p>
        </w:tc>
        <w:tc>
          <w:tcPr>
            <w:tcW w:w="24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w w:val="91"/>
              </w:rPr>
              <w:t>per common share...............................................</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$1.04</w:t>
            </w:r>
          </w:p>
        </w:tc>
        <w:tc>
          <w:tcPr>
            <w:tcW w:w="20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($.24)</w:t>
            </w:r>
          </w:p>
        </w:tc>
      </w:tr>
      <w:tr>
        <w:trPr>
          <w:trHeight w:val="193"/>
        </w:trPr>
        <w:tc>
          <w:tcPr>
            <w:tcW w:w="6120" w:type="dxa"/>
            <w:vAlign w:val="bottom"/>
          </w:tcPr>
          <w:p>
            <w:pPr>
              <w:spacing w:after="0"/>
              <w:rPr>
                <w:sz w:val="16"/>
                <w:szCs w:val="16"/>
                <w:color w:val="auto"/>
              </w:rPr>
            </w:pP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5"/>
              </w:rPr>
              <w:t>=========</w:t>
            </w:r>
          </w:p>
        </w:tc>
      </w:tr>
    </w:tbl>
    <w:p>
      <w:pPr>
        <w:spacing w:after="0" w:line="391" w:lineRule="exact"/>
        <w:rPr>
          <w:sz w:val="20"/>
          <w:szCs w:val="20"/>
          <w:color w:val="auto"/>
        </w:rPr>
      </w:pPr>
    </w:p>
    <w:p>
      <w:pPr>
        <w:jc w:val="both"/>
        <w:ind w:left="500" w:right="3000"/>
        <w:spacing w:after="0" w:line="239" w:lineRule="auto"/>
        <w:rPr>
          <w:sz w:val="20"/>
          <w:szCs w:val="20"/>
          <w:color w:val="auto"/>
        </w:rPr>
      </w:pPr>
      <w:r>
        <w:rPr>
          <w:rFonts w:ascii="Courier New" w:cs="Courier New" w:eastAsia="Courier New" w:hAnsi="Courier New"/>
          <w:sz w:val="17"/>
          <w:szCs w:val="17"/>
          <w:color w:val="auto"/>
        </w:rPr>
        <w:t>Put options sold by the Company on a weighted average 0.8 million shares and 0.6 million shares, respectively, of its Class A Special Common Stock (see Note 7) were outstanding during the three months ended March 31, 2001 and 2000, but were not included in the computation of Diluted EPS as the options' exercise price was less than the average price of the Class A Special Common Stock during the periods.</w:t>
      </w:r>
    </w:p>
    <w:p>
      <w:pPr>
        <w:spacing w:after="0" w:line="198" w:lineRule="exact"/>
        <w:rPr>
          <w:sz w:val="20"/>
          <w:szCs w:val="20"/>
          <w:color w:val="auto"/>
        </w:rPr>
      </w:pPr>
    </w:p>
    <w:p>
      <w:pPr>
        <w:jc w:val="both"/>
        <w:ind w:left="500" w:right="3000"/>
        <w:spacing w:after="0" w:line="239" w:lineRule="auto"/>
        <w:rPr>
          <w:sz w:val="20"/>
          <w:szCs w:val="20"/>
          <w:color w:val="auto"/>
        </w:rPr>
      </w:pPr>
      <w:r>
        <w:rPr>
          <w:rFonts w:ascii="Courier New" w:cs="Courier New" w:eastAsia="Courier New" w:hAnsi="Courier New"/>
          <w:sz w:val="17"/>
          <w:szCs w:val="17"/>
          <w:color w:val="auto"/>
        </w:rPr>
        <w:t>In December 2000 and January 2001, the Company issued $1.478 billion aggregate principal amount at maturity of Zero Coupon Convertible Debentures due 2020 (the "Zero Coupon Debentures" - see Note 6). Holders may surrender the Zero Coupon Debentures for conversion at any time prior to maturity, unless previously redeemed, but only if the closing sale price of the Company's Class A Special Common Stock is greater than 110% of the accreted conversion price for at least 20 trading days of the 30 trading days prior to conversion. As the weighted average closing sale price of the Company's Class A Special Common Stock was not greater than 110% of the accreted conversion price during the three months ended March 31, 2001, the Zero Coupon Debentures have been excluded from Diluted EPS.</w:t>
      </w:r>
    </w:p>
    <w:p>
      <w:pPr>
        <w:spacing w:after="0" w:line="198" w:lineRule="exact"/>
        <w:rPr>
          <w:sz w:val="20"/>
          <w:szCs w:val="20"/>
          <w:color w:val="auto"/>
        </w:rPr>
      </w:pPr>
    </w:p>
    <w:p>
      <w:pPr>
        <w:ind w:left="500" w:hanging="497"/>
        <w:spacing w:after="0"/>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w:t>
      </w:r>
    </w:p>
    <w:p>
      <w:pPr>
        <w:spacing w:after="0" w:line="19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Adelphia Cable Systems Exchange</w:t>
      </w:r>
    </w:p>
    <w:p>
      <w:pPr>
        <w:spacing w:after="0" w:line="5" w:lineRule="exact"/>
        <w:rPr>
          <w:rFonts w:ascii="Courier New" w:cs="Courier New" w:eastAsia="Courier New" w:hAnsi="Courier New"/>
          <w:sz w:val="17"/>
          <w:szCs w:val="17"/>
          <w:color w:val="auto"/>
        </w:rPr>
      </w:pPr>
    </w:p>
    <w:p>
      <w:pPr>
        <w:jc w:val="both"/>
        <w:ind w:left="500" w:right="3000"/>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1, 2001, the Company completed its previously announced cable systems exchange with Adelphia Communications Corporation ("Adelphia") pursuant to which the Company received cable communications systems serving approximately 445,000 subscribers from Adelphia. In exchange, Adelphia received certain of the Company's cable communications systems serving approximately 440,000 subscribers. In connection with the exchange, the Company recorded to other income a pre-tax gain of $1.199 billion representing the difference between the estimated fair value as of the closing date of the transaction and the Company's cost basis in the systems exchanged.</w:t>
      </w:r>
    </w:p>
    <w:p>
      <w:pPr>
        <w:spacing w:after="0" w:line="1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020"/>
          </w:cols>
          <w:pgMar w:left="240" w:top="496" w:right="639" w:bottom="1440" w:gutter="0" w:footer="0" w:header="0"/>
        </w:sectPr>
      </w:pPr>
    </w:p>
    <w:bookmarkStart w:id="9" w:name="page10"/>
    <w:bookmarkEnd w:id="9"/>
    <w:p>
      <w:pPr>
        <w:jc w:val="center"/>
        <w:ind w:right="26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599"/>
        <w:spacing w:after="0"/>
        <w:rPr>
          <w:sz w:val="20"/>
          <w:szCs w:val="20"/>
          <w:color w:val="auto"/>
        </w:rPr>
      </w:pPr>
      <w:r>
        <w:rPr>
          <w:rFonts w:ascii="Courier New" w:cs="Courier New" w:eastAsia="Courier New" w:hAnsi="Courier New"/>
          <w:sz w:val="17"/>
          <w:szCs w:val="17"/>
          <w:color w:val="auto"/>
        </w:rPr>
        <w:t>FORM 10-Q</w:t>
      </w:r>
    </w:p>
    <w:p>
      <w:pPr>
        <w:jc w:val="center"/>
        <w:ind w:right="2699"/>
        <w:spacing w:after="0"/>
        <w:rPr>
          <w:sz w:val="20"/>
          <w:szCs w:val="20"/>
          <w:color w:val="auto"/>
        </w:rPr>
      </w:pPr>
      <w:r>
        <w:rPr>
          <w:rFonts w:ascii="Courier New" w:cs="Courier New" w:eastAsia="Courier New" w:hAnsi="Courier New"/>
          <w:sz w:val="17"/>
          <w:szCs w:val="17"/>
          <w:color w:val="auto"/>
        </w:rPr>
        <w:t>QUARTER ENDED MARCH 31, 2001</w:t>
      </w:r>
    </w:p>
    <w:p>
      <w:pPr>
        <w:jc w:val="center"/>
        <w:ind w:right="26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5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Home Team Sports Acquisition</w:t>
      </w:r>
    </w:p>
    <w:p>
      <w:pPr>
        <w:spacing w:after="0" w:line="6"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In February 2001, the Company acquired Home Team Sports (now known as Comcast SportsNet - MidAtlantic), a regional sports programming network serving approximately 4.8 million homes in the Mid-Atlantic region, from Viacom, Inc. ("Viacom") and Affiliated Regional Communications, Ltd. (an affiliate of Fox Cable Network Services, LLC ("Fox")). The Company agreed to increase the distribution of certain of Viacom's and Fox's programming networks on certain of the Company's cable communications systems. The estimated fair value of Home Team Sports as of the closing date of the acquisition was $240.0 million.</w:t>
      </w:r>
    </w:p>
    <w:p>
      <w:pPr>
        <w:spacing w:after="0" w:line="201"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The acquisitions completed by the Company in 2001 were accounted for under the purchase method of accounting. As such, the operating results of the acquired businesses have been included in the Company's condensed consolidated statement of operations and retained earnings (accumulated deficit) from the acquisition date. The allocation of the purchase price for the 2001 acquisitions is preliminary pending completion of final appraisals.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Cable Systems Acquisition</w:t>
      </w:r>
    </w:p>
    <w:p>
      <w:pPr>
        <w:spacing w:after="0" w:line="6" w:lineRule="exact"/>
        <w:rPr>
          <w:sz w:val="20"/>
          <w:szCs w:val="20"/>
          <w:color w:val="auto"/>
        </w:rPr>
      </w:pPr>
    </w:p>
    <w:p>
      <w:pPr>
        <w:jc w:val="both"/>
        <w:ind w:right="2199"/>
        <w:spacing w:after="0" w:line="255" w:lineRule="auto"/>
        <w:rPr>
          <w:sz w:val="20"/>
          <w:szCs w:val="20"/>
          <w:color w:val="auto"/>
        </w:rPr>
      </w:pPr>
      <w:r>
        <w:rPr>
          <w:rFonts w:ascii="Courier New" w:cs="Courier New" w:eastAsia="Courier New" w:hAnsi="Courier New"/>
          <w:sz w:val="16"/>
          <w:szCs w:val="16"/>
          <w:color w:val="auto"/>
        </w:rPr>
        <w:t>On April 30, 2001, the Company acquired cable communications systems serving approximately 595,000 subscribers from AT&amp;T in exchange for approximately 63.9 million shares of AT&amp;T common stock then held by the Company. The market value of the shares of AT&amp;T common stock delivered in connection with the exchange was approximately $1.423 billion, based on the closing price of the AT&amp;T common stock on the closing date of the transaction. Pursuant to the terms of the agreement between the Company and AT&amp;T, however, approximately 39.6 million shares of the AT&amp;T common stock included in the exchange were valued at $54.41 per share for purposes of the exchange. The transaction will be accounted for as a purchase and is expected to qualify as tax-free to both the Company and to AT&amp;T.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Baltimore, Maryland System Acquisition</w:t>
      </w:r>
    </w:p>
    <w:p>
      <w:pPr>
        <w:spacing w:after="0" w:line="6" w:lineRule="exact"/>
        <w:rPr>
          <w:sz w:val="20"/>
          <w:szCs w:val="20"/>
          <w:color w:val="auto"/>
        </w:rPr>
      </w:pPr>
    </w:p>
    <w:p>
      <w:pPr>
        <w:jc w:val="both"/>
        <w:ind w:right="2199"/>
        <w:spacing w:after="0" w:line="256" w:lineRule="auto"/>
        <w:rPr>
          <w:sz w:val="20"/>
          <w:szCs w:val="20"/>
          <w:color w:val="auto"/>
        </w:rPr>
      </w:pPr>
      <w:r>
        <w:rPr>
          <w:rFonts w:ascii="Courier New" w:cs="Courier New" w:eastAsia="Courier New" w:hAnsi="Courier New"/>
          <w:sz w:val="16"/>
          <w:szCs w:val="16"/>
          <w:color w:val="auto"/>
        </w:rPr>
        <w:t>On May 7, 2001, the Company and AT&amp;T entered into an agreement pursuant to which the Company will acquire the cable communications system serving approximately 110,000 subscribers in Baltimore, Maryland for approximately $500 million in cash, subject to adjustment. The transaction is subject to customary closing conditions and regulatory approvals and is expected to close by the end of the second quarter of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Unaudited Pro Forma Information</w:t>
      </w:r>
    </w:p>
    <w:p>
      <w:pPr>
        <w:spacing w:after="0" w:line="6"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The following unaudited pro forma information for the three months ended March 31, 2000 has been presented as if the Adelphia cable systems exchange, the AT&amp;T cable systems exchange (which occurred in December 2000), the acquisition of Prime Communications LLC (which occurred in August 2000), the merger of Jones Intercable, Inc. into a wholly owned subsidiary of the Company (which occurred in March 2000) and the acquisition of the minority interest in Comcast MHCP Holdings, L.L.C. (which occurred in February 2000) each occurred on January 1, 2000. This information is based on historical results of operations, adjusted for acquisition costs, and, in the opinion of management, is not necessarily indicative of what the results would have been had the Company operated the cable systems acquired since January 1, 2000.</w:t>
      </w:r>
    </w:p>
    <w:p>
      <w:pPr>
        <w:spacing w:after="0" w:line="391"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(Amounts in millions,</w:t>
      </w:r>
    </w:p>
    <w:p>
      <w:pPr>
        <w:spacing w:after="0" w:line="6"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except per share data)</w:t>
      </w:r>
    </w:p>
    <w:p>
      <w:pPr>
        <w:spacing w:after="0" w:line="6"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Three Months Ended</w:t>
      </w:r>
    </w:p>
    <w:p>
      <w:pPr>
        <w:ind w:left="6120"/>
        <w:spacing w:after="0"/>
        <w:rPr>
          <w:sz w:val="20"/>
          <w:szCs w:val="20"/>
          <w:color w:val="auto"/>
        </w:rPr>
      </w:pPr>
      <w:r>
        <w:rPr>
          <w:rFonts w:ascii="Courier New" w:cs="Courier New" w:eastAsia="Courier New" w:hAnsi="Courier New"/>
          <w:sz w:val="17"/>
          <w:szCs w:val="17"/>
          <w:color w:val="auto"/>
        </w:rPr>
        <w:t>March 31,</w:t>
      </w:r>
    </w:p>
    <w:p>
      <w:pPr>
        <w:ind w:left="6320"/>
        <w:spacing w:after="0"/>
        <w:rPr>
          <w:sz w:val="20"/>
          <w:szCs w:val="20"/>
          <w:color w:val="auto"/>
        </w:rPr>
      </w:pPr>
      <w:r>
        <w:rPr>
          <w:rFonts w:ascii="Courier New" w:cs="Courier New" w:eastAsia="Courier New" w:hAnsi="Courier New"/>
          <w:sz w:val="17"/>
          <w:szCs w:val="17"/>
          <w:color w:val="auto"/>
        </w:rPr>
        <w:t>2000</w:t>
      </w:r>
    </w:p>
    <w:p>
      <w:pPr>
        <w:ind w:left="61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719"/>
          </w:cols>
          <w:pgMar w:left="740" w:top="496" w:right="1440" w:bottom="1440" w:gutter="0" w:footer="0" w:header="0"/>
        </w:sectPr>
      </w:pP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Revenues.............................................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$2,022.2</w:t>
      </w:r>
    </w:p>
    <w:p>
      <w:pPr>
        <w:spacing w:after="0" w:line="11" w:lineRule="exact"/>
        <w:rPr>
          <w:sz w:val="20"/>
          <w:szCs w:val="20"/>
          <w:color w:val="auto"/>
        </w:rPr>
      </w:pPr>
    </w:p>
    <w:p>
      <w:pPr>
        <w:sectPr>
          <w:pgSz w:w="11900" w:h="16838" w:orient="portrait"/>
          <w:cols w:equalWidth="0" w:num="2">
            <w:col w:w="5820" w:space="300"/>
            <w:col w:w="3599"/>
          </w:cols>
          <w:pgMar w:left="740" w:top="496" w:right="1440" w:bottom="1440" w:gutter="0" w:footer="0" w:header="0"/>
          <w:type w:val="continuous"/>
        </w:sectPr>
      </w:pPr>
    </w:p>
    <w:p>
      <w:pPr>
        <w:ind w:left="500"/>
        <w:spacing w:after="0"/>
        <w:rPr>
          <w:sz w:val="20"/>
          <w:szCs w:val="20"/>
          <w:color w:val="auto"/>
        </w:rPr>
      </w:pPr>
      <w:r>
        <w:rPr>
          <w:rFonts w:ascii="Courier New" w:cs="Courier New" w:eastAsia="Courier New" w:hAnsi="Courier New"/>
          <w:sz w:val="16"/>
          <w:szCs w:val="16"/>
          <w:color w:val="auto"/>
        </w:rPr>
        <w:t>Loss before extraordinary items and</w:t>
      </w:r>
    </w:p>
    <w:p>
      <w:pPr>
        <w:sectPr>
          <w:pgSz w:w="11900" w:h="16838" w:orient="portrait"/>
          <w:cols w:equalWidth="0" w:num="1">
            <w:col w:w="9719"/>
          </w:cols>
          <w:pgMar w:left="740" w:top="496" w:right="1440" w:bottom="1440" w:gutter="0" w:footer="0" w:header="0"/>
          <w:type w:val="continuous"/>
        </w:sectPr>
      </w:pP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cumulative effect of accounting change.............</w:t>
      </w:r>
    </w:p>
    <w:p>
      <w:pPr>
        <w:spacing w:after="0" w:line="1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Net loss.............................................</w:t>
      </w:r>
    </w:p>
    <w:p>
      <w:pPr>
        <w:spacing w:after="0" w:line="1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Diluted EPS..........................................</w:t>
      </w:r>
    </w:p>
    <w:p>
      <w:pPr>
        <w:spacing w:after="0" w:line="20" w:lineRule="exact"/>
        <w:rPr>
          <w:sz w:val="20"/>
          <w:szCs w:val="20"/>
          <w:color w:val="auto"/>
        </w:rPr>
      </w:pPr>
      <w:r>
        <w:rPr>
          <w:sz w:val="20"/>
          <w:szCs w:val="20"/>
          <w:color w:val="auto"/>
        </w:rPr>
        <w:br w:type="column"/>
      </w:r>
    </w:p>
    <w:p>
      <w:pPr>
        <w:jc w:val="right"/>
        <w:ind w:right="2699"/>
        <w:spacing w:after="0"/>
        <w:rPr>
          <w:sz w:val="20"/>
          <w:szCs w:val="20"/>
          <w:color w:val="auto"/>
        </w:rPr>
      </w:pPr>
      <w:r>
        <w:rPr>
          <w:rFonts w:ascii="Courier New" w:cs="Courier New" w:eastAsia="Courier New" w:hAnsi="Courier New"/>
          <w:sz w:val="16"/>
          <w:szCs w:val="16"/>
          <w:color w:val="auto"/>
        </w:rPr>
        <w:t>($323.6)</w:t>
      </w:r>
    </w:p>
    <w:p>
      <w:pPr>
        <w:spacing w:after="0" w:line="11" w:lineRule="exact"/>
        <w:rPr>
          <w:sz w:val="20"/>
          <w:szCs w:val="20"/>
          <w:color w:val="auto"/>
        </w:rPr>
      </w:pPr>
    </w:p>
    <w:p>
      <w:pPr>
        <w:jc w:val="right"/>
        <w:ind w:right="2699"/>
        <w:spacing w:after="0"/>
        <w:rPr>
          <w:sz w:val="20"/>
          <w:szCs w:val="20"/>
          <w:color w:val="auto"/>
        </w:rPr>
      </w:pPr>
      <w:r>
        <w:rPr>
          <w:rFonts w:ascii="Courier New" w:cs="Courier New" w:eastAsia="Courier New" w:hAnsi="Courier New"/>
          <w:sz w:val="16"/>
          <w:szCs w:val="16"/>
          <w:color w:val="auto"/>
        </w:rPr>
        <w:t>($328.7)</w:t>
      </w:r>
    </w:p>
    <w:p>
      <w:pPr>
        <w:spacing w:after="0" w:line="6" w:lineRule="exact"/>
        <w:rPr>
          <w:sz w:val="20"/>
          <w:szCs w:val="20"/>
          <w:color w:val="auto"/>
        </w:rPr>
      </w:pPr>
    </w:p>
    <w:p>
      <w:pPr>
        <w:jc w:val="right"/>
        <w:ind w:right="2699"/>
        <w:spacing w:after="0"/>
        <w:rPr>
          <w:sz w:val="20"/>
          <w:szCs w:val="20"/>
          <w:color w:val="auto"/>
        </w:rPr>
      </w:pPr>
      <w:r>
        <w:rPr>
          <w:rFonts w:ascii="Courier New" w:cs="Courier New" w:eastAsia="Courier New" w:hAnsi="Courier New"/>
          <w:sz w:val="17"/>
          <w:szCs w:val="17"/>
          <w:color w:val="auto"/>
        </w:rPr>
        <w:t>($.38)</w:t>
      </w:r>
    </w:p>
    <w:p>
      <w:pPr>
        <w:spacing w:after="0" w:line="198" w:lineRule="exact"/>
        <w:rPr>
          <w:sz w:val="20"/>
          <w:szCs w:val="20"/>
          <w:color w:val="auto"/>
        </w:rPr>
      </w:pPr>
    </w:p>
    <w:p>
      <w:pPr>
        <w:sectPr>
          <w:pgSz w:w="11900" w:h="16838" w:orient="portrait"/>
          <w:cols w:equalWidth="0" w:num="2">
            <w:col w:w="5820" w:space="400"/>
            <w:col w:w="3499"/>
          </w:cols>
          <w:pgMar w:left="740" w:top="496"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19"/>
          </w:cols>
          <w:pgMar w:left="740" w:top="496" w:right="1440" w:bottom="1440" w:gutter="0" w:footer="0" w:header="0"/>
          <w:type w:val="continuous"/>
        </w:sectPr>
      </w:pPr>
    </w:p>
    <w:bookmarkStart w:id="10" w:name="page11"/>
    <w:bookmarkEnd w:id="10"/>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hanging="497"/>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w:t>
      </w:r>
    </w:p>
    <w:p>
      <w:pPr>
        <w:spacing w:after="0" w:line="200" w:lineRule="exact"/>
        <w:rPr>
          <w:sz w:val="20"/>
          <w:szCs w:val="20"/>
          <w:color w:val="auto"/>
        </w:rPr>
      </w:pPr>
    </w:p>
    <w:p>
      <w:pPr>
        <w:spacing w:after="0" w:line="378"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5320" w:type="dxa"/>
            <w:vAlign w:val="bottom"/>
          </w:tcPr>
          <w:p>
            <w:pPr>
              <w:spacing w:after="0"/>
              <w:rPr>
                <w:sz w:val="16"/>
                <w:szCs w:val="16"/>
                <w:color w:val="auto"/>
              </w:rPr>
            </w:pP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March 31,</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5320" w:type="dxa"/>
            <w:vAlign w:val="bottom"/>
          </w:tcPr>
          <w:p>
            <w:pPr>
              <w:spacing w:after="0"/>
              <w:rPr>
                <w:sz w:val="16"/>
                <w:szCs w:val="16"/>
                <w:color w:val="auto"/>
              </w:rPr>
            </w:pPr>
          </w:p>
        </w:tc>
        <w:tc>
          <w:tcPr>
            <w:tcW w:w="16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2001</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5320" w:type="dxa"/>
            <w:vAlign w:val="bottom"/>
          </w:tcPr>
          <w:p>
            <w:pPr>
              <w:spacing w:after="0"/>
              <w:rPr>
                <w:sz w:val="16"/>
                <w:szCs w:val="16"/>
                <w:color w:val="auto"/>
              </w:rPr>
            </w:pP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spacing w:after="0"/>
              <w:rPr>
                <w:sz w:val="16"/>
                <w:szCs w:val="16"/>
                <w:color w:val="auto"/>
              </w:rPr>
            </w:pPr>
          </w:p>
        </w:tc>
        <w:tc>
          <w:tcPr>
            <w:tcW w:w="3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(Dollars in millions)</w:t>
            </w:r>
          </w:p>
        </w:tc>
      </w:tr>
      <w:tr>
        <w:trPr>
          <w:trHeight w:val="578"/>
        </w:trPr>
        <w:tc>
          <w:tcPr>
            <w:tcW w:w="5320" w:type="dxa"/>
            <w:vAlign w:val="bottom"/>
          </w:tcPr>
          <w:p>
            <w:pPr>
              <w:jc w:val="right"/>
              <w:ind w:right="3536"/>
              <w:spacing w:after="0"/>
              <w:rPr>
                <w:sz w:val="20"/>
                <w:szCs w:val="20"/>
                <w:color w:val="auto"/>
              </w:rPr>
            </w:pPr>
            <w:r>
              <w:rPr>
                <w:rFonts w:ascii="Courier New" w:cs="Courier New" w:eastAsia="Courier New" w:hAnsi="Courier New"/>
                <w:sz w:val="17"/>
                <w:szCs w:val="17"/>
                <w:color w:val="auto"/>
                <w:w w:val="96"/>
              </w:rPr>
              <w:t>Fair value method</w:t>
            </w: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3"/>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AT&amp;T Corp.................................</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$1,450.0</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$1,174.3</w:t>
            </w:r>
          </w:p>
        </w:tc>
      </w:tr>
      <w:tr>
        <w:trPr>
          <w:trHeight w:val="193"/>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Excite@Home Corporation...................</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1,482.7</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1,479.1</w:t>
            </w:r>
          </w:p>
        </w:tc>
      </w:tr>
      <w:tr>
        <w:trPr>
          <w:trHeight w:val="193"/>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Sprint Corp. PCS Group....................</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2,083.6</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2,149.8</w:t>
            </w:r>
          </w:p>
        </w:tc>
      </w:tr>
      <w:tr>
        <w:trPr>
          <w:trHeight w:val="193"/>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Other.....................................</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256.7</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393.9</w:t>
            </w:r>
          </w:p>
        </w:tc>
      </w:tr>
      <w:tr>
        <w:trPr>
          <w:trHeight w:val="193"/>
        </w:trPr>
        <w:tc>
          <w:tcPr>
            <w:tcW w:w="5320" w:type="dxa"/>
            <w:vAlign w:val="bottom"/>
          </w:tcPr>
          <w:p>
            <w:pPr>
              <w:spacing w:after="0"/>
              <w:rPr>
                <w:sz w:val="16"/>
                <w:szCs w:val="16"/>
                <w:color w:val="auto"/>
              </w:rPr>
            </w:pP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spacing w:after="0"/>
              <w:rPr>
                <w:sz w:val="16"/>
                <w:szCs w:val="16"/>
                <w:color w:val="auto"/>
              </w:rPr>
            </w:pP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5,273.0</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5,197.1</w:t>
            </w:r>
          </w:p>
        </w:tc>
      </w:tr>
      <w:tr>
        <w:trPr>
          <w:trHeight w:val="193"/>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8"/>
              </w:rPr>
              <w:t>Cost method......................................</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170.4</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128.4</w:t>
            </w:r>
          </w:p>
        </w:tc>
      </w:tr>
      <w:tr>
        <w:trPr>
          <w:trHeight w:val="193"/>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8"/>
              </w:rPr>
              <w:t>Equity method....................................</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400.5</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396.1</w:t>
            </w:r>
          </w:p>
        </w:tc>
      </w:tr>
      <w:tr>
        <w:trPr>
          <w:trHeight w:val="193"/>
        </w:trPr>
        <w:tc>
          <w:tcPr>
            <w:tcW w:w="5320" w:type="dxa"/>
            <w:vAlign w:val="bottom"/>
          </w:tcPr>
          <w:p>
            <w:pPr>
              <w:spacing w:after="0"/>
              <w:rPr>
                <w:sz w:val="16"/>
                <w:szCs w:val="16"/>
                <w:color w:val="auto"/>
              </w:rPr>
            </w:pP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Total investments.........................</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5,843.9</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5,721.6</w:t>
            </w:r>
          </w:p>
        </w:tc>
      </w:tr>
      <w:tr>
        <w:trPr>
          <w:trHeight w:val="385"/>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8"/>
              </w:rPr>
              <w:t>Less, current investments........................</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2,950.8</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3,059.7</w:t>
            </w:r>
          </w:p>
        </w:tc>
      </w:tr>
      <w:tr>
        <w:trPr>
          <w:trHeight w:val="193"/>
        </w:trPr>
        <w:tc>
          <w:tcPr>
            <w:tcW w:w="5320" w:type="dxa"/>
            <w:vAlign w:val="bottom"/>
          </w:tcPr>
          <w:p>
            <w:pPr>
              <w:spacing w:after="0"/>
              <w:rPr>
                <w:sz w:val="16"/>
                <w:szCs w:val="16"/>
                <w:color w:val="auto"/>
              </w:rPr>
            </w:pP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8"/>
              </w:rPr>
              <w:t>Non-current investments..........................</w:t>
            </w: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$2,893.1</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$2,661.9</w:t>
            </w:r>
          </w:p>
        </w:tc>
      </w:tr>
      <w:tr>
        <w:trPr>
          <w:trHeight w:val="193"/>
        </w:trPr>
        <w:tc>
          <w:tcPr>
            <w:tcW w:w="5320" w:type="dxa"/>
            <w:vAlign w:val="bottom"/>
          </w:tcPr>
          <w:p>
            <w:pPr>
              <w:spacing w:after="0"/>
              <w:rPr>
                <w:sz w:val="16"/>
                <w:szCs w:val="16"/>
                <w:color w:val="auto"/>
              </w:rPr>
            </w:pP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Fair Value Method</w:t>
      </w:r>
    </w:p>
    <w:p>
      <w:pPr>
        <w:spacing w:after="0" w:line="6"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The Company holds unrestricted equity investments in certain publicly traded companies which it accounts for as available for sale or trading securities. The unrealized pre-tax gains on available for sale investments as of March 31, 2001 and December 31, 2000 of $456.1 million and $707.1 million, respectively, have been reported in the Company's condensed consolidated balance sheet principally as a component of accumulated other comprehensive income, net of related deferred income taxes of $159.6 million and $240.0 million, respectively.</w:t>
      </w:r>
    </w:p>
    <w:p>
      <w:pPr>
        <w:spacing w:after="0" w:line="200"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Excite@Home. As of March 31, 2001 and December 31, 2000, the Company holds approximately 29.1 million shares of Excite@Home common stock and has earned warrants to purchase an additional 2.1 million shares of Excite@Home common stock. In January 2001, the Company exercised its right to exchange the aggregate 31.2 million Excite@Home shares and warrants held by the Company for shares of AT&amp;T common stock (the "Share Exchange Agreement"). The Company and AT&amp;T are currently in discussions to renegotiate the terms of the transaction, which may or may not result in a change to the number of shares of AT&amp;T common stock that the Company will receive, as well as the number of Excite@Home shares, if any, the Company transfers to AT&amp;T. As of March 31, 2001 and December 31, 2000, the Company has recorded the Excite@Home common stock, warrants and its right under the Share Exchange Agreement at their estimated fair value.</w:t>
      </w:r>
    </w:p>
    <w:p>
      <w:pPr>
        <w:spacing w:after="0" w:line="20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Derivatives</w:t>
      </w:r>
    </w:p>
    <w:p>
      <w:pPr>
        <w:spacing w:after="0" w:line="6" w:lineRule="exact"/>
        <w:rPr>
          <w:sz w:val="20"/>
          <w:szCs w:val="20"/>
          <w:color w:val="auto"/>
        </w:rPr>
      </w:pPr>
    </w:p>
    <w:p>
      <w:pPr>
        <w:jc w:val="both"/>
        <w:ind w:left="500" w:right="2199"/>
        <w:spacing w:after="0" w:line="236" w:lineRule="auto"/>
        <w:rPr>
          <w:sz w:val="20"/>
          <w:szCs w:val="20"/>
          <w:color w:val="auto"/>
        </w:rPr>
      </w:pPr>
      <w:r>
        <w:rPr>
          <w:rFonts w:ascii="Courier New" w:cs="Courier New" w:eastAsia="Courier New" w:hAnsi="Courier New"/>
          <w:sz w:val="17"/>
          <w:szCs w:val="17"/>
          <w:color w:val="auto"/>
        </w:rPr>
        <w:t>The Company employs derivative financial instruments to manage its exposure to fluctuations in interest rates and securities prices.</w:t>
      </w:r>
    </w:p>
    <w:p>
      <w:pPr>
        <w:spacing w:after="0" w:line="199"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The Company accounts for its rights under the Share Exchange Agreement as a fair value hedge of the Company's investment in Excite@Home with changes in fair value between measurement dates of both the hedge and the investment recorded to investment income. During the three months ended March 31, 2001, the increase in the fair value of the Company's rights under the Share Exchange Agreement substantially offset the decrease in the fair value of the Company's investment in Excite@Home.</w:t>
      </w:r>
    </w:p>
    <w:p>
      <w:pPr>
        <w:spacing w:after="0" w:line="199" w:lineRule="exact"/>
        <w:rPr>
          <w:sz w:val="20"/>
          <w:szCs w:val="20"/>
          <w:color w:val="auto"/>
        </w:rPr>
      </w:pPr>
    </w:p>
    <w:p>
      <w:pPr>
        <w:jc w:val="both"/>
        <w:ind w:left="500" w:right="2199"/>
        <w:spacing w:after="0" w:line="238" w:lineRule="auto"/>
        <w:rPr>
          <w:sz w:val="20"/>
          <w:szCs w:val="20"/>
          <w:color w:val="auto"/>
        </w:rPr>
      </w:pPr>
      <w:r>
        <w:rPr>
          <w:rFonts w:ascii="Courier New" w:cs="Courier New" w:eastAsia="Courier New" w:hAnsi="Courier New"/>
          <w:sz w:val="17"/>
          <w:szCs w:val="17"/>
          <w:color w:val="auto"/>
        </w:rPr>
        <w:t>The unrealized pre-tax losses on cash flow hedges as of March 31, 2001 of $1.8 million have been reported in the Company's condensed consolidated balance sheet as a component of accumulated other comprehensive income, net of related deferred income taxes of $0.6 million.</w:t>
      </w:r>
    </w:p>
    <w:p>
      <w:pPr>
        <w:spacing w:after="0" w:line="1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496" w:right="1440" w:bottom="1130" w:gutter="0" w:footer="0" w:header="0"/>
        </w:sectPr>
      </w:pPr>
    </w:p>
    <w:bookmarkStart w:id="11" w:name="page12"/>
    <w:bookmarkEnd w:id="11"/>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Investment Income (Expense)</w:t>
      </w:r>
    </w:p>
    <w:p>
      <w:pPr>
        <w:ind w:left="500"/>
        <w:spacing w:after="0"/>
        <w:tabs>
          <w:tab w:leader="none" w:pos="1680" w:val="left"/>
          <w:tab w:leader="none" w:pos="2480" w:val="left"/>
        </w:tabs>
        <w:rPr>
          <w:sz w:val="20"/>
          <w:szCs w:val="20"/>
          <w:color w:val="auto"/>
        </w:rPr>
      </w:pPr>
      <w:r>
        <w:rPr>
          <w:rFonts w:ascii="Courier New" w:cs="Courier New" w:eastAsia="Courier New" w:hAnsi="Courier New"/>
          <w:sz w:val="17"/>
          <w:szCs w:val="17"/>
          <w:color w:val="auto"/>
        </w:rPr>
        <w:t>Investment</w:t>
        <w:tab/>
        <w:t>income</w:t>
      </w:r>
      <w:r>
        <w:rPr>
          <w:sz w:val="20"/>
          <w:szCs w:val="20"/>
          <w:color w:val="auto"/>
        </w:rPr>
        <w:tab/>
      </w:r>
      <w:r>
        <w:rPr>
          <w:rFonts w:ascii="Courier New" w:cs="Courier New" w:eastAsia="Courier New" w:hAnsi="Courier New"/>
          <w:sz w:val="16"/>
          <w:szCs w:val="16"/>
          <w:color w:val="auto"/>
        </w:rPr>
        <w:t>(expense) for the three months ended March 31, 2001 and</w:t>
      </w:r>
    </w:p>
    <w:p>
      <w:pPr>
        <w:ind w:left="500"/>
        <w:spacing w:after="0"/>
        <w:rPr>
          <w:sz w:val="20"/>
          <w:szCs w:val="20"/>
          <w:color w:val="auto"/>
        </w:rPr>
      </w:pPr>
      <w:r>
        <w:rPr>
          <w:rFonts w:ascii="Courier New" w:cs="Courier New" w:eastAsia="Courier New" w:hAnsi="Courier New"/>
          <w:sz w:val="17"/>
          <w:szCs w:val="17"/>
          <w:color w:val="auto"/>
        </w:rPr>
        <w:t>2000 is comprised of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560" w:type="dxa"/>
            <w:vAlign w:val="bottom"/>
          </w:tcPr>
          <w:p>
            <w:pPr>
              <w:spacing w:after="0"/>
              <w:rPr>
                <w:sz w:val="16"/>
                <w:szCs w:val="16"/>
                <w:color w:val="auto"/>
              </w:rPr>
            </w:pPr>
          </w:p>
        </w:tc>
        <w:tc>
          <w:tcPr>
            <w:tcW w:w="24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6560" w:type="dxa"/>
            <w:vAlign w:val="bottom"/>
          </w:tcPr>
          <w:p>
            <w:pPr>
              <w:spacing w:after="0"/>
              <w:rPr>
                <w:sz w:val="16"/>
                <w:szCs w:val="16"/>
                <w:color w:val="auto"/>
              </w:rPr>
            </w:pPr>
          </w:p>
        </w:tc>
        <w:tc>
          <w:tcPr>
            <w:tcW w:w="24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6560" w:type="dxa"/>
            <w:vAlign w:val="bottom"/>
          </w:tcPr>
          <w:p>
            <w:pPr>
              <w:spacing w:after="0"/>
              <w:rPr>
                <w:sz w:val="16"/>
                <w:szCs w:val="16"/>
                <w:color w:val="auto"/>
              </w:rPr>
            </w:pPr>
          </w:p>
        </w:tc>
        <w:tc>
          <w:tcPr>
            <w:tcW w:w="1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2001</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65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Interest and dividend income....................................</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$17.6</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$60.1</w:t>
            </w:r>
          </w:p>
        </w:tc>
      </w:tr>
      <w:tr>
        <w:trPr>
          <w:trHeight w:val="193"/>
        </w:trPr>
        <w:tc>
          <w:tcPr>
            <w:tcW w:w="6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Gains on sales and exchanges of investments.....................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11.6</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589.4</w:t>
            </w:r>
          </w:p>
        </w:tc>
      </w:tr>
      <w:tr>
        <w:trPr>
          <w:trHeight w:val="193"/>
        </w:trPr>
        <w:tc>
          <w:tcPr>
            <w:tcW w:w="6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Investment impairment losses....................................</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(894.1)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3"/>
        </w:trPr>
        <w:tc>
          <w:tcPr>
            <w:tcW w:w="6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Reclassification of unrealized gains............................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1,092.4</w:t>
            </w:r>
          </w:p>
        </w:tc>
        <w:tc>
          <w:tcPr>
            <w:tcW w:w="1100" w:type="dxa"/>
            <w:vAlign w:val="bottom"/>
          </w:tcPr>
          <w:p>
            <w:pPr>
              <w:spacing w:after="0"/>
              <w:rPr>
                <w:sz w:val="16"/>
                <w:szCs w:val="16"/>
                <w:color w:val="auto"/>
              </w:rPr>
            </w:pPr>
          </w:p>
        </w:tc>
      </w:tr>
      <w:tr>
        <w:trPr>
          <w:trHeight w:val="193"/>
        </w:trPr>
        <w:tc>
          <w:tcPr>
            <w:tcW w:w="6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Unrealized loss on trading securities...........................</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(126.8)</w:t>
            </w:r>
          </w:p>
        </w:tc>
        <w:tc>
          <w:tcPr>
            <w:tcW w:w="1100" w:type="dxa"/>
            <w:vAlign w:val="bottom"/>
          </w:tcPr>
          <w:p>
            <w:pPr>
              <w:spacing w:after="0"/>
              <w:rPr>
                <w:sz w:val="16"/>
                <w:szCs w:val="16"/>
                <w:color w:val="auto"/>
              </w:rPr>
            </w:pPr>
          </w:p>
        </w:tc>
      </w:tr>
      <w:tr>
        <w:trPr>
          <w:trHeight w:val="193"/>
        </w:trPr>
        <w:tc>
          <w:tcPr>
            <w:tcW w:w="6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Mark to market adjustments on derivatives and hedged items......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114.0</w:t>
            </w:r>
          </w:p>
        </w:tc>
        <w:tc>
          <w:tcPr>
            <w:tcW w:w="1100" w:type="dxa"/>
            <w:vAlign w:val="bottom"/>
          </w:tcPr>
          <w:p>
            <w:pPr>
              <w:spacing w:after="0"/>
              <w:rPr>
                <w:sz w:val="16"/>
                <w:szCs w:val="16"/>
                <w:color w:val="auto"/>
              </w:rPr>
            </w:pPr>
          </w:p>
        </w:tc>
      </w:tr>
      <w:tr>
        <w:trPr>
          <w:trHeight w:val="193"/>
        </w:trPr>
        <w:tc>
          <w:tcPr>
            <w:tcW w:w="65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Investment income..........................................</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$214.7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$644.6</w:t>
            </w:r>
          </w:p>
        </w:tc>
      </w:tr>
      <w:tr>
        <w:trPr>
          <w:trHeight w:val="193"/>
        </w:trPr>
        <w:tc>
          <w:tcPr>
            <w:tcW w:w="65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jc w:val="both"/>
        <w:ind w:left="500" w:right="2199"/>
        <w:spacing w:after="0" w:line="238" w:lineRule="auto"/>
        <w:rPr>
          <w:sz w:val="20"/>
          <w:szCs w:val="20"/>
          <w:color w:val="auto"/>
        </w:rPr>
      </w:pPr>
      <w:r>
        <w:rPr>
          <w:rFonts w:ascii="Courier New" w:cs="Courier New" w:eastAsia="Courier New" w:hAnsi="Courier New"/>
          <w:sz w:val="17"/>
          <w:szCs w:val="17"/>
          <w:color w:val="auto"/>
        </w:rPr>
        <w:t>The Company records losses on its investments for which the Company has determined that a decline in value of the investment was considered other than temporary. The loss for the three months ended March 31, 2001 relates principally to the Company's investment in AT&amp;T, a portion of which was exchanged on April 30, 2001 (see Note 4).</w:t>
      </w:r>
    </w:p>
    <w:p>
      <w:pPr>
        <w:spacing w:after="0" w:line="202"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In connection with the adoption of SFAS No. 133, the Company reclassified its investment in Sprint PCS from an available for sale security to a trading security. In connection with this reclassification, the Company recorded pre-tax investment income of $1.092 billion, representing the accumulated unrealized gain on the Company's investment in Sprint PCS previously recorded as a component of accumulated other comprehensive income.</w:t>
      </w:r>
    </w:p>
    <w:p>
      <w:pPr>
        <w:spacing w:after="0" w:line="194" w:lineRule="exact"/>
        <w:rPr>
          <w:sz w:val="20"/>
          <w:szCs w:val="20"/>
          <w:color w:val="auto"/>
        </w:rPr>
      </w:pPr>
    </w:p>
    <w:p>
      <w:pPr>
        <w:ind w:left="500" w:hanging="497"/>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19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Senior Notes Offerings</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2001, Comcast Cable Communications, Inc. ("Comcast Cable"), an indirect wholly owned subsidiary of the Company, sold an aggregate of $1.5 billion of public debt consisting of $500.0 million of 6.375% Senior Notes due 2006 and $1.0 billion of 6.75% Senior Notes due 2011. Comcast Cable used substantially all of the net proceeds from the offerings to repay a portion of the amounts outstanding under its commercial paper program and bank credit facility.</w:t>
      </w:r>
    </w:p>
    <w:p>
      <w:pPr>
        <w:spacing w:after="0" w:line="19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Zero Coupon Convertible Debentures</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bank credit facility.</w:t>
      </w:r>
    </w:p>
    <w:p>
      <w:pPr>
        <w:spacing w:after="0" w:line="19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ZONES</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 maturity, holders of the Company's 2.0% Exchangeable Subordinated Debentures due 2029 (the "ZONES") are entitled to receive in cash an amount equal to the higher of (a) the principal amount of the ZONES, or (b) the market value of Sprint PCS Stock. Prior to maturity, each ZONES is exchangeable at the holders option for an amount of cash equal to 95% of the market value of Sprint PCS Stock. As of March 31, 2001, the number of Sprint PCS shares held by the Company exceeded the number of ZONES outstanding.</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496" w:right="1440" w:bottom="1440" w:gutter="0" w:footer="0" w:header="0"/>
        </w:sectPr>
      </w:pPr>
    </w:p>
    <w:bookmarkStart w:id="12" w:name="page13"/>
    <w:bookmarkEnd w:id="12"/>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jc w:val="both"/>
        <w:ind w:left="500" w:right="2199"/>
        <w:spacing w:after="0" w:line="239" w:lineRule="auto"/>
        <w:rPr>
          <w:sz w:val="20"/>
          <w:szCs w:val="20"/>
          <w:color w:val="auto"/>
        </w:rPr>
      </w:pPr>
      <w:r>
        <w:rPr>
          <w:rFonts w:ascii="Courier New" w:cs="Courier New" w:eastAsia="Courier New" w:hAnsi="Courier New"/>
          <w:sz w:val="17"/>
          <w:szCs w:val="17"/>
          <w:color w:val="auto"/>
        </w:rPr>
        <w:t>As of March 31, 2001 and December 31, 2000, long-term debt includes $1.343 billion and $1.807 billion, respectively, of ZONES. 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2). During the three months ended March 31, 2001, the Company recorded the decrease in the fair value of the derivative component of the ZONES of $69.4 million to investment income (see Note 5) and the increase in the carrying value of the debt component of the ZONES of $5.4 million to interest expense.</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Extraordinary Items</w:t>
      </w:r>
    </w:p>
    <w:p>
      <w:pPr>
        <w:spacing w:after="0" w:line="6" w:lineRule="exact"/>
        <w:rPr>
          <w:sz w:val="20"/>
          <w:szCs w:val="20"/>
          <w:color w:val="auto"/>
        </w:rPr>
      </w:pPr>
    </w:p>
    <w:p>
      <w:pPr>
        <w:jc w:val="both"/>
        <w:ind w:left="500" w:right="2199"/>
        <w:spacing w:after="0" w:line="238" w:lineRule="auto"/>
        <w:rPr>
          <w:sz w:val="20"/>
          <w:szCs w:val="20"/>
          <w:color w:val="auto"/>
        </w:rPr>
      </w:pPr>
      <w:r>
        <w:rPr>
          <w:rFonts w:ascii="Courier New" w:cs="Courier New" w:eastAsia="Courier New" w:hAnsi="Courier New"/>
          <w:sz w:val="17"/>
          <w:szCs w:val="17"/>
          <w:color w:val="auto"/>
        </w:rPr>
        <w:t>Extraordinary items during the three months ended March 31, 2000 of $5.1 million consist of unamortized debt issue costs and debt extinguishment costs, net of related tax benefits, expensed principally in connection with the redemption and retirement of certain indebtedness.</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Interest Rates</w:t>
      </w:r>
    </w:p>
    <w:p>
      <w:pPr>
        <w:spacing w:after="0" w:line="6" w:lineRule="exact"/>
        <w:rPr>
          <w:sz w:val="20"/>
          <w:szCs w:val="20"/>
          <w:color w:val="auto"/>
        </w:rPr>
      </w:pPr>
    </w:p>
    <w:p>
      <w:pPr>
        <w:jc w:val="both"/>
        <w:ind w:left="500" w:right="2199"/>
        <w:spacing w:after="0" w:line="237" w:lineRule="auto"/>
        <w:rPr>
          <w:sz w:val="20"/>
          <w:szCs w:val="20"/>
          <w:color w:val="auto"/>
        </w:rPr>
      </w:pPr>
      <w:r>
        <w:rPr>
          <w:rFonts w:ascii="Courier New" w:cs="Courier New" w:eastAsia="Courier New" w:hAnsi="Courier New"/>
          <w:sz w:val="17"/>
          <w:szCs w:val="17"/>
          <w:color w:val="auto"/>
        </w:rPr>
        <w:t>As of March 31, 2001 and December 31, 2000, the Company's effective weighted average interest rate on its long-term debt outstanding was 6.15% and 6.30%, respectively.</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Lines and Letters of Credit</w:t>
      </w:r>
    </w:p>
    <w:p>
      <w:pPr>
        <w:spacing w:after="0" w:line="6" w:lineRule="exact"/>
        <w:rPr>
          <w:sz w:val="20"/>
          <w:szCs w:val="20"/>
          <w:color w:val="auto"/>
        </w:rPr>
      </w:pPr>
    </w:p>
    <w:p>
      <w:pPr>
        <w:jc w:val="both"/>
        <w:ind w:left="500" w:right="2199"/>
        <w:spacing w:after="0" w:line="262" w:lineRule="auto"/>
        <w:rPr>
          <w:sz w:val="20"/>
          <w:szCs w:val="20"/>
          <w:color w:val="auto"/>
        </w:rPr>
      </w:pPr>
      <w:r>
        <w:rPr>
          <w:rFonts w:ascii="Courier New" w:cs="Courier New" w:eastAsia="Courier New" w:hAnsi="Courier New"/>
          <w:sz w:val="16"/>
          <w:szCs w:val="16"/>
          <w:color w:val="auto"/>
        </w:rPr>
        <w:t>As of March 31, 2001, certain subsidiaries of the Company had unused lines of credit of $3.389 billion under their respective credit facilities.</w:t>
      </w:r>
    </w:p>
    <w:p>
      <w:pPr>
        <w:spacing w:after="0" w:line="182" w:lineRule="exact"/>
        <w:rPr>
          <w:sz w:val="20"/>
          <w:szCs w:val="20"/>
          <w:color w:val="auto"/>
        </w:rPr>
      </w:pPr>
    </w:p>
    <w:p>
      <w:pPr>
        <w:jc w:val="both"/>
        <w:ind w:left="500" w:right="2199"/>
        <w:spacing w:after="0" w:line="237" w:lineRule="auto"/>
        <w:rPr>
          <w:sz w:val="20"/>
          <w:szCs w:val="20"/>
          <w:color w:val="auto"/>
        </w:rPr>
      </w:pPr>
      <w:r>
        <w:rPr>
          <w:rFonts w:ascii="Courier New" w:cs="Courier New" w:eastAsia="Courier New" w:hAnsi="Courier New"/>
          <w:sz w:val="17"/>
          <w:szCs w:val="17"/>
          <w:color w:val="auto"/>
        </w:rPr>
        <w:t>As of March 31, 2001, the Company and certain of its subsidiaries had unused irrevocable standby letters of credit totaling $138.7 million to cover potential fundings under various agreements.</w:t>
      </w:r>
    </w:p>
    <w:p>
      <w:pPr>
        <w:spacing w:after="0" w:line="195" w:lineRule="exact"/>
        <w:rPr>
          <w:sz w:val="20"/>
          <w:szCs w:val="20"/>
          <w:color w:val="auto"/>
        </w:rPr>
      </w:pPr>
    </w:p>
    <w:p>
      <w:pPr>
        <w:ind w:left="500" w:hanging="497"/>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STOCKHOLDERS' EQUITY</w:t>
      </w:r>
    </w:p>
    <w:p>
      <w:pPr>
        <w:spacing w:after="0" w:line="192"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Repurchase Programs</w:t>
      </w:r>
    </w:p>
    <w:p>
      <w:pPr>
        <w:spacing w:after="0" w:line="5" w:lineRule="exact"/>
        <w:rPr>
          <w:rFonts w:ascii="Courier New" w:cs="Courier New" w:eastAsia="Courier New" w:hAnsi="Courier New"/>
          <w:sz w:val="17"/>
          <w:szCs w:val="17"/>
          <w:color w:val="auto"/>
        </w:rPr>
      </w:pPr>
    </w:p>
    <w:p>
      <w:pPr>
        <w:jc w:val="both"/>
        <w:ind w:left="5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the trade date for stock repurchases, during the three months ended March 31, 2000, the Company repurchased approximately 3.3 million shares of its common stock for aggregate consideration of $127.9 million pursuant to its Board-authorized repurchase programs.</w:t>
      </w:r>
    </w:p>
    <w:p>
      <w:pPr>
        <w:spacing w:after="0" w:line="199" w:lineRule="exact"/>
        <w:rPr>
          <w:rFonts w:ascii="Courier New" w:cs="Courier New" w:eastAsia="Courier New" w:hAnsi="Courier New"/>
          <w:sz w:val="17"/>
          <w:szCs w:val="17"/>
          <w:color w:val="auto"/>
        </w:rPr>
      </w:pPr>
    </w:p>
    <w:p>
      <w:pPr>
        <w:jc w:val="both"/>
        <w:ind w:left="500" w:right="219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As part of the repurchase programs, during the three months ended March 31, 2000, the Company sold put options on 2.0 million shares of its Class A Special Common Stock. Put options on 0.7 million shares expired unexercised during the fourth quarter of 2000 while the remaining put options on 1.3 million shares expired unexercised during the three months ended March 31, 2001. Upon expiration of the put options during the three months ended March 31, 2001, the Company reclassified $54.6 million, the amount it would have been obligated to pay to repurchase such shares had the put options been exercised, from common equity put options to additional capital in the Company's March 31, 2001 condensed consolidated balance sheet.</w:t>
      </w:r>
    </w:p>
    <w:p>
      <w:pPr>
        <w:spacing w:after="0" w:line="18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of Series B Preferred Stock</w:t>
      </w:r>
    </w:p>
    <w:p>
      <w:pPr>
        <w:spacing w:after="0" w:line="5" w:lineRule="exact"/>
        <w:rPr>
          <w:rFonts w:ascii="Courier New" w:cs="Courier New" w:eastAsia="Courier New" w:hAnsi="Courier New"/>
          <w:sz w:val="17"/>
          <w:szCs w:val="17"/>
          <w:color w:val="auto"/>
        </w:rPr>
      </w:pPr>
    </w:p>
    <w:p>
      <w:pPr>
        <w:jc w:val="both"/>
        <w:ind w:left="5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March 2001, the Company issued approximately 4.2 million shares of its Class A Special Common Stock to the holder of the Company's Series B Preferred Stock in connection with the holder's election to convert the remaining $59.5 million at redemption value of Series B Preferred Stock.</w:t>
      </w:r>
    </w:p>
    <w:p>
      <w:pPr>
        <w:spacing w:after="0" w:line="194"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 Income (Loss)</w:t>
      </w:r>
    </w:p>
    <w:p>
      <w:pPr>
        <w:spacing w:after="0" w:line="5"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Total comprehensive income (loss) for the three months ended March 31, 2001 and 2000 was $841.5 million and ($1.183) billion, respectively. Total comprehensive income (loss) includes net income (loss), unrealized gains (losses) on marketable securities, unrealized gains (losses) on the effective portion of cash flow hedges, and foreign currency translation gains (losses) for the periods presented.</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496" w:right="1440" w:bottom="1440" w:gutter="0" w:footer="0" w:header="0"/>
        </w:sectPr>
      </w:pPr>
    </w:p>
    <w:bookmarkStart w:id="13" w:name="page14"/>
    <w:bookmarkEnd w:id="13"/>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hanging="497"/>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CASH FLOWS - SUPPLEMENTAL INFORMATION</w:t>
      </w:r>
    </w:p>
    <w:p>
      <w:pPr>
        <w:spacing w:after="0" w:line="198" w:lineRule="exact"/>
        <w:rPr>
          <w:rFonts w:ascii="Courier New" w:cs="Courier New" w:eastAsia="Courier New" w:hAnsi="Courier New"/>
          <w:sz w:val="17"/>
          <w:szCs w:val="17"/>
          <w:color w:val="auto"/>
        </w:rPr>
      </w:pPr>
    </w:p>
    <w:p>
      <w:pPr>
        <w:jc w:val="both"/>
        <w:ind w:left="5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three months ended March 31, 2001, the Company completed its cable systems exchange with Adelphia and acquired Home Team Sports (see Note 4). The fair values of the assets and liabilities acquired by the Company during the three months ended March 31, 2001 are presented as follows (in millions):</w:t>
      </w:r>
    </w:p>
    <w:p>
      <w:pPr>
        <w:spacing w:after="0" w:line="389"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4560" w:type="dxa"/>
            <w:vAlign w:val="bottom"/>
          </w:tcPr>
          <w:p>
            <w:pPr>
              <w:jc w:val="right"/>
              <w:spacing w:after="0"/>
              <w:rPr>
                <w:sz w:val="20"/>
                <w:szCs w:val="20"/>
                <w:color w:val="auto"/>
              </w:rPr>
            </w:pPr>
            <w:r>
              <w:rPr>
                <w:rFonts w:ascii="Courier New" w:cs="Courier New" w:eastAsia="Courier New" w:hAnsi="Courier New"/>
                <w:sz w:val="17"/>
                <w:szCs w:val="17"/>
                <w:color w:val="auto"/>
                <w:w w:val="98"/>
              </w:rPr>
              <w:t>Current assets...............................</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$37.7</w:t>
            </w:r>
          </w:p>
        </w:tc>
      </w:tr>
      <w:tr>
        <w:trPr>
          <w:trHeight w:val="193"/>
        </w:trPr>
        <w:tc>
          <w:tcPr>
            <w:tcW w:w="4560" w:type="dxa"/>
            <w:vAlign w:val="bottom"/>
          </w:tcPr>
          <w:p>
            <w:pPr>
              <w:jc w:val="right"/>
              <w:spacing w:after="0"/>
              <w:rPr>
                <w:sz w:val="20"/>
                <w:szCs w:val="20"/>
                <w:color w:val="auto"/>
              </w:rPr>
            </w:pPr>
            <w:r>
              <w:rPr>
                <w:rFonts w:ascii="Courier New" w:cs="Courier New" w:eastAsia="Courier New" w:hAnsi="Courier New"/>
                <w:sz w:val="17"/>
                <w:szCs w:val="17"/>
                <w:color w:val="auto"/>
                <w:w w:val="98"/>
              </w:rPr>
              <w:t>Property, plant &amp; equipment..................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146.4</w:t>
            </w:r>
          </w:p>
        </w:tc>
      </w:tr>
      <w:tr>
        <w:trPr>
          <w:trHeight w:val="193"/>
        </w:trPr>
        <w:tc>
          <w:tcPr>
            <w:tcW w:w="4560" w:type="dxa"/>
            <w:vAlign w:val="bottom"/>
          </w:tcPr>
          <w:p>
            <w:pPr>
              <w:jc w:val="right"/>
              <w:spacing w:after="0"/>
              <w:rPr>
                <w:sz w:val="20"/>
                <w:szCs w:val="20"/>
                <w:color w:val="auto"/>
              </w:rPr>
            </w:pPr>
            <w:r>
              <w:rPr>
                <w:rFonts w:ascii="Courier New" w:cs="Courier New" w:eastAsia="Courier New" w:hAnsi="Courier New"/>
                <w:sz w:val="17"/>
                <w:szCs w:val="17"/>
                <w:color w:val="auto"/>
                <w:w w:val="98"/>
              </w:rPr>
              <w:t>Deferred charges.............................</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1,289.4</w:t>
            </w:r>
          </w:p>
        </w:tc>
      </w:tr>
      <w:tr>
        <w:trPr>
          <w:trHeight w:val="193"/>
        </w:trPr>
        <w:tc>
          <w:tcPr>
            <w:tcW w:w="4560" w:type="dxa"/>
            <w:vAlign w:val="bottom"/>
          </w:tcPr>
          <w:p>
            <w:pPr>
              <w:jc w:val="right"/>
              <w:spacing w:after="0"/>
              <w:rPr>
                <w:sz w:val="20"/>
                <w:szCs w:val="20"/>
                <w:color w:val="auto"/>
              </w:rPr>
            </w:pPr>
            <w:r>
              <w:rPr>
                <w:rFonts w:ascii="Courier New" w:cs="Courier New" w:eastAsia="Courier New" w:hAnsi="Courier New"/>
                <w:sz w:val="17"/>
                <w:szCs w:val="17"/>
                <w:color w:val="auto"/>
                <w:w w:val="98"/>
              </w:rPr>
              <w:t>Current liabilities..........................</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(34.9)</w:t>
            </w:r>
          </w:p>
        </w:tc>
      </w:tr>
      <w:tr>
        <w:trPr>
          <w:trHeight w:val="193"/>
        </w:trPr>
        <w:tc>
          <w:tcPr>
            <w:tcW w:w="45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jc w:val="right"/>
              <w:spacing w:after="0"/>
              <w:rPr>
                <w:sz w:val="20"/>
                <w:szCs w:val="20"/>
                <w:color w:val="auto"/>
              </w:rPr>
            </w:pPr>
            <w:r>
              <w:rPr>
                <w:rFonts w:ascii="Courier New" w:cs="Courier New" w:eastAsia="Courier New" w:hAnsi="Courier New"/>
                <w:sz w:val="17"/>
                <w:szCs w:val="17"/>
                <w:color w:val="auto"/>
              </w:rPr>
              <w:t>Net assets acquired.................</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$1,438.6</w:t>
            </w:r>
          </w:p>
        </w:tc>
      </w:tr>
      <w:tr>
        <w:trPr>
          <w:trHeight w:val="193"/>
        </w:trPr>
        <w:tc>
          <w:tcPr>
            <w:tcW w:w="45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jc w:val="both"/>
        <w:ind w:left="500" w:right="2199"/>
        <w:spacing w:after="0" w:line="237" w:lineRule="auto"/>
        <w:rPr>
          <w:sz w:val="20"/>
          <w:szCs w:val="20"/>
          <w:color w:val="auto"/>
        </w:rPr>
      </w:pPr>
      <w:r>
        <w:rPr>
          <w:rFonts w:ascii="Courier New" w:cs="Courier New" w:eastAsia="Courier New" w:hAnsi="Courier New"/>
          <w:sz w:val="17"/>
          <w:szCs w:val="17"/>
          <w:color w:val="auto"/>
        </w:rPr>
        <w:t>The Company made cash payments for interest of $103.2 million and $126.8 million during the three months ended March 31, 2001 and 2000, respectively.</w:t>
      </w:r>
    </w:p>
    <w:p>
      <w:pPr>
        <w:spacing w:after="0" w:line="200" w:lineRule="exact"/>
        <w:rPr>
          <w:sz w:val="20"/>
          <w:szCs w:val="20"/>
          <w:color w:val="auto"/>
        </w:rPr>
      </w:pPr>
    </w:p>
    <w:p>
      <w:pPr>
        <w:jc w:val="both"/>
        <w:ind w:left="500" w:right="2199"/>
        <w:spacing w:after="0" w:line="237" w:lineRule="auto"/>
        <w:rPr>
          <w:sz w:val="20"/>
          <w:szCs w:val="20"/>
          <w:color w:val="auto"/>
        </w:rPr>
      </w:pPr>
      <w:r>
        <w:rPr>
          <w:rFonts w:ascii="Courier New" w:cs="Courier New" w:eastAsia="Courier New" w:hAnsi="Courier New"/>
          <w:sz w:val="17"/>
          <w:szCs w:val="17"/>
          <w:color w:val="auto"/>
        </w:rPr>
        <w:t>The Company made cash payments for income taxes of $15.1 million and $456.0 million during the three months ended March 31, 2001 and 2000, respectively.</w:t>
      </w:r>
    </w:p>
    <w:p>
      <w:pPr>
        <w:spacing w:after="0" w:line="195" w:lineRule="exact"/>
        <w:rPr>
          <w:sz w:val="20"/>
          <w:szCs w:val="20"/>
          <w:color w:val="auto"/>
        </w:rPr>
      </w:pPr>
    </w:p>
    <w:p>
      <w:pPr>
        <w:ind w:left="500" w:hanging="497"/>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198" w:lineRule="exact"/>
        <w:rPr>
          <w:rFonts w:ascii="Courier New" w:cs="Courier New" w:eastAsia="Courier New" w:hAnsi="Courier New"/>
          <w:sz w:val="17"/>
          <w:szCs w:val="17"/>
          <w:color w:val="auto"/>
        </w:rPr>
      </w:pPr>
    </w:p>
    <w:p>
      <w:pPr>
        <w:jc w:val="both"/>
        <w:ind w:left="5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subject to legal proceedings and claims which arise in the ordinary course of its business. In the opinion of management, the amount of ultimate liability with respect to such actions is not expected to materially affect the financial position, results of operations or liquidity of the Company.</w:t>
      </w:r>
    </w:p>
    <w:p>
      <w:pPr>
        <w:spacing w:after="0" w:line="201"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$500 million; however the Company's current estimate of the amount of expenditures (principally in the form of capital expenditures) that will be made by the affiliate necessary to comply with the performance requirements will not exceed $150 million.</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496" w:right="1440" w:bottom="1440" w:gutter="0" w:footer="0" w:header="0"/>
        </w:sectPr>
      </w:pPr>
    </w:p>
    <w:bookmarkStart w:id="14" w:name="page15"/>
    <w:bookmarkEnd w:id="14"/>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jc w:val="center"/>
        <w:ind w:right="2199"/>
        <w:spacing w:after="0"/>
        <w:rPr>
          <w:sz w:val="20"/>
          <w:szCs w:val="20"/>
          <w:color w:val="auto"/>
        </w:rPr>
      </w:pPr>
      <w:r>
        <w:rPr>
          <w:rFonts w:ascii="Courier New" w:cs="Courier New" w:eastAsia="Courier New" w:hAnsi="Courier New"/>
          <w:sz w:val="17"/>
          <w:szCs w:val="17"/>
          <w:color w:val="auto"/>
        </w:rPr>
        <w:t>NOTES TO CONDENSED CONSOLIDATED FINANCIAL STATEMENTS - CONCLUDED</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ind w:left="500" w:hanging="497"/>
        <w:spacing w:after="0"/>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BY BUSINESS SEGMENT</w:t>
      </w:r>
    </w:p>
    <w:p>
      <w:pPr>
        <w:spacing w:after="0" w:line="198" w:lineRule="exact"/>
        <w:rPr>
          <w:rFonts w:ascii="Courier New" w:cs="Courier New" w:eastAsia="Courier New" w:hAnsi="Courier New"/>
          <w:sz w:val="17"/>
          <w:szCs w:val="17"/>
          <w:color w:val="auto"/>
        </w:rPr>
      </w:pPr>
    </w:p>
    <w:p>
      <w:pPr>
        <w:jc w:val="both"/>
        <w:ind w:left="5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represents the Company's significant business segments, "Cable" and "Commerce." The components of net income (loss) below operating income (loss) are not separately evaluated by the Company's management on a segment basis (see the Company's condensed consolidated statement of operations and retained earnings (accumulated deficit)) (dollars in millions).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Corporate and</w:t>
            </w:r>
          </w:p>
        </w:tc>
        <w:tc>
          <w:tcPr>
            <w:tcW w:w="1140" w:type="dxa"/>
            <w:vAlign w:val="bottom"/>
          </w:tcPr>
          <w:p>
            <w:pPr>
              <w:spacing w:after="0"/>
              <w:rPr>
                <w:sz w:val="16"/>
                <w:szCs w:val="16"/>
                <w:color w:val="auto"/>
              </w:rPr>
            </w:pPr>
          </w:p>
        </w:tc>
      </w:tr>
      <w:tr>
        <w:trPr>
          <w:trHeight w:val="193"/>
        </w:trPr>
        <w:tc>
          <w:tcPr>
            <w:tcW w:w="42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Cable</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Commerce</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Other (1)</w:t>
            </w:r>
          </w:p>
        </w:tc>
        <w:tc>
          <w:tcPr>
            <w:tcW w:w="11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2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Three Months Ended March 31, 2001</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$1,139.5</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$884.0</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$172.6</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$2,196.1</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Operating income (loss) before</w:t>
            </w: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 (2).....</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488.0</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172.7</w:t>
            </w:r>
          </w:p>
        </w:tc>
        <w:tc>
          <w:tcPr>
            <w:tcW w:w="16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(19.8)</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640.9</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676.3</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34.6</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30.5</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741.4</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Operating (loss) income.................</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(188.3)</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138.1</w:t>
            </w:r>
          </w:p>
        </w:tc>
        <w:tc>
          <w:tcPr>
            <w:tcW w:w="16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(50.3)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(100.5)</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132.8</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8.0</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41.5</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182.3</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437.7</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26.1</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58.1</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521.9</w:t>
            </w: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As of March 31, 2001</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$27,232.8</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$2,439.0</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$7,544.4</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$37,216.2</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6,839.8</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246.2</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3,177.0</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10,263.0</w:t>
            </w: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Three Months Ended March 31, 2000</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$976.3</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$821.0</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$141.6</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$1,938.9</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w:t>
            </w: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and amortization (2)..................</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436.8</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144.8</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5.3</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586.9</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502.5</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29.5</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13.7</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545.7</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Operating (loss) income.................</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(65.7)</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115.3</w:t>
            </w:r>
          </w:p>
        </w:tc>
        <w:tc>
          <w:tcPr>
            <w:tcW w:w="16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(8.4)</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41.2</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127.6</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9.0</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32.0</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168.6</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228.5</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34.7</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25.9</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289.1</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jc w:val="both"/>
        <w:ind w:left="500" w:right="2199" w:hanging="497"/>
        <w:spacing w:after="0" w:line="238"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includes segments not meeting certain quantitative guidelines for reporting. Other includes the Company's content and business communications operations and elimination entries related to the segments presented. Corporate and other assets consist primarily of the Company's investments (see Note 5).</w:t>
      </w:r>
    </w:p>
    <w:p>
      <w:pPr>
        <w:spacing w:after="0" w:line="8" w:lineRule="exact"/>
        <w:rPr>
          <w:rFonts w:ascii="Courier New" w:cs="Courier New" w:eastAsia="Courier New" w:hAnsi="Courier New"/>
          <w:sz w:val="17"/>
          <w:szCs w:val="17"/>
          <w:color w:val="auto"/>
        </w:rPr>
      </w:pPr>
    </w:p>
    <w:p>
      <w:pPr>
        <w:jc w:val="both"/>
        <w:ind w:left="500" w:right="2199" w:hanging="497"/>
        <w:spacing w:after="0" w:line="255" w:lineRule="auto"/>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496" w:right="1440" w:bottom="1440" w:gutter="0" w:footer="0" w:header="0"/>
        </w:sectPr>
      </w:pPr>
    </w:p>
    <w:bookmarkStart w:id="15" w:name="page16"/>
    <w:bookmarkEnd w:id="15"/>
    <w:p>
      <w:pPr>
        <w:spacing w:after="0" w:line="4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spacing w:after="0" w:line="391" w:lineRule="exact"/>
        <w:rPr>
          <w:sz w:val="20"/>
          <w:szCs w:val="20"/>
          <w:color w:val="auto"/>
        </w:rPr>
      </w:pPr>
    </w:p>
    <w:p>
      <w:pPr>
        <w:ind w:left="1000" w:right="2899" w:hanging="1001"/>
        <w:spacing w:after="0" w:line="236" w:lineRule="auto"/>
        <w:tabs>
          <w:tab w:leader="none" w:pos="98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 AND RESULTS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rPr>
              <w:t>Overview</w:t>
            </w:r>
          </w:p>
        </w:tc>
        <w:tc>
          <w:tcPr>
            <w:tcW w:w="1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85"/>
        </w:trPr>
        <w:tc>
          <w:tcPr>
            <w:tcW w:w="1200" w:type="dxa"/>
            <w:vAlign w:val="bottom"/>
          </w:tcPr>
          <w:p>
            <w:pPr>
              <w:ind w:left="500"/>
              <w:spacing w:after="0"/>
              <w:rPr>
                <w:sz w:val="20"/>
                <w:szCs w:val="20"/>
                <w:color w:val="auto"/>
              </w:rPr>
            </w:pPr>
            <w:r>
              <w:rPr>
                <w:rFonts w:ascii="Courier New" w:cs="Courier New" w:eastAsia="Courier New" w:hAnsi="Courier New"/>
                <w:sz w:val="17"/>
                <w:szCs w:val="17"/>
                <w:color w:val="auto"/>
                <w:w w:val="95"/>
              </w:rPr>
              <w:t>We have</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experienced</w:t>
            </w:r>
          </w:p>
        </w:tc>
        <w:tc>
          <w:tcPr>
            <w:tcW w:w="12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significant</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w w:val="94"/>
              </w:rPr>
              <w:t>growth</w:t>
            </w:r>
          </w:p>
        </w:tc>
        <w:tc>
          <w:tcPr>
            <w:tcW w:w="3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  recent  years  both  through</w:t>
            </w:r>
          </w:p>
        </w:tc>
      </w:t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rPr>
              <w:t>strategic</w:t>
            </w:r>
          </w:p>
        </w:tc>
        <w:tc>
          <w:tcPr>
            <w:tcW w:w="1400" w:type="dxa"/>
            <w:vAlign w:val="bottom"/>
          </w:tcPr>
          <w:p>
            <w:pPr>
              <w:spacing w:after="0"/>
              <w:rPr>
                <w:sz w:val="20"/>
                <w:szCs w:val="20"/>
                <w:color w:val="auto"/>
              </w:rPr>
            </w:pPr>
            <w:r>
              <w:rPr>
                <w:rFonts w:ascii="Courier New" w:cs="Courier New" w:eastAsia="Courier New" w:hAnsi="Courier New"/>
                <w:sz w:val="17"/>
                <w:szCs w:val="17"/>
                <w:color w:val="auto"/>
              </w:rPr>
              <w:t>acquisitions</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growth</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w w:val="95"/>
              </w:rPr>
              <w:t>in  our</w:t>
            </w:r>
          </w:p>
        </w:tc>
        <w:tc>
          <w:tcPr>
            <w:tcW w:w="1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existing</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businesses.</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We  have</w:t>
            </w:r>
          </w:p>
        </w:tc>
      </w:t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w w:val="96"/>
              </w:rPr>
              <w:t>historically</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w w:val="96"/>
              </w:rPr>
              <w:t>met our cash</w:t>
            </w:r>
          </w:p>
        </w:tc>
        <w:tc>
          <w:tcPr>
            <w:tcW w:w="12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needs for</w:t>
            </w:r>
          </w:p>
        </w:tc>
        <w:tc>
          <w:tcPr>
            <w:tcW w:w="12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operations</w:t>
            </w:r>
          </w:p>
        </w:tc>
        <w:tc>
          <w:tcPr>
            <w:tcW w:w="18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w w:val="96"/>
              </w:rPr>
              <w:t>through  our cash</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flows from</w:t>
            </w:r>
          </w:p>
        </w:tc>
      </w:t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rPr>
              <w:t>operating</w:t>
            </w:r>
          </w:p>
        </w:tc>
        <w:tc>
          <w:tcPr>
            <w:tcW w:w="140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15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requirements</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w w:val="91"/>
              </w:rPr>
              <w:t>for</w:t>
            </w:r>
          </w:p>
        </w:tc>
        <w:tc>
          <w:tcPr>
            <w:tcW w:w="29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acquisitions  and  capital</w:t>
            </w:r>
          </w:p>
        </w:tc>
      </w:t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w w:val="96"/>
              </w:rPr>
              <w:t>expenditures</w:t>
            </w:r>
          </w:p>
        </w:tc>
        <w:tc>
          <w:tcPr>
            <w:tcW w:w="4460" w:type="dxa"/>
            <w:vAlign w:val="bottom"/>
            <w:gridSpan w:val="6"/>
          </w:tcPr>
          <w:p>
            <w:pPr>
              <w:ind w:left="200"/>
              <w:spacing w:after="0"/>
              <w:rPr>
                <w:sz w:val="20"/>
                <w:szCs w:val="20"/>
                <w:color w:val="auto"/>
              </w:rPr>
            </w:pPr>
            <w:r>
              <w:rPr>
                <w:rFonts w:ascii="Courier New" w:cs="Courier New" w:eastAsia="Courier New" w:hAnsi="Courier New"/>
                <w:sz w:val="17"/>
                <w:szCs w:val="17"/>
                <w:color w:val="auto"/>
              </w:rPr>
              <w:t>have been provided  through our financing</w:t>
            </w:r>
          </w:p>
        </w:tc>
        <w:tc>
          <w:tcPr>
            <w:tcW w:w="2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activities and sales of</w:t>
            </w:r>
          </w:p>
        </w:tc>
      </w:t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w w:val="96"/>
              </w:rPr>
              <w:t>investments,</w:t>
            </w:r>
          </w:p>
        </w:tc>
        <w:tc>
          <w:tcPr>
            <w:tcW w:w="26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as well as our existing</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cash,</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18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equivalents  and</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short-term</w:t>
            </w:r>
          </w:p>
        </w:tc>
      </w:t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w w:val="96"/>
              </w:rPr>
              <w:t>investments.</w:t>
            </w:r>
          </w:p>
        </w:tc>
        <w:tc>
          <w:tcPr>
            <w:tcW w:w="1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98"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We have acquired cable communications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Developments of Business</w:t>
      </w:r>
    </w:p>
    <w:p>
      <w:pPr>
        <w:spacing w:after="0" w:line="198" w:lineRule="exact"/>
        <w:rPr>
          <w:sz w:val="20"/>
          <w:szCs w:val="20"/>
          <w:color w:val="auto"/>
        </w:rPr>
      </w:pPr>
    </w:p>
    <w:p>
      <w:pPr>
        <w:jc w:val="both"/>
        <w:ind w:right="2199" w:firstLine="501"/>
        <w:spacing w:after="0" w:line="236" w:lineRule="auto"/>
        <w:rPr>
          <w:sz w:val="20"/>
          <w:szCs w:val="20"/>
          <w:color w:val="auto"/>
        </w:rPr>
      </w:pPr>
      <w:r>
        <w:rPr>
          <w:rFonts w:ascii="Courier New" w:cs="Courier New" w:eastAsia="Courier New" w:hAnsi="Courier New"/>
          <w:sz w:val="17"/>
          <w:szCs w:val="17"/>
          <w:color w:val="auto"/>
        </w:rPr>
        <w:t>See Note 4 to our condensed consolidated financial statements included in Item 1.</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8"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98" w:lineRule="exact"/>
        <w:rPr>
          <w:sz w:val="20"/>
          <w:szCs w:val="20"/>
          <w:color w:val="auto"/>
        </w:rPr>
      </w:pPr>
    </w:p>
    <w:p>
      <w:pPr>
        <w:jc w:val="both"/>
        <w:ind w:right="2199" w:firstLine="501"/>
        <w:spacing w:after="0" w:line="257"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87"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In the event that holders of our Zero Coupon Debentures (see Note 6 to our condensed consolidated financial statements included in Item 1) exercise their rights to require us to repurchase the Zero Coupon Debentures in December 2001, we have both the ability and intent to redeem the Zero Coupon Debentures with amounts available under subsidiary credit facilities. As of March 31, 2001, certain of our subsidiaries had unused lines of credit of $3.389 billion under their respective credit facilities.</w:t>
      </w:r>
    </w:p>
    <w:p>
      <w:pPr>
        <w:spacing w:after="0" w:line="199" w:lineRule="exact"/>
        <w:rPr>
          <w:sz w:val="20"/>
          <w:szCs w:val="20"/>
          <w:color w:val="auto"/>
        </w:rPr>
      </w:pPr>
    </w:p>
    <w:p>
      <w:pPr>
        <w:jc w:val="both"/>
        <w:ind w:right="2199" w:firstLine="501"/>
        <w:spacing w:after="0" w:line="236" w:lineRule="auto"/>
        <w:rPr>
          <w:sz w:val="20"/>
          <w:szCs w:val="20"/>
          <w:color w:val="auto"/>
        </w:rPr>
      </w:pPr>
      <w:r>
        <w:rPr>
          <w:rFonts w:ascii="Courier New" w:cs="Courier New" w:eastAsia="Courier New" w:hAnsi="Courier New"/>
          <w:sz w:val="17"/>
          <w:szCs w:val="17"/>
          <w:color w:val="auto"/>
        </w:rPr>
        <w:t>See Note 9 to our condensed consolidated financial statements included in Item 1.</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Cash, Cash Equivalents and Short-term Investments</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March 31, 2001 were $3.619 billion, substantially all of which is unrestricted.</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Investments</w:t>
      </w:r>
    </w:p>
    <w:p>
      <w:pPr>
        <w:spacing w:after="0" w:line="198" w:lineRule="exact"/>
        <w:rPr>
          <w:sz w:val="20"/>
          <w:szCs w:val="20"/>
          <w:color w:val="auto"/>
        </w:rPr>
      </w:pPr>
    </w:p>
    <w:p>
      <w:pPr>
        <w:jc w:val="both"/>
        <w:ind w:right="2199" w:firstLine="501"/>
        <w:spacing w:after="0" w:line="259" w:lineRule="auto"/>
        <w:rPr>
          <w:sz w:val="20"/>
          <w:szCs w:val="20"/>
          <w:color w:val="auto"/>
        </w:rPr>
      </w:pPr>
      <w:r>
        <w:rPr>
          <w:rFonts w:ascii="Courier New" w:cs="Courier New" w:eastAsia="Courier New" w:hAnsi="Courier New"/>
          <w:sz w:val="16"/>
          <w:szCs w:val="16"/>
          <w:color w:val="auto"/>
        </w:rPr>
        <w:t>See Note 5 to our condensed consolidated financial statements included in Item 1. A significant portion of our investments are in publicly traded companies and are reflected at fair value which fluctuates with market changes.</w:t>
      </w:r>
    </w:p>
    <w:p>
      <w:pPr>
        <w:spacing w:after="0" w:line="184"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We do not have any significant contractual funding commitments with respect to any of our investments. However, to the extent we do not fund our investees' non-binding capital calls, we are subject to dilution of our ownership interests. We continually evaluate our existing investments, as well as new investment opportunities.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Financing</w:t>
      </w:r>
    </w:p>
    <w:p>
      <w:pPr>
        <w:spacing w:after="0" w:line="198" w:lineRule="exact"/>
        <w:rPr>
          <w:sz w:val="20"/>
          <w:szCs w:val="20"/>
          <w:color w:val="auto"/>
        </w:rPr>
      </w:pPr>
    </w:p>
    <w:p>
      <w:pPr>
        <w:jc w:val="both"/>
        <w:ind w:right="2199" w:firstLine="501"/>
        <w:spacing w:after="0" w:line="236" w:lineRule="auto"/>
        <w:rPr>
          <w:sz w:val="20"/>
          <w:szCs w:val="20"/>
          <w:color w:val="auto"/>
        </w:rPr>
      </w:pPr>
      <w:r>
        <w:rPr>
          <w:rFonts w:ascii="Courier New" w:cs="Courier New" w:eastAsia="Courier New" w:hAnsi="Courier New"/>
          <w:sz w:val="17"/>
          <w:szCs w:val="17"/>
          <w:color w:val="auto"/>
        </w:rPr>
        <w:t>See Notes 6 and 7 to our condensed consolidated financial statements included in Item 1.</w:t>
      </w:r>
    </w:p>
    <w:p>
      <w:pPr>
        <w:spacing w:after="0" w:line="199"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As of March 31, 2001 and December 31, 2000, our long-term debt, including current portion, was $10.786 billion and $10.811 billion, respectively. Excluding the effects of interest rate risk management instruments, 17.0% and 28.5% of our long-term debt as of March 31, 2001 and December 31, 2000,</w:t>
      </w:r>
    </w:p>
    <w:p>
      <w:pPr>
        <w:sectPr>
          <w:pgSz w:w="11900" w:h="16884" w:orient="portrait"/>
          <w:cols w:equalWidth="0" w:num="1">
            <w:col w:w="10219"/>
          </w:cols>
          <w:pgMar w:left="240" w:top="496" w:right="1440" w:bottom="0" w:gutter="0" w:footer="0" w:header="0"/>
        </w:sectPr>
      </w:pPr>
    </w:p>
    <w:bookmarkStart w:id="16" w:name="page17"/>
    <w:bookmarkEnd w:id="16"/>
    <w:p>
      <w:pPr>
        <w:jc w:val="both"/>
        <w:ind w:right="2199"/>
        <w:spacing w:after="0" w:line="237" w:lineRule="auto"/>
        <w:rPr>
          <w:sz w:val="20"/>
          <w:szCs w:val="20"/>
          <w:color w:val="auto"/>
        </w:rPr>
      </w:pPr>
      <w:r>
        <w:rPr>
          <w:rFonts w:ascii="Courier New" w:cs="Courier New" w:eastAsia="Courier New" w:hAnsi="Courier New"/>
          <w:sz w:val="17"/>
          <w:szCs w:val="17"/>
          <w:color w:val="auto"/>
        </w:rPr>
        <w:t>respectively, was at variable rates. The decrease from December 31, 2000 to March 31, 2001 in the percentage of our variable rate debt was due principally to the effects of the January 2001 financings described below.</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142" w:right="1440" w:bottom="1440" w:gutter="0" w:footer="0" w:header="0"/>
        </w:sectPr>
      </w:pPr>
    </w:p>
    <w:bookmarkStart w:id="17" w:name="page18"/>
    <w:bookmarkEnd w:id="17"/>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spacing w:after="0" w:line="198"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In January 2001, our indirect wholly owned subsidiary, Comcast Cable Communications, Inc. ("Comcast Cable") sold an aggregate of $1.5 billion of public debt consisting of $500.0 million of 6.375% Senior Notes due 2006 and $1.0 billion of 6.75% Senior Notes due 2011. In January 2001, we issued an additional $192.8 million principal amount at maturity of our Zero Coupon Debentures. We used substantially all of the net proceeds from the offerings to repay a portion of the amounts outstanding under Comcast Cable's commercial paper program and bank credit facility.</w:t>
      </w:r>
    </w:p>
    <w:p>
      <w:pPr>
        <w:spacing w:after="0" w:line="200"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The $25.3 million decrease in our long-term debt, including current portion, results principally from the $464.2 million aggregate reduction to the carrying value of our 2.0% Exchangeable Subordinated Debentures due 2029 (the "ZONES") during the three months ended March 31, 2001 (see Notes 2 and 6 to our condensed consolidated financial statements included in Item 1), offset by the effects of our net borrowings.</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Equity Price Risk</w:t>
      </w:r>
    </w:p>
    <w:p>
      <w:pPr>
        <w:spacing w:after="0" w:line="198" w:lineRule="exact"/>
        <w:rPr>
          <w:sz w:val="20"/>
          <w:szCs w:val="20"/>
          <w:color w:val="auto"/>
        </w:rPr>
      </w:pPr>
    </w:p>
    <w:p>
      <w:pPr>
        <w:jc w:val="both"/>
        <w:ind w:right="2199" w:firstLine="501"/>
        <w:spacing w:after="0" w:line="256" w:lineRule="auto"/>
        <w:rPr>
          <w:sz w:val="20"/>
          <w:szCs w:val="20"/>
          <w:color w:val="auto"/>
        </w:rPr>
      </w:pPr>
      <w:r>
        <w:rPr>
          <w:rFonts w:ascii="Courier New" w:cs="Courier New" w:eastAsia="Courier New" w:hAnsi="Courier New"/>
          <w:sz w:val="16"/>
          <w:szCs w:val="16"/>
          <w:color w:val="auto"/>
        </w:rPr>
        <w:t>During 1999, we entered into cashless collar agreements (the "Equity Collars") covering $1.365 billion notional amount of investment securities accounted for at fair value. The Equity Collars limit our exposure to and benefits from price fluctuations in the underlying equity securities. The Equity Collars mature between 2001 and 2003. As we account for the Equity Collars as a hedge, changes in the value of the Equity Collars are substantially offset by changes in the value of the underlying investment securities which were also marked to market through accumulated other comprehensive income in our condensed consolidated balance sheet through December 31, 2000.</w:t>
      </w:r>
    </w:p>
    <w:p>
      <w:pPr>
        <w:spacing w:after="0" w:line="187"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In connection with the adoption of Statement of Financial Accounting Standards No. 133, "Accounting for Derivative Instruments and Hedging Activities", as amended ("SFAS No. 133") on January 1, 2001, we reclassified our investment in Sprint PCS from an available for sale security to a trading security. During the three months ended March 31, 2001, the decrease in the fair value of our investment in Sprint PCS of approximately $142.5 million was substantially offset by the increase in the fair value of the Equity Collars and the decrease in the fair value of the derivative component of the ZONES.</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Interest Rate Risk</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During the three months ended March 31, 2001, interest rate exchange agreements ("Swaps") with an aggregate notional amount of $27.0 million were either terminated or expired. As of March 31, 2001, we have Swaps with an aggregate notional amount of $800.7 million having an average pay rate of 6.29% and an average receive rate of 7.00%.</w:t>
      </w:r>
    </w:p>
    <w:p>
      <w:pPr>
        <w:spacing w:after="0" w:line="19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 of Cash Flows</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Cash and cash equivalents increased $16.8 million as of March 31, 2001 from December 31, 2000. The increase in cash and cash equivalents resulted from cash flows from operating, financing and investing activities which are explained below.</w:t>
      </w:r>
    </w:p>
    <w:p>
      <w:pPr>
        <w:spacing w:after="0" w:line="200"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Net cash provided by operating activities amounted to $258.0 million for the three months ended March 31, 2001, due principally to our operating income before depreciation and amortization (see "Results of Operations"), offset by changes in working capital as a result of the timing of receipts and disbursements and the effects of net interest and current income tax expense.</w:t>
      </w:r>
    </w:p>
    <w:p>
      <w:pPr>
        <w:spacing w:after="0" w:line="202"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Net cash provided by financing activities, which includes borrowings and repayments of debt, as well as the issuances and repurchases of our equity securities, was $402.1 million for the three months ended March 31, 2001. During the three months ended March 31, 2001, we borrowed $2.608 billion, consisting of $1.491 billion of proceeds from Comcast Cable's senior notes offering, $754.3 million of borrowings under Comcast Cable's commercial paper program, $212.3 million of borrowings under subsidiary revolving lines of credit and $150.3 million of proceeds from our Zero Coupon Debentures offering. During the three months ended March 31, 2001, we repaid $2.220 billion of our long-term debt, consisting</w:t>
      </w: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496" w:right="1440" w:bottom="166" w:gutter="0" w:footer="0" w:header="0"/>
        </w:sectPr>
      </w:pPr>
    </w:p>
    <w:bookmarkStart w:id="18" w:name="page19"/>
    <w:bookmarkEnd w:id="18"/>
    <w:p>
      <w:pPr>
        <w:jc w:val="center"/>
        <w:ind w:right="300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900"/>
        <w:spacing w:after="0"/>
        <w:rPr>
          <w:sz w:val="20"/>
          <w:szCs w:val="20"/>
          <w:color w:val="auto"/>
        </w:rPr>
      </w:pPr>
      <w:r>
        <w:rPr>
          <w:rFonts w:ascii="Courier New" w:cs="Courier New" w:eastAsia="Courier New" w:hAnsi="Courier New"/>
          <w:sz w:val="17"/>
          <w:szCs w:val="17"/>
          <w:color w:val="auto"/>
        </w:rPr>
        <w:t>FORM 10-Q</w:t>
      </w:r>
    </w:p>
    <w:p>
      <w:pPr>
        <w:jc w:val="center"/>
        <w:ind w:right="3000"/>
        <w:spacing w:after="0"/>
        <w:rPr>
          <w:sz w:val="20"/>
          <w:szCs w:val="20"/>
          <w:color w:val="auto"/>
        </w:rPr>
      </w:pPr>
      <w:r>
        <w:rPr>
          <w:rFonts w:ascii="Courier New" w:cs="Courier New" w:eastAsia="Courier New" w:hAnsi="Courier New"/>
          <w:sz w:val="17"/>
          <w:szCs w:val="17"/>
          <w:color w:val="auto"/>
        </w:rPr>
        <w:t>QUARTER ENDED MARCH 31, 2001</w:t>
      </w:r>
    </w:p>
    <w:p>
      <w:pPr>
        <w:spacing w:after="0" w:line="198" w:lineRule="exact"/>
        <w:rPr>
          <w:sz w:val="20"/>
          <w:szCs w:val="20"/>
          <w:color w:val="auto"/>
        </w:rPr>
      </w:pPr>
    </w:p>
    <w:p>
      <w:pPr>
        <w:jc w:val="both"/>
        <w:ind w:right="3000"/>
        <w:spacing w:after="0" w:line="238" w:lineRule="auto"/>
        <w:rPr>
          <w:sz w:val="20"/>
          <w:szCs w:val="20"/>
          <w:color w:val="auto"/>
        </w:rPr>
      </w:pPr>
      <w:r>
        <w:rPr>
          <w:rFonts w:ascii="Courier New" w:cs="Courier New" w:eastAsia="Courier New" w:hAnsi="Courier New"/>
          <w:sz w:val="17"/>
          <w:szCs w:val="17"/>
          <w:color w:val="auto"/>
        </w:rPr>
        <w:t>primarily of $1.375 billion of repayments on certain of our revolving credit facilities and $833.5 million of repayments under Comcast Cable's commercial paper program. In addition, during the three months ended March 31, 2001, we received proceeds of $13.5 million related to issuances of our common stock.</w:t>
      </w:r>
    </w:p>
    <w:p>
      <w:pPr>
        <w:spacing w:after="0" w:line="200" w:lineRule="exact"/>
        <w:rPr>
          <w:sz w:val="20"/>
          <w:szCs w:val="20"/>
          <w:color w:val="auto"/>
        </w:rPr>
      </w:pPr>
    </w:p>
    <w:p>
      <w:pPr>
        <w:jc w:val="both"/>
        <w:ind w:right="3000" w:firstLine="501"/>
        <w:spacing w:after="0" w:line="239" w:lineRule="auto"/>
        <w:rPr>
          <w:sz w:val="20"/>
          <w:szCs w:val="20"/>
          <w:color w:val="auto"/>
        </w:rPr>
      </w:pPr>
      <w:r>
        <w:rPr>
          <w:rFonts w:ascii="Courier New" w:cs="Courier New" w:eastAsia="Courier New" w:hAnsi="Courier New"/>
          <w:sz w:val="17"/>
          <w:szCs w:val="17"/>
          <w:color w:val="auto"/>
        </w:rPr>
        <w:t>Net cash used in investing activities was $643.3 million for the three months ended March 31, 2001. Net cash used in investing activities includes the effects of acquisitions, net of cash acquired, of $26.4 million, consisting primarily of our acquisitions of cable communications systems, investments of $175.0 million, capital expenditures of $521.9 million and additions to deferred charges of $71.7 million, offset by proceeds from sales of investments of $151.7 million.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8" w:lineRule="exact"/>
        <w:rPr>
          <w:sz w:val="20"/>
          <w:szCs w:val="20"/>
          <w:color w:val="auto"/>
        </w:rPr>
      </w:pPr>
    </w:p>
    <w:p>
      <w:pPr>
        <w:jc w:val="both"/>
        <w:ind w:right="3000" w:firstLine="501"/>
        <w:spacing w:after="0" w:line="237" w:lineRule="auto"/>
        <w:rPr>
          <w:sz w:val="20"/>
          <w:szCs w:val="20"/>
          <w:color w:val="auto"/>
        </w:rPr>
      </w:pPr>
      <w:r>
        <w:rPr>
          <w:rFonts w:ascii="Courier New" w:cs="Courier New" w:eastAsia="Courier New" w:hAnsi="Courier New"/>
          <w:sz w:val="17"/>
          <w:szCs w:val="17"/>
          <w:color w:val="auto"/>
        </w:rPr>
        <w:t>Our summarized consolidated financial information for the three months ended March 31, 2001 and 2000 is as follows (dollars in millions, "NM" denotes percentage is not meaningful):</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16"/>
                <w:szCs w:val="16"/>
                <w:color w:val="auto"/>
              </w:rPr>
            </w:pPr>
          </w:p>
        </w:tc>
        <w:tc>
          <w:tcPr>
            <w:tcW w:w="24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Three Months Ended</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260" w:type="dxa"/>
            <w:vAlign w:val="bottom"/>
          </w:tcPr>
          <w:p>
            <w:pPr>
              <w:spacing w:after="0"/>
              <w:rPr>
                <w:sz w:val="16"/>
                <w:szCs w:val="16"/>
                <w:color w:val="auto"/>
              </w:rPr>
            </w:pPr>
          </w:p>
        </w:tc>
        <w:tc>
          <w:tcPr>
            <w:tcW w:w="246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March 31,</w:t>
            </w:r>
          </w:p>
        </w:tc>
        <w:tc>
          <w:tcPr>
            <w:tcW w:w="2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Increase / (Decrease)</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2001</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2000</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2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$2,196.1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$1,938.9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$257.2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13.3%</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Cost of goods sold from electronic retailing.................</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556.6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527.1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29.5</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Operating, selling, general and administrative expenses......</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998.6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824.9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173.7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21.1</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spacing w:after="0"/>
              <w:rPr>
                <w:sz w:val="16"/>
                <w:szCs w:val="16"/>
                <w:color w:val="auto"/>
              </w:rPr>
            </w:pP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 and</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260" w:type="dxa"/>
            <w:vAlign w:val="bottom"/>
          </w:tcPr>
          <w:p>
            <w:pPr>
              <w:ind w:left="300"/>
              <w:spacing w:after="0"/>
              <w:rPr>
                <w:sz w:val="20"/>
                <w:szCs w:val="20"/>
                <w:color w:val="auto"/>
              </w:rPr>
            </w:pPr>
            <w:r>
              <w:rPr>
                <w:rFonts w:ascii="Courier New" w:cs="Courier New" w:eastAsia="Courier New" w:hAnsi="Courier New"/>
                <w:sz w:val="17"/>
                <w:szCs w:val="17"/>
                <w:color w:val="auto"/>
              </w:rPr>
              <w:t>amortization (1) .........................................</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640.9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586.9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221.3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171.9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49.4</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28.7</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Amortization.................................................</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520.1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373.8</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146.3</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39.1</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Operating (loss) income......................................</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(100.5)</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41.2</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(141.7)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(182.3)</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(168.6)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Investment income............................................</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214.7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644.6</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(429.9)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(66.7)</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Expense related to indexed debt..............................</w:t>
            </w:r>
          </w:p>
        </w:tc>
        <w:tc>
          <w:tcPr>
            <w:tcW w:w="126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(687.5)</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(687.5)</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Equity in net income (losses) of affiliates..................</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1,194.2</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1,205.0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Income tax (expense) benefit.................................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(485.6)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31.8</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(517.4)</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Minority interest............................................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(34.2)</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(21.9)</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Income (loss) before extraordinary items and cumulative</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260" w:type="dxa"/>
            <w:vAlign w:val="bottom"/>
          </w:tcPr>
          <w:p>
            <w:pPr>
              <w:ind w:left="300"/>
              <w:spacing w:after="0"/>
              <w:rPr>
                <w:sz w:val="20"/>
                <w:szCs w:val="20"/>
                <w:color w:val="auto"/>
              </w:rPr>
            </w:pPr>
            <w:r>
              <w:rPr>
                <w:rFonts w:ascii="Courier New" w:cs="Courier New" w:eastAsia="Courier New" w:hAnsi="Courier New"/>
                <w:sz w:val="17"/>
                <w:szCs w:val="17"/>
                <w:color w:val="auto"/>
              </w:rPr>
              <w:t>effect of accounting change...............................</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$616.7</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($186.4)</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$803.1</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62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jc w:val="both"/>
        <w:ind w:left="500" w:right="3000" w:hanging="497"/>
        <w:spacing w:after="0" w:line="255" w:lineRule="auto"/>
        <w:tabs>
          <w:tab w:leader="none" w:pos="5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1020"/>
          </w:cols>
          <w:pgMar w:left="240" w:top="496" w:right="639" w:bottom="1440" w:gutter="0" w:footer="0" w:header="0"/>
        </w:sectPr>
      </w:pPr>
    </w:p>
    <w:bookmarkStart w:id="19" w:name="page20"/>
    <w:bookmarkEnd w:id="19"/>
    <w:p>
      <w:pPr>
        <w:jc w:val="center"/>
        <w:ind w:right="60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500"/>
        <w:spacing w:after="0"/>
        <w:rPr>
          <w:sz w:val="20"/>
          <w:szCs w:val="20"/>
          <w:color w:val="auto"/>
        </w:rPr>
      </w:pPr>
      <w:r>
        <w:rPr>
          <w:rFonts w:ascii="Courier New" w:cs="Courier New" w:eastAsia="Courier New" w:hAnsi="Courier New"/>
          <w:sz w:val="17"/>
          <w:szCs w:val="17"/>
          <w:color w:val="auto"/>
        </w:rPr>
        <w:t>FORM 10-Q</w:t>
      </w:r>
    </w:p>
    <w:p>
      <w:pPr>
        <w:jc w:val="center"/>
        <w:ind w:right="600"/>
        <w:spacing w:after="0"/>
        <w:rPr>
          <w:sz w:val="20"/>
          <w:szCs w:val="20"/>
          <w:color w:val="auto"/>
        </w:rPr>
      </w:pPr>
      <w:r>
        <w:rPr>
          <w:rFonts w:ascii="Courier New" w:cs="Courier New" w:eastAsia="Courier New" w:hAnsi="Courier New"/>
          <w:sz w:val="17"/>
          <w:szCs w:val="17"/>
          <w:color w:val="auto"/>
        </w:rPr>
        <w:t>QUARTER ENDED MARCH 31, 2001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Results by Business Segment</w:t>
      </w:r>
    </w:p>
    <w:p>
      <w:pPr>
        <w:spacing w:after="0" w:line="198" w:lineRule="exact"/>
        <w:rPr>
          <w:sz w:val="20"/>
          <w:szCs w:val="20"/>
          <w:color w:val="auto"/>
        </w:rPr>
      </w:pPr>
    </w:p>
    <w:p>
      <w:pPr>
        <w:jc w:val="both"/>
        <w:ind w:right="600" w:firstLine="501"/>
        <w:spacing w:after="0" w:line="238" w:lineRule="auto"/>
        <w:rPr>
          <w:sz w:val="20"/>
          <w:szCs w:val="20"/>
          <w:color w:val="auto"/>
        </w:rPr>
      </w:pPr>
      <w:r>
        <w:rPr>
          <w:rFonts w:ascii="Courier New" w:cs="Courier New" w:eastAsia="Courier New" w:hAnsi="Courier New"/>
          <w:sz w:val="17"/>
          <w:szCs w:val="17"/>
          <w:color w:val="auto"/>
        </w:rPr>
        <w:t>The following represent the operating results of our significant business segments, "Cable" and "Commerce." The remaining components of our operations are not independently significant to our consolidated financial position or results of operations (see Note 10 to our condensed consolidated financial statements included in Item 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ind w:left="500"/>
              <w:spacing w:after="0"/>
              <w:rPr>
                <w:sz w:val="20"/>
                <w:szCs w:val="20"/>
                <w:color w:val="auto"/>
              </w:rPr>
            </w:pPr>
            <w:r>
              <w:rPr>
                <w:rFonts w:ascii="Courier New" w:cs="Courier New" w:eastAsia="Courier New" w:hAnsi="Courier New"/>
                <w:sz w:val="17"/>
                <w:szCs w:val="17"/>
                <w:color w:val="auto"/>
              </w:rPr>
              <w:t>Cable</w:t>
            </w:r>
          </w:p>
        </w:tc>
        <w:tc>
          <w:tcPr>
            <w:tcW w:w="34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85"/>
        </w:trPr>
        <w:tc>
          <w:tcPr>
            <w:tcW w:w="4120" w:type="dxa"/>
            <w:vAlign w:val="bottom"/>
          </w:tcPr>
          <w:p>
            <w:pPr>
              <w:ind w:left="500"/>
              <w:spacing w:after="0"/>
              <w:rPr>
                <w:sz w:val="20"/>
                <w:szCs w:val="20"/>
                <w:color w:val="auto"/>
              </w:rPr>
            </w:pPr>
            <w:r>
              <w:rPr>
                <w:rFonts w:ascii="Courier New" w:cs="Courier New" w:eastAsia="Courier New" w:hAnsi="Courier New"/>
                <w:sz w:val="17"/>
                <w:szCs w:val="17"/>
                <w:color w:val="auto"/>
              </w:rPr>
              <w:t>The following  table  presents the</w:t>
            </w:r>
          </w:p>
        </w:tc>
        <w:tc>
          <w:tcPr>
            <w:tcW w:w="45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7"/>
              </w:rPr>
              <w:t>operating  results of our cable segment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(dollars in millions):</w:t>
            </w:r>
          </w:p>
        </w:tc>
        <w:tc>
          <w:tcPr>
            <w:tcW w:w="34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771"/>
        </w:trPr>
        <w:tc>
          <w:tcPr>
            <w:tcW w:w="4120" w:type="dxa"/>
            <w:vAlign w:val="bottom"/>
          </w:tcPr>
          <w:p>
            <w:pPr>
              <w:spacing w:after="0"/>
              <w:rPr>
                <w:sz w:val="24"/>
                <w:szCs w:val="24"/>
                <w:color w:val="auto"/>
              </w:rPr>
            </w:pPr>
          </w:p>
        </w:tc>
        <w:tc>
          <w:tcPr>
            <w:tcW w:w="4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4120" w:type="dxa"/>
            <w:vAlign w:val="bottom"/>
          </w:tcPr>
          <w:p>
            <w:pPr>
              <w:spacing w:after="0"/>
              <w:rPr>
                <w:sz w:val="16"/>
                <w:szCs w:val="16"/>
                <w:color w:val="auto"/>
              </w:rPr>
            </w:pPr>
          </w:p>
        </w:tc>
        <w:tc>
          <w:tcPr>
            <w:tcW w:w="45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4120" w:type="dxa"/>
            <w:vAlign w:val="bottom"/>
          </w:tcPr>
          <w:p>
            <w:pPr>
              <w:spacing w:after="0"/>
              <w:rPr>
                <w:sz w:val="16"/>
                <w:szCs w:val="16"/>
                <w:color w:val="auto"/>
              </w:rPr>
            </w:pPr>
          </w:p>
        </w:tc>
        <w:tc>
          <w:tcPr>
            <w:tcW w:w="34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2001</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4120" w:type="dxa"/>
            <w:vAlign w:val="bottom"/>
          </w:tcPr>
          <w:p>
            <w:pPr>
              <w:spacing w:after="0"/>
              <w:rPr>
                <w:sz w:val="16"/>
                <w:szCs w:val="16"/>
                <w:color w:val="auto"/>
              </w:rPr>
            </w:pP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6"/>
                <w:szCs w:val="16"/>
                <w:color w:val="auto"/>
                <w:w w:val="70"/>
              </w:rPr>
              <w:t>Analog video.................................................</w:t>
            </w: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$938.6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$844.8</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6"/>
                <w:szCs w:val="16"/>
                <w:color w:val="auto"/>
                <w:w w:val="70"/>
              </w:rPr>
              <w:t>Digital video................................................</w:t>
            </w: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46.2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20.6</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6"/>
                <w:szCs w:val="16"/>
                <w:color w:val="auto"/>
                <w:w w:val="70"/>
              </w:rPr>
              <w:t>Cable modem..................................................</w:t>
            </w: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54.5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20.7</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6"/>
                <w:szCs w:val="16"/>
                <w:color w:val="auto"/>
                <w:w w:val="70"/>
              </w:rPr>
              <w:t>Advertising sales............................................</w:t>
            </w: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66.2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58.2</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6"/>
                <w:szCs w:val="16"/>
                <w:color w:val="auto"/>
                <w:w w:val="70"/>
              </w:rPr>
              <w:t>Other........................................................</w:t>
            </w: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32.0</w:t>
            </w:r>
          </w:p>
        </w:tc>
      </w:tr>
      <w:tr>
        <w:trPr>
          <w:trHeight w:val="193"/>
        </w:trPr>
        <w:tc>
          <w:tcPr>
            <w:tcW w:w="4120" w:type="dxa"/>
            <w:vAlign w:val="bottom"/>
          </w:tcPr>
          <w:p>
            <w:pPr>
              <w:spacing w:after="0"/>
              <w:rPr>
                <w:sz w:val="16"/>
                <w:szCs w:val="16"/>
                <w:color w:val="auto"/>
              </w:rPr>
            </w:pP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ind w:left="500"/>
              <w:spacing w:after="0"/>
              <w:rPr>
                <w:sz w:val="20"/>
                <w:szCs w:val="20"/>
                <w:color w:val="auto"/>
              </w:rPr>
            </w:pPr>
            <w:r>
              <w:rPr>
                <w:rFonts w:ascii="Courier New" w:cs="Courier New" w:eastAsia="Courier New" w:hAnsi="Courier New"/>
                <w:sz w:val="15"/>
                <w:szCs w:val="15"/>
                <w:color w:val="auto"/>
                <w:w w:val="71"/>
              </w:rPr>
              <w:t>Service income..........................................</w:t>
            </w: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1,139.5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976.3</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Operating, selling, general and</w:t>
            </w:r>
          </w:p>
        </w:tc>
        <w:tc>
          <w:tcPr>
            <w:tcW w:w="34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4120" w:type="dxa"/>
            <w:vAlign w:val="bottom"/>
          </w:tcPr>
          <w:p>
            <w:pPr>
              <w:ind w:left="500"/>
              <w:spacing w:after="0"/>
              <w:rPr>
                <w:sz w:val="20"/>
                <w:szCs w:val="20"/>
                <w:color w:val="auto"/>
              </w:rPr>
            </w:pPr>
            <w:r>
              <w:rPr>
                <w:rFonts w:ascii="Courier New" w:cs="Courier New" w:eastAsia="Courier New" w:hAnsi="Courier New"/>
                <w:sz w:val="15"/>
                <w:szCs w:val="15"/>
                <w:color w:val="auto"/>
                <w:w w:val="71"/>
              </w:rPr>
              <w:t>administrative expenses.................................</w:t>
            </w: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651.5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539.5</w:t>
            </w:r>
          </w:p>
        </w:tc>
      </w:tr>
      <w:tr>
        <w:trPr>
          <w:trHeight w:val="193"/>
        </w:trPr>
        <w:tc>
          <w:tcPr>
            <w:tcW w:w="4120" w:type="dxa"/>
            <w:vAlign w:val="bottom"/>
          </w:tcPr>
          <w:p>
            <w:pPr>
              <w:spacing w:after="0"/>
              <w:rPr>
                <w:sz w:val="16"/>
                <w:szCs w:val="16"/>
                <w:color w:val="auto"/>
              </w:rPr>
            </w:pP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w:t>
            </w:r>
          </w:p>
        </w:tc>
        <w:tc>
          <w:tcPr>
            <w:tcW w:w="34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4120" w:type="dxa"/>
            <w:vAlign w:val="bottom"/>
          </w:tcPr>
          <w:p>
            <w:pPr>
              <w:ind w:left="500"/>
              <w:spacing w:after="0"/>
              <w:rPr>
                <w:sz w:val="20"/>
                <w:szCs w:val="20"/>
                <w:color w:val="auto"/>
              </w:rPr>
            </w:pPr>
            <w:r>
              <w:rPr>
                <w:rFonts w:ascii="Courier New" w:cs="Courier New" w:eastAsia="Courier New" w:hAnsi="Courier New"/>
                <w:sz w:val="15"/>
                <w:szCs w:val="15"/>
                <w:color w:val="auto"/>
                <w:w w:val="71"/>
              </w:rPr>
              <w:t>and amortization (a)....................................</w:t>
            </w: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$488.0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$436.8</w:t>
            </w:r>
          </w:p>
        </w:tc>
      </w:tr>
      <w:tr>
        <w:trPr>
          <w:trHeight w:val="193"/>
        </w:trPr>
        <w:tc>
          <w:tcPr>
            <w:tcW w:w="4120" w:type="dxa"/>
            <w:vAlign w:val="bottom"/>
          </w:tcPr>
          <w:p>
            <w:pPr>
              <w:spacing w:after="0"/>
              <w:rPr>
                <w:sz w:val="16"/>
                <w:szCs w:val="16"/>
                <w:color w:val="auto"/>
              </w:rPr>
            </w:pPr>
          </w:p>
        </w:tc>
        <w:tc>
          <w:tcPr>
            <w:tcW w:w="3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(a) See footnote (1) on page 15.</w:t>
      </w:r>
    </w:p>
    <w:p>
      <w:pPr>
        <w:spacing w:after="0" w:line="200" w:lineRule="exact"/>
        <w:rPr>
          <w:sz w:val="20"/>
          <w:szCs w:val="20"/>
          <w:color w:val="auto"/>
        </w:rPr>
      </w:pPr>
    </w:p>
    <w:p>
      <w:pPr>
        <w:spacing w:after="0" w:line="384" w:lineRule="exact"/>
        <w:rPr>
          <w:sz w:val="20"/>
          <w:szCs w:val="20"/>
          <w:color w:val="auto"/>
        </w:rPr>
      </w:pPr>
    </w:p>
    <w:p>
      <w:pPr>
        <w:jc w:val="both"/>
        <w:ind w:right="600" w:firstLine="501"/>
        <w:spacing w:after="0" w:line="255" w:lineRule="auto"/>
        <w:rPr>
          <w:sz w:val="20"/>
          <w:szCs w:val="20"/>
          <w:color w:val="auto"/>
        </w:rPr>
      </w:pPr>
      <w:r>
        <w:rPr>
          <w:rFonts w:ascii="Courier New" w:cs="Courier New" w:eastAsia="Courier New" w:hAnsi="Courier New"/>
          <w:sz w:val="16"/>
          <w:szCs w:val="16"/>
          <w:color w:val="auto"/>
        </w:rPr>
        <w:t>Of the $93.8 million increase for the three month period from 2000 to 2001 in analog video service income, which consists of our basic, expanded basic, premium and pay-per-view services, $57.7 million is attributable to the effects of our acquisition of Prime and the AT&amp;T and Adelphia cable system exchanges in August 2000, December 2000 and January 2001, respectively, and $36.1 million relates principally to changes in rates and subscriber growth in our historical operations. The increase from 2000 to 2001 in digital video service income is due primarily to the addition of approximately 201,000 digital subscriptions during the quarter ended March 31, 2001 and, to a lesser extent, to the effects of a new, higher-priced digital service offering made in the second half of 2000. The increase from 2000 to 2001 in cable modem service income is primarily due to the addition of approximately 142,000 cable modem subscribers during the quarter ended March 31, 2001. The increase from 2000 to 2001 in advertising sales revenue is attributable to the effects of new advertising contracts, market-wide fiber interconnects and the continued leveraging of our existing fiber networks. The increase from 2000 to 2001 in other service income, which includes installation revenues, guide revenues, commissions from electronic retailing and other product offerings, is primarily attributable to our acquisition of Prime and the AT&amp;T and Adelphia cable systems exchanges.</w:t>
      </w:r>
    </w:p>
    <w:p>
      <w:pPr>
        <w:spacing w:after="0" w:line="196" w:lineRule="exact"/>
        <w:rPr>
          <w:sz w:val="20"/>
          <w:szCs w:val="20"/>
          <w:color w:val="auto"/>
        </w:rPr>
      </w:pPr>
    </w:p>
    <w:p>
      <w:pPr>
        <w:jc w:val="both"/>
        <w:ind w:right="600" w:firstLine="501"/>
        <w:spacing w:after="0" w:line="239" w:lineRule="auto"/>
        <w:rPr>
          <w:sz w:val="20"/>
          <w:szCs w:val="20"/>
          <w:color w:val="auto"/>
        </w:rPr>
      </w:pPr>
      <w:r>
        <w:rPr>
          <w:rFonts w:ascii="Courier New" w:cs="Courier New" w:eastAsia="Courier New" w:hAnsi="Courier New"/>
          <w:sz w:val="17"/>
          <w:szCs w:val="17"/>
          <w:color w:val="auto"/>
        </w:rPr>
        <w:t>The increases in operating, selling, general and administrative expenses for the three month period from 2000 to 2001 is primarily due to the effects of increases in the costs of cable programming as a result of changes in rates, subscriber growth and additional channel offerings, our acquisition of Prime and the AT&amp;T and Adelphia cable system exchanges, the effects of cable modem subscriber growth, and, to a lesser extent, to increases in labor costs and other volume related expenses in our historical operations. We anticipate the cost of cable programming will increase in the future as cable programming rates increase and additional sources of cable programming become available.</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Increase</w:t>
      </w:r>
    </w:p>
    <w:p>
      <w:pPr>
        <w:ind w:left="1600" w:hanging="1197"/>
        <w:spacing w:after="0"/>
        <w:tabs>
          <w:tab w:leader="none" w:pos="16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$93.8</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11.1%</w:t>
            </w:r>
          </w:p>
        </w:tc>
      </w:t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25.6</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33.8</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w:t>
            </w:r>
          </w:p>
        </w:tc>
      </w:t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w:t>
            </w:r>
          </w:p>
        </w:tc>
      </w:t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spacing w:after="0"/>
              <w:rPr>
                <w:sz w:val="16"/>
                <w:szCs w:val="16"/>
                <w:color w:val="auto"/>
              </w:rPr>
            </w:pPr>
          </w:p>
        </w:tc>
      </w:t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163.2</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16.7</w:t>
            </w:r>
          </w:p>
        </w:tc>
      </w:tr>
      <w:tr>
        <w:trPr>
          <w:trHeight w:val="385"/>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112.0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20.8</w:t>
            </w:r>
          </w:p>
        </w:tc>
      </w:t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11.7%</w:t>
            </w:r>
          </w:p>
        </w:tc>
      </w:tr>
      <w:tr>
        <w:trPr>
          <w:trHeight w:val="193"/>
        </w:trPr>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2">
            <w:col w:w="8620" w:space="400"/>
            <w:col w:w="2200"/>
          </w:cols>
          <w:pgMar w:left="240" w:top="496" w:right="439" w:bottom="1440" w:gutter="0" w:footer="0" w:header="0"/>
        </w:sectPr>
      </w:pPr>
    </w:p>
    <w:bookmarkStart w:id="20" w:name="page21"/>
    <w:bookmarkEnd w:id="20"/>
    <w:p>
      <w:pPr>
        <w:jc w:val="center"/>
        <w:ind w:right="320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3100"/>
        <w:spacing w:after="0"/>
        <w:rPr>
          <w:sz w:val="20"/>
          <w:szCs w:val="20"/>
          <w:color w:val="auto"/>
        </w:rPr>
      </w:pPr>
      <w:r>
        <w:rPr>
          <w:rFonts w:ascii="Courier New" w:cs="Courier New" w:eastAsia="Courier New" w:hAnsi="Courier New"/>
          <w:sz w:val="17"/>
          <w:szCs w:val="17"/>
          <w:color w:val="auto"/>
        </w:rPr>
        <w:t>FORM 10-Q</w:t>
      </w:r>
    </w:p>
    <w:p>
      <w:pPr>
        <w:jc w:val="center"/>
        <w:ind w:right="3200"/>
        <w:spacing w:after="0"/>
        <w:rPr>
          <w:sz w:val="20"/>
          <w:szCs w:val="20"/>
          <w:color w:val="auto"/>
        </w:rPr>
      </w:pPr>
      <w:r>
        <w:rPr>
          <w:rFonts w:ascii="Courier New" w:cs="Courier New" w:eastAsia="Courier New" w:hAnsi="Courier New"/>
          <w:sz w:val="17"/>
          <w:szCs w:val="17"/>
          <w:color w:val="auto"/>
        </w:rPr>
        <w:t>QUARTER ENDED MARCH 31, 2001</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Commerce</w:t>
      </w:r>
    </w:p>
    <w:p>
      <w:pPr>
        <w:spacing w:after="0" w:line="198" w:lineRule="exact"/>
        <w:rPr>
          <w:sz w:val="20"/>
          <w:szCs w:val="20"/>
          <w:color w:val="auto"/>
        </w:rPr>
      </w:pPr>
    </w:p>
    <w:p>
      <w:pPr>
        <w:jc w:val="both"/>
        <w:ind w:right="3200" w:firstLine="501"/>
        <w:spacing w:after="0" w:line="236" w:lineRule="auto"/>
        <w:rPr>
          <w:sz w:val="20"/>
          <w:szCs w:val="20"/>
          <w:color w:val="auto"/>
        </w:rPr>
      </w:pPr>
      <w:r>
        <w:rPr>
          <w:rFonts w:ascii="Courier New" w:cs="Courier New" w:eastAsia="Courier New" w:hAnsi="Courier New"/>
          <w:sz w:val="17"/>
          <w:szCs w:val="17"/>
          <w:color w:val="auto"/>
        </w:rPr>
        <w:t>The following presents the operating results of our commerce segment, which consists of QVC, Inc. and its subsidiaries (dollars in millions).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25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Three Months Ended</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spacing w:after="0"/>
              <w:rPr>
                <w:sz w:val="16"/>
                <w:szCs w:val="16"/>
                <w:color w:val="auto"/>
              </w:rPr>
            </w:pPr>
          </w:p>
        </w:tc>
        <w:tc>
          <w:tcPr>
            <w:tcW w:w="256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March 31,</w:t>
            </w:r>
          </w:p>
        </w:tc>
        <w:tc>
          <w:tcPr>
            <w:tcW w:w="234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Increase</w:t>
            </w:r>
          </w:p>
        </w:tc>
      </w:tr>
      <w:tr>
        <w:trPr>
          <w:trHeight w:val="193"/>
        </w:trPr>
        <w:tc>
          <w:tcPr>
            <w:tcW w:w="632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2001</w:t>
            </w: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2000</w:t>
            </w: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320" w:type="dxa"/>
            <w:vAlign w:val="bottom"/>
          </w:tcPr>
          <w:p>
            <w:pPr>
              <w:spacing w:after="0"/>
              <w:rPr>
                <w:sz w:val="20"/>
                <w:szCs w:val="20"/>
                <w:color w:val="auto"/>
              </w:rPr>
            </w:pPr>
            <w:r>
              <w:rPr>
                <w:rFonts w:ascii="Courier New" w:cs="Courier New" w:eastAsia="Courier New" w:hAnsi="Courier New"/>
                <w:sz w:val="17"/>
                <w:szCs w:val="17"/>
                <w:color w:val="auto"/>
              </w:rPr>
              <w:t>Net sales from electronic retailing..........................</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$884.0</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$821.0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7.7%</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Cost of goods sold from electronic retailing.................</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556.6</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527.1</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29.5</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Operating, selling, general and administrative</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expenses...................................................</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154.7</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149.1</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r>
      <w:tr>
        <w:trPr>
          <w:trHeight w:val="193"/>
        </w:trPr>
        <w:tc>
          <w:tcPr>
            <w:tcW w:w="63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Operating income before depreciation</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and amortization (a).......................................</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$172.7</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$144.8</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19.3%</w:t>
            </w:r>
          </w:p>
        </w:tc>
      </w:tr>
      <w:tr>
        <w:trPr>
          <w:trHeight w:val="193"/>
        </w:trPr>
        <w:tc>
          <w:tcPr>
            <w:tcW w:w="63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tcPr>
          <w:p>
            <w:pPr>
              <w:spacing w:after="0"/>
              <w:rPr>
                <w:sz w:val="20"/>
                <w:szCs w:val="20"/>
                <w:color w:val="auto"/>
              </w:rPr>
            </w:pPr>
            <w:r>
              <w:rPr>
                <w:rFonts w:ascii="Courier New" w:cs="Courier New" w:eastAsia="Courier New" w:hAnsi="Courier New"/>
                <w:sz w:val="17"/>
                <w:szCs w:val="17"/>
                <w:color w:val="auto"/>
              </w:rPr>
              <w:t>Gross margin.................................................</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37.0%</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35.8%</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3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(a) See footnote (1) on page 15.</w:t>
      </w:r>
    </w:p>
    <w:p>
      <w:pPr>
        <w:spacing w:after="0" w:line="200" w:lineRule="exact"/>
        <w:rPr>
          <w:sz w:val="20"/>
          <w:szCs w:val="20"/>
          <w:color w:val="auto"/>
        </w:rPr>
      </w:pPr>
    </w:p>
    <w:p>
      <w:pPr>
        <w:spacing w:after="0" w:line="384" w:lineRule="exact"/>
        <w:rPr>
          <w:sz w:val="20"/>
          <w:szCs w:val="20"/>
          <w:color w:val="auto"/>
        </w:rPr>
      </w:pPr>
    </w:p>
    <w:p>
      <w:pPr>
        <w:jc w:val="both"/>
        <w:ind w:right="3200" w:firstLine="501"/>
        <w:spacing w:after="0" w:line="239" w:lineRule="auto"/>
        <w:rPr>
          <w:sz w:val="20"/>
          <w:szCs w:val="20"/>
          <w:color w:val="auto"/>
        </w:rPr>
      </w:pPr>
      <w:r>
        <w:rPr>
          <w:rFonts w:ascii="Courier New" w:cs="Courier New" w:eastAsia="Courier New" w:hAnsi="Courier New"/>
          <w:sz w:val="17"/>
          <w:szCs w:val="17"/>
          <w:color w:val="auto"/>
        </w:rPr>
        <w:t>The increase in net sales from electronic retailing for the three month period from 2000 to 2001 is primarily attributable to the effects of 4.5%, 8.7% and 13.1% increases in the average number of homes receiving QVC services in the United States ("US"), United Kingdom ("UK") and Germany, respectively; increases of 3.7% and 25.6% in net sales per home in the US and Germany (in Deutschemarks), respectively, and a 9.6% decrease in net sales per home in the UK (in British pounds); and the negative effects of fluctuations in foreign currency exchange rates during the period.</w:t>
      </w:r>
    </w:p>
    <w:p>
      <w:pPr>
        <w:spacing w:after="0" w:line="200" w:lineRule="exact"/>
        <w:rPr>
          <w:sz w:val="20"/>
          <w:szCs w:val="20"/>
          <w:color w:val="auto"/>
        </w:rPr>
      </w:pPr>
    </w:p>
    <w:p>
      <w:pPr>
        <w:jc w:val="both"/>
        <w:ind w:right="3200" w:firstLine="501"/>
        <w:spacing w:after="0" w:line="238" w:lineRule="auto"/>
        <w:rPr>
          <w:sz w:val="20"/>
          <w:szCs w:val="20"/>
          <w:color w:val="auto"/>
        </w:rPr>
      </w:pPr>
      <w:r>
        <w:rPr>
          <w:rFonts w:ascii="Courier New" w:cs="Courier New" w:eastAsia="Courier New" w:hAnsi="Courier New"/>
          <w:sz w:val="17"/>
          <w:szCs w:val="17"/>
          <w:color w:val="auto"/>
        </w:rPr>
        <w:t>The increases in cost of goods sold for the three month period from 2000 to 2001 is primarily related to the growth in net sales. The increase in gross margin is primarily due to the effects of increases in product margins across all product categories, as well as to the effects of a shift in sales mix.</w:t>
      </w:r>
    </w:p>
    <w:p>
      <w:pPr>
        <w:spacing w:after="0" w:line="200" w:lineRule="exact"/>
        <w:rPr>
          <w:sz w:val="20"/>
          <w:szCs w:val="20"/>
          <w:color w:val="auto"/>
        </w:rPr>
      </w:pPr>
    </w:p>
    <w:p>
      <w:pPr>
        <w:jc w:val="both"/>
        <w:ind w:right="3200" w:firstLine="501"/>
        <w:spacing w:after="0" w:line="259" w:lineRule="auto"/>
        <w:rPr>
          <w:sz w:val="20"/>
          <w:szCs w:val="20"/>
          <w:color w:val="auto"/>
        </w:rPr>
      </w:pPr>
      <w:r>
        <w:rPr>
          <w:rFonts w:ascii="Courier New" w:cs="Courier New" w:eastAsia="Courier New" w:hAnsi="Courier New"/>
          <w:sz w:val="16"/>
          <w:szCs w:val="16"/>
          <w:color w:val="auto"/>
        </w:rPr>
        <w:t>The increase in operating, selling, general and administrative expenses for the three month period from 2000 to 2001 is primarily attributable to higher variable costs and personnel costs associated with the increase in sales volume.</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Consolidated Analysis</w:t>
      </w:r>
    </w:p>
    <w:p>
      <w:pPr>
        <w:spacing w:after="0" w:line="198" w:lineRule="exact"/>
        <w:rPr>
          <w:sz w:val="20"/>
          <w:szCs w:val="20"/>
          <w:color w:val="auto"/>
        </w:rPr>
      </w:pPr>
    </w:p>
    <w:p>
      <w:pPr>
        <w:jc w:val="both"/>
        <w:ind w:right="3200" w:firstLine="501"/>
        <w:spacing w:after="0" w:line="255" w:lineRule="auto"/>
        <w:rPr>
          <w:sz w:val="20"/>
          <w:szCs w:val="20"/>
          <w:color w:val="auto"/>
        </w:rPr>
      </w:pPr>
      <w:r>
        <w:rPr>
          <w:rFonts w:ascii="Courier New" w:cs="Courier New" w:eastAsia="Courier New" w:hAnsi="Courier New"/>
          <w:sz w:val="16"/>
          <w:szCs w:val="16"/>
          <w:color w:val="auto"/>
        </w:rPr>
        <w:t>The effects of our recent acquisitions were to increase our revenues and expenses, resulting in increases in our operating income before depreciation and amortization. The increases in our property and equipment and deferred charges (see Note 8 to our condensed consolidated financial statements included in Item</w:t>
      </w:r>
    </w:p>
    <w:p>
      <w:pPr>
        <w:spacing w:after="0" w:line="1" w:lineRule="exact"/>
        <w:rPr>
          <w:sz w:val="20"/>
          <w:szCs w:val="20"/>
          <w:color w:val="auto"/>
        </w:rPr>
      </w:pPr>
    </w:p>
    <w:p>
      <w:pPr>
        <w:jc w:val="both"/>
        <w:ind w:right="3200" w:firstLine="3"/>
        <w:spacing w:after="0" w:line="238" w:lineRule="auto"/>
        <w:tabs>
          <w:tab w:leader="none" w:pos="30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the corresponding increases in depreciation expense and amortization expense for the three month period from 2000 to 2001 are primarily due to the effects of our acquisition of Prime in August 2000, our cable system exchanges with AT&amp;T and Adelphia in December 2000 and January 2001, as well as our increased levels of capital expenditures.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Interest Expense</w:t>
      </w:r>
    </w:p>
    <w:p>
      <w:pPr>
        <w:spacing w:after="0" w:line="198" w:lineRule="exact"/>
        <w:rPr>
          <w:sz w:val="20"/>
          <w:szCs w:val="20"/>
          <w:color w:val="auto"/>
        </w:rPr>
      </w:pPr>
    </w:p>
    <w:p>
      <w:pPr>
        <w:jc w:val="both"/>
        <w:ind w:right="3200" w:firstLine="501"/>
        <w:spacing w:after="0" w:line="238" w:lineRule="auto"/>
        <w:rPr>
          <w:sz w:val="20"/>
          <w:szCs w:val="20"/>
          <w:color w:val="auto"/>
        </w:rPr>
      </w:pPr>
      <w:r>
        <w:rPr>
          <w:rFonts w:ascii="Courier New" w:cs="Courier New" w:eastAsia="Courier New" w:hAnsi="Courier New"/>
          <w:sz w:val="17"/>
          <w:szCs w:val="17"/>
          <w:color w:val="auto"/>
        </w:rPr>
        <w:t>The $13.7 million increase in interest expense for the three month period from 2000 to 2001 is primarily due to the effects of our offerings of our Zero Coupon Debentures in December 2000 and of Comcast Cable's senior notes in January 2001, offset, in part, by the effects of our repayments and retirement of debt.</w:t>
      </w:r>
    </w:p>
    <w:p>
      <w:pPr>
        <w:spacing w:after="0" w:line="202" w:lineRule="exact"/>
        <w:rPr>
          <w:sz w:val="20"/>
          <w:szCs w:val="20"/>
          <w:color w:val="auto"/>
        </w:rPr>
      </w:pPr>
    </w:p>
    <w:p>
      <w:pPr>
        <w:jc w:val="both"/>
        <w:ind w:right="3200" w:firstLine="501"/>
        <w:spacing w:after="0" w:line="238" w:lineRule="auto"/>
        <w:rPr>
          <w:sz w:val="20"/>
          <w:szCs w:val="20"/>
          <w:color w:val="auto"/>
        </w:rPr>
      </w:pPr>
      <w:r>
        <w:rPr>
          <w:rFonts w:ascii="Courier New" w:cs="Courier New" w:eastAsia="Courier New" w:hAnsi="Courier New"/>
          <w:sz w:val="17"/>
          <w:szCs w:val="17"/>
          <w:color w:val="auto"/>
        </w:rPr>
        <w:t>We anticipate that, for the foreseeable future, interest expense will be a significant cost to us and will have a significant adverse effect on our ability to realize net earnings. We believe we will continue to be able to meet our obligations through our ability both to generate operating income before depreciation and amortization and to obtain external financing.</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1220"/>
          </w:cols>
          <w:pgMar w:left="240" w:top="496" w:right="439" w:bottom="166" w:gutter="0" w:footer="0" w:header="0"/>
        </w:sectPr>
      </w:pPr>
    </w:p>
    <w:bookmarkStart w:id="21" w:name="page22"/>
    <w:bookmarkEnd w:id="21"/>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Investment Income</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During the three months ended March 31, 2001 and 2000, we recognized pre-tax gains of $11.6 million and $589.4 million, respectively, on sales and exchanges of certain of our investments.</w:t>
      </w:r>
    </w:p>
    <w:p>
      <w:pPr>
        <w:spacing w:after="0" w:line="200" w:lineRule="exact"/>
        <w:rPr>
          <w:sz w:val="20"/>
          <w:szCs w:val="20"/>
          <w:color w:val="auto"/>
        </w:rPr>
      </w:pPr>
    </w:p>
    <w:p>
      <w:pPr>
        <w:jc w:val="both"/>
        <w:ind w:right="2199" w:firstLine="501"/>
        <w:spacing w:after="0" w:line="256" w:lineRule="auto"/>
        <w:rPr>
          <w:sz w:val="20"/>
          <w:szCs w:val="20"/>
          <w:color w:val="auto"/>
        </w:rPr>
      </w:pPr>
      <w:r>
        <w:rPr>
          <w:rFonts w:ascii="Courier New" w:cs="Courier New" w:eastAsia="Courier New" w:hAnsi="Courier New"/>
          <w:sz w:val="16"/>
          <w:szCs w:val="16"/>
          <w:color w:val="auto"/>
        </w:rPr>
        <w:t>During the three months ended March 31, 2001 and 2000, we recorded losses of $894.1 million and $4.9 million, respectively, on certain of our investments based on a decline in value that was considered other than temporary. The loss for the three months ended March 31, 2001 relates principally to our investment in AT&amp;T common stock, a portion of which was exchanged on April 30, 2001 (see Note 4 to our condensed consolidated financial statements included in Item 1).</w:t>
      </w:r>
    </w:p>
    <w:p>
      <w:pPr>
        <w:spacing w:after="0" w:line="189"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In connection with our adoption of SFAS No. 133 on January 1, 2001, we reclassified our investment in Sprint PCS from an available for sale security to a trading security. In connection with this reclassification, we recorded pre-tax investment income of $1.092 billion, representing the accumulated unrealized gain on our investment in Sprint PCS previously recorded as a component of accumulated other comprehensive income.</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During the three months ended March 31, 2001, we recorded an unrealized loss on trading securities of $126.8 million and pre-tax investment income of $114.0 million related to the mark to market adjustments on our derivatives and hedged items.</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Expense Related to Indexed Debt</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Through December 31, 2000, the ZONES were accounted for as an indexed debt instrument since the maturity value is dependent upon the fair value of Sprint PCS stock. During the three months ended March 31, 2000, we recorded expense related to indexed debt of $687.5 million to reflect fair value of the underlying Sprint PCS stock.</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Other Income (Expense)</w:t>
      </w:r>
    </w:p>
    <w:p>
      <w:pPr>
        <w:spacing w:after="0" w:line="198"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On January 1, 2001, in connection with our cable systems exchange with Adelphia pursuant to which we received cable communications systems serving approximately 445,000 subscribers from Adelphia in exchange for certain of our cable communications systems serving approximately 440,000 subscribers, we recorded a pre-tax gain of $1.199 billion, representing the difference between the estimated fair value as of the closing date of the transaction and our cost basis in the systems exchanged.</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Income Tax (Expense) Benefit</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The changes in income tax (expense) benefit for the three month period from 2000 to 2001 are primarily the result of the effects of changes in our income (loss) before taxes and minority interest, and non-deductible goodwill amortization.</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Minority Interest</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The changes in minority interest for the three month period from 2000 to 2001 are attributable to the effects of changes in the net income or loss of our less than 100% owned consolidated subsidiaries.</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Extraordinary Items</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During the three months ended March 31, 2000, we incurred debt extinguishment costs and wrote off unamortized debt issue costs principally in connection with the redemption and retirement of certain indebtedness, resulting in extraordinary losses, net of tax, of $5.1 million.</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Cumulative Effect of Accounting Change</w:t>
      </w:r>
    </w:p>
    <w:p>
      <w:pPr>
        <w:spacing w:after="0" w:line="198" w:lineRule="exact"/>
        <w:rPr>
          <w:sz w:val="20"/>
          <w:szCs w:val="20"/>
          <w:color w:val="auto"/>
        </w:rPr>
      </w:pPr>
    </w:p>
    <w:p>
      <w:pPr>
        <w:jc w:val="both"/>
        <w:ind w:right="2199" w:firstLine="501"/>
        <w:spacing w:after="0" w:line="239" w:lineRule="auto"/>
        <w:rPr>
          <w:sz w:val="20"/>
          <w:szCs w:val="20"/>
          <w:color w:val="auto"/>
        </w:rPr>
      </w:pPr>
      <w:r>
        <w:rPr>
          <w:rFonts w:ascii="Courier New" w:cs="Courier New" w:eastAsia="Courier New" w:hAnsi="Courier New"/>
          <w:sz w:val="17"/>
          <w:szCs w:val="17"/>
          <w:color w:val="auto"/>
        </w:rPr>
        <w:t>In connection with the adoption of SFAS No. 133, we recognized as income a cumulative effect of accounting change, net of related income taxes, of $384.5 million during the three months ended March 31, 2001. The income consisted of a $400.2 million adjustment to record the debt component of our ZONES at a discount from its value at maturity and $191.3 million principally related to the reclassification of gains previously recognized as a component of accumulated other comprehensive income on our equity derivative instruments, net of related deferred income taxes.</w:t>
      </w:r>
    </w:p>
    <w:p>
      <w:pPr>
        <w:spacing w:after="0" w:line="19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We believe that our operations are not materially affected by inflation.</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496" w:right="1440" w:bottom="0" w:gutter="0" w:footer="0" w:header="0"/>
        </w:sectPr>
      </w:pPr>
    </w:p>
    <w:bookmarkStart w:id="22" w:name="page23"/>
    <w:bookmarkEnd w:id="22"/>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spacing w:after="0" w:line="38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ind w:left="200" w:hanging="197"/>
        <w:spacing w:after="0"/>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19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ITEM 1.   LEGAL PROCEEDINGS</w:t>
      </w:r>
    </w:p>
    <w:p>
      <w:pPr>
        <w:spacing w:after="0" w:line="198" w:lineRule="exact"/>
        <w:rPr>
          <w:sz w:val="20"/>
          <w:szCs w:val="20"/>
          <w:color w:val="auto"/>
        </w:rPr>
      </w:pPr>
    </w:p>
    <w:p>
      <w:pPr>
        <w:jc w:val="both"/>
        <w:ind w:left="500" w:right="2199"/>
        <w:spacing w:after="0" w:line="238" w:lineRule="auto"/>
        <w:rPr>
          <w:sz w:val="20"/>
          <w:szCs w:val="20"/>
          <w:color w:val="auto"/>
        </w:rPr>
      </w:pPr>
      <w:r>
        <w:rPr>
          <w:rFonts w:ascii="Courier New" w:cs="Courier New" w:eastAsia="Courier New" w:hAnsi="Courier New"/>
          <w:sz w:val="17"/>
          <w:szCs w:val="17"/>
          <w:color w:val="auto"/>
        </w:rPr>
        <w:t>We are subject to legal proceedings and claims which arise in the ordinary course of our business. In the opinion of our management, the amount of ultimate liability with respect to such actions is not expected to materially affect our financial position, results of operations or liquidity.</w:t>
      </w:r>
    </w:p>
    <w:p>
      <w:pPr>
        <w:spacing w:after="0" w:line="19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8" w:lineRule="exact"/>
        <w:rPr>
          <w:sz w:val="20"/>
          <w:szCs w:val="20"/>
          <w:color w:val="auto"/>
        </w:rPr>
      </w:pPr>
    </w:p>
    <w:p>
      <w:pPr>
        <w:ind w:left="1000" w:right="3199" w:hanging="496"/>
        <w:spacing w:after="0" w:line="473" w:lineRule="auto"/>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required to be filed by Item 601 of Regulation S-K: None.</w:t>
      </w:r>
    </w:p>
    <w:p>
      <w:pPr>
        <w:spacing w:after="0" w:line="6"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8" w:lineRule="exact"/>
        <w:rPr>
          <w:rFonts w:ascii="Courier New" w:cs="Courier New" w:eastAsia="Courier New" w:hAnsi="Courier New"/>
          <w:sz w:val="17"/>
          <w:szCs w:val="17"/>
          <w:color w:val="auto"/>
        </w:rPr>
      </w:pPr>
    </w:p>
    <w:p>
      <w:pPr>
        <w:jc w:val="both"/>
        <w:ind w:left="1500" w:right="2199" w:hanging="495"/>
        <w:spacing w:after="0" w:line="255" w:lineRule="auto"/>
        <w:tabs>
          <w:tab w:leader="none" w:pos="15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January 4, 2001 relating to our announcement that we had completed our cable</w:t>
      </w:r>
    </w:p>
    <w:p>
      <w:pPr>
        <w:ind w:left="1500"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systems exchanges with AT&amp;T Corporation and Adelphia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496" w:right="1440" w:bottom="1440" w:gutter="0" w:footer="0" w:header="0"/>
        </w:sectPr>
      </w:pPr>
    </w:p>
    <w:bookmarkStart w:id="23" w:name="page24"/>
    <w:bookmarkEnd w:id="23"/>
    <w:p>
      <w:pPr>
        <w:jc w:val="center"/>
        <w:ind w:right="219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 ENDED MARCH 31, 2001</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COMCAST CORPORATION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 LAWRENCE J. SALVA</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Lawrence J. Salva</w:t>
      </w:r>
    </w:p>
    <w:p>
      <w:pPr>
        <w:ind w:left="4020"/>
        <w:spacing w:after="0"/>
        <w:rPr>
          <w:sz w:val="20"/>
          <w:szCs w:val="20"/>
          <w:color w:val="auto"/>
        </w:rPr>
      </w:pPr>
      <w:r>
        <w:rPr>
          <w:rFonts w:ascii="Courier New" w:cs="Courier New" w:eastAsia="Courier New" w:hAnsi="Courier New"/>
          <w:sz w:val="17"/>
          <w:szCs w:val="17"/>
          <w:color w:val="auto"/>
        </w:rPr>
        <w:t>Senior Vice President</w:t>
      </w:r>
    </w:p>
    <w:p>
      <w:pPr>
        <w:ind w:left="4020"/>
        <w:spacing w:after="0"/>
        <w:rPr>
          <w:sz w:val="20"/>
          <w:szCs w:val="20"/>
          <w:color w:val="auto"/>
        </w:rPr>
      </w:pPr>
      <w:r>
        <w:rPr>
          <w:rFonts w:ascii="Courier New" w:cs="Courier New" w:eastAsia="Courier New" w:hAnsi="Courier New"/>
          <w:sz w:val="17"/>
          <w:szCs w:val="17"/>
          <w:color w:val="auto"/>
        </w:rPr>
        <w:t>(Principal Accounting Officer)</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8, 2001</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sectPr>
      <w:pgSz w:w="11900" w:h="16838" w:orient="portrait"/>
      <w:cols w:equalWidth="0" w:num="1">
        <w:col w:w="10219"/>
      </w:cols>
      <w:pgMar w:left="24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o"/>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0"/>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2019-12-12T08:55:53Z</dcterms:created>
  <dcterms:modified xsi:type="dcterms:W3CDTF">2019-12-12T08:55:53Z</dcterms:modified>
</cp:coreProperties>
</file>