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208280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Pursuant to Section 13 OR 15(d) of</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Securities Exchange Act of 1934</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October 26, 2016</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Comcast Corporation</w:t>
      </w:r>
    </w:p>
    <w:p>
      <w:pPr>
        <w:spacing w:after="0" w:line="17" w:lineRule="exact"/>
        <w:rPr>
          <w:sz w:val="24"/>
          <w:szCs w:val="24"/>
          <w:color w:val="auto"/>
        </w:rPr>
      </w:pPr>
    </w:p>
    <w:p>
      <w:pPr>
        <w:ind w:left="4940"/>
        <w:spacing w:after="0"/>
        <w:rPr>
          <w:sz w:val="20"/>
          <w:szCs w:val="20"/>
          <w:color w:val="auto"/>
        </w:rPr>
      </w:pPr>
      <w:r>
        <w:rPr>
          <w:rFonts w:ascii="Arial" w:cs="Arial" w:eastAsia="Arial" w:hAnsi="Arial"/>
          <w:sz w:val="14"/>
          <w:szCs w:val="14"/>
          <w:color w:val="auto"/>
        </w:rPr>
        <w:t>(Exact Name of Registrant</w:t>
      </w:r>
    </w:p>
    <w:p>
      <w:pPr>
        <w:ind w:left="4940"/>
        <w:spacing w:after="0"/>
        <w:rPr>
          <w:sz w:val="20"/>
          <w:szCs w:val="20"/>
          <w:color w:val="auto"/>
        </w:rPr>
      </w:pPr>
      <w:r>
        <w:rPr>
          <w:rFonts w:ascii="Arial" w:cs="Arial" w:eastAsia="Arial" w:hAnsi="Arial"/>
          <w:sz w:val="14"/>
          <w:szCs w:val="14"/>
          <w:color w:val="auto"/>
        </w:rPr>
        <w:t>as Specified in its Charter)</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(State or Other Jurisdiction of Incorporation)</w:t>
      </w:r>
    </w:p>
    <w:p>
      <w:pPr>
        <w:spacing w:after="0" w:line="192" w:lineRule="exact"/>
        <w:rPr>
          <w:sz w:val="24"/>
          <w:szCs w:val="24"/>
          <w:color w:val="auto"/>
        </w:rPr>
      </w:pPr>
    </w:p>
    <w:tbl>
      <w:tblPr>
        <w:tblLayout w:type="fixed"/>
        <w:tblInd w:w="1120" w:type="dxa"/>
        <w:tblCellMar>
          <w:top w:w="0" w:type="dxa"/>
          <w:left w:w="0" w:type="dxa"/>
          <w:bottom w:w="0" w:type="dxa"/>
          <w:right w:w="0" w:type="dxa"/>
        </w:tblCellMar>
      </w:tblP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001-32871</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27-0000798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4"/>
              </w:rPr>
              <w:t>(Commission File Number)</w:t>
            </w:r>
          </w:p>
        </w:tc>
        <w:tc>
          <w:tcPr>
            <w:tcW w:w="4320" w:type="dxa"/>
            <w:vAlign w:val="bottom"/>
          </w:tcPr>
          <w:p>
            <w:pPr>
              <w:jc w:val="center"/>
              <w:ind w:left="2259"/>
              <w:spacing w:after="0"/>
              <w:rPr>
                <w:sz w:val="20"/>
                <w:szCs w:val="20"/>
                <w:color w:val="auto"/>
              </w:rPr>
            </w:pPr>
            <w:r>
              <w:rPr>
                <w:rFonts w:ascii="Arial" w:cs="Arial" w:eastAsia="Arial" w:hAnsi="Arial"/>
                <w:sz w:val="14"/>
                <w:szCs w:val="14"/>
                <w:color w:val="auto"/>
                <w:w w:val="97"/>
              </w:rPr>
              <w:t>(IRS Employer Identification No.)</w:t>
            </w:r>
          </w:p>
        </w:tc>
      </w:tr>
      <w:tr>
        <w:trPr>
          <w:trHeight w:val="507"/>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0"/>
              </w:rPr>
              <w:t>One Comcast Center</w:t>
            </w:r>
          </w:p>
        </w:tc>
        <w:tc>
          <w:tcPr>
            <w:tcW w:w="4320" w:type="dxa"/>
            <w:vAlign w:val="bottom"/>
          </w:tcPr>
          <w:p>
            <w:pPr>
              <w:spacing w:after="0"/>
              <w:rPr>
                <w:sz w:val="24"/>
                <w:szCs w:val="24"/>
                <w:color w:val="auto"/>
              </w:rPr>
            </w:pPr>
          </w:p>
        </w:tc>
      </w:tr>
      <w:tr>
        <w:trPr>
          <w:trHeight w:val="216"/>
        </w:trPr>
        <w:tc>
          <w:tcPr>
            <w:tcW w:w="4680" w:type="dxa"/>
            <w:vAlign w:val="bottom"/>
          </w:tcPr>
          <w:p>
            <w:pPr>
              <w:jc w:val="center"/>
              <w:ind w:right="2257"/>
              <w:spacing w:after="0"/>
              <w:rPr>
                <w:sz w:val="20"/>
                <w:szCs w:val="20"/>
                <w:color w:val="auto"/>
              </w:rPr>
            </w:pPr>
            <w:r>
              <w:rPr>
                <w:rFonts w:ascii="Arial" w:cs="Arial" w:eastAsia="Arial" w:hAnsi="Arial"/>
                <w:sz w:val="18"/>
                <w:szCs w:val="18"/>
                <w:b w:val="1"/>
                <w:bCs w:val="1"/>
                <w:color w:val="auto"/>
                <w:w w:val="92"/>
              </w:rPr>
              <w:t>Philadelphia, PA</w:t>
            </w:r>
          </w:p>
        </w:tc>
        <w:tc>
          <w:tcPr>
            <w:tcW w:w="4320" w:type="dxa"/>
            <w:vAlign w:val="bottom"/>
          </w:tcPr>
          <w:p>
            <w:pPr>
              <w:jc w:val="center"/>
              <w:ind w:left="2279"/>
              <w:spacing w:after="0"/>
              <w:rPr>
                <w:sz w:val="20"/>
                <w:szCs w:val="20"/>
                <w:color w:val="auto"/>
              </w:rPr>
            </w:pPr>
            <w:r>
              <w:rPr>
                <w:rFonts w:ascii="Arial" w:cs="Arial" w:eastAsia="Arial" w:hAnsi="Arial"/>
                <w:sz w:val="18"/>
                <w:szCs w:val="18"/>
                <w:b w:val="1"/>
                <w:bCs w:val="1"/>
                <w:color w:val="auto"/>
                <w:w w:val="91"/>
              </w:rPr>
              <w:t>19103-2838</w:t>
            </w:r>
          </w:p>
        </w:tc>
      </w:tr>
      <w:tr>
        <w:trPr>
          <w:trHeight w:val="182"/>
        </w:trPr>
        <w:tc>
          <w:tcPr>
            <w:tcW w:w="4680" w:type="dxa"/>
            <w:vAlign w:val="bottom"/>
          </w:tcPr>
          <w:p>
            <w:pPr>
              <w:jc w:val="center"/>
              <w:ind w:right="2257"/>
              <w:spacing w:after="0"/>
              <w:rPr>
                <w:sz w:val="20"/>
                <w:szCs w:val="20"/>
                <w:color w:val="auto"/>
              </w:rPr>
            </w:pPr>
            <w:r>
              <w:rPr>
                <w:rFonts w:ascii="Arial" w:cs="Arial" w:eastAsia="Arial" w:hAnsi="Arial"/>
                <w:sz w:val="14"/>
                <w:szCs w:val="14"/>
                <w:color w:val="auto"/>
                <w:w w:val="95"/>
              </w:rPr>
              <w:t>(Address of Principal Executive Offices)</w:t>
            </w:r>
          </w:p>
        </w:tc>
        <w:tc>
          <w:tcPr>
            <w:tcW w:w="4320" w:type="dxa"/>
            <w:vAlign w:val="bottom"/>
          </w:tcPr>
          <w:p>
            <w:pPr>
              <w:jc w:val="center"/>
              <w:ind w:left="2279"/>
              <w:spacing w:after="0"/>
              <w:rPr>
                <w:sz w:val="20"/>
                <w:szCs w:val="20"/>
                <w:color w:val="auto"/>
              </w:rPr>
            </w:pPr>
            <w:r>
              <w:rPr>
                <w:rFonts w:ascii="Arial" w:cs="Arial" w:eastAsia="Arial" w:hAnsi="Arial"/>
                <w:sz w:val="14"/>
                <w:szCs w:val="14"/>
                <w:color w:val="auto"/>
                <w:w w:val="96"/>
              </w:rPr>
              <w:t>(Zip Code)</w:t>
            </w:r>
          </w:p>
        </w:tc>
      </w:tr>
    </w:tbl>
    <w:p>
      <w:pPr>
        <w:spacing w:after="0" w:line="39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On October 26, 2016, Comcast Corporation (“Comcast”) issued a press release reporting the results of its operations for the three and nine months ended September 30, 2016. The press release is attached hereto as Exhibit 99.1. Exhibit 99.2 sets forth the reasons Comcast believes that presentation of the non-GAAP financial measures contained in the press release provides useful information to investors regarding Comcast’s financial condition and results of operations.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347"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194"/>
        </w:trPr>
        <w:tc>
          <w:tcPr>
            <w:tcW w:w="88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4"/>
              </w:rPr>
              <w:t>Number</w:t>
            </w:r>
          </w:p>
        </w:tc>
        <w:tc>
          <w:tcPr>
            <w:tcW w:w="4520" w:type="dxa"/>
            <w:vAlign w:val="bottom"/>
            <w:gridSpan w:val="3"/>
          </w:tcPr>
          <w:p>
            <w:pPr>
              <w:ind w:left="240"/>
              <w:spacing w:after="0" w:line="194"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438"/>
        </w:trPr>
        <w:tc>
          <w:tcPr>
            <w:tcW w:w="64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w w:val="88"/>
              </w:rPr>
              <w:t>Comcast Corporation press release dated October 26, 2016.</w:t>
            </w:r>
          </w:p>
        </w:tc>
      </w:tr>
      <w:tr>
        <w:trPr>
          <w:trHeight w:val="230"/>
        </w:trPr>
        <w:tc>
          <w:tcPr>
            <w:tcW w:w="64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0"/>
                <w:szCs w:val="20"/>
                <w:color w:val="auto"/>
              </w:rPr>
            </w:pP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w w:val="92"/>
              </w:rPr>
              <w:t>Explanation of Non-GAAP and Other Financial Measures.</w:t>
            </w:r>
          </w:p>
        </w:tc>
      </w:tr>
    </w:tbl>
    <w:p>
      <w:pPr>
        <w:sectPr>
          <w:pgSz w:w="11900" w:h="16838" w:orient="portrait"/>
          <w:cols w:equalWidth="0" w:num="1">
            <w:col w:w="11420"/>
          </w:cols>
          <w:pgMar w:left="240" w:top="675"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229" w:lineRule="exact"/>
        <w:rPr>
          <w:sz w:val="20"/>
          <w:szCs w:val="20"/>
          <w:color w:val="auto"/>
        </w:rPr>
      </w:pPr>
    </w:p>
    <w:p>
      <w:pPr>
        <w:ind w:right="8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COMCAST CORPORATION</w:t>
            </w:r>
          </w:p>
        </w:tc>
        <w:tc>
          <w:tcPr>
            <w:tcW w:w="40" w:type="dxa"/>
            <w:vAlign w:val="bottom"/>
          </w:tcPr>
          <w:p>
            <w:pPr>
              <w:spacing w:after="0"/>
              <w:rPr>
                <w:sz w:val="20"/>
                <w:szCs w:val="20"/>
                <w:color w:val="auto"/>
              </w:rPr>
            </w:pPr>
          </w:p>
        </w:tc>
      </w:tr>
      <w:tr>
        <w:trPr>
          <w:trHeight w:val="648"/>
        </w:trPr>
        <w:tc>
          <w:tcPr>
            <w:tcW w:w="3760" w:type="dxa"/>
            <w:vAlign w:val="bottom"/>
          </w:tcPr>
          <w:p>
            <w:pPr>
              <w:spacing w:after="0"/>
              <w:rPr>
                <w:sz w:val="20"/>
                <w:szCs w:val="20"/>
                <w:color w:val="auto"/>
              </w:rPr>
            </w:pPr>
            <w:r>
              <w:rPr>
                <w:rFonts w:ascii="Arial" w:cs="Arial" w:eastAsia="Arial" w:hAnsi="Arial"/>
                <w:sz w:val="18"/>
                <w:szCs w:val="18"/>
                <w:color w:val="auto"/>
              </w:rPr>
              <w:t>Date:  October 26, 2016</w:t>
            </w:r>
          </w:p>
        </w:tc>
        <w:tc>
          <w:tcPr>
            <w:tcW w:w="7660" w:type="dxa"/>
            <w:vAlign w:val="bottom"/>
            <w:gridSpan w:val="2"/>
          </w:tcPr>
          <w:p>
            <w:pPr>
              <w:ind w:left="1960"/>
              <w:spacing w:after="0"/>
              <w:rPr>
                <w:sz w:val="20"/>
                <w:szCs w:val="20"/>
                <w:color w:val="auto"/>
              </w:rPr>
            </w:pPr>
            <w:r>
              <w:rPr>
                <w:rFonts w:ascii="Arial" w:cs="Arial" w:eastAsia="Arial" w:hAnsi="Arial"/>
                <w:sz w:val="18"/>
                <w:szCs w:val="18"/>
                <w:color w:val="auto"/>
              </w:rPr>
              <w:t>By:  /s/ Lawrence J. Salva</w:t>
            </w:r>
          </w:p>
        </w:tc>
        <w:tc>
          <w:tcPr>
            <w:tcW w:w="40" w:type="dxa"/>
            <w:vAlign w:val="bottom"/>
          </w:tcPr>
          <w:p>
            <w:pPr>
              <w:spacing w:after="0"/>
              <w:rPr>
                <w:sz w:val="24"/>
                <w:szCs w:val="24"/>
                <w:color w:val="auto"/>
              </w:rPr>
            </w:pPr>
          </w:p>
        </w:tc>
      </w:tr>
      <w:tr>
        <w:trPr>
          <w:trHeight w:val="195"/>
        </w:trPr>
        <w:tc>
          <w:tcPr>
            <w:tcW w:w="37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Lawrence J. Salva</w:t>
            </w:r>
          </w:p>
        </w:tc>
        <w:tc>
          <w:tcPr>
            <w:tcW w:w="40" w:type="dxa"/>
            <w:vAlign w:val="bottom"/>
          </w:tcPr>
          <w:p>
            <w:pPr>
              <w:spacing w:after="0"/>
              <w:rPr>
                <w:sz w:val="16"/>
                <w:szCs w:val="16"/>
                <w:color w:val="auto"/>
              </w:rPr>
            </w:pPr>
          </w:p>
        </w:tc>
      </w:tr>
      <w:tr>
        <w:trPr>
          <w:trHeight w:val="216"/>
        </w:trPr>
        <w:tc>
          <w:tcPr>
            <w:tcW w:w="37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Executive Vice President and Chief Accounting Officer</w:t>
            </w:r>
          </w:p>
        </w:tc>
        <w:tc>
          <w:tcPr>
            <w:tcW w:w="40" w:type="dxa"/>
            <w:vAlign w:val="bottom"/>
          </w:tcPr>
          <w:p>
            <w:pPr>
              <w:spacing w:after="0"/>
              <w:rPr>
                <w:sz w:val="18"/>
                <w:szCs w:val="18"/>
                <w:color w:val="auto"/>
              </w:rPr>
            </w:pPr>
          </w:p>
        </w:tc>
      </w:tr>
      <w:tr>
        <w:trPr>
          <w:trHeight w:val="230"/>
        </w:trPr>
        <w:tc>
          <w:tcPr>
            <w:tcW w:w="37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376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52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1440" w:gutter="0" w:footer="0" w:header="0"/>
        </w:sectPr>
      </w:pPr>
    </w:p>
    <w:bookmarkStart w:id="2" w:name="page3"/>
    <w:bookmarkEnd w:id="2"/>
    <w:p>
      <w:pPr>
        <w:spacing w:after="0" w:line="37" w:lineRule="exact"/>
        <w:rPr>
          <w:sz w:val="20"/>
          <w:szCs w:val="20"/>
          <w:color w:val="auto"/>
        </w:rPr>
      </w:pPr>
    </w:p>
    <w:p>
      <w:pPr>
        <w:ind w:left="10420"/>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1363345"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3345" cy="6000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884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20"/>
        <w:spacing w:after="0"/>
        <w:rPr>
          <w:sz w:val="20"/>
          <w:szCs w:val="20"/>
          <w:color w:val="auto"/>
        </w:rPr>
      </w:pPr>
      <w:r>
        <w:rPr>
          <w:rFonts w:ascii="Arial" w:cs="Arial" w:eastAsia="Arial" w:hAnsi="Arial"/>
          <w:sz w:val="22"/>
          <w:szCs w:val="22"/>
          <w:b w:val="1"/>
          <w:bCs w:val="1"/>
          <w:color w:val="auto"/>
        </w:rPr>
        <w:t>COMCAST REPORTS 3rd QUARTER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14605</wp:posOffset>
            </wp:positionV>
            <wp:extent cx="43649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3rd Quarter 2016 Highlights:</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Consolidated Revenue Increased 14.2%, Operating Income Increased 11.0%, Operating Cash Flow Increased 10.5%</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Net Cash Provided by Operating Activities was $4.1 Billion; Free Cash Flow was $1.4 Billion</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Earnings per Share Increased 15.0% to $0.92</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2"/>
        </w:numPr>
        <w:rPr>
          <w:rFonts w:ascii="Arial" w:cs="Arial" w:eastAsia="Arial" w:hAnsi="Arial"/>
          <w:sz w:val="22"/>
          <w:szCs w:val="22"/>
          <w:color w:val="auto"/>
        </w:rPr>
      </w:pPr>
      <w:r>
        <w:rPr>
          <w:rFonts w:ascii="Arial" w:cs="Arial" w:eastAsia="Arial" w:hAnsi="Arial"/>
          <w:sz w:val="18"/>
          <w:szCs w:val="18"/>
          <w:color w:val="auto"/>
        </w:rPr>
        <w:t>Dividends per Share Increased 10% and Share Repurchases were $1.4 billion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3rd Quarter 2016 Highlights:</w:t>
      </w:r>
    </w:p>
    <w:p>
      <w:pPr>
        <w:spacing w:after="0" w:line="157" w:lineRule="exact"/>
        <w:rPr>
          <w:sz w:val="20"/>
          <w:szCs w:val="20"/>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Cable Communications Revenue Increased 6.9% and Operating Cash Flow Increased 5.5%</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Customer Relationships Increased by 216,000, a 60,000 Improvement from the Third Quarter of 2015</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Total Revenue per Customer Relationship Increased 3.6%</w:t>
      </w:r>
    </w:p>
    <w:p>
      <w:pPr>
        <w:spacing w:after="0" w:line="174" w:lineRule="exact"/>
        <w:rPr>
          <w:rFonts w:ascii="Arial" w:cs="Arial" w:eastAsia="Arial" w:hAnsi="Arial"/>
          <w:sz w:val="22"/>
          <w:szCs w:val="22"/>
          <w:color w:val="auto"/>
        </w:rPr>
      </w:pPr>
    </w:p>
    <w:p>
      <w:pPr>
        <w:ind w:left="660" w:right="360" w:hanging="328"/>
        <w:spacing w:after="0" w:line="225" w:lineRule="auto"/>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Video Customers Increased by 32,000, the Best Third Quarter Result in 10 Years; Nearly 45% of Residential Video Customers Now Have X1</w:t>
      </w:r>
    </w:p>
    <w:p>
      <w:pPr>
        <w:spacing w:after="0" w:line="126"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High-Speed Internet Customers Increased by 330,000, the Best Third Quarter Result in 7 Years</w:t>
      </w:r>
    </w:p>
    <w:p>
      <w:pPr>
        <w:spacing w:after="0" w:line="138" w:lineRule="exact"/>
        <w:rPr>
          <w:rFonts w:ascii="Arial" w:cs="Arial" w:eastAsia="Arial" w:hAnsi="Arial"/>
          <w:sz w:val="22"/>
          <w:szCs w:val="22"/>
          <w:color w:val="auto"/>
        </w:rPr>
      </w:pPr>
    </w:p>
    <w:p>
      <w:pPr>
        <w:ind w:left="620" w:hanging="288"/>
        <w:spacing w:after="0"/>
        <w:tabs>
          <w:tab w:leader="none" w:pos="620" w:val="left"/>
        </w:tabs>
        <w:numPr>
          <w:ilvl w:val="0"/>
          <w:numId w:val="3"/>
        </w:numPr>
        <w:rPr>
          <w:rFonts w:ascii="Arial" w:cs="Arial" w:eastAsia="Arial" w:hAnsi="Arial"/>
          <w:sz w:val="22"/>
          <w:szCs w:val="22"/>
          <w:color w:val="auto"/>
        </w:rPr>
      </w:pPr>
      <w:r>
        <w:rPr>
          <w:rFonts w:ascii="Arial" w:cs="Arial" w:eastAsia="Arial" w:hAnsi="Arial"/>
          <w:sz w:val="18"/>
          <w:szCs w:val="18"/>
          <w:color w:val="auto"/>
        </w:rPr>
        <w:t>Business Services Revenue Increased 15.5%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3rd Quarter 2016 Highlights:</w:t>
      </w:r>
    </w:p>
    <w:p>
      <w:pPr>
        <w:spacing w:after="0" w:line="157" w:lineRule="exact"/>
        <w:rPr>
          <w:sz w:val="20"/>
          <w:szCs w:val="20"/>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NBCUniversal Revenue Increased 28.3% and Operating Cash Flow Increased 31.5%</w:t>
      </w:r>
    </w:p>
    <w:p>
      <w:pPr>
        <w:spacing w:after="0" w:line="174" w:lineRule="exact"/>
        <w:rPr>
          <w:rFonts w:ascii="Arial" w:cs="Arial" w:eastAsia="Arial" w:hAnsi="Arial"/>
          <w:sz w:val="22"/>
          <w:szCs w:val="22"/>
          <w:color w:val="auto"/>
        </w:rPr>
      </w:pPr>
    </w:p>
    <w:p>
      <w:pPr>
        <w:ind w:left="660" w:right="780" w:hanging="328"/>
        <w:spacing w:after="0" w:line="225"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Broadcast Operating Cash Flow More than Doubled, Driven by the Highly Successful 2016 Rio Olympics, Retransmission and Advertising Revenue</w:t>
      </w:r>
    </w:p>
    <w:p>
      <w:pPr>
        <w:spacing w:after="0" w:line="126" w:lineRule="exact"/>
        <w:rPr>
          <w:rFonts w:ascii="Arial" w:cs="Arial" w:eastAsia="Arial" w:hAnsi="Arial"/>
          <w:sz w:val="22"/>
          <w:szCs w:val="22"/>
          <w:color w:val="auto"/>
        </w:rPr>
      </w:pPr>
    </w:p>
    <w:p>
      <w:pPr>
        <w:ind w:left="620" w:hanging="288"/>
        <w:spacing w:after="0"/>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NBC Ranked #1 in Primetime Among Adults 18-49 for the 2015-2016 Season for the Third Straight Year</w:t>
      </w:r>
    </w:p>
    <w:p>
      <w:pPr>
        <w:spacing w:after="0" w:line="174" w:lineRule="exact"/>
        <w:rPr>
          <w:rFonts w:ascii="Arial" w:cs="Arial" w:eastAsia="Arial" w:hAnsi="Arial"/>
          <w:sz w:val="22"/>
          <w:szCs w:val="22"/>
          <w:color w:val="auto"/>
        </w:rPr>
      </w:pPr>
    </w:p>
    <w:p>
      <w:pPr>
        <w:ind w:left="660" w:right="500" w:hanging="328"/>
        <w:spacing w:after="0" w:line="225" w:lineRule="auto"/>
        <w:tabs>
          <w:tab w:leader="none" w:pos="620" w:val="left"/>
        </w:tabs>
        <w:numPr>
          <w:ilvl w:val="0"/>
          <w:numId w:val="4"/>
        </w:numPr>
        <w:rPr>
          <w:rFonts w:ascii="Arial" w:cs="Arial" w:eastAsia="Arial" w:hAnsi="Arial"/>
          <w:sz w:val="22"/>
          <w:szCs w:val="22"/>
          <w:color w:val="auto"/>
        </w:rPr>
      </w:pPr>
      <w:r>
        <w:rPr>
          <w:rFonts w:ascii="Arial" w:cs="Arial" w:eastAsia="Arial" w:hAnsi="Arial"/>
          <w:sz w:val="18"/>
          <w:szCs w:val="18"/>
          <w:color w:val="auto"/>
        </w:rPr>
        <w:t xml:space="preserve">Theme Parks Operating Cash Flow Increased 62.4%, Primarily Reflecting the Inclusion of Universal Studios Japan, as well as the Continued Success of </w:t>
      </w:r>
      <w:r>
        <w:rPr>
          <w:rFonts w:ascii="Arial" w:cs="Arial" w:eastAsia="Arial" w:hAnsi="Arial"/>
          <w:sz w:val="18"/>
          <w:szCs w:val="18"/>
          <w:i w:val="1"/>
          <w:iCs w:val="1"/>
          <w:color w:val="auto"/>
        </w:rPr>
        <w:t>The Wizarding World of Harry Potter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in Hollywood</w:t>
      </w:r>
    </w:p>
    <w:p>
      <w:pPr>
        <w:spacing w:after="0" w:line="13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PHILADELPHIA – October 26, 2016… Comcast Corporation (NASDAQ: CMCSA) today reported results for the quarter ended September 30, 2016.</w:t>
      </w:r>
    </w:p>
    <w:p>
      <w:pPr>
        <w:spacing w:after="0" w:line="1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Brian L. Roberts, Chairman and Chief Executive Officer of Comcast Corporation, said, “I’m pleased to report that our businesses generated double-digit revenue and operating cash flow growth for the third quarter of 2016. Cable delivered solid operating cash flow growth coupled with great customer metrics, and has now added 170,000 video subscribers over the past twelve months. The Rio Olympics were the most profitable and successful games in our history, and demonstrated our ability to deliver an unparalleled entertainment experience through NBCUniversal together with Comcast Cable and the X1 platform. NBCUniversal reported operating cash flow growth of over 30%, benefitting from the Olympics, continued growth at our Theme Parks, and the theatrical success of </w:t>
      </w:r>
      <w:r>
        <w:rPr>
          <w:rFonts w:ascii="Arial" w:cs="Arial" w:eastAsia="Arial" w:hAnsi="Arial"/>
          <w:sz w:val="18"/>
          <w:szCs w:val="18"/>
          <w:i w:val="1"/>
          <w:iCs w:val="1"/>
          <w:color w:val="auto"/>
        </w:rPr>
        <w:t>The Secret Life of Pets</w:t>
      </w:r>
      <w:r>
        <w:rPr>
          <w:rFonts w:ascii="Arial" w:cs="Arial" w:eastAsia="Arial" w:hAnsi="Arial"/>
          <w:sz w:val="18"/>
          <w:szCs w:val="18"/>
          <w:color w:val="auto"/>
        </w:rPr>
        <w:t xml:space="preserve"> this quarter. I’m proud of our consistent execution and excited about the opportunities ahead for Comcast 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Results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080" w:type="dxa"/>
            <w:vAlign w:val="bottom"/>
            <w:tcBorders>
              <w:top w:val="single" w:sz="8" w:color="0050B9"/>
            </w:tcBorders>
          </w:tcPr>
          <w:p>
            <w:pPr>
              <w:spacing w:after="0"/>
              <w:rPr>
                <w:sz w:val="16"/>
                <w:szCs w:val="16"/>
                <w:color w:val="auto"/>
              </w:rPr>
            </w:pPr>
          </w:p>
        </w:tc>
        <w:tc>
          <w:tcPr>
            <w:tcW w:w="1380" w:type="dxa"/>
            <w:vAlign w:val="bottom"/>
            <w:tcBorders>
              <w:top w:val="single" w:sz="8" w:color="0050B9"/>
            </w:tcBorders>
          </w:tcPr>
          <w:p>
            <w:pPr>
              <w:spacing w:after="0"/>
              <w:rPr>
                <w:sz w:val="16"/>
                <w:szCs w:val="16"/>
                <w:color w:val="auto"/>
              </w:rPr>
            </w:pPr>
          </w:p>
        </w:tc>
        <w:tc>
          <w:tcPr>
            <w:tcW w:w="1280" w:type="dxa"/>
            <w:vAlign w:val="bottom"/>
            <w:tcBorders>
              <w:top w:val="single" w:sz="8" w:color="0050B9"/>
            </w:tcBorders>
          </w:tcPr>
          <w:p>
            <w:pPr>
              <w:jc w:val="right"/>
              <w:ind w:right="388"/>
              <w:spacing w:after="0"/>
              <w:rPr>
                <w:sz w:val="20"/>
                <w:szCs w:val="20"/>
                <w:color w:val="auto"/>
              </w:rPr>
            </w:pPr>
            <w:r>
              <w:rPr>
                <w:rFonts w:ascii="Arial" w:cs="Arial" w:eastAsia="Arial" w:hAnsi="Arial"/>
                <w:sz w:val="14"/>
                <w:szCs w:val="14"/>
                <w:color w:val="auto"/>
              </w:rPr>
              <w:t>3rd Quarter</w:t>
            </w:r>
          </w:p>
        </w:tc>
        <w:tc>
          <w:tcPr>
            <w:tcW w:w="1420" w:type="dxa"/>
            <w:vAlign w:val="bottom"/>
            <w:tcBorders>
              <w:top w:val="single" w:sz="8" w:color="0050B9"/>
            </w:tcBorders>
          </w:tcPr>
          <w:p>
            <w:pPr>
              <w:spacing w:after="0"/>
              <w:rPr>
                <w:sz w:val="16"/>
                <w:szCs w:val="16"/>
                <w:color w:val="auto"/>
              </w:rPr>
            </w:pPr>
          </w:p>
        </w:tc>
        <w:tc>
          <w:tcPr>
            <w:tcW w:w="1160" w:type="dxa"/>
            <w:vAlign w:val="bottom"/>
            <w:tcBorders>
              <w:top w:val="single" w:sz="8" w:color="0050B9"/>
            </w:tcBorders>
          </w:tcPr>
          <w:p>
            <w:pPr>
              <w:spacing w:after="0"/>
              <w:rPr>
                <w:sz w:val="16"/>
                <w:szCs w:val="16"/>
                <w:color w:val="auto"/>
              </w:rPr>
            </w:pPr>
          </w:p>
        </w:tc>
        <w:tc>
          <w:tcPr>
            <w:tcW w:w="1280" w:type="dxa"/>
            <w:vAlign w:val="bottom"/>
            <w:tcBorders>
              <w:top w:val="single" w:sz="8" w:color="0050B9"/>
            </w:tcBorders>
          </w:tcPr>
          <w:p>
            <w:pPr>
              <w:jc w:val="right"/>
              <w:ind w:right="348"/>
              <w:spacing w:after="0"/>
              <w:rPr>
                <w:sz w:val="20"/>
                <w:szCs w:val="20"/>
                <w:color w:val="auto"/>
              </w:rPr>
            </w:pPr>
            <w:r>
              <w:rPr>
                <w:rFonts w:ascii="Arial" w:cs="Arial" w:eastAsia="Arial" w:hAnsi="Arial"/>
                <w:sz w:val="14"/>
                <w:szCs w:val="14"/>
                <w:color w:val="auto"/>
              </w:rPr>
              <w:t>Year to Date</w:t>
            </w:r>
          </w:p>
        </w:tc>
        <w:tc>
          <w:tcPr>
            <w:tcW w:w="820" w:type="dxa"/>
            <w:vAlign w:val="bottom"/>
            <w:tcBorders>
              <w:top w:val="single" w:sz="8" w:color="0050B9"/>
            </w:tcBorders>
          </w:tcPr>
          <w:p>
            <w:pPr>
              <w:spacing w:after="0"/>
              <w:rPr>
                <w:sz w:val="16"/>
                <w:szCs w:val="16"/>
                <w:color w:val="auto"/>
              </w:rPr>
            </w:pPr>
          </w:p>
        </w:tc>
      </w:tr>
      <w:tr>
        <w:trPr>
          <w:trHeight w:val="164"/>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1"/>
                <w:szCs w:val="11"/>
                <w:i w:val="1"/>
                <w:iCs w:val="1"/>
                <w:color w:val="auto"/>
              </w:rPr>
              <w:t>($ in millions)</w:t>
            </w:r>
          </w:p>
        </w:tc>
        <w:tc>
          <w:tcPr>
            <w:tcW w:w="1380" w:type="dxa"/>
            <w:vAlign w:val="bottom"/>
            <w:tcBorders>
              <w:bottom w:val="single" w:sz="8" w:color="auto"/>
            </w:tcBorders>
          </w:tcPr>
          <w:p>
            <w:pPr>
              <w:jc w:val="right"/>
              <w:ind w:right="8"/>
              <w:spacing w:after="0" w:line="157" w:lineRule="exact"/>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1420" w:type="dxa"/>
            <w:vAlign w:val="bottom"/>
            <w:tcBorders>
              <w:bottom w:val="single" w:sz="8" w:color="auto"/>
            </w:tcBorders>
          </w:tcPr>
          <w:p>
            <w:pPr>
              <w:jc w:val="right"/>
              <w:ind w:right="508"/>
              <w:spacing w:after="0" w:line="157" w:lineRule="exact"/>
              <w:rPr>
                <w:sz w:val="20"/>
                <w:szCs w:val="20"/>
                <w:color w:val="auto"/>
              </w:rPr>
            </w:pPr>
            <w:r>
              <w:rPr>
                <w:rFonts w:ascii="Arial" w:cs="Arial" w:eastAsia="Arial" w:hAnsi="Arial"/>
                <w:sz w:val="14"/>
                <w:szCs w:val="14"/>
                <w:color w:val="auto"/>
              </w:rPr>
              <w:t>Growth</w:t>
            </w:r>
          </w:p>
        </w:tc>
        <w:tc>
          <w:tcPr>
            <w:tcW w:w="11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2015</w:t>
            </w:r>
          </w:p>
        </w:tc>
        <w:tc>
          <w:tcPr>
            <w:tcW w:w="1280" w:type="dxa"/>
            <w:vAlign w:val="bottom"/>
            <w:tcBorders>
              <w:bottom w:val="single" w:sz="8" w:color="auto"/>
            </w:tcBorders>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8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Growth</w:t>
            </w:r>
          </w:p>
        </w:tc>
      </w:tr>
      <w:tr>
        <w:trPr>
          <w:trHeight w:val="153"/>
        </w:trPr>
        <w:tc>
          <w:tcPr>
            <w:tcW w:w="4080" w:type="dxa"/>
            <w:vAlign w:val="bottom"/>
          </w:tcPr>
          <w:p>
            <w:pPr>
              <w:ind w:left="40"/>
              <w:spacing w:after="0" w:line="153" w:lineRule="exact"/>
              <w:rPr>
                <w:sz w:val="20"/>
                <w:szCs w:val="20"/>
                <w:color w:val="auto"/>
              </w:rPr>
            </w:pPr>
            <w:r>
              <w:rPr>
                <w:rFonts w:ascii="Arial" w:cs="Arial" w:eastAsia="Arial" w:hAnsi="Arial"/>
                <w:sz w:val="14"/>
                <w:szCs w:val="14"/>
                <w:color w:val="auto"/>
              </w:rPr>
              <w:t>Revenue</w:t>
            </w:r>
          </w:p>
        </w:tc>
        <w:tc>
          <w:tcPr>
            <w:tcW w:w="1380" w:type="dxa"/>
            <w:vAlign w:val="bottom"/>
          </w:tcPr>
          <w:p>
            <w:pPr>
              <w:jc w:val="right"/>
              <w:ind w:right="8"/>
              <w:spacing w:after="0" w:line="153" w:lineRule="exact"/>
              <w:rPr>
                <w:sz w:val="20"/>
                <w:szCs w:val="20"/>
                <w:color w:val="auto"/>
              </w:rPr>
            </w:pPr>
            <w:r>
              <w:rPr>
                <w:rFonts w:ascii="Arial" w:cs="Arial" w:eastAsia="Arial" w:hAnsi="Arial"/>
                <w:sz w:val="14"/>
                <w:szCs w:val="14"/>
                <w:color w:val="auto"/>
              </w:rPr>
              <w:t>$18,669</w:t>
            </w:r>
          </w:p>
        </w:tc>
        <w:tc>
          <w:tcPr>
            <w:tcW w:w="128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$21,319</w:t>
            </w:r>
          </w:p>
        </w:tc>
        <w:tc>
          <w:tcPr>
            <w:tcW w:w="1420" w:type="dxa"/>
            <w:vAlign w:val="bottom"/>
          </w:tcPr>
          <w:p>
            <w:pPr>
              <w:jc w:val="right"/>
              <w:ind w:right="508"/>
              <w:spacing w:after="0" w:line="153" w:lineRule="exact"/>
              <w:rPr>
                <w:sz w:val="20"/>
                <w:szCs w:val="20"/>
                <w:color w:val="auto"/>
              </w:rPr>
            </w:pPr>
            <w:r>
              <w:rPr>
                <w:rFonts w:ascii="Arial" w:cs="Arial" w:eastAsia="Arial" w:hAnsi="Arial"/>
                <w:sz w:val="14"/>
                <w:szCs w:val="14"/>
                <w:color w:val="auto"/>
              </w:rPr>
              <w:t>14.2%</w:t>
            </w:r>
          </w:p>
        </w:tc>
        <w:tc>
          <w:tcPr>
            <w:tcW w:w="1160" w:type="dxa"/>
            <w:vAlign w:val="bottom"/>
          </w:tcPr>
          <w:p>
            <w:pPr>
              <w:jc w:val="right"/>
              <w:spacing w:after="0" w:line="153" w:lineRule="exact"/>
              <w:rPr>
                <w:sz w:val="20"/>
                <w:szCs w:val="20"/>
                <w:color w:val="auto"/>
              </w:rPr>
            </w:pPr>
            <w:r>
              <w:rPr>
                <w:rFonts w:ascii="Arial" w:cs="Arial" w:eastAsia="Arial" w:hAnsi="Arial"/>
                <w:sz w:val="14"/>
                <w:szCs w:val="14"/>
                <w:color w:val="auto"/>
              </w:rPr>
              <w:t>$55,265</w:t>
            </w:r>
          </w:p>
        </w:tc>
        <w:tc>
          <w:tcPr>
            <w:tcW w:w="1280" w:type="dxa"/>
            <w:vAlign w:val="bottom"/>
          </w:tcPr>
          <w:p>
            <w:pPr>
              <w:jc w:val="right"/>
              <w:ind w:right="248"/>
              <w:spacing w:after="0" w:line="153" w:lineRule="exact"/>
              <w:rPr>
                <w:sz w:val="20"/>
                <w:szCs w:val="20"/>
                <w:color w:val="auto"/>
              </w:rPr>
            </w:pPr>
            <w:r>
              <w:rPr>
                <w:rFonts w:ascii="Arial" w:cs="Arial" w:eastAsia="Arial" w:hAnsi="Arial"/>
                <w:sz w:val="14"/>
                <w:szCs w:val="14"/>
                <w:color w:val="auto"/>
              </w:rPr>
              <w:t>$59,378</w:t>
            </w:r>
          </w:p>
        </w:tc>
        <w:tc>
          <w:tcPr>
            <w:tcW w:w="820" w:type="dxa"/>
            <w:vAlign w:val="bottom"/>
          </w:tcPr>
          <w:p>
            <w:pPr>
              <w:jc w:val="right"/>
              <w:spacing w:after="0" w:line="153" w:lineRule="exact"/>
              <w:rPr>
                <w:sz w:val="20"/>
                <w:szCs w:val="20"/>
                <w:color w:val="auto"/>
              </w:rPr>
            </w:pPr>
            <w:r>
              <w:rPr>
                <w:rFonts w:ascii="Arial" w:cs="Arial" w:eastAsia="Arial" w:hAnsi="Arial"/>
                <w:sz w:val="14"/>
                <w:szCs w:val="14"/>
                <w:color w:val="auto"/>
              </w:rPr>
              <w:t>7.4%</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Olympics and Super Bowl (see Table 7)</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i w:val="1"/>
                <w:iCs w:val="1"/>
                <w:color w:val="auto"/>
              </w:rPr>
              <w:t>$18,669</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$19,699</w:t>
            </w: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i w:val="1"/>
                <w:iCs w:val="1"/>
                <w:color w:val="auto"/>
              </w:rPr>
              <w:t>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$54,889</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$57,758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5.2%</w:t>
            </w: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Operating Income</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$4,001</w:t>
            </w:r>
          </w:p>
        </w:tc>
        <w:tc>
          <w:tcPr>
            <w:tcW w:w="12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$4,440</w:t>
            </w:r>
          </w:p>
        </w:tc>
        <w:tc>
          <w:tcPr>
            <w:tcW w:w="14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11.0%</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$11,996</w:t>
            </w:r>
          </w:p>
        </w:tc>
        <w:tc>
          <w:tcPr>
            <w:tcW w:w="12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$12,595</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r>
      <w:tr>
        <w:trPr>
          <w:trHeight w:val="146"/>
        </w:trPr>
        <w:tc>
          <w:tcPr>
            <w:tcW w:w="4080" w:type="dxa"/>
            <w:vAlign w:val="bottom"/>
          </w:tcPr>
          <w:p>
            <w:pPr>
              <w:ind w:left="40"/>
              <w:spacing w:after="0" w:line="147" w:lineRule="exact"/>
              <w:rPr>
                <w:sz w:val="20"/>
                <w:szCs w:val="20"/>
                <w:color w:val="auto"/>
              </w:rPr>
            </w:pPr>
            <w:r>
              <w:rPr>
                <w:rFonts w:ascii="Arial" w:cs="Arial" w:eastAsia="Arial" w:hAnsi="Arial"/>
                <w:sz w:val="14"/>
                <w:szCs w:val="14"/>
                <w:color w:val="auto"/>
              </w:rPr>
              <w:t>Operating Cash Flow</w:t>
            </w:r>
            <w:r>
              <w:rPr>
                <w:rFonts w:ascii="Arial" w:cs="Arial" w:eastAsia="Arial" w:hAnsi="Arial"/>
                <w:sz w:val="14"/>
                <w:szCs w:val="14"/>
                <w:color w:val="auto"/>
                <w:vertAlign w:val="superscript"/>
              </w:rPr>
              <w:t>1</w:t>
            </w:r>
          </w:p>
        </w:tc>
        <w:tc>
          <w:tcPr>
            <w:tcW w:w="1380" w:type="dxa"/>
            <w:vAlign w:val="bottom"/>
          </w:tcPr>
          <w:p>
            <w:pPr>
              <w:jc w:val="right"/>
              <w:ind w:right="8"/>
              <w:spacing w:after="0" w:line="147" w:lineRule="exact"/>
              <w:rPr>
                <w:sz w:val="20"/>
                <w:szCs w:val="20"/>
                <w:color w:val="auto"/>
              </w:rPr>
            </w:pPr>
            <w:r>
              <w:rPr>
                <w:rFonts w:ascii="Arial" w:cs="Arial" w:eastAsia="Arial" w:hAnsi="Arial"/>
                <w:sz w:val="14"/>
                <w:szCs w:val="14"/>
                <w:color w:val="auto"/>
              </w:rPr>
              <w:t>$6,184</w:t>
            </w:r>
          </w:p>
        </w:tc>
        <w:tc>
          <w:tcPr>
            <w:tcW w:w="128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$6,835</w:t>
            </w:r>
          </w:p>
        </w:tc>
        <w:tc>
          <w:tcPr>
            <w:tcW w:w="1420" w:type="dxa"/>
            <w:vAlign w:val="bottom"/>
          </w:tcPr>
          <w:p>
            <w:pPr>
              <w:jc w:val="right"/>
              <w:ind w:right="508"/>
              <w:spacing w:after="0" w:line="147" w:lineRule="exact"/>
              <w:rPr>
                <w:sz w:val="20"/>
                <w:szCs w:val="20"/>
                <w:color w:val="auto"/>
              </w:rPr>
            </w:pPr>
            <w:r>
              <w:rPr>
                <w:rFonts w:ascii="Arial" w:cs="Arial" w:eastAsia="Arial" w:hAnsi="Arial"/>
                <w:sz w:val="14"/>
                <w:szCs w:val="14"/>
                <w:color w:val="auto"/>
              </w:rPr>
              <w:t>10.5%</w:t>
            </w: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$18,406</w:t>
            </w:r>
          </w:p>
        </w:tc>
        <w:tc>
          <w:tcPr>
            <w:tcW w:w="128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$19,657</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6.8%</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Transaction-Related Costs (see Table 7)</w:t>
            </w:r>
          </w:p>
        </w:tc>
        <w:tc>
          <w:tcPr>
            <w:tcW w:w="1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$18,584</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$19,657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5.8%</w:t>
            </w:r>
          </w:p>
        </w:tc>
      </w:tr>
      <w:tr>
        <w:trPr>
          <w:trHeight w:val="146"/>
        </w:trPr>
        <w:tc>
          <w:tcPr>
            <w:tcW w:w="4080" w:type="dxa"/>
            <w:vAlign w:val="bottom"/>
          </w:tcPr>
          <w:p>
            <w:pPr>
              <w:ind w:left="40"/>
              <w:spacing w:after="0" w:line="147" w:lineRule="exact"/>
              <w:rPr>
                <w:sz w:val="20"/>
                <w:szCs w:val="20"/>
                <w:color w:val="auto"/>
              </w:rPr>
            </w:pPr>
            <w:r>
              <w:rPr>
                <w:rFonts w:ascii="Arial" w:cs="Arial" w:eastAsia="Arial" w:hAnsi="Arial"/>
                <w:sz w:val="14"/>
                <w:szCs w:val="14"/>
                <w:color w:val="auto"/>
              </w:rPr>
              <w:t>Earnings per Share</w:t>
            </w:r>
            <w:r>
              <w:rPr>
                <w:rFonts w:ascii="Arial" w:cs="Arial" w:eastAsia="Arial" w:hAnsi="Arial"/>
                <w:sz w:val="14"/>
                <w:szCs w:val="14"/>
                <w:color w:val="auto"/>
                <w:vertAlign w:val="superscript"/>
              </w:rPr>
              <w:t>2</w:t>
            </w:r>
          </w:p>
        </w:tc>
        <w:tc>
          <w:tcPr>
            <w:tcW w:w="1380" w:type="dxa"/>
            <w:vAlign w:val="bottom"/>
          </w:tcPr>
          <w:p>
            <w:pPr>
              <w:jc w:val="right"/>
              <w:ind w:right="8"/>
              <w:spacing w:after="0" w:line="147" w:lineRule="exact"/>
              <w:rPr>
                <w:sz w:val="20"/>
                <w:szCs w:val="20"/>
                <w:color w:val="auto"/>
              </w:rPr>
            </w:pPr>
            <w:r>
              <w:rPr>
                <w:rFonts w:ascii="Arial" w:cs="Arial" w:eastAsia="Arial" w:hAnsi="Arial"/>
                <w:sz w:val="14"/>
                <w:szCs w:val="14"/>
                <w:color w:val="auto"/>
              </w:rPr>
              <w:t>$0.80</w:t>
            </w:r>
          </w:p>
        </w:tc>
        <w:tc>
          <w:tcPr>
            <w:tcW w:w="128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$0.92</w:t>
            </w:r>
          </w:p>
        </w:tc>
        <w:tc>
          <w:tcPr>
            <w:tcW w:w="1420" w:type="dxa"/>
            <w:vAlign w:val="bottom"/>
          </w:tcPr>
          <w:p>
            <w:pPr>
              <w:jc w:val="right"/>
              <w:ind w:right="508"/>
              <w:spacing w:after="0" w:line="147" w:lineRule="exact"/>
              <w:rPr>
                <w:sz w:val="20"/>
                <w:szCs w:val="20"/>
                <w:color w:val="auto"/>
              </w:rPr>
            </w:pPr>
            <w:r>
              <w:rPr>
                <w:rFonts w:ascii="Arial" w:cs="Arial" w:eastAsia="Arial" w:hAnsi="Arial"/>
                <w:sz w:val="14"/>
                <w:szCs w:val="14"/>
                <w:color w:val="auto"/>
              </w:rPr>
              <w:t>15.0%</w:t>
            </w:r>
          </w:p>
        </w:tc>
        <w:tc>
          <w:tcPr>
            <w:tcW w:w="1160" w:type="dxa"/>
            <w:vAlign w:val="bottom"/>
          </w:tcPr>
          <w:p>
            <w:pPr>
              <w:jc w:val="right"/>
              <w:spacing w:after="0" w:line="147" w:lineRule="exact"/>
              <w:rPr>
                <w:sz w:val="20"/>
                <w:szCs w:val="20"/>
                <w:color w:val="auto"/>
              </w:rPr>
            </w:pPr>
            <w:r>
              <w:rPr>
                <w:rFonts w:ascii="Arial" w:cs="Arial" w:eastAsia="Arial" w:hAnsi="Arial"/>
                <w:sz w:val="14"/>
                <w:szCs w:val="14"/>
                <w:color w:val="auto"/>
              </w:rPr>
              <w:t>$2.45</w:t>
            </w:r>
          </w:p>
        </w:tc>
        <w:tc>
          <w:tcPr>
            <w:tcW w:w="1280" w:type="dxa"/>
            <w:vAlign w:val="bottom"/>
          </w:tcPr>
          <w:p>
            <w:pPr>
              <w:jc w:val="right"/>
              <w:ind w:right="248"/>
              <w:spacing w:after="0" w:line="147" w:lineRule="exact"/>
              <w:rPr>
                <w:sz w:val="20"/>
                <w:szCs w:val="20"/>
                <w:color w:val="auto"/>
              </w:rPr>
            </w:pPr>
            <w:r>
              <w:rPr>
                <w:rFonts w:ascii="Arial" w:cs="Arial" w:eastAsia="Arial" w:hAnsi="Arial"/>
                <w:sz w:val="14"/>
                <w:szCs w:val="14"/>
                <w:color w:val="auto"/>
              </w:rPr>
              <w:t>$2.62</w:t>
            </w:r>
          </w:p>
        </w:tc>
        <w:tc>
          <w:tcPr>
            <w:tcW w:w="820" w:type="dxa"/>
            <w:vAlign w:val="bottom"/>
          </w:tcPr>
          <w:p>
            <w:pPr>
              <w:jc w:val="right"/>
              <w:spacing w:after="0" w:line="147" w:lineRule="exact"/>
              <w:rPr>
                <w:sz w:val="20"/>
                <w:szCs w:val="20"/>
                <w:color w:val="auto"/>
              </w:rPr>
            </w:pPr>
            <w:r>
              <w:rPr>
                <w:rFonts w:ascii="Arial" w:cs="Arial" w:eastAsia="Arial" w:hAnsi="Arial"/>
                <w:sz w:val="14"/>
                <w:szCs w:val="14"/>
                <w:color w:val="auto"/>
              </w:rPr>
              <w:t>6.9%</w:t>
            </w:r>
          </w:p>
        </w:tc>
      </w:tr>
      <w:tr>
        <w:trPr>
          <w:trHeight w:val="171"/>
        </w:trPr>
        <w:tc>
          <w:tcPr>
            <w:tcW w:w="40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Excluding Adjustments (see Table 5)</w:t>
            </w:r>
          </w:p>
        </w:tc>
        <w:tc>
          <w:tcPr>
            <w:tcW w:w="1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$2.43</w:t>
            </w:r>
          </w:p>
        </w:tc>
        <w:tc>
          <w:tcPr>
            <w:tcW w:w="12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i w:val="1"/>
                <w:iCs w:val="1"/>
                <w:color w:val="auto"/>
              </w:rPr>
              <w:t>$2.59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6.6%</w:t>
            </w:r>
          </w:p>
        </w:tc>
      </w:tr>
      <w:tr>
        <w:trPr>
          <w:trHeight w:val="156"/>
        </w:trPr>
        <w:tc>
          <w:tcPr>
            <w:tcW w:w="408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138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$4,979</w:t>
            </w:r>
          </w:p>
        </w:tc>
        <w:tc>
          <w:tcPr>
            <w:tcW w:w="12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$4,114</w:t>
            </w:r>
          </w:p>
        </w:tc>
        <w:tc>
          <w:tcPr>
            <w:tcW w:w="1420" w:type="dxa"/>
            <w:vAlign w:val="bottom"/>
            <w:tcBorders>
              <w:bottom w:val="single" w:sz="8" w:color="auto"/>
            </w:tcBorders>
          </w:tcPr>
          <w:p>
            <w:pPr>
              <w:jc w:val="right"/>
              <w:ind w:right="508"/>
              <w:spacing w:after="0" w:line="155" w:lineRule="exact"/>
              <w:rPr>
                <w:sz w:val="20"/>
                <w:szCs w:val="20"/>
                <w:color w:val="auto"/>
              </w:rPr>
            </w:pPr>
            <w:r>
              <w:rPr>
                <w:rFonts w:ascii="Arial" w:cs="Arial" w:eastAsia="Arial" w:hAnsi="Arial"/>
                <w:sz w:val="14"/>
                <w:szCs w:val="14"/>
                <w:color w:val="auto"/>
              </w:rPr>
              <w:t>(17.4%)</w:t>
            </w: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$13,813</w:t>
            </w:r>
          </w:p>
        </w:tc>
        <w:tc>
          <w:tcPr>
            <w:tcW w:w="12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$13,497</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w:t>
            </w:r>
          </w:p>
        </w:tc>
      </w:tr>
      <w:tr>
        <w:trPr>
          <w:trHeight w:val="179"/>
        </w:trPr>
        <w:tc>
          <w:tcPr>
            <w:tcW w:w="4080" w:type="dxa"/>
            <w:vAlign w:val="bottom"/>
          </w:tcPr>
          <w:p>
            <w:pPr>
              <w:ind w:left="40"/>
              <w:spacing w:after="0"/>
              <w:rPr>
                <w:sz w:val="20"/>
                <w:szCs w:val="20"/>
                <w:color w:val="auto"/>
              </w:rPr>
            </w:pPr>
            <w:r>
              <w:rPr>
                <w:rFonts w:ascii="Arial" w:cs="Arial" w:eastAsia="Arial" w:hAnsi="Arial"/>
                <w:sz w:val="14"/>
                <w:szCs w:val="14"/>
                <w:color w:val="auto"/>
              </w:rPr>
              <w:t>Free Cash Flow</w:t>
            </w:r>
            <w:r>
              <w:rPr>
                <w:rFonts w:ascii="Arial" w:cs="Arial" w:eastAsia="Arial" w:hAnsi="Arial"/>
                <w:sz w:val="14"/>
                <w:szCs w:val="14"/>
                <w:color w:val="auto"/>
                <w:vertAlign w:val="superscript"/>
              </w:rPr>
              <w:t>3</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$2,663</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$1,371</w:t>
            </w:r>
          </w:p>
        </w:tc>
        <w:tc>
          <w:tcPr>
            <w:tcW w:w="1420" w:type="dxa"/>
            <w:vAlign w:val="bottom"/>
          </w:tcPr>
          <w:p>
            <w:pPr>
              <w:jc w:val="right"/>
              <w:ind w:right="508"/>
              <w:spacing w:after="0"/>
              <w:rPr>
                <w:sz w:val="20"/>
                <w:szCs w:val="20"/>
                <w:color w:val="auto"/>
              </w:rPr>
            </w:pPr>
            <w:r>
              <w:rPr>
                <w:rFonts w:ascii="Arial" w:cs="Arial" w:eastAsia="Arial" w:hAnsi="Arial"/>
                <w:sz w:val="14"/>
                <w:szCs w:val="14"/>
                <w:color w:val="auto"/>
              </w:rPr>
              <w:t>(48.5%)</w:t>
            </w:r>
          </w:p>
        </w:tc>
        <w:tc>
          <w:tcPr>
            <w:tcW w:w="1160" w:type="dxa"/>
            <w:vAlign w:val="bottom"/>
          </w:tcPr>
          <w:p>
            <w:pPr>
              <w:jc w:val="right"/>
              <w:spacing w:after="0"/>
              <w:rPr>
                <w:sz w:val="20"/>
                <w:szCs w:val="20"/>
                <w:color w:val="auto"/>
              </w:rPr>
            </w:pPr>
            <w:r>
              <w:rPr>
                <w:rFonts w:ascii="Arial" w:cs="Arial" w:eastAsia="Arial" w:hAnsi="Arial"/>
                <w:sz w:val="14"/>
                <w:szCs w:val="14"/>
                <w:color w:val="auto"/>
              </w:rPr>
              <w:t>$7,347</w:t>
            </w:r>
          </w:p>
        </w:tc>
        <w:tc>
          <w:tcPr>
            <w:tcW w:w="1280" w:type="dxa"/>
            <w:vAlign w:val="bottom"/>
          </w:tcPr>
          <w:p>
            <w:pPr>
              <w:jc w:val="right"/>
              <w:ind w:right="248"/>
              <w:spacing w:after="0"/>
              <w:rPr>
                <w:sz w:val="20"/>
                <w:szCs w:val="20"/>
                <w:color w:val="auto"/>
              </w:rPr>
            </w:pPr>
            <w:r>
              <w:rPr>
                <w:rFonts w:ascii="Arial" w:cs="Arial" w:eastAsia="Arial" w:hAnsi="Arial"/>
                <w:sz w:val="14"/>
                <w:szCs w:val="14"/>
                <w:color w:val="auto"/>
              </w:rPr>
              <w:t>$5,596</w:t>
            </w:r>
          </w:p>
        </w:tc>
        <w:tc>
          <w:tcPr>
            <w:tcW w:w="820" w:type="dxa"/>
            <w:vAlign w:val="bottom"/>
          </w:tcPr>
          <w:p>
            <w:pPr>
              <w:jc w:val="right"/>
              <w:spacing w:after="0"/>
              <w:rPr>
                <w:sz w:val="20"/>
                <w:szCs w:val="20"/>
                <w:color w:val="auto"/>
              </w:rPr>
            </w:pPr>
            <w:r>
              <w:rPr>
                <w:rFonts w:ascii="Arial" w:cs="Arial" w:eastAsia="Arial" w:hAnsi="Arial"/>
                <w:sz w:val="14"/>
                <w:szCs w:val="14"/>
                <w:color w:val="auto"/>
              </w:rPr>
              <w:t>(23.8%)</w:t>
            </w:r>
          </w:p>
        </w:tc>
      </w:tr>
    </w:tbl>
    <w:p>
      <w:pPr>
        <w:spacing w:after="0" w:line="19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additional detail on segment revenue and expenses, customer metrics, capital expenditures, and free cash flow, please refer to the trending schedules on Comcast’s Investor Relations website at www.cmcsa.com.</w:t>
      </w:r>
    </w:p>
    <w:p>
      <w:pPr>
        <w:spacing w:after="0" w:line="1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Consolidated Revenue </w:t>
      </w:r>
      <w:r>
        <w:rPr>
          <w:rFonts w:ascii="Arial" w:cs="Arial" w:eastAsia="Arial" w:hAnsi="Arial"/>
          <w:sz w:val="18"/>
          <w:szCs w:val="18"/>
          <w:color w:val="auto"/>
        </w:rPr>
        <w:t>for the third quarter of 2016 increased 14.2% to $ 21.3 billion, including $1.6 billion of revenue generated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broadcast of the 2016 Rio Olympics in the third quarter of 2016, of which $1.2 billion is related to advertising revenue. Excluding the Olympics, consolidated revenue increased 5.5% (see Table 7). </w:t>
      </w:r>
      <w:r>
        <w:rPr>
          <w:rFonts w:ascii="Arial" w:cs="Arial" w:eastAsia="Arial" w:hAnsi="Arial"/>
          <w:sz w:val="18"/>
          <w:szCs w:val="18"/>
          <w:b w:val="1"/>
          <w:bCs w:val="1"/>
          <w:i w:val="1"/>
          <w:iCs w:val="1"/>
          <w:color w:val="auto"/>
        </w:rPr>
        <w:t>Consolidated Operating Income</w:t>
      </w:r>
      <w:r>
        <w:rPr>
          <w:rFonts w:ascii="Arial" w:cs="Arial" w:eastAsia="Arial" w:hAnsi="Arial"/>
          <w:sz w:val="18"/>
          <w:szCs w:val="18"/>
          <w:color w:val="auto"/>
        </w:rPr>
        <w:t xml:space="preserve"> increased 11.0% to $4.4 billion. </w:t>
      </w:r>
      <w:r>
        <w:rPr>
          <w:rFonts w:ascii="Arial" w:cs="Arial" w:eastAsia="Arial" w:hAnsi="Arial"/>
          <w:sz w:val="18"/>
          <w:szCs w:val="18"/>
          <w:b w:val="1"/>
          <w:bCs w:val="1"/>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increased 10.5% to $6.8 billion.</w:t>
      </w:r>
    </w:p>
    <w:p>
      <w:pPr>
        <w:spacing w:after="0" w:line="1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2016, consolidated revenue increased 7.4% to $59.4 billion compared to 2015. Excluding $1.6 billion of revenue generated by the broadcast of the 2016 Rio Olympics in the third quarter of 2016, as well as $376 million of revenue</w:t>
      </w:r>
    </w:p>
    <w:p>
      <w:pPr>
        <w:sectPr>
          <w:pgSz w:w="11900" w:h="16875" w:orient="portrait"/>
          <w:cols w:equalWidth="0" w:num="1">
            <w:col w:w="11420"/>
          </w:cols>
          <w:pgMar w:left="240" w:top="118" w:right="239" w:bottom="0" w:gutter="0" w:footer="0" w:header="0"/>
        </w:sectPr>
      </w:pPr>
    </w:p>
    <w:bookmarkStart w:id="3" w:name="page4"/>
    <w:bookmarkEnd w:id="3"/>
    <w:p>
      <w:pPr>
        <w:jc w:val="both"/>
        <w:spacing w:after="0" w:line="238" w:lineRule="auto"/>
        <w:rPr>
          <w:sz w:val="20"/>
          <w:szCs w:val="20"/>
          <w:color w:val="auto"/>
        </w:rPr>
      </w:pPr>
      <w:r>
        <w:rPr>
          <w:rFonts w:ascii="Arial" w:cs="Arial" w:eastAsia="Arial" w:hAnsi="Arial"/>
          <w:sz w:val="18"/>
          <w:szCs w:val="18"/>
          <w:color w:val="auto"/>
        </w:rPr>
        <w:t>generated by the broadcast of the NFL’s Super Bowl in the first quarter of 2015, consolidated revenue increased 5.2% (see Table 7). Consolidated operating income increased 5.0% to $12.6 billion compared to 2015. Consolidated operating cash flow increased 6.8% to $ 19.7 billion compared to 2015. Excluding $178 million of transaction-related costs in the first nine months of 2015, consolidated operating cash flow increased 5.8% (see Table 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Earnings per Share (EPS) </w:t>
      </w:r>
      <w:r>
        <w:rPr>
          <w:rFonts w:ascii="Arial" w:cs="Arial" w:eastAsia="Arial" w:hAnsi="Arial"/>
          <w:sz w:val="18"/>
          <w:szCs w:val="18"/>
          <w:color w:val="auto"/>
        </w:rPr>
        <w:t>for the third quarter of 2016 was $0.92, a 15.0% increase compared to the third quarter of 2015.</w:t>
      </w:r>
    </w:p>
    <w:p>
      <w:pPr>
        <w:spacing w:after="0" w:line="23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EPS for the nine months ended September 30, 2016 was $2.62, a 6.9% increase from the $2.45 reported in the prior year. Excluding adjustments in the first quarter of 2016 and the first nine months of 2015, EPS increased 6.6% to $2.59 (see Table 5).</w:t>
      </w:r>
    </w:p>
    <w:p>
      <w:pPr>
        <w:spacing w:after="0" w:line="17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increased 11.1% to $2.4 billion in the third quarter of 2016. Cable Communications’ capital expenditures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10.4% to $2.0 billion in the third quarter of 2016, reflecting a higher level of investment in scalable infrastructure to increase network capacity, increased investment in line extensions and continued spending on customer premise equipment related to the deployment of the X1 platform and wireless gateways. Cable capital expenditures represented 16.3% of Cable revenue in the third quarter of 2016 compared to 15.8% in last year’s third quarter. NBCUniversal’s capital expenditures increased 16.3% to $336 million in the third quarter of 2016, primarily reflecting increased spending at our Theme Parks, which now includes Universal Studios Japan.</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2016, capital expenditures increased 12.0% to $6.6 billion compared to 2015. Cable Communications’ capital expenditures increased 10.5% to $5.5 billion and represented 14.8% of Cable revenue compared to 14.2% in 2015. NBCUniversal’s capital expenditures increased 19.5% to $991 million for the first nine months of 2016.</w:t>
      </w:r>
    </w:p>
    <w:p>
      <w:pPr>
        <w:spacing w:after="0" w:line="18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Net Cash Provided by Operating Activities </w:t>
      </w:r>
      <w:r>
        <w:rPr>
          <w:rFonts w:ascii="Arial" w:cs="Arial" w:eastAsia="Arial" w:hAnsi="Arial"/>
          <w:sz w:val="18"/>
          <w:szCs w:val="18"/>
          <w:color w:val="auto"/>
        </w:rPr>
        <w:t>decreased 17.4% to $4.1 billion in the third quarter of 2016.</w:t>
      </w:r>
      <w:r>
        <w:rPr>
          <w:rFonts w:ascii="Arial" w:cs="Arial" w:eastAsia="Arial" w:hAnsi="Arial"/>
          <w:sz w:val="18"/>
          <w:szCs w:val="18"/>
          <w:b w:val="1"/>
          <w:bCs w:val="1"/>
          <w:i w:val="1"/>
          <w:iCs w:val="1"/>
          <w:color w:val="auto"/>
        </w:rPr>
        <w:t xml:space="preserve"> Free Cash Flow </w:t>
      </w:r>
      <w:r>
        <w:rPr>
          <w:rFonts w:ascii="Arial" w:cs="Arial" w:eastAsia="Arial" w:hAnsi="Arial"/>
          <w:sz w:val="18"/>
          <w:szCs w:val="18"/>
          <w:color w:val="auto"/>
        </w:rPr>
        <w:t>decreased 48.5%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$1.4 billion, reflecting growth in consolidated operating cash flow, offset by higher working capital primarily due to the 2016 Rio Olympics, as well as an increase in capital expenditures. Net cash provided by operating activities for the nine months ended September 30, 2016 decreased 2.3% to $13.5 billion. Free cash flow decreased 23.8% to $5.6 billion compared to 2015 (see Table 4).</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Dividends and Share Repurchases. </w:t>
      </w:r>
      <w:r>
        <w:rPr>
          <w:rFonts w:ascii="Arial" w:cs="Arial" w:eastAsia="Arial" w:hAnsi="Arial"/>
          <w:sz w:val="18"/>
          <w:szCs w:val="18"/>
          <w:color w:val="auto"/>
        </w:rPr>
        <w:t>During the third quarter of 2016, Comcast paid dividends totaling $663 million and repurchased 20.8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its common shares for $1.4 billion. In the first nine months of 2016, Comcast has repurchased 61.2 million of its common shares for $3.8 billion. As of September 30, 2016, Comcast had $6.2 billion available under its share repurchase authorization.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Cable Communications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940" w:type="dxa"/>
            <w:vAlign w:val="bottom"/>
            <w:tcBorders>
              <w:top w:val="single" w:sz="8" w:color="C9C9C9"/>
            </w:tcBorders>
          </w:tcPr>
          <w:p>
            <w:pPr>
              <w:spacing w:after="0"/>
              <w:rPr>
                <w:sz w:val="16"/>
                <w:szCs w:val="16"/>
                <w:color w:val="auto"/>
              </w:rPr>
            </w:pPr>
          </w:p>
        </w:tc>
        <w:tc>
          <w:tcPr>
            <w:tcW w:w="1480" w:type="dxa"/>
            <w:vAlign w:val="bottom"/>
            <w:tcBorders>
              <w:top w:val="single" w:sz="8" w:color="C9C9C9"/>
            </w:tcBorders>
            <w:vMerge w:val="restart"/>
          </w:tcPr>
          <w:p>
            <w:pPr>
              <w:jc w:val="right"/>
              <w:ind w:right="28"/>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240" w:type="dxa"/>
            <w:vAlign w:val="bottom"/>
            <w:tcBorders>
              <w:top w:val="single" w:sz="8" w:color="C9C9C9"/>
            </w:tcBorders>
          </w:tcPr>
          <w:p>
            <w:pPr>
              <w:jc w:val="right"/>
              <w:ind w:right="328"/>
              <w:spacing w:after="0"/>
              <w:rPr>
                <w:sz w:val="20"/>
                <w:szCs w:val="20"/>
                <w:color w:val="auto"/>
              </w:rPr>
            </w:pPr>
            <w:r>
              <w:rPr>
                <w:rFonts w:ascii="Arial" w:cs="Arial" w:eastAsia="Arial" w:hAnsi="Arial"/>
                <w:sz w:val="14"/>
                <w:szCs w:val="14"/>
                <w:color w:val="auto"/>
              </w:rPr>
              <w:t>3rd Quarter</w:t>
            </w:r>
          </w:p>
        </w:tc>
        <w:tc>
          <w:tcPr>
            <w:tcW w:w="1440" w:type="dxa"/>
            <w:vAlign w:val="bottom"/>
            <w:tcBorders>
              <w:top w:val="single" w:sz="8" w:color="C9C9C9"/>
            </w:tcBorders>
          </w:tcPr>
          <w:p>
            <w:pPr>
              <w:spacing w:after="0"/>
              <w:rPr>
                <w:sz w:val="16"/>
                <w:szCs w:val="16"/>
                <w:color w:val="auto"/>
              </w:rPr>
            </w:pPr>
          </w:p>
        </w:tc>
        <w:tc>
          <w:tcPr>
            <w:tcW w:w="1220" w:type="dxa"/>
            <w:vAlign w:val="bottom"/>
            <w:tcBorders>
              <w:top w:val="single" w:sz="8" w:color="C9C9C9"/>
            </w:tcBorders>
            <w:vMerge w:val="restart"/>
          </w:tcPr>
          <w:p>
            <w:pPr>
              <w:jc w:val="right"/>
              <w:spacing w:after="0"/>
              <w:rPr>
                <w:sz w:val="20"/>
                <w:szCs w:val="20"/>
                <w:color w:val="auto"/>
              </w:rPr>
            </w:pPr>
            <w:r>
              <w:rPr>
                <w:rFonts w:ascii="Arial" w:cs="Arial" w:eastAsia="Arial" w:hAnsi="Arial"/>
                <w:sz w:val="14"/>
                <w:szCs w:val="14"/>
                <w:color w:val="auto"/>
              </w:rPr>
              <w:t>2015</w:t>
            </w:r>
            <w:r>
              <w:rPr>
                <w:rFonts w:ascii="Arial" w:cs="Arial" w:eastAsia="Arial" w:hAnsi="Arial"/>
                <w:sz w:val="14"/>
                <w:szCs w:val="14"/>
                <w:color w:val="auto"/>
                <w:vertAlign w:val="superscript"/>
              </w:rPr>
              <w:t>4</w:t>
            </w:r>
          </w:p>
        </w:tc>
        <w:tc>
          <w:tcPr>
            <w:tcW w:w="1320" w:type="dxa"/>
            <w:vAlign w:val="bottom"/>
            <w:tcBorders>
              <w:top w:val="single" w:sz="8" w:color="C9C9C9"/>
            </w:tcBorders>
          </w:tcPr>
          <w:p>
            <w:pPr>
              <w:jc w:val="right"/>
              <w:ind w:right="428"/>
              <w:spacing w:after="0"/>
              <w:rPr>
                <w:sz w:val="20"/>
                <w:szCs w:val="20"/>
                <w:color w:val="auto"/>
              </w:rPr>
            </w:pPr>
            <w:r>
              <w:rPr>
                <w:rFonts w:ascii="Arial" w:cs="Arial" w:eastAsia="Arial" w:hAnsi="Arial"/>
                <w:sz w:val="14"/>
                <w:szCs w:val="14"/>
                <w:color w:val="auto"/>
              </w:rPr>
              <w:t>Year to Date</w:t>
            </w:r>
          </w:p>
        </w:tc>
        <w:tc>
          <w:tcPr>
            <w:tcW w:w="780" w:type="dxa"/>
            <w:vAlign w:val="bottom"/>
            <w:tcBorders>
              <w:top w:val="single" w:sz="8" w:color="C9C9C9"/>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940" w:type="dxa"/>
            <w:vAlign w:val="bottom"/>
          </w:tcPr>
          <w:p>
            <w:pPr>
              <w:spacing w:after="0"/>
              <w:rPr>
                <w:sz w:val="20"/>
                <w:szCs w:val="20"/>
                <w:color w:val="auto"/>
              </w:rPr>
            </w:pPr>
            <w:r>
              <w:rPr>
                <w:rFonts w:ascii="Arial" w:cs="Arial" w:eastAsia="Arial" w:hAnsi="Arial"/>
                <w:sz w:val="11"/>
                <w:szCs w:val="11"/>
                <w:i w:val="1"/>
                <w:iCs w:val="1"/>
                <w:color w:val="auto"/>
              </w:rPr>
              <w:t>($ in millions)</w:t>
            </w:r>
          </w:p>
        </w:tc>
        <w:tc>
          <w:tcPr>
            <w:tcW w:w="1480" w:type="dxa"/>
            <w:vAlign w:val="bottom"/>
            <w:vMerge w:val="continue"/>
          </w:tcPr>
          <w:p>
            <w:pPr>
              <w:spacing w:after="0"/>
              <w:rPr>
                <w:sz w:val="14"/>
                <w:szCs w:val="14"/>
                <w:color w:val="auto"/>
              </w:rPr>
            </w:pPr>
          </w:p>
        </w:tc>
        <w:tc>
          <w:tcPr>
            <w:tcW w:w="1240" w:type="dxa"/>
            <w:vAlign w:val="bottom"/>
          </w:tcPr>
          <w:p>
            <w:pPr>
              <w:jc w:val="right"/>
              <w:ind w:right="268"/>
              <w:spacing w:after="0" w:line="157" w:lineRule="exact"/>
              <w:rPr>
                <w:sz w:val="20"/>
                <w:szCs w:val="20"/>
                <w:color w:val="auto"/>
              </w:rPr>
            </w:pPr>
            <w:r>
              <w:rPr>
                <w:rFonts w:ascii="Arial" w:cs="Arial" w:eastAsia="Arial" w:hAnsi="Arial"/>
                <w:sz w:val="14"/>
                <w:szCs w:val="14"/>
                <w:color w:val="auto"/>
              </w:rPr>
              <w:t>2016</w:t>
            </w:r>
          </w:p>
        </w:tc>
        <w:tc>
          <w:tcPr>
            <w:tcW w:w="1440" w:type="dxa"/>
            <w:vAlign w:val="bottom"/>
          </w:tcPr>
          <w:p>
            <w:pPr>
              <w:jc w:val="right"/>
              <w:ind w:right="588"/>
              <w:spacing w:after="0" w:line="157" w:lineRule="exact"/>
              <w:rPr>
                <w:sz w:val="20"/>
                <w:szCs w:val="20"/>
                <w:color w:val="auto"/>
              </w:rPr>
            </w:pPr>
            <w:r>
              <w:rPr>
                <w:rFonts w:ascii="Arial" w:cs="Arial" w:eastAsia="Arial" w:hAnsi="Arial"/>
                <w:sz w:val="14"/>
                <w:szCs w:val="14"/>
                <w:color w:val="auto"/>
              </w:rPr>
              <w:t>Growth</w:t>
            </w:r>
          </w:p>
        </w:tc>
        <w:tc>
          <w:tcPr>
            <w:tcW w:w="1220" w:type="dxa"/>
            <w:vAlign w:val="bottom"/>
            <w:vMerge w:val="continue"/>
          </w:tcPr>
          <w:p>
            <w:pPr>
              <w:spacing w:after="0"/>
              <w:rPr>
                <w:sz w:val="14"/>
                <w:szCs w:val="14"/>
                <w:color w:val="auto"/>
              </w:rPr>
            </w:pPr>
          </w:p>
        </w:tc>
        <w:tc>
          <w:tcPr>
            <w:tcW w:w="1320" w:type="dxa"/>
            <w:vAlign w:val="bottom"/>
          </w:tcPr>
          <w:p>
            <w:pPr>
              <w:jc w:val="right"/>
              <w:ind w:right="248"/>
              <w:spacing w:after="0" w:line="157" w:lineRule="exact"/>
              <w:rPr>
                <w:sz w:val="20"/>
                <w:szCs w:val="20"/>
                <w:color w:val="auto"/>
              </w:rPr>
            </w:pPr>
            <w:r>
              <w:rPr>
                <w:rFonts w:ascii="Arial" w:cs="Arial" w:eastAsia="Arial" w:hAnsi="Arial"/>
                <w:sz w:val="14"/>
                <w:szCs w:val="14"/>
                <w:color w:val="auto"/>
              </w:rPr>
              <w:t>2016</w:t>
            </w:r>
          </w:p>
        </w:tc>
        <w:tc>
          <w:tcPr>
            <w:tcW w:w="8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Growth</w:t>
            </w:r>
          </w:p>
        </w:tc>
        <w:tc>
          <w:tcPr>
            <w:tcW w:w="0" w:type="dxa"/>
            <w:vAlign w:val="bottom"/>
          </w:tcPr>
          <w:p>
            <w:pPr>
              <w:spacing w:after="0"/>
              <w:rPr>
                <w:sz w:val="1"/>
                <w:szCs w:val="1"/>
                <w:color w:val="auto"/>
              </w:rPr>
            </w:pPr>
          </w:p>
        </w:tc>
      </w:tr>
      <w:tr>
        <w:trPr>
          <w:trHeight w:val="162"/>
        </w:trPr>
        <w:tc>
          <w:tcPr>
            <w:tcW w:w="3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Cable Communications Revenue</w:t>
            </w:r>
          </w:p>
        </w:tc>
        <w:tc>
          <w:tcPr>
            <w:tcW w:w="14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Video</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$5,348</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$5,591</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4.5%</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$16,110</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$16,710</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High-Speed Internet</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3,129</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3,405</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8.8%</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9,274</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10,049</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Voice</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900</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878</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(2.4%)</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2,709</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2,667</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Business Services</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1,211</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1,399</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15.5%</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3,490</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4,070</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Advertising</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588</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634</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7.7%</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1,664</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1,790</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Other</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575</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650</w:t>
            </w:r>
          </w:p>
        </w:tc>
        <w:tc>
          <w:tcPr>
            <w:tcW w:w="1440" w:type="dxa"/>
            <w:vAlign w:val="bottom"/>
            <w:tcBorders>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13.0%</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1,685</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1,919</w:t>
            </w:r>
          </w:p>
        </w:tc>
        <w:tc>
          <w:tcPr>
            <w:tcW w:w="80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90"/>
        </w:trPr>
        <w:tc>
          <w:tcPr>
            <w:tcW w:w="3940" w:type="dxa"/>
            <w:vAlign w:val="bottom"/>
          </w:tcPr>
          <w:p>
            <w:pPr>
              <w:spacing w:after="0"/>
              <w:rPr>
                <w:sz w:val="20"/>
                <w:szCs w:val="20"/>
                <w:color w:val="auto"/>
              </w:rPr>
            </w:pPr>
            <w:r>
              <w:rPr>
                <w:rFonts w:ascii="Arial" w:cs="Arial" w:eastAsia="Arial" w:hAnsi="Arial"/>
                <w:sz w:val="14"/>
                <w:szCs w:val="14"/>
                <w:b w:val="1"/>
                <w:bCs w:val="1"/>
                <w:color w:val="auto"/>
              </w:rPr>
              <w:t>Cable Communications Revenue</w:t>
            </w: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rPr>
              <w:t>$11,751</w:t>
            </w:r>
          </w:p>
        </w:tc>
        <w:tc>
          <w:tcPr>
            <w:tcW w:w="1240" w:type="dxa"/>
            <w:vAlign w:val="bottom"/>
          </w:tcPr>
          <w:p>
            <w:pPr>
              <w:jc w:val="right"/>
              <w:ind w:right="268"/>
              <w:spacing w:after="0"/>
              <w:rPr>
                <w:sz w:val="20"/>
                <w:szCs w:val="20"/>
                <w:color w:val="auto"/>
              </w:rPr>
            </w:pPr>
            <w:r>
              <w:rPr>
                <w:rFonts w:ascii="Arial" w:cs="Arial" w:eastAsia="Arial" w:hAnsi="Arial"/>
                <w:sz w:val="14"/>
                <w:szCs w:val="14"/>
                <w:b w:val="1"/>
                <w:bCs w:val="1"/>
                <w:color w:val="auto"/>
              </w:rPr>
              <w:t>$12,557</w:t>
            </w:r>
          </w:p>
        </w:tc>
        <w:tc>
          <w:tcPr>
            <w:tcW w:w="1440" w:type="dxa"/>
            <w:vAlign w:val="bottom"/>
          </w:tcPr>
          <w:p>
            <w:pPr>
              <w:jc w:val="right"/>
              <w:ind w:right="588"/>
              <w:spacing w:after="0"/>
              <w:rPr>
                <w:sz w:val="20"/>
                <w:szCs w:val="20"/>
                <w:color w:val="auto"/>
              </w:rPr>
            </w:pPr>
            <w:r>
              <w:rPr>
                <w:rFonts w:ascii="Arial" w:cs="Arial" w:eastAsia="Arial" w:hAnsi="Arial"/>
                <w:sz w:val="14"/>
                <w:szCs w:val="14"/>
                <w:b w:val="1"/>
                <w:bCs w:val="1"/>
                <w:color w:val="auto"/>
              </w:rPr>
              <w:t>6.9%</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$34,932</w:t>
            </w:r>
          </w:p>
        </w:tc>
        <w:tc>
          <w:tcPr>
            <w:tcW w:w="1320" w:type="dxa"/>
            <w:vAlign w:val="bottom"/>
          </w:tcPr>
          <w:p>
            <w:pPr>
              <w:jc w:val="right"/>
              <w:ind w:right="248"/>
              <w:spacing w:after="0"/>
              <w:rPr>
                <w:sz w:val="20"/>
                <w:szCs w:val="20"/>
                <w:color w:val="auto"/>
              </w:rPr>
            </w:pPr>
            <w:r>
              <w:rPr>
                <w:rFonts w:ascii="Arial" w:cs="Arial" w:eastAsia="Arial" w:hAnsi="Arial"/>
                <w:sz w:val="14"/>
                <w:szCs w:val="14"/>
                <w:b w:val="1"/>
                <w:bCs w:val="1"/>
                <w:color w:val="auto"/>
              </w:rPr>
              <w:t>$37,205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Cable Communications Operating Cash Flow</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$4,726</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$4,986</w:t>
            </w:r>
          </w:p>
        </w:tc>
        <w:tc>
          <w:tcPr>
            <w:tcW w:w="14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5.5%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$14,161</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$14,923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940" w:type="dxa"/>
            <w:vAlign w:val="bottom"/>
          </w:tcPr>
          <w:p>
            <w:pPr>
              <w:spacing w:after="0"/>
              <w:rPr>
                <w:sz w:val="20"/>
                <w:szCs w:val="20"/>
                <w:color w:val="auto"/>
              </w:rPr>
            </w:pPr>
            <w:r>
              <w:rPr>
                <w:rFonts w:ascii="Arial" w:cs="Arial" w:eastAsia="Arial" w:hAnsi="Arial"/>
                <w:sz w:val="14"/>
                <w:szCs w:val="14"/>
                <w:i w:val="1"/>
                <w:iCs w:val="1"/>
                <w:color w:val="auto"/>
              </w:rPr>
              <w:t>Operating Cash Flow Margin</w:t>
            </w:r>
          </w:p>
        </w:tc>
        <w:tc>
          <w:tcPr>
            <w:tcW w:w="1480" w:type="dxa"/>
            <w:vAlign w:val="bottom"/>
          </w:tcPr>
          <w:p>
            <w:pPr>
              <w:jc w:val="right"/>
              <w:ind w:right="28"/>
              <w:spacing w:after="0"/>
              <w:rPr>
                <w:sz w:val="20"/>
                <w:szCs w:val="20"/>
                <w:color w:val="auto"/>
              </w:rPr>
            </w:pPr>
            <w:r>
              <w:rPr>
                <w:rFonts w:ascii="Arial" w:cs="Arial" w:eastAsia="Arial" w:hAnsi="Arial"/>
                <w:sz w:val="14"/>
                <w:szCs w:val="14"/>
                <w:i w:val="1"/>
                <w:iCs w:val="1"/>
                <w:color w:val="auto"/>
              </w:rPr>
              <w:t>40.2%</w:t>
            </w:r>
          </w:p>
        </w:tc>
        <w:tc>
          <w:tcPr>
            <w:tcW w:w="1240" w:type="dxa"/>
            <w:vAlign w:val="bottom"/>
          </w:tcPr>
          <w:p>
            <w:pPr>
              <w:jc w:val="right"/>
              <w:ind w:right="268"/>
              <w:spacing w:after="0"/>
              <w:rPr>
                <w:sz w:val="20"/>
                <w:szCs w:val="20"/>
                <w:color w:val="auto"/>
              </w:rPr>
            </w:pPr>
            <w:r>
              <w:rPr>
                <w:rFonts w:ascii="Arial" w:cs="Arial" w:eastAsia="Arial" w:hAnsi="Arial"/>
                <w:sz w:val="14"/>
                <w:szCs w:val="14"/>
                <w:i w:val="1"/>
                <w:iCs w:val="1"/>
                <w:color w:val="auto"/>
              </w:rPr>
              <w:t>39.7%</w:t>
            </w:r>
          </w:p>
        </w:tc>
        <w:tc>
          <w:tcPr>
            <w:tcW w:w="14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auto"/>
              </w:rPr>
              <w:t>40.5%</w:t>
            </w:r>
          </w:p>
        </w:tc>
        <w:tc>
          <w:tcPr>
            <w:tcW w:w="1320" w:type="dxa"/>
            <w:vAlign w:val="bottom"/>
          </w:tcPr>
          <w:p>
            <w:pPr>
              <w:jc w:val="right"/>
              <w:ind w:right="248"/>
              <w:spacing w:after="0"/>
              <w:rPr>
                <w:sz w:val="20"/>
                <w:szCs w:val="20"/>
                <w:color w:val="auto"/>
              </w:rPr>
            </w:pPr>
            <w:r>
              <w:rPr>
                <w:rFonts w:ascii="Arial" w:cs="Arial" w:eastAsia="Arial" w:hAnsi="Arial"/>
                <w:sz w:val="14"/>
                <w:szCs w:val="14"/>
                <w:i w:val="1"/>
                <w:iCs w:val="1"/>
                <w:color w:val="auto"/>
              </w:rPr>
              <w:t>40.1%</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39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Cable Communications Capital Expenditures</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$1,853</w:t>
            </w:r>
          </w:p>
        </w:tc>
        <w:tc>
          <w:tcPr>
            <w:tcW w:w="12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$2,044</w:t>
            </w:r>
          </w:p>
        </w:tc>
        <w:tc>
          <w:tcPr>
            <w:tcW w:w="14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10.4%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$4,977</w:t>
            </w:r>
          </w:p>
        </w:tc>
        <w:tc>
          <w:tcPr>
            <w:tcW w:w="13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$5,501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i w:val="1"/>
                <w:iCs w:val="1"/>
                <w:color w:val="auto"/>
              </w:rPr>
              <w:t>Percent of Cable Communications Revenue</w:t>
            </w:r>
          </w:p>
        </w:tc>
        <w:tc>
          <w:tcPr>
            <w:tcW w:w="14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i w:val="1"/>
                <w:iCs w:val="1"/>
                <w:color w:val="auto"/>
              </w:rPr>
              <w:t>15.8%</w:t>
            </w:r>
          </w:p>
        </w:tc>
        <w:tc>
          <w:tcPr>
            <w:tcW w:w="12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i w:val="1"/>
                <w:iCs w:val="1"/>
                <w:color w:val="auto"/>
              </w:rPr>
              <w:t>16.3%</w:t>
            </w:r>
          </w:p>
        </w:tc>
        <w:tc>
          <w:tcPr>
            <w:tcW w:w="1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i w:val="1"/>
                <w:iCs w:val="1"/>
                <w:color w:val="auto"/>
              </w:rPr>
              <w:t>14.2%</w:t>
            </w:r>
          </w:p>
        </w:tc>
        <w:tc>
          <w:tcPr>
            <w:tcW w:w="132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i w:val="1"/>
                <w:iCs w:val="1"/>
                <w:color w:val="auto"/>
              </w:rPr>
              <w:t>14.8%</w:t>
            </w:r>
          </w:p>
        </w:tc>
        <w:tc>
          <w:tcPr>
            <w:tcW w:w="7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Cable Communications increased 6.9% to $12.6 billion in the third quarter of 2016, driven primarily by increases in high-speed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Internet, video and business services revenue. High-speed Internet revenue increased 8.8%, reflecting an increase in the number of residential high-speed Internet customers, rate adjustments and an increase in the number of customers receiving higher levels of service. Video revenue increased 4.5%, primarily reflecting rate adjustments, an increase in the number of customers subscribing to additional services and an increase in the number of residential video customers. Business services revenue increased 15.5%, primarily due to an increase in the number of small business customers, as well as continued growth in our medium-sized business services. Other revenue increased 13.0%, primarily reflecting higher franchise and regulatory fees and an increase in Xfinity Home revenue. Advertising revenue increased 7.7%, reflecting an increase in political advertising revenue.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nine months ended September 30, 2016, Cable revenue increased 6.5% to $37.2 billion compared to 2015, driven by growth in high-speed Internet, video and business services.</w:t>
      </w:r>
    </w:p>
    <w:p>
      <w:pPr>
        <w:spacing w:after="0" w:line="17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i w:val="1"/>
          <w:iCs w:val="1"/>
          <w:color w:val="auto"/>
        </w:rPr>
        <w:t xml:space="preserve">Customer Relationships </w:t>
      </w:r>
      <w:r>
        <w:rPr>
          <w:rFonts w:ascii="Arial" w:cs="Arial" w:eastAsia="Arial" w:hAnsi="Arial"/>
          <w:sz w:val="18"/>
          <w:szCs w:val="18"/>
          <w:color w:val="auto"/>
        </w:rPr>
        <w:t>increased by 216,000 to 28.3 million in the third quarter of 2016, a 60,000 improvement compared to the increase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third quarter of 2015, primarily reflecting increases in double product relationships. At the end of the third quarter, penetration of our double and triple product customers increased to 70.0% compared to 69.5% in the third quarter of 2015. Video customer net adds of 32,000 were the best result for a third quarter in 10 years, high-speed Internet customer net additions of 330,000 were the best result for a third quarter in 7 years and Voice customers grew by 2,000.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Customers</w:t>
            </w:r>
          </w:p>
        </w:tc>
        <w:tc>
          <w:tcPr>
            <w:tcW w:w="124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Net Additions</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5500" w:type="dxa"/>
            <w:vAlign w:val="bottom"/>
          </w:tcPr>
          <w:p>
            <w:pPr>
              <w:spacing w:after="0"/>
              <w:rPr>
                <w:sz w:val="20"/>
                <w:szCs w:val="20"/>
                <w:color w:val="auto"/>
              </w:rPr>
            </w:pPr>
            <w:r>
              <w:rPr>
                <w:rFonts w:ascii="Arial" w:cs="Arial" w:eastAsia="Arial" w:hAnsi="Arial"/>
                <w:sz w:val="11"/>
                <w:szCs w:val="11"/>
                <w:i w:val="1"/>
                <w:iCs w:val="1"/>
                <w:color w:val="auto"/>
              </w:rPr>
              <w:t>(in thousands)</w:t>
            </w:r>
          </w:p>
        </w:tc>
        <w:tc>
          <w:tcPr>
            <w:tcW w:w="2520" w:type="dxa"/>
            <w:vAlign w:val="bottom"/>
          </w:tcPr>
          <w:p>
            <w:pPr>
              <w:jc w:val="right"/>
              <w:ind w:right="488"/>
              <w:spacing w:after="0" w:line="157" w:lineRule="exact"/>
              <w:rPr>
                <w:sz w:val="20"/>
                <w:szCs w:val="20"/>
                <w:color w:val="auto"/>
              </w:rPr>
            </w:pPr>
            <w:r>
              <w:rPr>
                <w:rFonts w:ascii="Arial" w:cs="Arial" w:eastAsia="Arial" w:hAnsi="Arial"/>
                <w:sz w:val="14"/>
                <w:szCs w:val="14"/>
                <w:color w:val="auto"/>
              </w:rPr>
              <w:t>3Q15</w:t>
            </w:r>
          </w:p>
        </w:tc>
        <w:tc>
          <w:tcPr>
            <w:tcW w:w="1240" w:type="dxa"/>
            <w:vAlign w:val="bottom"/>
          </w:tcPr>
          <w:p>
            <w:pPr>
              <w:jc w:val="right"/>
              <w:ind w:right="688"/>
              <w:spacing w:after="0" w:line="157" w:lineRule="exact"/>
              <w:rPr>
                <w:sz w:val="20"/>
                <w:szCs w:val="20"/>
                <w:color w:val="auto"/>
              </w:rPr>
            </w:pPr>
            <w:r>
              <w:rPr>
                <w:rFonts w:ascii="Arial" w:cs="Arial" w:eastAsia="Arial" w:hAnsi="Arial"/>
                <w:sz w:val="14"/>
                <w:szCs w:val="14"/>
                <w:color w:val="auto"/>
              </w:rPr>
              <w:t>3Q16</w:t>
            </w:r>
          </w:p>
        </w:tc>
        <w:tc>
          <w:tcPr>
            <w:tcW w:w="1780" w:type="dxa"/>
            <w:vAlign w:val="bottom"/>
          </w:tcPr>
          <w:p>
            <w:pPr>
              <w:jc w:val="right"/>
              <w:ind w:right="588"/>
              <w:spacing w:after="0" w:line="157" w:lineRule="exact"/>
              <w:rPr>
                <w:sz w:val="20"/>
                <w:szCs w:val="20"/>
                <w:color w:val="auto"/>
              </w:rPr>
            </w:pPr>
            <w:r>
              <w:rPr>
                <w:rFonts w:ascii="Arial" w:cs="Arial" w:eastAsia="Arial" w:hAnsi="Arial"/>
                <w:sz w:val="14"/>
                <w:szCs w:val="14"/>
                <w:color w:val="auto"/>
              </w:rPr>
              <w:t>3Q15</w:t>
            </w:r>
          </w:p>
        </w:tc>
        <w:tc>
          <w:tcPr>
            <w:tcW w:w="40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3Q16</w:t>
            </w:r>
          </w:p>
        </w:tc>
      </w:tr>
      <w:tr>
        <w:trPr>
          <w:trHeight w:val="162"/>
        </w:trPr>
        <w:tc>
          <w:tcPr>
            <w:tcW w:w="5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Video Customers</w:t>
            </w:r>
          </w:p>
        </w:tc>
        <w:tc>
          <w:tcPr>
            <w:tcW w:w="25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color w:val="auto"/>
              </w:rPr>
              <w:t>22,258</w:t>
            </w:r>
          </w:p>
        </w:tc>
        <w:tc>
          <w:tcPr>
            <w:tcW w:w="12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22,428</w:t>
            </w:r>
          </w:p>
        </w:tc>
        <w:tc>
          <w:tcPr>
            <w:tcW w:w="178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(48)</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r>
      <w:tr>
        <w:trPr>
          <w:trHeight w:val="156"/>
        </w:trPr>
        <w:tc>
          <w:tcPr>
            <w:tcW w:w="5500" w:type="dxa"/>
            <w:vAlign w:val="bottom"/>
          </w:tcPr>
          <w:p>
            <w:pPr>
              <w:spacing w:after="0" w:line="155" w:lineRule="exact"/>
              <w:rPr>
                <w:sz w:val="20"/>
                <w:szCs w:val="20"/>
                <w:color w:val="auto"/>
              </w:rPr>
            </w:pPr>
            <w:r>
              <w:rPr>
                <w:rFonts w:ascii="Arial" w:cs="Arial" w:eastAsia="Arial" w:hAnsi="Arial"/>
                <w:sz w:val="14"/>
                <w:szCs w:val="14"/>
                <w:color w:val="auto"/>
              </w:rPr>
              <w:t>High-Speed Internet Customers</w:t>
            </w:r>
          </w:p>
        </w:tc>
        <w:tc>
          <w:tcPr>
            <w:tcW w:w="252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22,868</w:t>
            </w:r>
          </w:p>
        </w:tc>
        <w:tc>
          <w:tcPr>
            <w:tcW w:w="1240" w:type="dxa"/>
            <w:vAlign w:val="bottom"/>
          </w:tcPr>
          <w:p>
            <w:pPr>
              <w:jc w:val="right"/>
              <w:ind w:right="688"/>
              <w:spacing w:after="0" w:line="155" w:lineRule="exact"/>
              <w:rPr>
                <w:sz w:val="20"/>
                <w:szCs w:val="20"/>
                <w:color w:val="auto"/>
              </w:rPr>
            </w:pPr>
            <w:r>
              <w:rPr>
                <w:rFonts w:ascii="Arial" w:cs="Arial" w:eastAsia="Arial" w:hAnsi="Arial"/>
                <w:sz w:val="14"/>
                <w:szCs w:val="14"/>
                <w:color w:val="auto"/>
              </w:rPr>
              <w:t>24,316</w:t>
            </w:r>
          </w:p>
        </w:tc>
        <w:tc>
          <w:tcPr>
            <w:tcW w:w="1780" w:type="dxa"/>
            <w:vAlign w:val="bottom"/>
          </w:tcPr>
          <w:p>
            <w:pPr>
              <w:jc w:val="right"/>
              <w:ind w:right="588"/>
              <w:spacing w:after="0" w:line="155" w:lineRule="exact"/>
              <w:rPr>
                <w:sz w:val="20"/>
                <w:szCs w:val="20"/>
                <w:color w:val="auto"/>
              </w:rPr>
            </w:pPr>
            <w:r>
              <w:rPr>
                <w:rFonts w:ascii="Arial" w:cs="Arial" w:eastAsia="Arial" w:hAnsi="Arial"/>
                <w:sz w:val="14"/>
                <w:szCs w:val="14"/>
                <w:color w:val="auto"/>
              </w:rPr>
              <w:t>320</w:t>
            </w: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330</w:t>
            </w:r>
          </w:p>
        </w:tc>
      </w:tr>
      <w:tr>
        <w:trPr>
          <w:trHeight w:val="163"/>
        </w:trPr>
        <w:tc>
          <w:tcPr>
            <w:tcW w:w="5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Voice Customers</w:t>
            </w:r>
          </w:p>
        </w:tc>
        <w:tc>
          <w:tcPr>
            <w:tcW w:w="25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11,336</w:t>
            </w:r>
          </w:p>
        </w:tc>
        <w:tc>
          <w:tcPr>
            <w:tcW w:w="12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11,643</w:t>
            </w:r>
          </w:p>
        </w:tc>
        <w:tc>
          <w:tcPr>
            <w:tcW w:w="178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17</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4"/>
                <w:szCs w:val="14"/>
                <w:color w:val="auto"/>
              </w:rPr>
            </w:pPr>
          </w:p>
        </w:tc>
      </w:tr>
      <w:tr>
        <w:trPr>
          <w:trHeight w:val="169"/>
        </w:trPr>
        <w:tc>
          <w:tcPr>
            <w:tcW w:w="55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5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Single Product Customers</w:t>
            </w:r>
          </w:p>
        </w:tc>
        <w:tc>
          <w:tcPr>
            <w:tcW w:w="25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8,367</w:t>
            </w:r>
          </w:p>
        </w:tc>
        <w:tc>
          <w:tcPr>
            <w:tcW w:w="12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8,488</w:t>
            </w:r>
          </w:p>
        </w:tc>
        <w:tc>
          <w:tcPr>
            <w:tcW w:w="1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56"/>
        </w:trPr>
        <w:tc>
          <w:tcPr>
            <w:tcW w:w="5500" w:type="dxa"/>
            <w:vAlign w:val="bottom"/>
          </w:tcPr>
          <w:p>
            <w:pPr>
              <w:spacing w:after="0" w:line="155" w:lineRule="exact"/>
              <w:rPr>
                <w:sz w:val="20"/>
                <w:szCs w:val="20"/>
                <w:color w:val="auto"/>
              </w:rPr>
            </w:pPr>
            <w:r>
              <w:rPr>
                <w:rFonts w:ascii="Arial" w:cs="Arial" w:eastAsia="Arial" w:hAnsi="Arial"/>
                <w:sz w:val="14"/>
                <w:szCs w:val="14"/>
                <w:color w:val="auto"/>
              </w:rPr>
              <w:t>Double Product Customers</w:t>
            </w:r>
          </w:p>
        </w:tc>
        <w:tc>
          <w:tcPr>
            <w:tcW w:w="2520" w:type="dxa"/>
            <w:vAlign w:val="bottom"/>
          </w:tcPr>
          <w:p>
            <w:pPr>
              <w:jc w:val="right"/>
              <w:ind w:right="488"/>
              <w:spacing w:after="0" w:line="155" w:lineRule="exact"/>
              <w:rPr>
                <w:sz w:val="20"/>
                <w:szCs w:val="20"/>
                <w:color w:val="auto"/>
              </w:rPr>
            </w:pPr>
            <w:r>
              <w:rPr>
                <w:rFonts w:ascii="Arial" w:cs="Arial" w:eastAsia="Arial" w:hAnsi="Arial"/>
                <w:sz w:val="14"/>
                <w:szCs w:val="14"/>
                <w:color w:val="auto"/>
              </w:rPr>
              <w:t>9,066</w:t>
            </w:r>
          </w:p>
        </w:tc>
        <w:tc>
          <w:tcPr>
            <w:tcW w:w="1240" w:type="dxa"/>
            <w:vAlign w:val="bottom"/>
          </w:tcPr>
          <w:p>
            <w:pPr>
              <w:jc w:val="right"/>
              <w:ind w:right="688"/>
              <w:spacing w:after="0" w:line="155" w:lineRule="exact"/>
              <w:rPr>
                <w:sz w:val="20"/>
                <w:szCs w:val="20"/>
                <w:color w:val="auto"/>
              </w:rPr>
            </w:pPr>
            <w:r>
              <w:rPr>
                <w:rFonts w:ascii="Arial" w:cs="Arial" w:eastAsia="Arial" w:hAnsi="Arial"/>
                <w:sz w:val="14"/>
                <w:szCs w:val="14"/>
                <w:color w:val="auto"/>
              </w:rPr>
              <w:t>9,540</w:t>
            </w:r>
          </w:p>
        </w:tc>
        <w:tc>
          <w:tcPr>
            <w:tcW w:w="1780" w:type="dxa"/>
            <w:vAlign w:val="bottom"/>
          </w:tcPr>
          <w:p>
            <w:pPr>
              <w:jc w:val="right"/>
              <w:ind w:right="588"/>
              <w:spacing w:after="0" w:line="155" w:lineRule="exact"/>
              <w:rPr>
                <w:sz w:val="20"/>
                <w:szCs w:val="20"/>
                <w:color w:val="auto"/>
              </w:rPr>
            </w:pPr>
            <w:r>
              <w:rPr>
                <w:rFonts w:ascii="Arial" w:cs="Arial" w:eastAsia="Arial" w:hAnsi="Arial"/>
                <w:sz w:val="14"/>
                <w:szCs w:val="14"/>
                <w:color w:val="auto"/>
              </w:rPr>
              <w:t>130</w:t>
            </w:r>
          </w:p>
        </w:tc>
        <w:tc>
          <w:tcPr>
            <w:tcW w:w="4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141</w:t>
            </w:r>
          </w:p>
        </w:tc>
      </w:tr>
      <w:tr>
        <w:trPr>
          <w:trHeight w:val="163"/>
        </w:trPr>
        <w:tc>
          <w:tcPr>
            <w:tcW w:w="55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Triple Product Customers</w:t>
            </w:r>
          </w:p>
        </w:tc>
        <w:tc>
          <w:tcPr>
            <w:tcW w:w="25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Arial" w:cs="Arial" w:eastAsia="Arial" w:hAnsi="Arial"/>
                <w:sz w:val="14"/>
                <w:szCs w:val="14"/>
                <w:color w:val="auto"/>
              </w:rPr>
              <w:t>9,988</w:t>
            </w:r>
          </w:p>
        </w:tc>
        <w:tc>
          <w:tcPr>
            <w:tcW w:w="1240" w:type="dxa"/>
            <w:vAlign w:val="bottom"/>
            <w:tcBorders>
              <w:top w:val="single" w:sz="8" w:color="auto"/>
              <w:bottom w:val="single" w:sz="8" w:color="auto"/>
            </w:tcBorders>
          </w:tcPr>
          <w:p>
            <w:pPr>
              <w:jc w:val="right"/>
              <w:ind w:right="688"/>
              <w:spacing w:after="0" w:line="155" w:lineRule="exact"/>
              <w:rPr>
                <w:sz w:val="20"/>
                <w:szCs w:val="20"/>
                <w:color w:val="auto"/>
              </w:rPr>
            </w:pPr>
            <w:r>
              <w:rPr>
                <w:rFonts w:ascii="Arial" w:cs="Arial" w:eastAsia="Arial" w:hAnsi="Arial"/>
                <w:sz w:val="14"/>
                <w:szCs w:val="14"/>
                <w:color w:val="auto"/>
              </w:rPr>
              <w:t>10,273</w:t>
            </w:r>
          </w:p>
        </w:tc>
        <w:tc>
          <w:tcPr>
            <w:tcW w:w="178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color w:val="auto"/>
              </w:rPr>
              <w:t>1</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w:t>
            </w:r>
          </w:p>
        </w:tc>
        <w:tc>
          <w:tcPr>
            <w:tcW w:w="20" w:type="dxa"/>
            <w:vAlign w:val="bottom"/>
          </w:tcPr>
          <w:p>
            <w:pPr>
              <w:spacing w:after="0"/>
              <w:rPr>
                <w:sz w:val="14"/>
                <w:szCs w:val="14"/>
                <w:color w:val="auto"/>
              </w:rPr>
            </w:pPr>
          </w:p>
        </w:tc>
      </w:tr>
      <w:tr>
        <w:trPr>
          <w:trHeight w:val="167"/>
        </w:trPr>
        <w:tc>
          <w:tcPr>
            <w:tcW w:w="5500" w:type="dxa"/>
            <w:vAlign w:val="bottom"/>
          </w:tcPr>
          <w:p>
            <w:pPr>
              <w:spacing w:after="0"/>
              <w:rPr>
                <w:sz w:val="20"/>
                <w:szCs w:val="20"/>
                <w:color w:val="auto"/>
              </w:rPr>
            </w:pPr>
            <w:r>
              <w:rPr>
                <w:rFonts w:ascii="Arial" w:cs="Arial" w:eastAsia="Arial" w:hAnsi="Arial"/>
                <w:sz w:val="14"/>
                <w:szCs w:val="14"/>
                <w:b w:val="1"/>
                <w:bCs w:val="1"/>
                <w:color w:val="auto"/>
              </w:rPr>
              <w:t>Customer Relationships</w:t>
            </w:r>
          </w:p>
        </w:tc>
        <w:tc>
          <w:tcPr>
            <w:tcW w:w="2520" w:type="dxa"/>
            <w:vAlign w:val="bottom"/>
          </w:tcPr>
          <w:p>
            <w:pPr>
              <w:jc w:val="right"/>
              <w:ind w:right="488"/>
              <w:spacing w:after="0"/>
              <w:rPr>
                <w:sz w:val="20"/>
                <w:szCs w:val="20"/>
                <w:color w:val="auto"/>
              </w:rPr>
            </w:pPr>
            <w:r>
              <w:rPr>
                <w:rFonts w:ascii="Arial" w:cs="Arial" w:eastAsia="Arial" w:hAnsi="Arial"/>
                <w:sz w:val="14"/>
                <w:szCs w:val="14"/>
                <w:b w:val="1"/>
                <w:bCs w:val="1"/>
                <w:color w:val="auto"/>
              </w:rPr>
              <w:t>27,421</w:t>
            </w:r>
          </w:p>
        </w:tc>
        <w:tc>
          <w:tcPr>
            <w:tcW w:w="1240" w:type="dxa"/>
            <w:vAlign w:val="bottom"/>
          </w:tcPr>
          <w:p>
            <w:pPr>
              <w:jc w:val="right"/>
              <w:ind w:right="688"/>
              <w:spacing w:after="0"/>
              <w:rPr>
                <w:sz w:val="20"/>
                <w:szCs w:val="20"/>
                <w:color w:val="auto"/>
              </w:rPr>
            </w:pPr>
            <w:r>
              <w:rPr>
                <w:rFonts w:ascii="Arial" w:cs="Arial" w:eastAsia="Arial" w:hAnsi="Arial"/>
                <w:sz w:val="14"/>
                <w:szCs w:val="14"/>
                <w:b w:val="1"/>
                <w:bCs w:val="1"/>
                <w:color w:val="auto"/>
              </w:rPr>
              <w:t>28,301</w:t>
            </w:r>
          </w:p>
        </w:tc>
        <w:tc>
          <w:tcPr>
            <w:tcW w:w="1780" w:type="dxa"/>
            <w:vAlign w:val="bottom"/>
          </w:tcPr>
          <w:p>
            <w:pPr>
              <w:jc w:val="right"/>
              <w:ind w:right="588"/>
              <w:spacing w:after="0"/>
              <w:rPr>
                <w:sz w:val="20"/>
                <w:szCs w:val="20"/>
                <w:color w:val="auto"/>
              </w:rPr>
            </w:pPr>
            <w:r>
              <w:rPr>
                <w:rFonts w:ascii="Arial" w:cs="Arial" w:eastAsia="Arial" w:hAnsi="Arial"/>
                <w:sz w:val="14"/>
                <w:szCs w:val="14"/>
                <w:b w:val="1"/>
                <w:bCs w:val="1"/>
                <w:color w:val="auto"/>
              </w:rPr>
              <w:t>156</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20" w:type="dxa"/>
            <w:vAlign w:val="bottom"/>
          </w:tcPr>
          <w:p>
            <w:pPr>
              <w:spacing w:after="0"/>
              <w:rPr>
                <w:sz w:val="14"/>
                <w:szCs w:val="14"/>
                <w:color w:val="auto"/>
              </w:rPr>
            </w:pPr>
          </w:p>
        </w:tc>
      </w:tr>
      <w:tr>
        <w:trPr>
          <w:trHeight w:val="172"/>
        </w:trPr>
        <w:tc>
          <w:tcPr>
            <w:tcW w:w="5500" w:type="dxa"/>
            <w:vAlign w:val="bottom"/>
          </w:tcPr>
          <w:p>
            <w:pPr>
              <w:spacing w:after="0"/>
              <w:rPr>
                <w:sz w:val="20"/>
                <w:szCs w:val="20"/>
                <w:color w:val="auto"/>
              </w:rPr>
            </w:pPr>
            <w:r>
              <w:rPr>
                <w:rFonts w:ascii="Arial" w:cs="Arial" w:eastAsia="Arial" w:hAnsi="Arial"/>
                <w:sz w:val="14"/>
                <w:szCs w:val="14"/>
                <w:color w:val="auto"/>
              </w:rPr>
              <w:t>Customer metrics include residential and business customers.</w:t>
            </w:r>
          </w:p>
        </w:tc>
        <w:tc>
          <w:tcPr>
            <w:tcW w:w="2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ectPr>
          <w:pgSz w:w="11900" w:h="16838" w:orient="portrait"/>
          <w:cols w:equalWidth="0" w:num="1">
            <w:col w:w="11420"/>
          </w:cols>
          <w:pgMar w:left="240" w:top="140" w:right="239" w:bottom="88" w:gutter="0" w:footer="0" w:header="0"/>
        </w:sectPr>
      </w:pPr>
    </w:p>
    <w:bookmarkStart w:id="4" w:name="page5"/>
    <w:bookmarkEnd w:id="4"/>
    <w:p>
      <w:pPr>
        <w:jc w:val="both"/>
        <w:spacing w:after="0" w:line="246" w:lineRule="auto"/>
        <w:rPr>
          <w:sz w:val="20"/>
          <w:szCs w:val="20"/>
          <w:color w:val="auto"/>
        </w:rPr>
      </w:pPr>
      <w:r>
        <w:rPr>
          <w:rFonts w:ascii="Arial" w:cs="Arial" w:eastAsia="Arial" w:hAnsi="Arial"/>
          <w:sz w:val="18"/>
          <w:szCs w:val="18"/>
          <w:b w:val="1"/>
          <w:bCs w:val="1"/>
          <w:i w:val="1"/>
          <w:iCs w:val="1"/>
          <w:color w:val="auto"/>
        </w:rPr>
        <w:t xml:space="preserve">Operating Cash Flow </w:t>
      </w:r>
      <w:r>
        <w:rPr>
          <w:rFonts w:ascii="Arial" w:cs="Arial" w:eastAsia="Arial" w:hAnsi="Arial"/>
          <w:sz w:val="18"/>
          <w:szCs w:val="18"/>
          <w:color w:val="auto"/>
        </w:rPr>
        <w:t>for Cable Communications increased 5.5% to $5.0 billion in the third quarter of 2016, reflecting higher revenue, partially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offset by a 7.8% increase in operating expenses. The higher expenses were primarily due to an 11.4% increase in video programming costs, reflecting the timing of contract renewals, as well as higher retransmission consent fees and sports programming costs. Technical and product support expenses increased 6.2% primarily related to the development, delivery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support of our X1 platform, Cloud DVR technology and wireless gateways, and the continued growth in business services and home security and automation services. Advertising, marketing and promotion costs increased 7.2%, primarily due to increases in spending associated with attracting new residential and business services customers. Customer service expenses increased 3.5%, primarily due to increased support for improving the customer experience and increases in total labor costs. This quarter’s operating cash flow margin was 39.7% compared to 40.2% in the third quarter of 2015.</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2016, Cable operating cash flow increased 5.4% to $14.9 billion compared to 2015, driven by higher revenue, partially offset by a 7.3% increase in operating expenses primarily related to a 9.4% increase in video programming costs, as well as higher technical and product support expenses, higher advertising, marketing and promotion costs, and higher customer service expenses. Year-to-date operating cash flow margin was 40.1% compared to 40.5% in 2015.</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3rd Quarter</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Year to Date</w:t>
            </w:r>
          </w:p>
        </w:tc>
        <w:tc>
          <w:tcPr>
            <w:tcW w:w="700" w:type="dxa"/>
            <w:vAlign w:val="bottom"/>
          </w:tcPr>
          <w:p>
            <w:pPr>
              <w:spacing w:after="0"/>
              <w:rPr>
                <w:sz w:val="14"/>
                <w:szCs w:val="14"/>
                <w:color w:val="auto"/>
              </w:rPr>
            </w:pPr>
          </w:p>
        </w:tc>
        <w:tc>
          <w:tcPr>
            <w:tcW w:w="6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Pro</w:t>
            </w:r>
          </w:p>
        </w:tc>
        <w:tc>
          <w:tcPr>
            <w:tcW w:w="0" w:type="dxa"/>
            <w:vAlign w:val="bottom"/>
          </w:tcPr>
          <w:p>
            <w:pPr>
              <w:spacing w:after="0"/>
              <w:rPr>
                <w:sz w:val="1"/>
                <w:szCs w:val="1"/>
                <w:color w:val="auto"/>
              </w:rPr>
            </w:pPr>
          </w:p>
        </w:tc>
      </w:tr>
      <w:tr>
        <w:trPr>
          <w:trHeight w:val="152"/>
        </w:trPr>
        <w:tc>
          <w:tcPr>
            <w:tcW w:w="3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4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Reported</w:t>
            </w:r>
          </w:p>
        </w:tc>
        <w:tc>
          <w:tcPr>
            <w:tcW w:w="108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Pro Forma</w:t>
            </w: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Forma</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20"/>
                <w:szCs w:val="20"/>
                <w:color w:val="auto"/>
              </w:rPr>
            </w:pPr>
            <w:r>
              <w:rPr>
                <w:rFonts w:ascii="Arial" w:cs="Arial" w:eastAsia="Arial" w:hAnsi="Arial"/>
                <w:sz w:val="11"/>
                <w:szCs w:val="11"/>
                <w:i w:val="1"/>
                <w:iCs w:val="1"/>
                <w:color w:val="auto"/>
              </w:rPr>
              <w:t>($ in millions)</w:t>
            </w:r>
          </w:p>
        </w:tc>
        <w:tc>
          <w:tcPr>
            <w:tcW w:w="1640" w:type="dxa"/>
            <w:vAlign w:val="bottom"/>
          </w:tcPr>
          <w:p>
            <w:pPr>
              <w:jc w:val="right"/>
              <w:ind w:right="368"/>
              <w:spacing w:after="0" w:line="160" w:lineRule="exact"/>
              <w:rPr>
                <w:sz w:val="20"/>
                <w:szCs w:val="20"/>
                <w:color w:val="auto"/>
              </w:rPr>
            </w:pPr>
            <w:r>
              <w:rPr>
                <w:rFonts w:ascii="Arial" w:cs="Arial" w:eastAsia="Arial" w:hAnsi="Arial"/>
                <w:sz w:val="14"/>
                <w:szCs w:val="14"/>
                <w:color w:val="auto"/>
              </w:rPr>
              <w:t>2015</w:t>
            </w:r>
          </w:p>
        </w:tc>
        <w:tc>
          <w:tcPr>
            <w:tcW w:w="1200" w:type="dxa"/>
            <w:vAlign w:val="bottom"/>
          </w:tcPr>
          <w:p>
            <w:pPr>
              <w:jc w:val="right"/>
              <w:ind w:right="228"/>
              <w:spacing w:after="0" w:line="160" w:lineRule="exact"/>
              <w:rPr>
                <w:sz w:val="20"/>
                <w:szCs w:val="20"/>
                <w:color w:val="auto"/>
              </w:rPr>
            </w:pPr>
            <w:r>
              <w:rPr>
                <w:rFonts w:ascii="Arial" w:cs="Arial" w:eastAsia="Arial" w:hAnsi="Arial"/>
                <w:sz w:val="14"/>
                <w:szCs w:val="14"/>
                <w:color w:val="auto"/>
              </w:rPr>
              <w:t>2016</w:t>
            </w:r>
          </w:p>
        </w:tc>
        <w:tc>
          <w:tcPr>
            <w:tcW w:w="840" w:type="dxa"/>
            <w:vAlign w:val="bottom"/>
          </w:tcPr>
          <w:p>
            <w:pPr>
              <w:jc w:val="right"/>
              <w:ind w:right="148"/>
              <w:spacing w:after="0" w:line="160" w:lineRule="exact"/>
              <w:rPr>
                <w:sz w:val="20"/>
                <w:szCs w:val="20"/>
                <w:color w:val="auto"/>
              </w:rPr>
            </w:pPr>
            <w:r>
              <w:rPr>
                <w:rFonts w:ascii="Arial" w:cs="Arial" w:eastAsia="Arial" w:hAnsi="Arial"/>
                <w:sz w:val="14"/>
                <w:szCs w:val="14"/>
                <w:color w:val="auto"/>
              </w:rPr>
              <w:t>Growth</w:t>
            </w:r>
          </w:p>
        </w:tc>
        <w:tc>
          <w:tcPr>
            <w:tcW w:w="1080" w:type="dxa"/>
            <w:vAlign w:val="bottom"/>
          </w:tcPr>
          <w:p>
            <w:pPr>
              <w:jc w:val="right"/>
              <w:ind w:right="108"/>
              <w:spacing w:after="0" w:line="160" w:lineRule="exact"/>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920" w:type="dxa"/>
            <w:vAlign w:val="bottom"/>
          </w:tcPr>
          <w:p>
            <w:pPr>
              <w:jc w:val="right"/>
              <w:ind w:right="128"/>
              <w:spacing w:after="0" w:line="160" w:lineRule="exact"/>
              <w:rPr>
                <w:sz w:val="20"/>
                <w:szCs w:val="20"/>
                <w:color w:val="auto"/>
              </w:rPr>
            </w:pPr>
            <w:r>
              <w:rPr>
                <w:rFonts w:ascii="Arial" w:cs="Arial" w:eastAsia="Arial" w:hAnsi="Arial"/>
                <w:sz w:val="14"/>
                <w:szCs w:val="14"/>
                <w:color w:val="auto"/>
              </w:rPr>
              <w:t>2015</w:t>
            </w:r>
          </w:p>
        </w:tc>
        <w:tc>
          <w:tcPr>
            <w:tcW w:w="1880" w:type="dxa"/>
            <w:vAlign w:val="bottom"/>
            <w:gridSpan w:val="2"/>
          </w:tcPr>
          <w:p>
            <w:pPr>
              <w:jc w:val="right"/>
              <w:spacing w:after="0" w:line="160" w:lineRule="exact"/>
              <w:rPr>
                <w:sz w:val="20"/>
                <w:szCs w:val="20"/>
                <w:color w:val="auto"/>
              </w:rPr>
            </w:pPr>
            <w:r>
              <w:rPr>
                <w:rFonts w:ascii="Arial" w:cs="Arial" w:eastAsia="Arial" w:hAnsi="Arial"/>
                <w:sz w:val="14"/>
                <w:szCs w:val="14"/>
                <w:color w:val="auto"/>
              </w:rPr>
              <w:t>2016Reported Growth</w:t>
            </w:r>
          </w:p>
        </w:tc>
        <w:tc>
          <w:tcPr>
            <w:tcW w:w="600" w:type="dxa"/>
            <w:vAlign w:val="bottom"/>
            <w:gridSpan w:val="2"/>
          </w:tcPr>
          <w:p>
            <w:pPr>
              <w:jc w:val="right"/>
              <w:ind w:right="20"/>
              <w:spacing w:after="0" w:line="160" w:lineRule="exact"/>
              <w:rPr>
                <w:sz w:val="20"/>
                <w:szCs w:val="20"/>
                <w:color w:val="auto"/>
              </w:rPr>
            </w:pPr>
            <w:r>
              <w:rPr>
                <w:rFonts w:ascii="Arial" w:cs="Arial" w:eastAsia="Arial" w:hAnsi="Arial"/>
                <w:sz w:val="14"/>
                <w:szCs w:val="14"/>
                <w:color w:val="auto"/>
              </w:rPr>
              <w:t>Growth</w:t>
            </w:r>
            <w:r>
              <w:rPr>
                <w:rFonts w:ascii="Arial" w:cs="Arial" w:eastAsia="Arial" w:hAnsi="Arial"/>
                <w:sz w:val="14"/>
                <w:szCs w:val="14"/>
                <w:color w:val="auto"/>
                <w:vertAlign w:val="superscript"/>
              </w:rPr>
              <w:t>5</w:t>
            </w:r>
          </w:p>
        </w:tc>
        <w:tc>
          <w:tcPr>
            <w:tcW w:w="0" w:type="dxa"/>
            <w:vAlign w:val="bottom"/>
          </w:tcPr>
          <w:p>
            <w:pPr>
              <w:spacing w:after="0"/>
              <w:rPr>
                <w:sz w:val="1"/>
                <w:szCs w:val="1"/>
                <w:color w:val="auto"/>
              </w:rPr>
            </w:pPr>
          </w:p>
        </w:tc>
      </w:tr>
      <w:tr>
        <w:trPr>
          <w:trHeight w:val="162"/>
        </w:trPr>
        <w:tc>
          <w:tcPr>
            <w:tcW w:w="3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NBCUniversal Revenue</w:t>
            </w:r>
          </w:p>
        </w:tc>
        <w:tc>
          <w:tcPr>
            <w:tcW w:w="164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line="147" w:lineRule="exact"/>
              <w:rPr>
                <w:sz w:val="20"/>
                <w:szCs w:val="20"/>
                <w:color w:val="auto"/>
              </w:rPr>
            </w:pPr>
            <w:r>
              <w:rPr>
                <w:rFonts w:ascii="Arial" w:cs="Arial" w:eastAsia="Arial" w:hAnsi="Arial"/>
                <w:sz w:val="14"/>
                <w:szCs w:val="14"/>
                <w:color w:val="auto"/>
              </w:rPr>
              <w:t>Cable Networks</w:t>
            </w:r>
          </w:p>
        </w:tc>
        <w:tc>
          <w:tcPr>
            <w:tcW w:w="164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$2,412</w:t>
            </w:r>
          </w:p>
        </w:tc>
        <w:tc>
          <w:tcPr>
            <w:tcW w:w="12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$2,942</w:t>
            </w: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22.0%</w:t>
            </w:r>
          </w:p>
        </w:tc>
        <w:tc>
          <w:tcPr>
            <w:tcW w:w="1080" w:type="dxa"/>
            <w:vAlign w:val="bottom"/>
          </w:tcPr>
          <w:p>
            <w:pPr>
              <w:spacing w:after="0"/>
              <w:rPr>
                <w:sz w:val="12"/>
                <w:szCs w:val="12"/>
                <w:color w:val="auto"/>
              </w:rPr>
            </w:pPr>
          </w:p>
        </w:tc>
        <w:tc>
          <w:tcPr>
            <w:tcW w:w="920" w:type="dxa"/>
            <w:vAlign w:val="bottom"/>
          </w:tcPr>
          <w:p>
            <w:pPr>
              <w:jc w:val="right"/>
              <w:ind w:right="128"/>
              <w:spacing w:after="0" w:line="147" w:lineRule="exact"/>
              <w:rPr>
                <w:sz w:val="20"/>
                <w:szCs w:val="20"/>
                <w:color w:val="auto"/>
              </w:rPr>
            </w:pPr>
            <w:r>
              <w:rPr>
                <w:rFonts w:ascii="Arial" w:cs="Arial" w:eastAsia="Arial" w:hAnsi="Arial"/>
                <w:sz w:val="14"/>
                <w:szCs w:val="14"/>
                <w:color w:val="auto"/>
              </w:rPr>
              <w:t>$7,221</w:t>
            </w:r>
          </w:p>
        </w:tc>
        <w:tc>
          <w:tcPr>
            <w:tcW w:w="1180" w:type="dxa"/>
            <w:vAlign w:val="bottom"/>
          </w:tcPr>
          <w:p>
            <w:pPr>
              <w:jc w:val="right"/>
              <w:ind w:right="408"/>
              <w:spacing w:after="0" w:line="147" w:lineRule="exact"/>
              <w:rPr>
                <w:sz w:val="20"/>
                <w:szCs w:val="20"/>
                <w:color w:val="auto"/>
              </w:rPr>
            </w:pPr>
            <w:r>
              <w:rPr>
                <w:rFonts w:ascii="Arial" w:cs="Arial" w:eastAsia="Arial" w:hAnsi="Arial"/>
                <w:sz w:val="14"/>
                <w:szCs w:val="14"/>
                <w:color w:val="auto"/>
              </w:rPr>
              <w:t>$7,961</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10.2%</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Excluding Olympics</w:t>
            </w:r>
          </w:p>
        </w:tc>
        <w:tc>
          <w:tcPr>
            <w:tcW w:w="1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$2,412</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$2,510</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4.1%</w:t>
            </w:r>
          </w:p>
        </w:tc>
        <w:tc>
          <w:tcPr>
            <w:tcW w:w="10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$7,221</w:t>
            </w: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i w:val="1"/>
                <w:iCs w:val="1"/>
                <w:color w:val="auto"/>
              </w:rPr>
              <w:t>$7,529</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4.3%</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280" w:type="dxa"/>
            <w:vAlign w:val="bottom"/>
          </w:tcPr>
          <w:p>
            <w:pPr>
              <w:spacing w:after="0" w:line="147" w:lineRule="exact"/>
              <w:rPr>
                <w:sz w:val="20"/>
                <w:szCs w:val="20"/>
                <w:color w:val="auto"/>
              </w:rPr>
            </w:pPr>
            <w:r>
              <w:rPr>
                <w:rFonts w:ascii="Arial" w:cs="Arial" w:eastAsia="Arial" w:hAnsi="Arial"/>
                <w:sz w:val="14"/>
                <w:szCs w:val="14"/>
                <w:color w:val="auto"/>
              </w:rPr>
              <w:t>Broadcast Television</w:t>
            </w:r>
          </w:p>
        </w:tc>
        <w:tc>
          <w:tcPr>
            <w:tcW w:w="1640" w:type="dxa"/>
            <w:vAlign w:val="bottom"/>
          </w:tcPr>
          <w:p>
            <w:pPr>
              <w:jc w:val="right"/>
              <w:ind w:right="368"/>
              <w:spacing w:after="0" w:line="147" w:lineRule="exact"/>
              <w:rPr>
                <w:sz w:val="20"/>
                <w:szCs w:val="20"/>
                <w:color w:val="auto"/>
              </w:rPr>
            </w:pPr>
            <w:r>
              <w:rPr>
                <w:rFonts w:ascii="Arial" w:cs="Arial" w:eastAsia="Arial" w:hAnsi="Arial"/>
                <w:sz w:val="14"/>
                <w:szCs w:val="14"/>
                <w:color w:val="auto"/>
              </w:rPr>
              <w:t>1,971</w:t>
            </w:r>
          </w:p>
        </w:tc>
        <w:tc>
          <w:tcPr>
            <w:tcW w:w="1200" w:type="dxa"/>
            <w:vAlign w:val="bottom"/>
          </w:tcPr>
          <w:p>
            <w:pPr>
              <w:jc w:val="right"/>
              <w:ind w:right="228"/>
              <w:spacing w:after="0" w:line="147" w:lineRule="exact"/>
              <w:rPr>
                <w:sz w:val="20"/>
                <w:szCs w:val="20"/>
                <w:color w:val="auto"/>
              </w:rPr>
            </w:pPr>
            <w:r>
              <w:rPr>
                <w:rFonts w:ascii="Arial" w:cs="Arial" w:eastAsia="Arial" w:hAnsi="Arial"/>
                <w:sz w:val="14"/>
                <w:szCs w:val="14"/>
                <w:color w:val="auto"/>
              </w:rPr>
              <w:t>3,087</w:t>
            </w:r>
          </w:p>
        </w:tc>
        <w:tc>
          <w:tcPr>
            <w:tcW w:w="840" w:type="dxa"/>
            <w:vAlign w:val="bottom"/>
          </w:tcPr>
          <w:p>
            <w:pPr>
              <w:jc w:val="right"/>
              <w:ind w:right="148"/>
              <w:spacing w:after="0" w:line="147" w:lineRule="exact"/>
              <w:rPr>
                <w:sz w:val="20"/>
                <w:szCs w:val="20"/>
                <w:color w:val="auto"/>
              </w:rPr>
            </w:pPr>
            <w:r>
              <w:rPr>
                <w:rFonts w:ascii="Arial" w:cs="Arial" w:eastAsia="Arial" w:hAnsi="Arial"/>
                <w:sz w:val="14"/>
                <w:szCs w:val="14"/>
                <w:color w:val="auto"/>
              </w:rPr>
              <w:t>56.6%</w:t>
            </w:r>
          </w:p>
        </w:tc>
        <w:tc>
          <w:tcPr>
            <w:tcW w:w="1080" w:type="dxa"/>
            <w:vAlign w:val="bottom"/>
          </w:tcPr>
          <w:p>
            <w:pPr>
              <w:spacing w:after="0"/>
              <w:rPr>
                <w:sz w:val="12"/>
                <w:szCs w:val="12"/>
                <w:color w:val="auto"/>
              </w:rPr>
            </w:pPr>
          </w:p>
        </w:tc>
        <w:tc>
          <w:tcPr>
            <w:tcW w:w="920" w:type="dxa"/>
            <w:vAlign w:val="bottom"/>
          </w:tcPr>
          <w:p>
            <w:pPr>
              <w:jc w:val="right"/>
              <w:ind w:right="128"/>
              <w:spacing w:after="0" w:line="147" w:lineRule="exact"/>
              <w:rPr>
                <w:sz w:val="20"/>
                <w:szCs w:val="20"/>
                <w:color w:val="auto"/>
              </w:rPr>
            </w:pPr>
            <w:r>
              <w:rPr>
                <w:rFonts w:ascii="Arial" w:cs="Arial" w:eastAsia="Arial" w:hAnsi="Arial"/>
                <w:sz w:val="14"/>
                <w:szCs w:val="14"/>
                <w:color w:val="auto"/>
              </w:rPr>
              <w:t>6,032</w:t>
            </w:r>
          </w:p>
        </w:tc>
        <w:tc>
          <w:tcPr>
            <w:tcW w:w="1180" w:type="dxa"/>
            <w:vAlign w:val="bottom"/>
          </w:tcPr>
          <w:p>
            <w:pPr>
              <w:jc w:val="right"/>
              <w:ind w:right="408"/>
              <w:spacing w:after="0" w:line="147" w:lineRule="exact"/>
              <w:rPr>
                <w:sz w:val="20"/>
                <w:szCs w:val="20"/>
                <w:color w:val="auto"/>
              </w:rPr>
            </w:pPr>
            <w:r>
              <w:rPr>
                <w:rFonts w:ascii="Arial" w:cs="Arial" w:eastAsia="Arial" w:hAnsi="Arial"/>
                <w:sz w:val="14"/>
                <w:szCs w:val="14"/>
                <w:color w:val="auto"/>
              </w:rPr>
              <w:t>7,299</w:t>
            </w:r>
          </w:p>
        </w:tc>
        <w:tc>
          <w:tcPr>
            <w:tcW w:w="700" w:type="dxa"/>
            <w:vAlign w:val="bottom"/>
          </w:tcPr>
          <w:p>
            <w:pPr>
              <w:jc w:val="right"/>
              <w:spacing w:after="0" w:line="147" w:lineRule="exact"/>
              <w:rPr>
                <w:sz w:val="20"/>
                <w:szCs w:val="20"/>
                <w:color w:val="auto"/>
              </w:rPr>
            </w:pPr>
            <w:r>
              <w:rPr>
                <w:rFonts w:ascii="Arial" w:cs="Arial" w:eastAsia="Arial" w:hAnsi="Arial"/>
                <w:sz w:val="14"/>
                <w:szCs w:val="14"/>
                <w:color w:val="auto"/>
              </w:rPr>
              <w:t>21.0%</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Excluding Olympics and Super Bowl</w:t>
            </w:r>
          </w:p>
        </w:tc>
        <w:tc>
          <w:tcPr>
            <w:tcW w:w="16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i w:val="1"/>
                <w:iCs w:val="1"/>
                <w:color w:val="auto"/>
              </w:rPr>
              <w:t>1,971</w:t>
            </w: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i w:val="1"/>
                <w:iCs w:val="1"/>
                <w:color w:val="auto"/>
              </w:rPr>
              <w:t>1,899</w:t>
            </w: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i w:val="1"/>
                <w:iCs w:val="1"/>
                <w:color w:val="auto"/>
              </w:rPr>
              <w:t>(3.6%)</w:t>
            </w:r>
          </w:p>
        </w:tc>
        <w:tc>
          <w:tcPr>
            <w:tcW w:w="10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i w:val="1"/>
                <w:iCs w:val="1"/>
                <w:color w:val="auto"/>
              </w:rPr>
              <w:t>5,656</w:t>
            </w: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i w:val="1"/>
                <w:iCs w:val="1"/>
                <w:color w:val="auto"/>
              </w:rPr>
              <w:t>6,111</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i w:val="1"/>
                <w:iCs w:val="1"/>
                <w:color w:val="auto"/>
              </w:rPr>
              <w:t>8.0%</w:t>
            </w: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Filmed Entertainment</w:t>
            </w:r>
          </w:p>
        </w:tc>
        <w:tc>
          <w:tcPr>
            <w:tcW w:w="16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1,946</w:t>
            </w:r>
          </w:p>
        </w:tc>
        <w:tc>
          <w:tcPr>
            <w:tcW w:w="12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1,792</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(7.9%)</w:t>
            </w: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5,658</w:t>
            </w: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4,526</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color w:val="auto"/>
              </w:rPr>
              <w:t>Theme Parks</w:t>
            </w:r>
          </w:p>
        </w:tc>
        <w:tc>
          <w:tcPr>
            <w:tcW w:w="16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896</w:t>
            </w:r>
          </w:p>
        </w:tc>
        <w:tc>
          <w:tcPr>
            <w:tcW w:w="120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1,440</w:t>
            </w:r>
          </w:p>
        </w:tc>
        <w:tc>
          <w:tcPr>
            <w:tcW w:w="8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60.6%</w:t>
            </w:r>
          </w:p>
        </w:tc>
        <w:tc>
          <w:tcPr>
            <w:tcW w:w="10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16.1%</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2,320</w:t>
            </w:r>
          </w:p>
        </w:tc>
        <w:tc>
          <w:tcPr>
            <w:tcW w:w="118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3,602</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55.2%</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63"/>
        </w:trPr>
        <w:tc>
          <w:tcPr>
            <w:tcW w:w="3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Headquarters, Other and Eliminations</w:t>
            </w:r>
          </w:p>
        </w:tc>
        <w:tc>
          <w:tcPr>
            <w:tcW w:w="16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(74)</w:t>
            </w:r>
          </w:p>
        </w:tc>
        <w:tc>
          <w:tcPr>
            <w:tcW w:w="12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(83)</w:t>
            </w:r>
          </w:p>
        </w:tc>
        <w:tc>
          <w:tcPr>
            <w:tcW w:w="8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NM</w:t>
            </w:r>
          </w:p>
        </w:tc>
        <w:tc>
          <w:tcPr>
            <w:tcW w:w="10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(246)</w:t>
            </w:r>
          </w:p>
        </w:tc>
        <w:tc>
          <w:tcPr>
            <w:tcW w:w="11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(246)</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5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280" w:type="dxa"/>
            <w:vAlign w:val="bottom"/>
          </w:tcPr>
          <w:p>
            <w:pPr>
              <w:spacing w:after="0" w:line="151" w:lineRule="exact"/>
              <w:rPr>
                <w:sz w:val="20"/>
                <w:szCs w:val="20"/>
                <w:color w:val="auto"/>
              </w:rPr>
            </w:pPr>
            <w:r>
              <w:rPr>
                <w:rFonts w:ascii="Arial" w:cs="Arial" w:eastAsia="Arial" w:hAnsi="Arial"/>
                <w:sz w:val="14"/>
                <w:szCs w:val="14"/>
                <w:b w:val="1"/>
                <w:bCs w:val="1"/>
                <w:color w:val="auto"/>
              </w:rPr>
              <w:t>NBCUniversal Revenue</w:t>
            </w:r>
          </w:p>
        </w:tc>
        <w:tc>
          <w:tcPr>
            <w:tcW w:w="1640" w:type="dxa"/>
            <w:vAlign w:val="bottom"/>
          </w:tcPr>
          <w:p>
            <w:pPr>
              <w:jc w:val="right"/>
              <w:ind w:right="368"/>
              <w:spacing w:after="0" w:line="151" w:lineRule="exact"/>
              <w:rPr>
                <w:sz w:val="20"/>
                <w:szCs w:val="20"/>
                <w:color w:val="auto"/>
              </w:rPr>
            </w:pPr>
            <w:r>
              <w:rPr>
                <w:rFonts w:ascii="Arial" w:cs="Arial" w:eastAsia="Arial" w:hAnsi="Arial"/>
                <w:sz w:val="14"/>
                <w:szCs w:val="14"/>
                <w:b w:val="1"/>
                <w:bCs w:val="1"/>
                <w:color w:val="auto"/>
              </w:rPr>
              <w:t>$7,151</w:t>
            </w:r>
          </w:p>
        </w:tc>
        <w:tc>
          <w:tcPr>
            <w:tcW w:w="1200" w:type="dxa"/>
            <w:vAlign w:val="bottom"/>
          </w:tcPr>
          <w:p>
            <w:pPr>
              <w:jc w:val="right"/>
              <w:ind w:right="228"/>
              <w:spacing w:after="0" w:line="151" w:lineRule="exact"/>
              <w:rPr>
                <w:sz w:val="20"/>
                <w:szCs w:val="20"/>
                <w:color w:val="auto"/>
              </w:rPr>
            </w:pPr>
            <w:r>
              <w:rPr>
                <w:rFonts w:ascii="Arial" w:cs="Arial" w:eastAsia="Arial" w:hAnsi="Arial"/>
                <w:sz w:val="14"/>
                <w:szCs w:val="14"/>
                <w:b w:val="1"/>
                <w:bCs w:val="1"/>
                <w:color w:val="auto"/>
              </w:rPr>
              <w:t>$9,178</w:t>
            </w:r>
          </w:p>
        </w:tc>
        <w:tc>
          <w:tcPr>
            <w:tcW w:w="840" w:type="dxa"/>
            <w:vAlign w:val="bottom"/>
          </w:tcPr>
          <w:p>
            <w:pPr>
              <w:jc w:val="right"/>
              <w:ind w:right="148"/>
              <w:spacing w:after="0" w:line="151" w:lineRule="exact"/>
              <w:rPr>
                <w:sz w:val="20"/>
                <w:szCs w:val="20"/>
                <w:color w:val="auto"/>
              </w:rPr>
            </w:pPr>
            <w:r>
              <w:rPr>
                <w:rFonts w:ascii="Arial" w:cs="Arial" w:eastAsia="Arial" w:hAnsi="Arial"/>
                <w:sz w:val="14"/>
                <w:szCs w:val="14"/>
                <w:b w:val="1"/>
                <w:bCs w:val="1"/>
                <w:color w:val="auto"/>
              </w:rPr>
              <w:t>28.3%</w:t>
            </w:r>
          </w:p>
        </w:tc>
        <w:tc>
          <w:tcPr>
            <w:tcW w:w="1080" w:type="dxa"/>
            <w:vAlign w:val="bottom"/>
          </w:tcPr>
          <w:p>
            <w:pPr>
              <w:jc w:val="right"/>
              <w:ind w:right="108"/>
              <w:spacing w:after="0" w:line="151" w:lineRule="exact"/>
              <w:rPr>
                <w:sz w:val="20"/>
                <w:szCs w:val="20"/>
                <w:color w:val="auto"/>
              </w:rPr>
            </w:pPr>
            <w:r>
              <w:rPr>
                <w:rFonts w:ascii="Arial" w:cs="Arial" w:eastAsia="Arial" w:hAnsi="Arial"/>
                <w:sz w:val="14"/>
                <w:szCs w:val="14"/>
                <w:b w:val="1"/>
                <w:bCs w:val="1"/>
                <w:color w:val="auto"/>
              </w:rPr>
              <w:t>22.5%</w:t>
            </w:r>
          </w:p>
        </w:tc>
        <w:tc>
          <w:tcPr>
            <w:tcW w:w="920" w:type="dxa"/>
            <w:vAlign w:val="bottom"/>
          </w:tcPr>
          <w:p>
            <w:pPr>
              <w:jc w:val="right"/>
              <w:ind w:right="128"/>
              <w:spacing w:after="0" w:line="151" w:lineRule="exact"/>
              <w:rPr>
                <w:sz w:val="20"/>
                <w:szCs w:val="20"/>
                <w:color w:val="auto"/>
              </w:rPr>
            </w:pPr>
            <w:r>
              <w:rPr>
                <w:rFonts w:ascii="Arial" w:cs="Arial" w:eastAsia="Arial" w:hAnsi="Arial"/>
                <w:sz w:val="14"/>
                <w:szCs w:val="14"/>
                <w:b w:val="1"/>
                <w:bCs w:val="1"/>
                <w:color w:val="auto"/>
              </w:rPr>
              <w:t>$20,985</w:t>
            </w:r>
          </w:p>
        </w:tc>
        <w:tc>
          <w:tcPr>
            <w:tcW w:w="1180" w:type="dxa"/>
            <w:vAlign w:val="bottom"/>
          </w:tcPr>
          <w:p>
            <w:pPr>
              <w:jc w:val="right"/>
              <w:ind w:right="408"/>
              <w:spacing w:after="0" w:line="151" w:lineRule="exact"/>
              <w:rPr>
                <w:sz w:val="20"/>
                <w:szCs w:val="20"/>
                <w:color w:val="auto"/>
              </w:rPr>
            </w:pPr>
            <w:r>
              <w:rPr>
                <w:rFonts w:ascii="Arial" w:cs="Arial" w:eastAsia="Arial" w:hAnsi="Arial"/>
                <w:sz w:val="14"/>
                <w:szCs w:val="14"/>
                <w:b w:val="1"/>
                <w:bCs w:val="1"/>
                <w:color w:val="auto"/>
              </w:rPr>
              <w:t>$23,142</w:t>
            </w:r>
          </w:p>
        </w:tc>
        <w:tc>
          <w:tcPr>
            <w:tcW w:w="70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10.3%</w:t>
            </w:r>
          </w:p>
        </w:tc>
        <w:tc>
          <w:tcPr>
            <w:tcW w:w="58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Excluding Olympics and Super Bowl</w:t>
            </w:r>
          </w:p>
        </w:tc>
        <w:tc>
          <w:tcPr>
            <w:tcW w:w="1640" w:type="dxa"/>
            <w:vAlign w:val="bottom"/>
          </w:tcPr>
          <w:p>
            <w:pPr>
              <w:jc w:val="right"/>
              <w:ind w:right="368"/>
              <w:spacing w:after="0"/>
              <w:rPr>
                <w:sz w:val="20"/>
                <w:szCs w:val="20"/>
                <w:color w:val="auto"/>
              </w:rPr>
            </w:pPr>
            <w:r>
              <w:rPr>
                <w:rFonts w:ascii="Arial" w:cs="Arial" w:eastAsia="Arial" w:hAnsi="Arial"/>
                <w:sz w:val="14"/>
                <w:szCs w:val="14"/>
                <w:b w:val="1"/>
                <w:bCs w:val="1"/>
                <w:i w:val="1"/>
                <w:iCs w:val="1"/>
                <w:color w:val="auto"/>
              </w:rPr>
              <w:t>$7,151</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i w:val="1"/>
                <w:iCs w:val="1"/>
                <w:color w:val="auto"/>
              </w:rPr>
              <w:t>$7,558</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i w:val="1"/>
                <w:iCs w:val="1"/>
                <w:color w:val="auto"/>
              </w:rPr>
              <w:t>5.7%</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i w:val="1"/>
                <w:iCs w:val="1"/>
                <w:color w:val="auto"/>
              </w:rPr>
              <w:t>0.8%</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i w:val="1"/>
                <w:iCs w:val="1"/>
                <w:color w:val="auto"/>
              </w:rPr>
              <w:t>$20,609</w:t>
            </w: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i w:val="1"/>
                <w:iCs w:val="1"/>
                <w:color w:val="auto"/>
              </w:rPr>
              <w:t>$21,522</w:t>
            </w:r>
          </w:p>
        </w:tc>
        <w:tc>
          <w:tcPr>
            <w:tcW w:w="7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4.4%</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i w:val="1"/>
                <w:iCs w:val="1"/>
                <w:color w:val="auto"/>
              </w:rPr>
              <w:t>0.1%</w:t>
            </w:r>
          </w:p>
        </w:tc>
        <w:tc>
          <w:tcPr>
            <w:tcW w:w="0" w:type="dxa"/>
            <w:vAlign w:val="bottom"/>
          </w:tcPr>
          <w:p>
            <w:pPr>
              <w:spacing w:after="0"/>
              <w:rPr>
                <w:sz w:val="1"/>
                <w:szCs w:val="1"/>
                <w:color w:val="auto"/>
              </w:rPr>
            </w:pPr>
          </w:p>
        </w:tc>
      </w:tr>
      <w:tr>
        <w:trPr>
          <w:trHeight w:val="208"/>
        </w:trPr>
        <w:tc>
          <w:tcPr>
            <w:tcW w:w="3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NBCUniversal Operating Cash Flow</w:t>
            </w:r>
          </w:p>
        </w:tc>
        <w:tc>
          <w:tcPr>
            <w:tcW w:w="16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Cable Networks</w:t>
            </w:r>
          </w:p>
        </w:tc>
        <w:tc>
          <w:tcPr>
            <w:tcW w:w="16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$835</w:t>
            </w:r>
          </w:p>
        </w:tc>
        <w:tc>
          <w:tcPr>
            <w:tcW w:w="12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$893</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7.0%</w:t>
            </w: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$2,605</w:t>
            </w: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$2,793</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Broadcast Television</w:t>
            </w:r>
          </w:p>
        </w:tc>
        <w:tc>
          <w:tcPr>
            <w:tcW w:w="16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150</w:t>
            </w:r>
          </w:p>
        </w:tc>
        <w:tc>
          <w:tcPr>
            <w:tcW w:w="12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378</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NM</w:t>
            </w: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563</w:t>
            </w: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1,056</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87.6%</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Filmed Entertainment</w:t>
            </w:r>
          </w:p>
        </w:tc>
        <w:tc>
          <w:tcPr>
            <w:tcW w:w="164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376</w:t>
            </w:r>
          </w:p>
        </w:tc>
        <w:tc>
          <w:tcPr>
            <w:tcW w:w="12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353</w:t>
            </w:r>
          </w:p>
        </w:tc>
        <w:tc>
          <w:tcPr>
            <w:tcW w:w="8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(6.1%)</w:t>
            </w: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1,091</w:t>
            </w:r>
          </w:p>
        </w:tc>
        <w:tc>
          <w:tcPr>
            <w:tcW w:w="118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576</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80" w:type="dxa"/>
            <w:vAlign w:val="bottom"/>
          </w:tcPr>
          <w:p>
            <w:pPr>
              <w:spacing w:after="0" w:line="155" w:lineRule="exact"/>
              <w:rPr>
                <w:sz w:val="20"/>
                <w:szCs w:val="20"/>
                <w:color w:val="auto"/>
              </w:rPr>
            </w:pPr>
            <w:r>
              <w:rPr>
                <w:rFonts w:ascii="Arial" w:cs="Arial" w:eastAsia="Arial" w:hAnsi="Arial"/>
                <w:sz w:val="14"/>
                <w:szCs w:val="14"/>
                <w:color w:val="auto"/>
              </w:rPr>
              <w:t>Theme Parks</w:t>
            </w:r>
          </w:p>
        </w:tc>
        <w:tc>
          <w:tcPr>
            <w:tcW w:w="16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434</w:t>
            </w:r>
          </w:p>
        </w:tc>
        <w:tc>
          <w:tcPr>
            <w:tcW w:w="120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706</w:t>
            </w:r>
          </w:p>
        </w:tc>
        <w:tc>
          <w:tcPr>
            <w:tcW w:w="84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62.4%</w:t>
            </w:r>
          </w:p>
        </w:tc>
        <w:tc>
          <w:tcPr>
            <w:tcW w:w="108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17.1%</w:t>
            </w:r>
          </w:p>
        </w:tc>
        <w:tc>
          <w:tcPr>
            <w:tcW w:w="92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1,012</w:t>
            </w:r>
          </w:p>
        </w:tc>
        <w:tc>
          <w:tcPr>
            <w:tcW w:w="118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1,550</w:t>
            </w: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53.1%</w:t>
            </w:r>
          </w:p>
        </w:tc>
        <w:tc>
          <w:tcPr>
            <w:tcW w:w="60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63"/>
        </w:trPr>
        <w:tc>
          <w:tcPr>
            <w:tcW w:w="32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Headquarters, Other and Eliminations</w:t>
            </w:r>
          </w:p>
        </w:tc>
        <w:tc>
          <w:tcPr>
            <w:tcW w:w="16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(162)</w:t>
            </w:r>
          </w:p>
        </w:tc>
        <w:tc>
          <w:tcPr>
            <w:tcW w:w="1200" w:type="dxa"/>
            <w:vAlign w:val="bottom"/>
            <w:tcBorders>
              <w:top w:val="single" w:sz="8" w:color="auto"/>
              <w:bottom w:val="single" w:sz="8" w:color="auto"/>
            </w:tcBorders>
          </w:tcPr>
          <w:p>
            <w:pPr>
              <w:jc w:val="right"/>
              <w:ind w:right="228"/>
              <w:spacing w:after="0" w:line="155" w:lineRule="exact"/>
              <w:rPr>
                <w:sz w:val="20"/>
                <w:szCs w:val="20"/>
                <w:color w:val="auto"/>
              </w:rPr>
            </w:pPr>
            <w:r>
              <w:rPr>
                <w:rFonts w:ascii="Arial" w:cs="Arial" w:eastAsia="Arial" w:hAnsi="Arial"/>
                <w:sz w:val="14"/>
                <w:szCs w:val="14"/>
                <w:color w:val="auto"/>
              </w:rPr>
              <w:t>(184)</w:t>
            </w:r>
          </w:p>
        </w:tc>
        <w:tc>
          <w:tcPr>
            <w:tcW w:w="84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NM</w:t>
            </w:r>
          </w:p>
        </w:tc>
        <w:tc>
          <w:tcPr>
            <w:tcW w:w="10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(471)</w:t>
            </w:r>
          </w:p>
        </w:tc>
        <w:tc>
          <w:tcPr>
            <w:tcW w:w="118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rPr>
              <w:t>(518)</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5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80" w:type="dxa"/>
            <w:vAlign w:val="bottom"/>
          </w:tcPr>
          <w:p>
            <w:pPr>
              <w:spacing w:after="0"/>
              <w:rPr>
                <w:sz w:val="20"/>
                <w:szCs w:val="20"/>
                <w:color w:val="auto"/>
              </w:rPr>
            </w:pPr>
            <w:r>
              <w:rPr>
                <w:rFonts w:ascii="Arial" w:cs="Arial" w:eastAsia="Arial" w:hAnsi="Arial"/>
                <w:sz w:val="14"/>
                <w:szCs w:val="14"/>
                <w:b w:val="1"/>
                <w:bCs w:val="1"/>
                <w:color w:val="auto"/>
              </w:rPr>
              <w:t>NBCUniversal Operating Cash Flow</w:t>
            </w:r>
          </w:p>
        </w:tc>
        <w:tc>
          <w:tcPr>
            <w:tcW w:w="1640" w:type="dxa"/>
            <w:vAlign w:val="bottom"/>
          </w:tcPr>
          <w:p>
            <w:pPr>
              <w:jc w:val="right"/>
              <w:ind w:right="368"/>
              <w:spacing w:after="0"/>
              <w:rPr>
                <w:sz w:val="20"/>
                <w:szCs w:val="20"/>
                <w:color w:val="auto"/>
              </w:rPr>
            </w:pPr>
            <w:r>
              <w:rPr>
                <w:rFonts w:ascii="Arial" w:cs="Arial" w:eastAsia="Arial" w:hAnsi="Arial"/>
                <w:sz w:val="14"/>
                <w:szCs w:val="14"/>
                <w:b w:val="1"/>
                <w:bCs w:val="1"/>
                <w:color w:val="auto"/>
              </w:rPr>
              <w:t>$1,633</w:t>
            </w:r>
          </w:p>
        </w:tc>
        <w:tc>
          <w:tcPr>
            <w:tcW w:w="1200" w:type="dxa"/>
            <w:vAlign w:val="bottom"/>
          </w:tcPr>
          <w:p>
            <w:pPr>
              <w:jc w:val="right"/>
              <w:ind w:right="228"/>
              <w:spacing w:after="0"/>
              <w:rPr>
                <w:sz w:val="20"/>
                <w:szCs w:val="20"/>
                <w:color w:val="auto"/>
              </w:rPr>
            </w:pPr>
            <w:r>
              <w:rPr>
                <w:rFonts w:ascii="Arial" w:cs="Arial" w:eastAsia="Arial" w:hAnsi="Arial"/>
                <w:sz w:val="14"/>
                <w:szCs w:val="14"/>
                <w:b w:val="1"/>
                <w:bCs w:val="1"/>
                <w:color w:val="auto"/>
              </w:rPr>
              <w:t>$2,146</w:t>
            </w: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31.5%</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19.2%</w:t>
            </w:r>
          </w:p>
        </w:tc>
        <w:tc>
          <w:tcPr>
            <w:tcW w:w="920" w:type="dxa"/>
            <w:vAlign w:val="bottom"/>
          </w:tcPr>
          <w:p>
            <w:pPr>
              <w:jc w:val="right"/>
              <w:ind w:right="128"/>
              <w:spacing w:after="0"/>
              <w:rPr>
                <w:sz w:val="20"/>
                <w:szCs w:val="20"/>
                <w:color w:val="auto"/>
              </w:rPr>
            </w:pPr>
            <w:r>
              <w:rPr>
                <w:rFonts w:ascii="Arial" w:cs="Arial" w:eastAsia="Arial" w:hAnsi="Arial"/>
                <w:sz w:val="14"/>
                <w:szCs w:val="14"/>
                <w:b w:val="1"/>
                <w:bCs w:val="1"/>
                <w:color w:val="auto"/>
              </w:rPr>
              <w:t>$4,800</w:t>
            </w:r>
          </w:p>
        </w:tc>
        <w:tc>
          <w:tcPr>
            <w:tcW w:w="1180" w:type="dxa"/>
            <w:vAlign w:val="bottom"/>
          </w:tcPr>
          <w:p>
            <w:pPr>
              <w:jc w:val="right"/>
              <w:ind w:right="408"/>
              <w:spacing w:after="0"/>
              <w:rPr>
                <w:sz w:val="20"/>
                <w:szCs w:val="20"/>
                <w:color w:val="auto"/>
              </w:rPr>
            </w:pPr>
            <w:r>
              <w:rPr>
                <w:rFonts w:ascii="Arial" w:cs="Arial" w:eastAsia="Arial" w:hAnsi="Arial"/>
                <w:sz w:val="14"/>
                <w:szCs w:val="14"/>
                <w:b w:val="1"/>
                <w:bCs w:val="1"/>
                <w:color w:val="auto"/>
              </w:rPr>
              <w:t>$5,457</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NM=comparison not meaningful.</w:t>
      </w:r>
    </w:p>
    <w:p>
      <w:pPr>
        <w:spacing w:after="0" w:line="200" w:lineRule="exact"/>
        <w:rPr>
          <w:sz w:val="20"/>
          <w:szCs w:val="20"/>
          <w:color w:val="auto"/>
        </w:rPr>
      </w:pPr>
    </w:p>
    <w:p>
      <w:pPr>
        <w:spacing w:after="0" w:line="20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for NBCUniversal increased 28.3% to $9.2 billion in the third quarter of 2016 and</w:t>
      </w:r>
      <w:r>
        <w:rPr>
          <w:rFonts w:ascii="Arial" w:cs="Arial" w:eastAsia="Arial" w:hAnsi="Arial"/>
          <w:sz w:val="18"/>
          <w:szCs w:val="18"/>
          <w:b w:val="1"/>
          <w:bCs w:val="1"/>
          <w:i w:val="1"/>
          <w:iCs w:val="1"/>
          <w:color w:val="auto"/>
        </w:rPr>
        <w:t xml:space="preserve"> Operating Cash Flow </w:t>
      </w:r>
      <w:r>
        <w:rPr>
          <w:rFonts w:ascii="Arial" w:cs="Arial" w:eastAsia="Arial" w:hAnsi="Arial"/>
          <w:sz w:val="18"/>
          <w:szCs w:val="18"/>
          <w:color w:val="auto"/>
        </w:rPr>
        <w:t>increased 31.5% to $2.1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billion.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Revenue</w:t>
      </w:r>
      <w:r>
        <w:rPr>
          <w:rFonts w:ascii="Arial" w:cs="Arial" w:eastAsia="Arial" w:hAnsi="Arial"/>
          <w:sz w:val="18"/>
          <w:szCs w:val="18"/>
          <w:color w:val="auto"/>
        </w:rPr>
        <w:t xml:space="preserve"> for NBCUniversal increased 22.5%, primarily driven by 2016 Rio Olympics revenue of $1.6 billion included in the Broadcast Television and Cable Networks segments. </w:t>
      </w:r>
      <w:r>
        <w:rPr>
          <w:rFonts w:ascii="Arial" w:cs="Arial" w:eastAsia="Arial" w:hAnsi="Arial"/>
          <w:sz w:val="18"/>
          <w:szCs w:val="18"/>
          <w:b w:val="1"/>
          <w:bCs w:val="1"/>
          <w:i w:val="1"/>
          <w:iCs w:val="1"/>
          <w:color w:val="auto"/>
        </w:rPr>
        <w:t>Pro Forma</w:t>
      </w:r>
      <w:r>
        <w:rPr>
          <w:rFonts w:ascii="Arial" w:cs="Arial" w:eastAsia="Arial" w:hAnsi="Arial"/>
          <w:sz w:val="18"/>
          <w:szCs w:val="18"/>
          <w:b w:val="1"/>
          <w:bCs w:val="1"/>
          <w:i w:val="1"/>
          <w:iCs w:val="1"/>
          <w:color w:val="auto"/>
          <w:vertAlign w:val="superscript"/>
        </w:rPr>
        <w:t>5</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Operating Cash Flow</w:t>
      </w:r>
      <w:r>
        <w:rPr>
          <w:rFonts w:ascii="Arial" w:cs="Arial" w:eastAsia="Arial" w:hAnsi="Arial"/>
          <w:sz w:val="18"/>
          <w:szCs w:val="18"/>
          <w:color w:val="auto"/>
        </w:rPr>
        <w:t xml:space="preserve"> increased 19.2%, reflecting increases at Broadcast Television, Theme Parks and Cable Networks, partially offset by a decline at Filmed Entertainment.</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2016, NBCUniversal revenue increased 10.3% to $23.1 billion compared to 2015 and operating cash flow increased 13.7% to $5.5 billion.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revenue for NBCUniversal increased 5.8%. Pro forma</w:t>
      </w:r>
      <w:r>
        <w:rPr>
          <w:rFonts w:ascii="Arial" w:cs="Arial" w:eastAsia="Arial" w:hAnsi="Arial"/>
          <w:sz w:val="18"/>
          <w:szCs w:val="18"/>
          <w:color w:val="auto"/>
          <w:vertAlign w:val="superscript"/>
        </w:rPr>
        <w:t>5</w:t>
      </w:r>
      <w:r>
        <w:rPr>
          <w:rFonts w:ascii="Arial" w:cs="Arial" w:eastAsia="Arial" w:hAnsi="Arial"/>
          <w:sz w:val="18"/>
          <w:szCs w:val="18"/>
          <w:color w:val="auto"/>
        </w:rPr>
        <w:t xml:space="preserve"> operating cash flow increased 5.0%, reflecting increases at Broadcast Television, Cable Networks and Theme Parks, partially offset by a decline at Filmed Entertainment.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w:t>
      </w:r>
    </w:p>
    <w:p>
      <w:pPr>
        <w:spacing w:after="0" w:line="3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Cable Networks revenue increased 22.0% to $2.9 billion in the third quarter of 2016, reflecting higher distribution, advertising and content licensing and other revenue. Distribution revenue increased 27.3%, driven by the broadcast of the 2016 Rio Olympics, as well as contractual rate increases and contract renewals, partially offset by a decline in subscribers at our cable networks. Advertising revenue increased 15.9%, due to the broadcast of the 2016 Rio Olympics. Content licensing and other revenue increased 9.8%, due to the timing of content provided under licensing agreements. Excluding $ 432 million of revenue generated by the broadcast of the 2016 Rio Olympics, Cable Networks revenue increased 4.1% (see Table 7). Operating cash flow increased 7.0% to $893 million in the third quarter of 2016, reflecting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higher revenue, partially offset by an increase in programming and production costs associated with the 2016 Rio Olympics, as well as increases in sports programming rights costs.</w:t>
      </w:r>
    </w:p>
    <w:p>
      <w:pPr>
        <w:spacing w:after="0" w:line="19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the nine months ended September 30, 2016, revenue from the Cable Networks segment increased 10.2% to $8.0 billion compared to 2015, reflecting higher distribution, advertising and content licensing and other revenue. Excluding $432 million of revenue generated by the broadcast of the 2016 Rio Olympics in the third quarter of 2016, revenue increased 4.3% (see Table 7). Operating cash flow increased 7.2% to $2.8 billion compared to 2015, reflecting higher revenue, partially offset by an increase in programming and production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Broadcast Television revenue increased 56.6% to $3.1 billion in the third quarter of 2016, reflecting higher advertising and distribution and other revenue, partially offset by a decline in content licensing revenue. Advertising revenue increased 92.4%, primarily driven by the broadcast of the 2016 Rio Olympics. Distribution and other revenue increased 77.5%, due to the broadcast of the 2016 Rio Olympics, as well as higher retransmission consent fees. Content licensing revenue decreased 32.0%, primarily due to the timing of content provided under licensing agreements. Excluding $1.2 billion of revenue associated with the broadcast of the 2016 Rio Olympics, Broadcast Television revenue</w:t>
      </w:r>
    </w:p>
    <w:p>
      <w:pPr>
        <w:sectPr>
          <w:pgSz w:w="11900" w:h="16838" w:orient="portrait"/>
          <w:cols w:equalWidth="0" w:num="1">
            <w:col w:w="11420"/>
          </w:cols>
          <w:pgMar w:left="240" w:top="118" w:right="239" w:bottom="0" w:gutter="0" w:footer="0" w:header="0"/>
        </w:sectPr>
      </w:pPr>
    </w:p>
    <w:bookmarkStart w:id="5" w:name="page6"/>
    <w:bookmarkEnd w:id="5"/>
    <w:p>
      <w:pPr>
        <w:jc w:val="both"/>
        <w:spacing w:after="0" w:line="245" w:lineRule="auto"/>
        <w:rPr>
          <w:sz w:val="20"/>
          <w:szCs w:val="20"/>
          <w:color w:val="auto"/>
        </w:rPr>
      </w:pPr>
      <w:r>
        <w:rPr>
          <w:rFonts w:ascii="Arial" w:cs="Arial" w:eastAsia="Arial" w:hAnsi="Arial"/>
          <w:sz w:val="18"/>
          <w:szCs w:val="18"/>
          <w:color w:val="auto"/>
        </w:rPr>
        <w:t>decreased 3.6% (see Table 7). Operating cash flow increased by $228 million to $378 million in the third quarter of 2016, reflecting higher revenue, partially offset by increased programming and production costs associated with the broadcast of the 2016 Rio Olympics.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the nine months ended September 30, 2016, revenue from the Broadcast Television segment increased 21.0% to $7.3 billion compared to 2015. Excluding $1.2 billion of revenue generated by the broadcast of the 2016 Rio Olympics in the third quarter of 2016, as well as $ 376 million of revenue generated by the broadcast of the NFL’s Super Bowl in the first quarter of 2015, revenue increased 8.0% (see Table 7). Operating cash flow increased 87.6% to $1.1 billion compared to 2015, reflecting higher revenue, partially offset by an increase in programming and production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w:t>
      </w:r>
    </w:p>
    <w:p>
      <w:pPr>
        <w:spacing w:after="0" w:line="18"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Filmed Entertainment revenue declined 7.9% to $ 1.8 billion in the third quarter of 2016, and included revenue attributable to DreamWorks from its acquisition date of August 22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The revenue decline reflects lower theatrical and home entertainment revenue, partially offset by higher content licensing and other revenue. Theatrical revenue declined 21.1%, primarily due to the strong performances of </w:t>
      </w:r>
      <w:r>
        <w:rPr>
          <w:rFonts w:ascii="Arial" w:cs="Arial" w:eastAsia="Arial" w:hAnsi="Arial"/>
          <w:sz w:val="18"/>
          <w:szCs w:val="18"/>
          <w:i w:val="1"/>
          <w:iCs w:val="1"/>
          <w:color w:val="auto"/>
        </w:rPr>
        <w:t>Jurassic World</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Minions </w:t>
      </w:r>
      <w:r>
        <w:rPr>
          <w:rFonts w:ascii="Arial" w:cs="Arial" w:eastAsia="Arial" w:hAnsi="Arial"/>
          <w:sz w:val="18"/>
          <w:szCs w:val="18"/>
          <w:color w:val="auto"/>
        </w:rPr>
        <w:t>in last year’s third quarter, partially offset by the strong performance of</w:t>
      </w:r>
      <w:r>
        <w:rPr>
          <w:rFonts w:ascii="Arial" w:cs="Arial" w:eastAsia="Arial" w:hAnsi="Arial"/>
          <w:sz w:val="18"/>
          <w:szCs w:val="18"/>
          <w:i w:val="1"/>
          <w:iCs w:val="1"/>
          <w:color w:val="auto"/>
        </w:rPr>
        <w:t xml:space="preserve"> The Secret Life of Pets </w:t>
      </w:r>
      <w:r>
        <w:rPr>
          <w:rFonts w:ascii="Arial" w:cs="Arial" w:eastAsia="Arial" w:hAnsi="Arial"/>
          <w:sz w:val="18"/>
          <w:szCs w:val="18"/>
          <w:color w:val="auto"/>
        </w:rPr>
        <w:t>in this year’s third quarter. Home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entertainment revenue declined 29.6%, reflecting the success of several releases in the prior year period, including </w:t>
      </w:r>
      <w:r>
        <w:rPr>
          <w:rFonts w:ascii="Arial" w:cs="Arial" w:eastAsia="Arial" w:hAnsi="Arial"/>
          <w:sz w:val="18"/>
          <w:szCs w:val="18"/>
          <w:i w:val="1"/>
          <w:iCs w:val="1"/>
          <w:color w:val="auto"/>
        </w:rPr>
        <w:t>Furious 7</w:t>
      </w:r>
      <w:r>
        <w:rPr>
          <w:rFonts w:ascii="Arial" w:cs="Arial" w:eastAsia="Arial" w:hAnsi="Arial"/>
          <w:sz w:val="18"/>
          <w:szCs w:val="18"/>
          <w:color w:val="auto"/>
        </w:rPr>
        <w:t xml:space="preserve"> and </w:t>
      </w:r>
      <w:r>
        <w:rPr>
          <w:rFonts w:ascii="Arial" w:cs="Arial" w:eastAsia="Arial" w:hAnsi="Arial"/>
          <w:sz w:val="18"/>
          <w:szCs w:val="18"/>
          <w:i w:val="1"/>
          <w:iCs w:val="1"/>
          <w:color w:val="auto"/>
        </w:rPr>
        <w:t>Pitch Perfect</w:t>
      </w:r>
      <w:r>
        <w:rPr>
          <w:rFonts w:ascii="Arial" w:cs="Arial" w:eastAsia="Arial" w:hAnsi="Arial"/>
          <w:sz w:val="18"/>
          <w:szCs w:val="18"/>
          <w:color w:val="auto"/>
        </w:rPr>
        <w:t xml:space="preserve"> </w:t>
      </w:r>
      <w:r>
        <w:rPr>
          <w:rFonts w:ascii="Arial" w:cs="Arial" w:eastAsia="Arial" w:hAnsi="Arial"/>
          <w:sz w:val="18"/>
          <w:szCs w:val="18"/>
          <w:i w:val="1"/>
          <w:iCs w:val="1"/>
          <w:color w:val="auto"/>
        </w:rPr>
        <w:t>2</w:t>
      </w:r>
      <w:r>
        <w:rPr>
          <w:rFonts w:ascii="Arial" w:cs="Arial" w:eastAsia="Arial" w:hAnsi="Arial"/>
          <w:sz w:val="18"/>
          <w:szCs w:val="18"/>
          <w:color w:val="auto"/>
        </w:rPr>
        <w:t>. Content licensing revenue increased 19.8%, due to the timing of when content related to our 2015 film slate was made available under</w:t>
      </w:r>
      <w:r>
        <w:rPr>
          <w:rFonts w:ascii="Arial" w:cs="Arial" w:eastAsia="Arial" w:hAnsi="Arial"/>
          <w:sz w:val="18"/>
          <w:szCs w:val="18"/>
          <w:i w:val="1"/>
          <w:iCs w:val="1"/>
          <w:color w:val="auto"/>
        </w:rPr>
        <w:t xml:space="preserve"> </w:t>
      </w:r>
      <w:r>
        <w:rPr>
          <w:rFonts w:ascii="Arial" w:cs="Arial" w:eastAsia="Arial" w:hAnsi="Arial"/>
          <w:sz w:val="18"/>
          <w:szCs w:val="18"/>
          <w:color w:val="auto"/>
        </w:rPr>
        <w:t>licensing agreements. Other revenue increased 25.8% driven by higher Fandango revenue. Operating cash flow decreased 6.1% to $353 million in the third quarter of 2016, reflecting lower revenue and severance costs of $50 million associated with the DreamWorks acquisition, partially offset by lower programming and production and advertising, marketing and promotion costs. The decrease in programming and production costs was primarily due to lower amortization of film production costs in the current year period due to our larger film slate in 2015.</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2016, revenue from the Filmed Entertainment segment decreased 20.0% to $4.5 billion compared to 2015, reflecting lower theatrical and home entertainment revenue, partially offset by higher content licensing and other revenue. Operating cash flow decreased 47.2% to $576 million compared to 2015, reflecting lower revenue, partially offset by lower programming and production costs.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w:t>
      </w:r>
    </w:p>
    <w:p>
      <w:pPr>
        <w:spacing w:after="0" w:line="1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Theme Parks revenue increased 60.6% to $1.4 billion in the third quarter of 2016. Pro forma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revenue increased 16.1%, reflecting higher attendance and higher per capita spending at the parks, driven by the successful opening of Hollywood’s </w:t>
      </w:r>
      <w:r>
        <w:rPr>
          <w:rFonts w:ascii="Arial" w:cs="Arial" w:eastAsia="Arial" w:hAnsi="Arial"/>
          <w:sz w:val="18"/>
          <w:szCs w:val="18"/>
          <w:i w:val="1"/>
          <w:iCs w:val="1"/>
          <w:color w:val="auto"/>
        </w:rPr>
        <w:t>The Wizarding World of Harry</w:t>
      </w:r>
      <w:r>
        <w:rPr>
          <w:rFonts w:ascii="Arial" w:cs="Arial" w:eastAsia="Arial" w:hAnsi="Arial"/>
          <w:sz w:val="18"/>
          <w:szCs w:val="18"/>
          <w:color w:val="auto"/>
        </w:rPr>
        <w:t xml:space="preserve"> </w:t>
      </w:r>
      <w:r>
        <w:rPr>
          <w:rFonts w:ascii="Arial" w:cs="Arial" w:eastAsia="Arial" w:hAnsi="Arial"/>
          <w:sz w:val="18"/>
          <w:szCs w:val="18"/>
          <w:i w:val="1"/>
          <w:iCs w:val="1"/>
          <w:color w:val="auto"/>
        </w:rPr>
        <w:t>Potte</w:t>
      </w:r>
      <w:r>
        <w:rPr>
          <w:rFonts w:ascii="Arial" w:cs="Arial" w:eastAsia="Arial" w:hAnsi="Arial"/>
          <w:sz w:val="18"/>
          <w:szCs w:val="18"/>
          <w:color w:val="auto"/>
        </w:rPr>
        <w:t>r™ attraction, as well as the positive impact of a stronger Japanese yen. Operating cash flow increased 62.4% to $706 million in the third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 Pro forma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operating cash flow increased 17.1%, reflecting higher revenue, partially offset by an increase in operating expenses, including costs to support new attractions.</w:t>
      </w:r>
    </w:p>
    <w:p>
      <w:pPr>
        <w:spacing w:after="0" w:line="204"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For the nine months ended September 30, 2016, revenue from the Theme Parks segment increased 55.2% to $3.6 billion compared to 2015. Pro forma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revenue increased 12.5%, reflecting higher attendance and per capita spending at the parks. Operating cash flow increased 53.1% to $1.6 billion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compared to 2015. Pro forma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operating cash flow increased 9.8%, reflecting higher revenue, partially offset by an increase in operating expenses, including costs to support new attractions.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NBCUniversal Headquarters, Other and Eliminations include overhead and eliminations among the NBCUniversal businesses. For the quarter ended September 30, 2016, NBCUniversal Headquarters, Other and Eliminations operating cash flow loss was $184 million compared to a loss of $162 million in the third quarter of 2015.</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For the nine months ended September 30, 2016, NBCUniversal Headquarters, Other and Eliminations operating cash flow loss was $518 million compared to a loss of $471 million in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Other and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Corporate, Other and Eliminations primarily include corporate operations, Comcast Spectacor and eliminations among Comcast’s businesses. For the quarter ended September 30, 2016, Corporate, Other and Eliminations revenue was ($416) million compared to ($233) million in 2015. The operating cash flow loss was $297 million compared to a loss of $175 million in the third quarter of 2015, reflecting an increase in eliminations associated with the 2016 Rio Olympics.</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nine months ended September 30, 2016, Corporate, Other and Eliminations revenue was ($969) million compared to ($652) million in 2015. The operating cash flow loss was $723 million compared to a loss of $555 million in the first nine months of 2015, reflecting an increase in eliminations associated with the 2016 Rio Olympics and $178 million of transaction-related costs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8" w:lineRule="exact"/>
        <w:rPr>
          <w:sz w:val="20"/>
          <w:szCs w:val="20"/>
          <w:color w:val="auto"/>
        </w:rPr>
      </w:pPr>
    </w:p>
    <w:p>
      <w:pPr>
        <w:ind w:left="180" w:hanging="166"/>
        <w:spacing w:after="0" w:line="246"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define Operating Cash Flow as operating income (loss) before depreciation and amortization, excluding impairment charges related to fixed and intangible assets and gains or losses on the sale of assets, if any. See Table 4 for reconciliation of non-GAAP financial measures.</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2 Earnings per share amounts are presented on a diluted basis.</w:t>
      </w:r>
    </w:p>
    <w:p>
      <w:pPr>
        <w:spacing w:after="0" w:line="212" w:lineRule="exact"/>
        <w:rPr>
          <w:sz w:val="20"/>
          <w:szCs w:val="20"/>
          <w:color w:val="auto"/>
        </w:rPr>
      </w:pPr>
    </w:p>
    <w:p>
      <w:pPr>
        <w:jc w:val="both"/>
        <w:ind w:left="180" w:hanging="166"/>
        <w:spacing w:after="0" w:line="238" w:lineRule="auto"/>
        <w:tabs>
          <w:tab w:leader="none" w:pos="213"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define Free Cash Flow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benefits. The definition of Free Cash Flow excludes any impact from Economic Stimulus packages. These amounts have been excluded from Free Cash Flow to provide an appropriate comparison. See Table 4 for reconciliation of non-GAAP financial measures.</w:t>
      </w:r>
    </w:p>
    <w:p>
      <w:pPr>
        <w:spacing w:after="0" w:line="203" w:lineRule="exact"/>
        <w:rPr>
          <w:sz w:val="20"/>
          <w:szCs w:val="20"/>
          <w:color w:val="auto"/>
        </w:rPr>
      </w:pPr>
    </w:p>
    <w:p>
      <w:pPr>
        <w:jc w:val="both"/>
        <w:ind w:left="180" w:hanging="166"/>
        <w:spacing w:after="0"/>
        <w:tabs>
          <w:tab w:leader="none" w:pos="213" w:val="left"/>
        </w:tabs>
        <w:numPr>
          <w:ilvl w:val="0"/>
          <w:numId w:val="7"/>
        </w:numPr>
        <w:rPr>
          <w:rFonts w:ascii="Arial" w:cs="Arial" w:eastAsia="Arial" w:hAnsi="Arial"/>
          <w:sz w:val="18"/>
          <w:szCs w:val="18"/>
          <w:color w:val="auto"/>
        </w:rPr>
      </w:pPr>
      <w:r>
        <w:rPr>
          <w:rFonts w:ascii="Arial" w:cs="Arial" w:eastAsia="Arial" w:hAnsi="Arial"/>
          <w:sz w:val="18"/>
          <w:szCs w:val="18"/>
          <w:color w:val="auto"/>
        </w:rPr>
        <w:t>Beginning in the first quarter of 2016, certain operations and businesses including several strategic business initiatives that were previously presented in Corporate, Other and Eliminations are now presented in our Cable Communications segment to reflect a change in our management reporting presentation. For segment reporting purposes, we have adjusted all periods presented to reflect this change.</w:t>
      </w:r>
    </w:p>
    <w:p>
      <w:pPr>
        <w:sectPr>
          <w:pgSz w:w="11900" w:h="16838" w:orient="portrait"/>
          <w:cols w:equalWidth="0" w:num="1">
            <w:col w:w="11420"/>
          </w:cols>
          <w:pgMar w:left="240" w:top="140" w:right="239" w:bottom="0" w:gutter="0" w:footer="0" w:header="0"/>
        </w:sectPr>
      </w:pPr>
    </w:p>
    <w:bookmarkStart w:id="6" w:name="page7"/>
    <w:bookmarkEnd w:id="6"/>
    <w:p>
      <w:pPr>
        <w:ind w:left="180" w:right="20" w:hanging="166"/>
        <w:spacing w:after="0" w:line="245"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information is presented for the acquisition of the 51% interest of Universal Studios Japan. See Table 6 for more detailed information.</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 percentages are calculated on whole numbers. Minor differences may exist due to rounding.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Other Information</w:t>
      </w:r>
    </w:p>
    <w:p>
      <w:pPr>
        <w:spacing w:after="0" w:line="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Comcast Corporation will host a conference call with the financial community today, October 26, 2016 at 8:30 a.m. Eastern Time (ET). The conference call and related materials will be broadcast live and posted on its Investor Relations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Those parties interested in participating via telephone should dial (800) 263-8495 with the conference ID number 81102798. A replay of the call will be available starting at 11:30 a.m. ET on October 26, 2016, on the Investor Relations website or by telephone. To access the telephone replay, which will be available until Wednesday, November 2, 2016 at midnight ET, please dial (855) 859-2056 and enter the conference ID number 81102798.</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From time to time, we post information that may be of interest to investors on our website at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on our corporate blog, </w:t>
      </w:r>
      <w:r>
        <w:rPr>
          <w:rFonts w:ascii="Arial" w:cs="Arial" w:eastAsia="Arial" w:hAnsi="Arial"/>
          <w:sz w:val="16"/>
          <w:szCs w:val="16"/>
          <w:u w:val="single" w:color="auto"/>
          <w:color w:val="auto"/>
        </w:rPr>
        <w:t>www.corporate.comcast.com/comcast-voices</w:t>
      </w:r>
      <w:r>
        <w:rPr>
          <w:rFonts w:ascii="Arial" w:cs="Arial" w:eastAsia="Arial" w:hAnsi="Arial"/>
          <w:sz w:val="16"/>
          <w:szCs w:val="16"/>
          <w:color w:val="auto"/>
        </w:rPr>
        <w:t xml:space="preserve">. To automatically receive Comcast financial news by email, please visit </w:t>
      </w:r>
      <w:r>
        <w:rPr>
          <w:rFonts w:ascii="Arial" w:cs="Arial" w:eastAsia="Arial" w:hAnsi="Arial"/>
          <w:sz w:val="16"/>
          <w:szCs w:val="16"/>
          <w:u w:val="single" w:color="auto"/>
          <w:color w:val="auto"/>
        </w:rPr>
        <w:t>www.cmcsa.com</w:t>
      </w:r>
      <w:r>
        <w:rPr>
          <w:rFonts w:ascii="Arial" w:cs="Arial" w:eastAsia="Arial" w:hAnsi="Arial"/>
          <w:sz w:val="16"/>
          <w:szCs w:val="16"/>
          <w:color w:val="auto"/>
        </w:rPr>
        <w:t xml:space="preserve"> and subscribe to email alerts.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520" w:type="dxa"/>
            <w:vAlign w:val="bottom"/>
          </w:tcPr>
          <w:p>
            <w:pPr>
              <w:jc w:val="right"/>
              <w:ind w:right="2094"/>
              <w:spacing w:after="0"/>
              <w:rPr>
                <w:sz w:val="20"/>
                <w:szCs w:val="20"/>
                <w:color w:val="auto"/>
              </w:rPr>
            </w:pPr>
            <w:r>
              <w:rPr>
                <w:rFonts w:ascii="Arial" w:cs="Arial" w:eastAsia="Arial" w:hAnsi="Arial"/>
                <w:sz w:val="16"/>
                <w:szCs w:val="16"/>
                <w:color w:val="auto"/>
              </w:rPr>
              <w:t>###</w:t>
            </w:r>
          </w:p>
        </w:tc>
        <w:tc>
          <w:tcPr>
            <w:tcW w:w="1460" w:type="dxa"/>
            <w:vAlign w:val="bottom"/>
          </w:tcPr>
          <w:p>
            <w:pPr>
              <w:spacing w:after="0"/>
              <w:rPr>
                <w:sz w:val="16"/>
                <w:szCs w:val="16"/>
                <w:color w:val="auto"/>
              </w:rPr>
            </w:pPr>
          </w:p>
        </w:tc>
      </w:tr>
      <w:tr>
        <w:trPr>
          <w:trHeight w:val="397"/>
        </w:trPr>
        <w:tc>
          <w:tcPr>
            <w:tcW w:w="1860" w:type="dxa"/>
            <w:vAlign w:val="bottom"/>
          </w:tcPr>
          <w:p>
            <w:pPr>
              <w:spacing w:after="0"/>
              <w:rPr>
                <w:sz w:val="20"/>
                <w:szCs w:val="20"/>
                <w:color w:val="auto"/>
              </w:rPr>
            </w:pPr>
            <w:r>
              <w:rPr>
                <w:rFonts w:ascii="Arial" w:cs="Arial" w:eastAsia="Arial" w:hAnsi="Arial"/>
                <w:sz w:val="16"/>
                <w:szCs w:val="16"/>
                <w:b w:val="1"/>
                <w:bCs w:val="1"/>
                <w:color w:val="auto"/>
              </w:rPr>
              <w:t>Investor Contacts:</w:t>
            </w:r>
          </w:p>
        </w:tc>
        <w:tc>
          <w:tcPr>
            <w:tcW w:w="2640" w:type="dxa"/>
            <w:vAlign w:val="bottom"/>
          </w:tcPr>
          <w:p>
            <w:pPr>
              <w:spacing w:after="0"/>
              <w:rPr>
                <w:sz w:val="24"/>
                <w:szCs w:val="24"/>
                <w:color w:val="auto"/>
              </w:rPr>
            </w:pPr>
          </w:p>
        </w:tc>
        <w:tc>
          <w:tcPr>
            <w:tcW w:w="3520" w:type="dxa"/>
            <w:vAlign w:val="bottom"/>
          </w:tcPr>
          <w:p>
            <w:pPr>
              <w:ind w:left="1920"/>
              <w:spacing w:after="0"/>
              <w:rPr>
                <w:sz w:val="20"/>
                <w:szCs w:val="20"/>
                <w:color w:val="auto"/>
              </w:rPr>
            </w:pPr>
            <w:r>
              <w:rPr>
                <w:rFonts w:ascii="Arial" w:cs="Arial" w:eastAsia="Arial" w:hAnsi="Arial"/>
                <w:sz w:val="16"/>
                <w:szCs w:val="16"/>
                <w:b w:val="1"/>
                <w:bCs w:val="1"/>
                <w:color w:val="auto"/>
              </w:rPr>
              <w:t>Press Contacts:</w:t>
            </w:r>
          </w:p>
        </w:tc>
        <w:tc>
          <w:tcPr>
            <w:tcW w:w="1460" w:type="dxa"/>
            <w:vAlign w:val="bottom"/>
          </w:tcPr>
          <w:p>
            <w:pPr>
              <w:spacing w:after="0"/>
              <w:rPr>
                <w:sz w:val="24"/>
                <w:szCs w:val="24"/>
                <w:color w:val="auto"/>
              </w:rPr>
            </w:pPr>
          </w:p>
        </w:tc>
      </w:tr>
      <w:tr>
        <w:trPr>
          <w:trHeight w:val="203"/>
        </w:trPr>
        <w:tc>
          <w:tcPr>
            <w:tcW w:w="1860" w:type="dxa"/>
            <w:vAlign w:val="bottom"/>
          </w:tcPr>
          <w:p>
            <w:pPr>
              <w:spacing w:after="0" w:line="202" w:lineRule="exact"/>
              <w:rPr>
                <w:sz w:val="20"/>
                <w:szCs w:val="20"/>
                <w:color w:val="auto"/>
              </w:rPr>
            </w:pPr>
            <w:r>
              <w:rPr>
                <w:rFonts w:ascii="Arial" w:cs="Arial" w:eastAsia="Arial" w:hAnsi="Arial"/>
                <w:sz w:val="18"/>
                <w:szCs w:val="18"/>
                <w:color w:val="auto"/>
              </w:rPr>
              <w:t>Jason Armstrong</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286-7972</w:t>
            </w:r>
          </w:p>
        </w:tc>
        <w:tc>
          <w:tcPr>
            <w:tcW w:w="3520" w:type="dxa"/>
            <w:vAlign w:val="bottom"/>
          </w:tcPr>
          <w:p>
            <w:pPr>
              <w:ind w:left="1920"/>
              <w:spacing w:after="0" w:line="202" w:lineRule="exact"/>
              <w:rPr>
                <w:sz w:val="20"/>
                <w:szCs w:val="20"/>
                <w:color w:val="auto"/>
              </w:rPr>
            </w:pPr>
            <w:r>
              <w:rPr>
                <w:rFonts w:ascii="Arial" w:cs="Arial" w:eastAsia="Arial" w:hAnsi="Arial"/>
                <w:sz w:val="18"/>
                <w:szCs w:val="18"/>
                <w:color w:val="auto"/>
              </w:rPr>
              <w:t>D’Arcy Rudnay</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286-8582</w:t>
            </w:r>
          </w:p>
        </w:tc>
      </w:tr>
      <w:tr>
        <w:trPr>
          <w:trHeight w:val="217"/>
        </w:trPr>
        <w:tc>
          <w:tcPr>
            <w:tcW w:w="1860" w:type="dxa"/>
            <w:vAlign w:val="bottom"/>
          </w:tcPr>
          <w:p>
            <w:pPr>
              <w:spacing w:after="0"/>
              <w:rPr>
                <w:sz w:val="20"/>
                <w:szCs w:val="20"/>
                <w:color w:val="auto"/>
              </w:rPr>
            </w:pPr>
            <w:r>
              <w:rPr>
                <w:rFonts w:ascii="Arial" w:cs="Arial" w:eastAsia="Arial" w:hAnsi="Arial"/>
                <w:sz w:val="18"/>
                <w:szCs w:val="18"/>
                <w:color w:val="auto"/>
              </w:rPr>
              <w:t>Jane Kearns</w:t>
            </w:r>
          </w:p>
        </w:tc>
        <w:tc>
          <w:tcPr>
            <w:tcW w:w="2640" w:type="dxa"/>
            <w:vAlign w:val="bottom"/>
          </w:tcPr>
          <w:p>
            <w:pPr>
              <w:jc w:val="right"/>
              <w:ind w:right="999"/>
              <w:spacing w:after="0"/>
              <w:rPr>
                <w:sz w:val="20"/>
                <w:szCs w:val="20"/>
                <w:color w:val="auto"/>
              </w:rPr>
            </w:pPr>
            <w:r>
              <w:rPr>
                <w:rFonts w:ascii="Arial" w:cs="Arial" w:eastAsia="Arial" w:hAnsi="Arial"/>
                <w:sz w:val="16"/>
                <w:szCs w:val="16"/>
                <w:color w:val="auto"/>
              </w:rPr>
              <w:t>(215) 286-4794</w:t>
            </w:r>
          </w:p>
        </w:tc>
        <w:tc>
          <w:tcPr>
            <w:tcW w:w="3520" w:type="dxa"/>
            <w:vAlign w:val="bottom"/>
          </w:tcPr>
          <w:p>
            <w:pPr>
              <w:ind w:left="1920"/>
              <w:spacing w:after="0"/>
              <w:rPr>
                <w:sz w:val="20"/>
                <w:szCs w:val="20"/>
                <w:color w:val="auto"/>
              </w:rPr>
            </w:pPr>
            <w:r>
              <w:rPr>
                <w:rFonts w:ascii="Arial" w:cs="Arial" w:eastAsia="Arial" w:hAnsi="Arial"/>
                <w:sz w:val="18"/>
                <w:szCs w:val="18"/>
                <w:color w:val="auto"/>
              </w:rPr>
              <w:t>John Demming</w:t>
            </w:r>
          </w:p>
        </w:tc>
        <w:tc>
          <w:tcPr>
            <w:tcW w:w="1460" w:type="dxa"/>
            <w:vAlign w:val="bottom"/>
          </w:tcPr>
          <w:p>
            <w:pPr>
              <w:jc w:val="right"/>
              <w:spacing w:after="0"/>
              <w:rPr>
                <w:sz w:val="20"/>
                <w:szCs w:val="20"/>
                <w:color w:val="auto"/>
              </w:rPr>
            </w:pPr>
            <w:r>
              <w:rPr>
                <w:rFonts w:ascii="Arial" w:cs="Arial" w:eastAsia="Arial" w:hAnsi="Arial"/>
                <w:sz w:val="16"/>
                <w:szCs w:val="16"/>
                <w:color w:val="auto"/>
              </w:rPr>
              <w:t>(215) 286-8011</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 Concerning Forward-Looking Statements</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(SEC) for a description of such risks and uncertainties. We undertake no obligation to update any forward-looking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Comcast Corporation</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Comcast Corporation (Nasdaq: CMCSA) is a global media and technology company with two primary businesses, Comcast Cable and NBCUniversal. Comcast Cable is one of the nation’s largest video, high-speed Internet and phone providers to residential customers under the XFINITY brand and also provides these services to businesses. NBCUniversal operates news, entertainment and sports cable networks, the NBC and Telemundo broadcast networks, television production operations, television station groups, Universal Pictures and Universal Parks and Resorts. Visit </w:t>
      </w:r>
      <w:r>
        <w:rPr>
          <w:rFonts w:ascii="Arial" w:cs="Arial" w:eastAsia="Arial" w:hAnsi="Arial"/>
          <w:sz w:val="16"/>
          <w:szCs w:val="16"/>
          <w:u w:val="single" w:color="auto"/>
          <w:color w:val="auto"/>
        </w:rPr>
        <w:t>www.comcastcorporation.com</w:t>
      </w:r>
      <w:r>
        <w:rPr>
          <w:rFonts w:ascii="Arial" w:cs="Arial" w:eastAsia="Arial" w:hAnsi="Arial"/>
          <w:sz w:val="16"/>
          <w:szCs w:val="16"/>
          <w:color w:val="auto"/>
        </w:rPr>
        <w:t xml:space="preserve"> for more information.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45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1</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Statement of Income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262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9"/>
              </w:rPr>
              <w:t>Three Months Ended</w:t>
            </w:r>
          </w:p>
        </w:tc>
        <w:tc>
          <w:tcPr>
            <w:tcW w:w="234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(in millions, except per share data)</w:t>
            </w:r>
          </w:p>
        </w:tc>
        <w:tc>
          <w:tcPr>
            <w:tcW w:w="262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rPr>
              <w:t>September 30,</w:t>
            </w:r>
          </w:p>
        </w:tc>
        <w:tc>
          <w:tcPr>
            <w:tcW w:w="234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$18,669</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$21,319</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$55,265</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$59,378</w:t>
            </w:r>
          </w:p>
        </w:tc>
        <w:tc>
          <w:tcPr>
            <w:tcW w:w="0" w:type="dxa"/>
            <w:vAlign w:val="bottom"/>
          </w:tcPr>
          <w:p>
            <w:pPr>
              <w:spacing w:after="0"/>
              <w:rPr>
                <w:sz w:val="1"/>
                <w:szCs w:val="1"/>
                <w:color w:val="auto"/>
              </w:rPr>
            </w:pPr>
          </w:p>
        </w:tc>
      </w:tr>
      <w:tr>
        <w:trPr>
          <w:trHeight w:val="346"/>
        </w:trPr>
        <w:tc>
          <w:tcPr>
            <w:tcW w:w="6360" w:type="dxa"/>
            <w:vAlign w:val="bottom"/>
          </w:tcPr>
          <w:p>
            <w:pPr>
              <w:ind w:left="180"/>
              <w:spacing w:after="0"/>
              <w:rPr>
                <w:sz w:val="20"/>
                <w:szCs w:val="20"/>
                <w:color w:val="auto"/>
              </w:rPr>
            </w:pPr>
            <w:r>
              <w:rPr>
                <w:rFonts w:ascii="Arial" w:cs="Arial" w:eastAsia="Arial" w:hAnsi="Arial"/>
                <w:sz w:val="18"/>
                <w:szCs w:val="18"/>
                <w:color w:val="auto"/>
              </w:rPr>
              <w:t>Programming and production</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5,582</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7,003</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16,714</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17,926</w:t>
            </w: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Other operating and administrative</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5,390</w:t>
            </w:r>
          </w:p>
        </w:tc>
        <w:tc>
          <w:tcPr>
            <w:tcW w:w="2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5,994</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15,738</w:t>
            </w:r>
          </w:p>
        </w:tc>
        <w:tc>
          <w:tcPr>
            <w:tcW w:w="2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17,280</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Advertising, marketing and promotion</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1,513</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1,487</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4,407</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4,515</w:t>
            </w:r>
          </w:p>
        </w:tc>
        <w:tc>
          <w:tcPr>
            <w:tcW w:w="0" w:type="dxa"/>
            <w:vAlign w:val="bottom"/>
          </w:tcPr>
          <w:p>
            <w:pPr>
              <w:spacing w:after="0"/>
              <w:rPr>
                <w:sz w:val="1"/>
                <w:szCs w:val="1"/>
                <w:color w:val="auto"/>
              </w:rPr>
            </w:pPr>
          </w:p>
        </w:tc>
      </w:tr>
      <w:tr>
        <w:trPr>
          <w:trHeight w:val="196"/>
        </w:trPr>
        <w:tc>
          <w:tcPr>
            <w:tcW w:w="636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12,485</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14,484</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36,859</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39,721</w:t>
            </w: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b w:val="1"/>
                <w:bCs w:val="1"/>
                <w:color w:val="auto"/>
              </w:rPr>
              <w:t>Operating cash flow</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6,184</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6,835</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18,406</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19,657</w:t>
            </w:r>
          </w:p>
        </w:tc>
        <w:tc>
          <w:tcPr>
            <w:tcW w:w="0" w:type="dxa"/>
            <w:vAlign w:val="bottom"/>
          </w:tcPr>
          <w:p>
            <w:pPr>
              <w:spacing w:after="0"/>
              <w:rPr>
                <w:sz w:val="1"/>
                <w:szCs w:val="1"/>
                <w:color w:val="auto"/>
              </w:rPr>
            </w:pPr>
          </w:p>
        </w:tc>
      </w:tr>
      <w:tr>
        <w:trPr>
          <w:trHeight w:val="369"/>
        </w:trPr>
        <w:tc>
          <w:tcPr>
            <w:tcW w:w="6360" w:type="dxa"/>
            <w:vAlign w:val="bottom"/>
          </w:tcPr>
          <w:p>
            <w:pPr>
              <w:ind w:left="180"/>
              <w:spacing w:after="0"/>
              <w:rPr>
                <w:sz w:val="20"/>
                <w:szCs w:val="20"/>
                <w:color w:val="auto"/>
              </w:rPr>
            </w:pPr>
            <w:r>
              <w:rPr>
                <w:rFonts w:ascii="Arial" w:cs="Arial" w:eastAsia="Arial" w:hAnsi="Arial"/>
                <w:sz w:val="18"/>
                <w:szCs w:val="18"/>
                <w:color w:val="auto"/>
              </w:rPr>
              <w:t>Depreciation expense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1,697</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1,865</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5,005</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5,518</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486</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530</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1,544</w:t>
            </w:r>
          </w:p>
        </w:tc>
        <w:tc>
          <w:tcPr>
            <w:tcW w:w="0" w:type="dxa"/>
            <w:vAlign w:val="bottom"/>
          </w:tcPr>
          <w:p>
            <w:pPr>
              <w:spacing w:after="0"/>
              <w:rPr>
                <w:sz w:val="1"/>
                <w:szCs w:val="1"/>
                <w:color w:val="auto"/>
              </w:rPr>
            </w:pPr>
          </w:p>
        </w:tc>
      </w:tr>
      <w:tr>
        <w:trPr>
          <w:trHeight w:val="196"/>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2,183</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2,395</w:t>
            </w: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6,410</w:t>
            </w:r>
          </w:p>
        </w:tc>
        <w:tc>
          <w:tcPr>
            <w:tcW w:w="280" w:type="dxa"/>
            <w:vAlign w:val="bottom"/>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7,062</w:t>
            </w:r>
          </w:p>
        </w:tc>
        <w:tc>
          <w:tcPr>
            <w:tcW w:w="0" w:type="dxa"/>
            <w:vAlign w:val="bottom"/>
          </w:tcPr>
          <w:p>
            <w:pPr>
              <w:spacing w:after="0"/>
              <w:rPr>
                <w:sz w:val="1"/>
                <w:szCs w:val="1"/>
                <w:color w:val="auto"/>
              </w:rPr>
            </w:pPr>
          </w:p>
        </w:tc>
      </w:tr>
      <w:tr>
        <w:trPr>
          <w:trHeight w:val="232"/>
        </w:trPr>
        <w:tc>
          <w:tcPr>
            <w:tcW w:w="6360" w:type="dxa"/>
            <w:vAlign w:val="bottom"/>
            <w:vMerge w:val="continue"/>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4,001</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4,440</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11,996</w:t>
            </w:r>
          </w:p>
        </w:tc>
        <w:tc>
          <w:tcPr>
            <w:tcW w:w="2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12,595</w:t>
            </w: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(751)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(2,186)</w:t>
            </w:r>
          </w:p>
        </w:tc>
        <w:tc>
          <w:tcPr>
            <w:tcW w:w="0" w:type="dxa"/>
            <w:vAlign w:val="bottom"/>
          </w:tcPr>
          <w:p>
            <w:pPr>
              <w:spacing w:after="0"/>
              <w:rPr>
                <w:sz w:val="1"/>
                <w:szCs w:val="1"/>
                <w:color w:val="auto"/>
              </w:rPr>
            </w:pPr>
          </w:p>
        </w:tc>
      </w:tr>
      <w:tr>
        <w:trPr>
          <w:trHeight w:val="181"/>
        </w:trPr>
        <w:tc>
          <w:tcPr>
            <w:tcW w:w="6360" w:type="dxa"/>
            <w:vAlign w:val="bottom"/>
          </w:tcPr>
          <w:p>
            <w:pPr>
              <w:ind w:left="180"/>
              <w:spacing w:after="0" w:line="181" w:lineRule="exact"/>
              <w:rPr>
                <w:sz w:val="20"/>
                <w:szCs w:val="20"/>
                <w:color w:val="auto"/>
              </w:rPr>
            </w:pPr>
            <w:r>
              <w:rPr>
                <w:rFonts w:ascii="Arial" w:cs="Arial" w:eastAsia="Arial" w:hAnsi="Arial"/>
                <w:sz w:val="18"/>
                <w:szCs w:val="18"/>
                <w:color w:val="auto"/>
              </w:rPr>
              <w:t>Interest expense</w:t>
            </w: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(659)</w:t>
            </w: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spacing w:after="0" w:line="181" w:lineRule="exact"/>
              <w:rPr>
                <w:sz w:val="20"/>
                <w:szCs w:val="20"/>
                <w:color w:val="auto"/>
              </w:rPr>
            </w:pPr>
            <w:r>
              <w:rPr>
                <w:rFonts w:ascii="Arial" w:cs="Arial" w:eastAsia="Arial" w:hAnsi="Arial"/>
                <w:sz w:val="18"/>
                <w:szCs w:val="18"/>
                <w:color w:val="auto"/>
              </w:rPr>
              <w:t>(2,028)</w:t>
            </w:r>
          </w:p>
        </w:tc>
        <w:tc>
          <w:tcPr>
            <w:tcW w:w="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Investment income (loss), net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c>
          <w:tcPr>
            <w:tcW w:w="2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80</w:t>
            </w:r>
          </w:p>
        </w:tc>
        <w:tc>
          <w:tcPr>
            <w:tcW w:w="280" w:type="dxa"/>
            <w:vAlign w:val="bottom"/>
          </w:tcPr>
          <w:p>
            <w:pPr>
              <w:spacing w:after="0"/>
              <w:rPr>
                <w:sz w:val="17"/>
                <w:szCs w:val="17"/>
                <w:color w:val="auto"/>
              </w:rPr>
            </w:pP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203"/>
        </w:trPr>
        <w:tc>
          <w:tcPr>
            <w:tcW w:w="6360" w:type="dxa"/>
            <w:vAlign w:val="bottom"/>
          </w:tcPr>
          <w:p>
            <w:pPr>
              <w:ind w:left="18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0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(34)</w:t>
            </w:r>
          </w:p>
        </w:tc>
        <w:tc>
          <w:tcPr>
            <w:tcW w:w="28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3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w:t>
            </w:r>
          </w:p>
        </w:tc>
        <w:tc>
          <w:tcPr>
            <w:tcW w:w="2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3,264</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3,724</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10,154</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10,617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360" w:type="dxa"/>
            <w:vAlign w:val="bottom"/>
          </w:tcPr>
          <w:p>
            <w:pPr>
              <w:spacing w:after="0"/>
              <w:rPr>
                <w:sz w:val="20"/>
                <w:szCs w:val="20"/>
                <w:color w:val="auto"/>
              </w:rPr>
            </w:pPr>
            <w:r>
              <w:rPr>
                <w:rFonts w:ascii="Arial" w:cs="Arial" w:eastAsia="Arial" w:hAnsi="Arial"/>
                <w:sz w:val="18"/>
                <w:szCs w:val="18"/>
                <w:color w:val="auto"/>
              </w:rPr>
              <w:t>Income tax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(1,400)</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3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2,324</w:t>
            </w:r>
          </w:p>
        </w:tc>
        <w:tc>
          <w:tcPr>
            <w:tcW w:w="28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6,357</w:t>
            </w:r>
          </w:p>
        </w:tc>
        <w:tc>
          <w:tcPr>
            <w:tcW w:w="28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6,628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360" w:type="dxa"/>
            <w:vAlign w:val="bottom"/>
          </w:tcPr>
          <w:p>
            <w:pPr>
              <w:ind w:left="180"/>
              <w:spacing w:after="0"/>
              <w:rPr>
                <w:sz w:val="20"/>
                <w:szCs w:val="20"/>
                <w:color w:val="auto"/>
              </w:rPr>
            </w:pPr>
            <w:r>
              <w:rPr>
                <w:rFonts w:ascii="Arial" w:cs="Arial" w:eastAsia="Arial" w:hAnsi="Arial"/>
                <w:sz w:val="18"/>
                <w:szCs w:val="18"/>
                <w:color w:val="auto"/>
              </w:rPr>
              <w:t>Net (income) loss attributable to noncontrolling interests and redeemable</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360"/>
              <w:spacing w:after="0" w:line="203" w:lineRule="exact"/>
              <w:rPr>
                <w:sz w:val="20"/>
                <w:szCs w:val="20"/>
                <w:color w:val="auto"/>
              </w:rPr>
            </w:pPr>
            <w:r>
              <w:rPr>
                <w:rFonts w:ascii="Arial" w:cs="Arial" w:eastAsia="Arial" w:hAnsi="Arial"/>
                <w:sz w:val="18"/>
                <w:szCs w:val="18"/>
                <w:color w:val="auto"/>
              </w:rPr>
              <w:t>subsidiary preferred stock</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w:t>
            </w:r>
          </w:p>
        </w:tc>
        <w:tc>
          <w:tcPr>
            <w:tcW w:w="280" w:type="dxa"/>
            <w:vAlign w:val="bottom"/>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c>
          <w:tcPr>
            <w:tcW w:w="280" w:type="dxa"/>
            <w:vAlign w:val="bottom"/>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6360" w:type="dxa"/>
            <w:vAlign w:val="bottom"/>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$1,996</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$2,237</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$6,192</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$6,399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 attributable to Comcast</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$0.92</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$0.80</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common share attributable to Comcast</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$0.275</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$0.825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360" w:type="dxa"/>
            <w:vAlign w:val="bottom"/>
          </w:tcPr>
          <w:p>
            <w:pPr>
              <w:ind w:left="180"/>
              <w:spacing w:after="0"/>
              <w:rPr>
                <w:sz w:val="20"/>
                <w:szCs w:val="20"/>
                <w:color w:val="auto"/>
              </w:rPr>
            </w:pPr>
            <w:r>
              <w:rPr>
                <w:rFonts w:ascii="Arial" w:cs="Arial" w:eastAsia="Arial" w:hAnsi="Arial"/>
                <w:sz w:val="18"/>
                <w:szCs w:val="18"/>
                <w:b w:val="1"/>
                <w:bCs w:val="1"/>
                <w:color w:val="auto"/>
              </w:rPr>
              <w:t>Corporation shareholders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c>
          <w:tcPr>
            <w:tcW w:w="28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360" w:type="dxa"/>
            <w:vAlign w:val="bottom"/>
          </w:tcPr>
          <w:p>
            <w:pPr>
              <w:spacing w:after="0"/>
              <w:rPr>
                <w:sz w:val="20"/>
                <w:szCs w:val="20"/>
                <w:color w:val="auto"/>
              </w:rPr>
            </w:pPr>
            <w:r>
              <w:rPr>
                <w:rFonts w:ascii="Arial" w:cs="Arial" w:eastAsia="Arial" w:hAnsi="Arial"/>
                <w:sz w:val="18"/>
                <w:szCs w:val="18"/>
                <w:color w:val="auto"/>
              </w:rPr>
              <w:t>Diluted weighted-average number of common shares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2,502</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2,431</w:t>
            </w:r>
          </w:p>
        </w:tc>
        <w:tc>
          <w:tcPr>
            <w:tcW w:w="280" w:type="dxa"/>
            <w:vAlign w:val="bottom"/>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2,530</w:t>
            </w:r>
          </w:p>
        </w:tc>
        <w:tc>
          <w:tcPr>
            <w:tcW w:w="280" w:type="dxa"/>
            <w:vAlign w:val="bottom"/>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2,446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5680"/>
              <w:spacing w:after="0"/>
              <w:rPr>
                <w:sz w:val="20"/>
                <w:szCs w:val="20"/>
                <w:color w:val="auto"/>
              </w:rPr>
            </w:pPr>
            <w:r>
              <w:rPr>
                <w:rFonts w:ascii="Arial" w:cs="Arial" w:eastAsia="Arial" w:hAnsi="Arial"/>
                <w:sz w:val="14"/>
                <w:szCs w:val="14"/>
                <w:color w:val="auto"/>
              </w:rPr>
              <w:t>8</w:t>
            </w: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3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358140</wp:posOffset>
            </wp:positionV>
            <wp:extent cx="1089025" cy="428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902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2</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Condensed Consolidated Balance Sheet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(in millions)</w:t>
            </w: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96"/>
        </w:trPr>
        <w:tc>
          <w:tcPr>
            <w:tcW w:w="808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$2,807</w:t>
            </w:r>
          </w:p>
        </w:tc>
        <w:tc>
          <w:tcPr>
            <w:tcW w:w="0" w:type="dxa"/>
            <w:vAlign w:val="bottom"/>
          </w:tcPr>
          <w:p>
            <w:pPr>
              <w:spacing w:after="0"/>
              <w:rPr>
                <w:sz w:val="1"/>
                <w:szCs w:val="1"/>
                <w:color w:val="auto"/>
              </w:rPr>
            </w:pPr>
          </w:p>
        </w:tc>
      </w:tr>
      <w:tr>
        <w:trPr>
          <w:trHeight w:val="181"/>
        </w:trPr>
        <w:tc>
          <w:tcPr>
            <w:tcW w:w="8080" w:type="dxa"/>
            <w:vAlign w:val="bottom"/>
          </w:tcPr>
          <w:p>
            <w:pPr>
              <w:ind w:left="360"/>
              <w:spacing w:after="0" w:line="181" w:lineRule="exact"/>
              <w:rPr>
                <w:sz w:val="20"/>
                <w:szCs w:val="20"/>
                <w:color w:val="auto"/>
              </w:rPr>
            </w:pPr>
            <w:r>
              <w:rPr>
                <w:rFonts w:ascii="Arial" w:cs="Arial" w:eastAsia="Arial" w:hAnsi="Arial"/>
                <w:sz w:val="18"/>
                <w:szCs w:val="18"/>
                <w:color w:val="auto"/>
              </w:rPr>
              <w:t>Cash and cash equivalents</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$2,295</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Receivables, net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6,896</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7,533</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Programming rights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1,213</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1,369</w:t>
            </w:r>
          </w:p>
        </w:tc>
        <w:tc>
          <w:tcPr>
            <w:tcW w:w="0" w:type="dxa"/>
            <w:vAlign w:val="bottom"/>
          </w:tcPr>
          <w:p>
            <w:pPr>
              <w:spacing w:after="0"/>
              <w:rPr>
                <w:sz w:val="1"/>
                <w:szCs w:val="1"/>
                <w:color w:val="auto"/>
              </w:rPr>
            </w:pPr>
          </w:p>
        </w:tc>
      </w:tr>
      <w:tr>
        <w:trPr>
          <w:trHeight w:val="225"/>
        </w:trPr>
        <w:tc>
          <w:tcPr>
            <w:tcW w:w="80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1,899</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3,519</w:t>
            </w:r>
          </w:p>
        </w:tc>
        <w:tc>
          <w:tcPr>
            <w:tcW w:w="0" w:type="dxa"/>
            <w:vAlign w:val="bottom"/>
          </w:tcPr>
          <w:p>
            <w:pPr>
              <w:spacing w:after="0"/>
              <w:rPr>
                <w:sz w:val="1"/>
                <w:szCs w:val="1"/>
                <w:color w:val="auto"/>
              </w:rPr>
            </w:pPr>
          </w:p>
        </w:tc>
      </w:tr>
      <w:tr>
        <w:trPr>
          <w:trHeight w:val="197"/>
        </w:trPr>
        <w:tc>
          <w:tcPr>
            <w:tcW w:w="8080" w:type="dxa"/>
            <w:vAlign w:val="bottom"/>
          </w:tcPr>
          <w:p>
            <w:pPr>
              <w:ind w:left="540"/>
              <w:spacing w:after="0" w:line="197" w:lineRule="exact"/>
              <w:rPr>
                <w:sz w:val="20"/>
                <w:szCs w:val="20"/>
                <w:color w:val="auto"/>
              </w:rPr>
            </w:pPr>
            <w:r>
              <w:rPr>
                <w:rFonts w:ascii="Arial" w:cs="Arial" w:eastAsia="Arial" w:hAnsi="Arial"/>
                <w:sz w:val="18"/>
                <w:szCs w:val="18"/>
                <w:color w:val="auto"/>
              </w:rPr>
              <w:t>Total current assets</w:t>
            </w:r>
          </w:p>
        </w:tc>
        <w:tc>
          <w:tcPr>
            <w:tcW w:w="14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12,303</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15,228</w:t>
            </w:r>
          </w:p>
        </w:tc>
        <w:tc>
          <w:tcPr>
            <w:tcW w:w="0" w:type="dxa"/>
            <w:vAlign w:val="bottom"/>
          </w:tcPr>
          <w:p>
            <w:pPr>
              <w:spacing w:after="0"/>
              <w:rPr>
                <w:sz w:val="1"/>
                <w:szCs w:val="1"/>
                <w:color w:val="auto"/>
              </w:rPr>
            </w:pPr>
          </w:p>
        </w:tc>
      </w:tr>
      <w:tr>
        <w:trPr>
          <w:trHeight w:val="412"/>
        </w:trPr>
        <w:tc>
          <w:tcPr>
            <w:tcW w:w="8080" w:type="dxa"/>
            <w:vAlign w:val="bottom"/>
          </w:tcPr>
          <w:p>
            <w:pPr>
              <w:ind w:left="180"/>
              <w:spacing w:after="0"/>
              <w:rPr>
                <w:sz w:val="20"/>
                <w:szCs w:val="20"/>
                <w:color w:val="auto"/>
              </w:rPr>
            </w:pPr>
            <w:r>
              <w:rPr>
                <w:rFonts w:ascii="Arial" w:cs="Arial" w:eastAsia="Arial" w:hAnsi="Arial"/>
                <w:sz w:val="18"/>
                <w:szCs w:val="18"/>
                <w:color w:val="auto"/>
              </w:rPr>
              <w:t>Film and television costs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5,855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7,153</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3,857</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33,665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35,656</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Franchise rights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59,364</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32,945</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36,652</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16,946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17,356</w:t>
            </w:r>
          </w:p>
        </w:tc>
        <w:tc>
          <w:tcPr>
            <w:tcW w:w="0" w:type="dxa"/>
            <w:vAlign w:val="bottom"/>
          </w:tcPr>
          <w:p>
            <w:pPr>
              <w:spacing w:after="0"/>
              <w:rPr>
                <w:sz w:val="1"/>
                <w:szCs w:val="1"/>
                <w:color w:val="auto"/>
              </w:rPr>
            </w:pPr>
          </w:p>
        </w:tc>
      </w:tr>
      <w:tr>
        <w:trPr>
          <w:trHeight w:val="392"/>
        </w:trPr>
        <w:tc>
          <w:tcPr>
            <w:tcW w:w="8080" w:type="dxa"/>
            <w:vAlign w:val="bottom"/>
          </w:tcPr>
          <w:p>
            <w:pPr>
              <w:ind w:left="180"/>
              <w:spacing w:after="0"/>
              <w:rPr>
                <w:sz w:val="20"/>
                <w:szCs w:val="20"/>
                <w:color w:val="auto"/>
              </w:rPr>
            </w:pPr>
            <w:r>
              <w:rPr>
                <w:rFonts w:ascii="Arial" w:cs="Arial" w:eastAsia="Arial" w:hAnsi="Arial"/>
                <w:sz w:val="18"/>
                <w:szCs w:val="18"/>
                <w:color w:val="auto"/>
              </w:rPr>
              <w:t>Other noncurrent assets, net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2,658</w:t>
            </w:r>
          </w:p>
        </w:tc>
        <w:tc>
          <w:tcPr>
            <w:tcW w:w="0" w:type="dxa"/>
            <w:vAlign w:val="bottom"/>
          </w:tcPr>
          <w:p>
            <w:pPr>
              <w:spacing w:after="0"/>
              <w:rPr>
                <w:sz w:val="1"/>
                <w:szCs w:val="1"/>
                <w:color w:val="auto"/>
              </w:rPr>
            </w:pPr>
          </w:p>
        </w:tc>
      </w:tr>
      <w:tr>
        <w:trPr>
          <w:trHeight w:val="399"/>
        </w:trPr>
        <w:tc>
          <w:tcPr>
            <w:tcW w:w="8080" w:type="dxa"/>
            <w:vAlign w:val="bottom"/>
          </w:tcPr>
          <w:p>
            <w:pPr>
              <w:spacing w:after="0"/>
              <w:rPr>
                <w:sz w:val="24"/>
                <w:szCs w:val="24"/>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$177,924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08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$6,594</w:t>
            </w:r>
          </w:p>
        </w:tc>
        <w:tc>
          <w:tcPr>
            <w:tcW w:w="0" w:type="dxa"/>
            <w:vAlign w:val="bottom"/>
          </w:tcPr>
          <w:p>
            <w:pPr>
              <w:spacing w:after="0"/>
              <w:rPr>
                <w:sz w:val="1"/>
                <w:szCs w:val="1"/>
                <w:color w:val="auto"/>
              </w:rPr>
            </w:pPr>
          </w:p>
        </w:tc>
      </w:tr>
      <w:tr>
        <w:trPr>
          <w:trHeight w:val="181"/>
        </w:trPr>
        <w:tc>
          <w:tcPr>
            <w:tcW w:w="8080" w:type="dxa"/>
            <w:vAlign w:val="bottom"/>
          </w:tcPr>
          <w:p>
            <w:pPr>
              <w:ind w:left="360"/>
              <w:spacing w:after="0" w:line="181" w:lineRule="exact"/>
              <w:rPr>
                <w:sz w:val="20"/>
                <w:szCs w:val="20"/>
                <w:color w:val="auto"/>
              </w:rPr>
            </w:pPr>
            <w:r>
              <w:rPr>
                <w:rFonts w:ascii="Arial" w:cs="Arial" w:eastAsia="Arial" w:hAnsi="Arial"/>
                <w:sz w:val="18"/>
                <w:szCs w:val="18"/>
                <w:color w:val="auto"/>
              </w:rPr>
              <w:t>Accounts payable and accrued expenses related to trade creditors</w:t>
            </w:r>
          </w:p>
        </w:tc>
        <w:tc>
          <w:tcPr>
            <w:tcW w:w="148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$6,215</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Accrued participations and residuals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1,572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1,570</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1,340</w:t>
            </w:r>
          </w:p>
        </w:tc>
        <w:tc>
          <w:tcPr>
            <w:tcW w:w="0" w:type="dxa"/>
            <w:vAlign w:val="bottom"/>
          </w:tcPr>
          <w:p>
            <w:pPr>
              <w:spacing w:after="0"/>
              <w:rPr>
                <w:sz w:val="1"/>
                <w:szCs w:val="1"/>
                <w:color w:val="auto"/>
              </w:rPr>
            </w:pPr>
          </w:p>
        </w:tc>
      </w:tr>
      <w:tr>
        <w:trPr>
          <w:trHeight w:val="203"/>
        </w:trPr>
        <w:tc>
          <w:tcPr>
            <w:tcW w:w="80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5,462</w:t>
            </w:r>
          </w:p>
        </w:tc>
        <w:tc>
          <w:tcPr>
            <w:tcW w:w="2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5,201</w:t>
            </w:r>
          </w:p>
        </w:tc>
        <w:tc>
          <w:tcPr>
            <w:tcW w:w="0" w:type="dxa"/>
            <w:vAlign w:val="bottom"/>
          </w:tcPr>
          <w:p>
            <w:pPr>
              <w:spacing w:after="0"/>
              <w:rPr>
                <w:sz w:val="1"/>
                <w:szCs w:val="1"/>
                <w:color w:val="auto"/>
              </w:rPr>
            </w:pPr>
          </w:p>
        </w:tc>
      </w:tr>
      <w:tr>
        <w:trPr>
          <w:trHeight w:val="225"/>
        </w:trPr>
        <w:tc>
          <w:tcPr>
            <w:tcW w:w="80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3,627</w:t>
            </w:r>
          </w:p>
        </w:tc>
        <w:tc>
          <w:tcPr>
            <w:tcW w:w="280" w:type="dxa"/>
            <w:vAlign w:val="bottom"/>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3,333</w:t>
            </w:r>
          </w:p>
        </w:tc>
        <w:tc>
          <w:tcPr>
            <w:tcW w:w="0" w:type="dxa"/>
            <w:vAlign w:val="bottom"/>
          </w:tcPr>
          <w:p>
            <w:pPr>
              <w:spacing w:after="0"/>
              <w:rPr>
                <w:sz w:val="1"/>
                <w:szCs w:val="1"/>
                <w:color w:val="auto"/>
              </w:rPr>
            </w:pPr>
          </w:p>
        </w:tc>
      </w:tr>
      <w:tr>
        <w:trPr>
          <w:trHeight w:val="197"/>
        </w:trPr>
        <w:tc>
          <w:tcPr>
            <w:tcW w:w="8080" w:type="dxa"/>
            <w:vAlign w:val="bottom"/>
          </w:tcPr>
          <w:p>
            <w:pPr>
              <w:ind w:left="540"/>
              <w:spacing w:after="0" w:line="197" w:lineRule="exact"/>
              <w:rPr>
                <w:sz w:val="20"/>
                <w:szCs w:val="20"/>
                <w:color w:val="auto"/>
              </w:rPr>
            </w:pPr>
            <w:r>
              <w:rPr>
                <w:rFonts w:ascii="Arial" w:cs="Arial" w:eastAsia="Arial" w:hAnsi="Arial"/>
                <w:sz w:val="18"/>
                <w:szCs w:val="18"/>
                <w:color w:val="auto"/>
              </w:rPr>
              <w:t>Total current liabilities</w:t>
            </w:r>
          </w:p>
        </w:tc>
        <w:tc>
          <w:tcPr>
            <w:tcW w:w="1480" w:type="dxa"/>
            <w:vAlign w:val="bottom"/>
            <w:tcBorders>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18,178</w:t>
            </w:r>
          </w:p>
        </w:tc>
        <w:tc>
          <w:tcPr>
            <w:tcW w:w="280" w:type="dxa"/>
            <w:vAlign w:val="bottom"/>
          </w:tcPr>
          <w:p>
            <w:pPr>
              <w:spacing w:after="0"/>
              <w:rPr>
                <w:sz w:val="17"/>
                <w:szCs w:val="17"/>
                <w:color w:val="auto"/>
              </w:rPr>
            </w:pPr>
          </w:p>
        </w:tc>
        <w:tc>
          <w:tcPr>
            <w:tcW w:w="1480" w:type="dxa"/>
            <w:vAlign w:val="bottom"/>
            <w:tcBorders>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18,038</w:t>
            </w:r>
          </w:p>
        </w:tc>
        <w:tc>
          <w:tcPr>
            <w:tcW w:w="0" w:type="dxa"/>
            <w:vAlign w:val="bottom"/>
          </w:tcPr>
          <w:p>
            <w:pPr>
              <w:spacing w:after="0"/>
              <w:rPr>
                <w:sz w:val="1"/>
                <w:szCs w:val="1"/>
                <w:color w:val="auto"/>
              </w:rPr>
            </w:pPr>
          </w:p>
        </w:tc>
      </w:tr>
      <w:tr>
        <w:trPr>
          <w:trHeight w:val="412"/>
        </w:trPr>
        <w:tc>
          <w:tcPr>
            <w:tcW w:w="8080" w:type="dxa"/>
            <w:vAlign w:val="bottom"/>
          </w:tcPr>
          <w:p>
            <w:pPr>
              <w:ind w:left="180"/>
              <w:spacing w:after="0"/>
              <w:rPr>
                <w:sz w:val="20"/>
                <w:szCs w:val="20"/>
                <w:color w:val="auto"/>
              </w:rPr>
            </w:pPr>
            <w:r>
              <w:rPr>
                <w:rFonts w:ascii="Arial" w:cs="Arial" w:eastAsia="Arial" w:hAnsi="Arial"/>
                <w:sz w:val="18"/>
                <w:szCs w:val="18"/>
                <w:color w:val="auto"/>
              </w:rPr>
              <w:t>Long-term debt, less current portion</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48,994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57,095</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33,566</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34,523</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Other noncurrent liabilities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10,637</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11,119</w:t>
            </w:r>
          </w:p>
        </w:tc>
        <w:tc>
          <w:tcPr>
            <w:tcW w:w="0" w:type="dxa"/>
            <w:vAlign w:val="bottom"/>
          </w:tcPr>
          <w:p>
            <w:pPr>
              <w:spacing w:after="0"/>
              <w:rPr>
                <w:sz w:val="1"/>
                <w:szCs w:val="1"/>
                <w:color w:val="auto"/>
              </w:rPr>
            </w:pPr>
          </w:p>
        </w:tc>
      </w:tr>
      <w:tr>
        <w:trPr>
          <w:trHeight w:val="405"/>
        </w:trPr>
        <w:tc>
          <w:tcPr>
            <w:tcW w:w="8080" w:type="dxa"/>
            <w:vAlign w:val="bottom"/>
          </w:tcPr>
          <w:p>
            <w:pPr>
              <w:ind w:left="180"/>
              <w:spacing w:after="0"/>
              <w:rPr>
                <w:sz w:val="20"/>
                <w:szCs w:val="20"/>
                <w:color w:val="auto"/>
              </w:rPr>
            </w:pPr>
            <w:r>
              <w:rPr>
                <w:rFonts w:ascii="Arial" w:cs="Arial" w:eastAsia="Arial" w:hAnsi="Arial"/>
                <w:sz w:val="18"/>
                <w:szCs w:val="18"/>
                <w:color w:val="auto"/>
              </w:rPr>
              <w:t>Redeemable noncontrolling interests and redeemable subsidiary preferred stock</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1,221</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1,326</w:t>
            </w:r>
          </w:p>
        </w:tc>
        <w:tc>
          <w:tcPr>
            <w:tcW w:w="0" w:type="dxa"/>
            <w:vAlign w:val="bottom"/>
          </w:tcPr>
          <w:p>
            <w:pPr>
              <w:spacing w:after="0"/>
              <w:rPr>
                <w:sz w:val="1"/>
                <w:szCs w:val="1"/>
                <w:color w:val="auto"/>
              </w:rPr>
            </w:pPr>
          </w:p>
        </w:tc>
      </w:tr>
    </w:tbl>
    <w:p>
      <w:pPr>
        <w:sectPr>
          <w:pgSz w:w="11900" w:h="16838" w:orient="portrait"/>
          <w:cols w:equalWidth="0" w:num="1">
            <w:col w:w="11460"/>
          </w:cols>
          <w:pgMar w:left="240" w:top="118"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ind w:left="180"/>
              <w:spacing w:after="0"/>
              <w:rPr>
                <w:sz w:val="20"/>
                <w:szCs w:val="20"/>
                <w:color w:val="auto"/>
              </w:rPr>
            </w:pPr>
            <w:r>
              <w:rPr>
                <w:rFonts w:ascii="Arial" w:cs="Arial" w:eastAsia="Arial" w:hAnsi="Arial"/>
                <w:sz w:val="18"/>
                <w:szCs w:val="18"/>
                <w:color w:val="auto"/>
              </w:rPr>
              <w:t>Equity</w:t>
            </w:r>
          </w:p>
        </w:tc>
        <w:tc>
          <w:tcPr>
            <w:tcW w:w="3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53,481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tcPr>
          <w:p>
            <w:pPr>
              <w:ind w:left="360"/>
              <w:spacing w:after="0" w:line="181" w:lineRule="exact"/>
              <w:rPr>
                <w:sz w:val="20"/>
                <w:szCs w:val="20"/>
                <w:color w:val="auto"/>
              </w:rPr>
            </w:pPr>
            <w:r>
              <w:rPr>
                <w:rFonts w:ascii="Arial" w:cs="Arial" w:eastAsia="Arial" w:hAnsi="Arial"/>
                <w:sz w:val="18"/>
                <w:szCs w:val="18"/>
                <w:color w:val="auto"/>
              </w:rPr>
              <w:t>Comcast Corporation shareholders’ equity</w:t>
            </w:r>
          </w:p>
        </w:tc>
        <w:tc>
          <w:tcPr>
            <w:tcW w:w="4860" w:type="dxa"/>
            <w:vAlign w:val="bottom"/>
            <w:gridSpan w:val="2"/>
          </w:tcPr>
          <w:p>
            <w:pPr>
              <w:jc w:val="right"/>
              <w:ind w:right="10"/>
              <w:spacing w:after="0" w:line="181" w:lineRule="exact"/>
              <w:rPr>
                <w:sz w:val="20"/>
                <w:szCs w:val="20"/>
                <w:color w:val="auto"/>
              </w:rPr>
            </w:pPr>
            <w:r>
              <w:rPr>
                <w:rFonts w:ascii="Arial" w:cs="Arial" w:eastAsia="Arial" w:hAnsi="Arial"/>
                <w:sz w:val="18"/>
                <w:szCs w:val="18"/>
                <w:color w:val="auto"/>
              </w:rPr>
              <w:t>52,269</w:t>
            </w: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1,709</w:t>
            </w:r>
          </w:p>
        </w:tc>
        <w:tc>
          <w:tcPr>
            <w:tcW w:w="280" w:type="dxa"/>
            <w:vAlign w:val="bottom"/>
          </w:tcPr>
          <w:p>
            <w:pPr>
              <w:spacing w:after="0"/>
              <w:rPr>
                <w:sz w:val="19"/>
                <w:szCs w:val="19"/>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2,342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4700" w:type="dxa"/>
            <w:vAlign w:val="bottom"/>
          </w:tcPr>
          <w:p>
            <w:pPr>
              <w:ind w:left="540"/>
              <w:spacing w:after="0" w:line="197" w:lineRule="exact"/>
              <w:rPr>
                <w:sz w:val="20"/>
                <w:szCs w:val="20"/>
                <w:color w:val="auto"/>
              </w:rPr>
            </w:pPr>
            <w:r>
              <w:rPr>
                <w:rFonts w:ascii="Arial" w:cs="Arial" w:eastAsia="Arial" w:hAnsi="Arial"/>
                <w:sz w:val="18"/>
                <w:szCs w:val="18"/>
                <w:color w:val="auto"/>
              </w:rPr>
              <w:t>Total equity</w:t>
            </w:r>
          </w:p>
        </w:tc>
        <w:tc>
          <w:tcPr>
            <w:tcW w:w="33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10"/>
              <w:spacing w:after="0" w:line="197" w:lineRule="exact"/>
              <w:rPr>
                <w:sz w:val="20"/>
                <w:szCs w:val="20"/>
                <w:color w:val="auto"/>
              </w:rPr>
            </w:pPr>
            <w:r>
              <w:rPr>
                <w:rFonts w:ascii="Arial" w:cs="Arial" w:eastAsia="Arial" w:hAnsi="Arial"/>
                <w:sz w:val="18"/>
                <w:szCs w:val="18"/>
                <w:color w:val="auto"/>
              </w:rPr>
              <w:t>53,978</w:t>
            </w:r>
          </w:p>
        </w:tc>
        <w:tc>
          <w:tcPr>
            <w:tcW w:w="2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30"/>
              <w:spacing w:after="0" w:line="197" w:lineRule="exact"/>
              <w:rPr>
                <w:sz w:val="20"/>
                <w:szCs w:val="20"/>
                <w:color w:val="auto"/>
              </w:rPr>
            </w:pPr>
            <w:r>
              <w:rPr>
                <w:rFonts w:ascii="Arial" w:cs="Arial" w:eastAsia="Arial" w:hAnsi="Arial"/>
                <w:sz w:val="18"/>
                <w:szCs w:val="18"/>
                <w:b w:val="1"/>
                <w:bCs w:val="1"/>
                <w:color w:val="auto"/>
              </w:rPr>
              <w:t>55,823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700" w:type="dxa"/>
            <w:vAlign w:val="bottom"/>
          </w:tcPr>
          <w:p>
            <w:pPr>
              <w:spacing w:after="0"/>
              <w:rPr>
                <w:sz w:val="24"/>
                <w:szCs w:val="24"/>
                <w:color w:val="auto"/>
              </w:rPr>
            </w:pPr>
          </w:p>
        </w:tc>
        <w:tc>
          <w:tcPr>
            <w:tcW w:w="4860" w:type="dxa"/>
            <w:vAlign w:val="bottom"/>
            <w:gridSpan w:val="2"/>
          </w:tcPr>
          <w:p>
            <w:pPr>
              <w:jc w:val="right"/>
              <w:ind w:right="10"/>
              <w:spacing w:after="0"/>
              <w:rPr>
                <w:sz w:val="20"/>
                <w:szCs w:val="20"/>
                <w:color w:val="auto"/>
              </w:rPr>
            </w:pPr>
            <w:r>
              <w:rPr>
                <w:rFonts w:ascii="Arial" w:cs="Arial" w:eastAsia="Arial" w:hAnsi="Arial"/>
                <w:sz w:val="18"/>
                <w:szCs w:val="18"/>
                <w:color w:val="auto"/>
              </w:rPr>
              <w:t>$166,574</w:t>
            </w:r>
          </w:p>
        </w:tc>
        <w:tc>
          <w:tcPr>
            <w:tcW w:w="280" w:type="dxa"/>
            <w:vAlign w:val="bottom"/>
          </w:tcPr>
          <w:p>
            <w:pPr>
              <w:spacing w:after="0"/>
              <w:rPr>
                <w:sz w:val="24"/>
                <w:szCs w:val="24"/>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b w:val="1"/>
                <w:bCs w:val="1"/>
                <w:color w:val="auto"/>
              </w:rPr>
              <w:t>$177,924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80" w:type="dxa"/>
            <w:vAlign w:val="bottom"/>
            <w:vMerge w:val="restart"/>
          </w:tcPr>
          <w:p>
            <w:pPr>
              <w:jc w:val="right"/>
              <w:ind w:right="2234"/>
              <w:spacing w:after="0"/>
              <w:rPr>
                <w:sz w:val="20"/>
                <w:szCs w:val="20"/>
                <w:color w:val="auto"/>
              </w:rPr>
            </w:pPr>
            <w:r>
              <w:rPr>
                <w:rFonts w:ascii="Arial" w:cs="Arial" w:eastAsia="Arial" w:hAnsi="Arial"/>
                <w:sz w:val="14"/>
                <w:szCs w:val="14"/>
                <w:color w:val="auto"/>
              </w:rPr>
              <w:t>9</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70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70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44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3</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Consolidated Statement of Cash Flows (Unaudited)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(in millions)</w:t>
            </w:r>
          </w:p>
        </w:tc>
        <w:tc>
          <w:tcPr>
            <w:tcW w:w="30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Nine Months Ended</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00" w:type="dxa"/>
            <w:vAlign w:val="bottom"/>
          </w:tcPr>
          <w:p>
            <w:pPr>
              <w:spacing w:after="0"/>
              <w:rPr>
                <w:sz w:val="20"/>
                <w:szCs w:val="20"/>
                <w:color w:val="auto"/>
              </w:rPr>
            </w:pPr>
          </w:p>
        </w:tc>
        <w:tc>
          <w:tcPr>
            <w:tcW w:w="212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9"/>
              </w:rPr>
              <w:t>September 30,</w:t>
            </w:r>
          </w:p>
        </w:tc>
        <w:tc>
          <w:tcPr>
            <w:tcW w:w="90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w w:val="99"/>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300" w:type="dxa"/>
            <w:vAlign w:val="bottom"/>
          </w:tcPr>
          <w:p>
            <w:pPr>
              <w:spacing w:after="0"/>
              <w:rPr>
                <w:sz w:val="17"/>
                <w:szCs w:val="17"/>
                <w:color w:val="auto"/>
              </w:rPr>
            </w:pPr>
          </w:p>
        </w:tc>
        <w:tc>
          <w:tcPr>
            <w:tcW w:w="1360" w:type="dxa"/>
            <w:vAlign w:val="bottom"/>
            <w:tcBorders>
              <w:bottom w:val="single" w:sz="8" w:color="auto"/>
            </w:tcBorders>
          </w:tcPr>
          <w:p>
            <w:pPr>
              <w:jc w:val="right"/>
              <w:ind w:right="390"/>
              <w:spacing w:after="0" w:line="203" w:lineRule="exact"/>
              <w:rPr>
                <w:sz w:val="20"/>
                <w:szCs w:val="20"/>
                <w:color w:val="auto"/>
              </w:rPr>
            </w:pPr>
            <w:r>
              <w:rPr>
                <w:rFonts w:ascii="Arial" w:cs="Arial" w:eastAsia="Arial" w:hAnsi="Arial"/>
                <w:sz w:val="18"/>
                <w:szCs w:val="18"/>
                <w:color w:val="auto"/>
              </w:rPr>
              <w:t>2015</w:t>
            </w:r>
          </w:p>
        </w:tc>
        <w:tc>
          <w:tcPr>
            <w:tcW w:w="2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$6,628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$6,357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7,062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Depreciation and amortization</w:t>
            </w:r>
          </w:p>
        </w:tc>
        <w:tc>
          <w:tcPr>
            <w:tcW w:w="1360" w:type="dxa"/>
            <w:vAlign w:val="bottom"/>
          </w:tcPr>
          <w:p>
            <w:pPr>
              <w:jc w:val="right"/>
              <w:ind w:right="10"/>
              <w:spacing w:after="0" w:line="181" w:lineRule="exact"/>
              <w:rPr>
                <w:sz w:val="20"/>
                <w:szCs w:val="20"/>
                <w:color w:val="auto"/>
              </w:rPr>
            </w:pPr>
            <w:r>
              <w:rPr>
                <w:rFonts w:ascii="Arial" w:cs="Arial" w:eastAsia="Arial" w:hAnsi="Arial"/>
                <w:sz w:val="18"/>
                <w:szCs w:val="18"/>
                <w:color w:val="auto"/>
              </w:rPr>
              <w:t>6,410</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Share-based compensation</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 (income),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147</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Equity in net (income) losses of investees, net</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Cash received from investees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Net (gain) loss on investment activity and other</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(344)</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985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(315)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360"/>
              <w:spacing w:after="0" w:line="181" w:lineRule="exact"/>
              <w:rPr>
                <w:sz w:val="20"/>
                <w:szCs w:val="20"/>
                <w:color w:val="auto"/>
              </w:rPr>
            </w:pPr>
            <w:r>
              <w:rPr>
                <w:rFonts w:ascii="Arial" w:cs="Arial" w:eastAsia="Arial" w:hAnsi="Arial"/>
                <w:sz w:val="18"/>
                <w:szCs w:val="18"/>
                <w:color w:val="auto"/>
              </w:rPr>
              <w:t>Current and noncurrent receivables, net</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Film and television costs, net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 and accrued expenses related to trade creditors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169</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360"/>
              <w:spacing w:after="0"/>
              <w:rPr>
                <w:sz w:val="20"/>
                <w:szCs w:val="20"/>
                <w:color w:val="auto"/>
              </w:rPr>
            </w:pPr>
            <w:r>
              <w:rPr>
                <w:rFonts w:ascii="Arial" w:cs="Arial" w:eastAsia="Arial" w:hAnsi="Arial"/>
                <w:sz w:val="18"/>
                <w:szCs w:val="18"/>
                <w:color w:val="auto"/>
              </w:rPr>
              <w:t>Other operating assets and liabilities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13,813</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13,497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(6,562)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180"/>
              <w:spacing w:after="0" w:line="181" w:lineRule="exact"/>
              <w:rPr>
                <w:sz w:val="20"/>
                <w:szCs w:val="20"/>
                <w:color w:val="auto"/>
              </w:rPr>
            </w:pPr>
            <w:r>
              <w:rPr>
                <w:rFonts w:ascii="Arial" w:cs="Arial" w:eastAsia="Arial" w:hAnsi="Arial"/>
                <w:sz w:val="18"/>
                <w:szCs w:val="18"/>
                <w:color w:val="auto"/>
              </w:rPr>
              <w:t>Capital expenditures</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(5,862)</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Cash paid for intangible assets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(916)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Acquisitions and construction of real estate properties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(116)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(286)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(3,904)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businesses and investments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Purchases of investments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(712)</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(618)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Deposits</w:t>
            </w:r>
          </w:p>
        </w:tc>
        <w:tc>
          <w:tcPr>
            <w:tcW w:w="136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(1,761)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720"/>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(7,204)</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300" w:type="dxa"/>
            <w:vAlign w:val="bottom"/>
          </w:tcPr>
          <w:p>
            <w:pPr>
              <w:ind w:left="180"/>
              <w:spacing w:after="0" w:line="181" w:lineRule="exact"/>
              <w:rPr>
                <w:sz w:val="20"/>
                <w:szCs w:val="20"/>
                <w:color w:val="auto"/>
              </w:rPr>
            </w:pPr>
            <w:r>
              <w:rPr>
                <w:rFonts w:ascii="Arial" w:cs="Arial" w:eastAsia="Arial" w:hAnsi="Arial"/>
                <w:sz w:val="18"/>
                <w:szCs w:val="18"/>
                <w:color w:val="auto"/>
              </w:rPr>
              <w:t>Proceeds from (repayments of) short-term borrowings, net</w:t>
            </w:r>
          </w:p>
        </w:tc>
        <w:tc>
          <w:tcPr>
            <w:tcW w:w="1360" w:type="dxa"/>
            <w:vAlign w:val="bottom"/>
          </w:tcPr>
          <w:p>
            <w:pPr>
              <w:jc w:val="right"/>
              <w:spacing w:after="0" w:line="181" w:lineRule="exact"/>
              <w:rPr>
                <w:sz w:val="20"/>
                <w:szCs w:val="20"/>
                <w:color w:val="auto"/>
              </w:rPr>
            </w:pPr>
            <w:r>
              <w:rPr>
                <w:rFonts w:ascii="Arial" w:cs="Arial" w:eastAsia="Arial" w:hAnsi="Arial"/>
                <w:sz w:val="18"/>
                <w:szCs w:val="18"/>
                <w:color w:val="auto"/>
              </w:rPr>
              <w:t>(220)</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Proceeds from borrowings</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3,996</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9,231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repayments of debt</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(4,353)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(2,994)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Repurchases and retirements of common stock</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(5,770)</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(3,762)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Dividends paid</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(1,823)</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(1,944)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Issuances of common stock</w:t>
            </w:r>
          </w:p>
        </w:tc>
        <w:tc>
          <w:tcPr>
            <w:tcW w:w="13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00" w:type="dxa"/>
            <w:vAlign w:val="bottom"/>
          </w:tcPr>
          <w:p>
            <w:pPr>
              <w:ind w:left="180"/>
              <w:spacing w:after="0" w:line="202" w:lineRule="exact"/>
              <w:rPr>
                <w:sz w:val="20"/>
                <w:szCs w:val="20"/>
                <w:color w:val="auto"/>
              </w:rPr>
            </w:pPr>
            <w:r>
              <w:rPr>
                <w:rFonts w:ascii="Arial" w:cs="Arial" w:eastAsia="Arial" w:hAnsi="Arial"/>
                <w:sz w:val="18"/>
                <w:szCs w:val="18"/>
                <w:color w:val="auto"/>
              </w:rPr>
              <w:t>Distributions to noncontrolling interests and dividends for redeemable subsidiary preferred stock</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(178)</w:t>
            </w: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180"/>
              <w:spacing w:after="0"/>
              <w:rPr>
                <w:sz w:val="20"/>
                <w:szCs w:val="20"/>
                <w:color w:val="auto"/>
              </w:rPr>
            </w:pPr>
            <w:r>
              <w:rPr>
                <w:rFonts w:ascii="Arial" w:cs="Arial" w:eastAsia="Arial" w:hAnsi="Arial"/>
                <w:sz w:val="18"/>
                <w:szCs w:val="18"/>
                <w:color w:val="auto"/>
              </w:rPr>
              <w:t>Other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300" w:type="dxa"/>
            <w:vAlign w:val="bottom"/>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(8,626)</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360" w:type="dxa"/>
            <w:vAlign w:val="bottom"/>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b w:val="1"/>
                <w:bCs w:val="1"/>
                <w:color w:val="auto"/>
              </w:rPr>
              <w:t>512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3,910</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0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$1,893</w:t>
            </w:r>
          </w:p>
        </w:tc>
        <w:tc>
          <w:tcPr>
            <w:tcW w:w="2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$2,807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40"/>
              <w:spacing w:after="0"/>
              <w:rPr>
                <w:sz w:val="20"/>
                <w:szCs w:val="20"/>
                <w:color w:val="auto"/>
              </w:rPr>
            </w:pPr>
            <w:r>
              <w:rPr>
                <w:rFonts w:ascii="Arial" w:cs="Arial" w:eastAsia="Arial" w:hAnsi="Arial"/>
                <w:sz w:val="14"/>
                <w:szCs w:val="14"/>
                <w:color w:val="auto"/>
              </w:rPr>
              <w:t>10</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3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3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9"/>
          <w:szCs w:val="29"/>
          <w:b w:val="1"/>
          <w:bCs w:val="1"/>
          <w:color w:val="828282"/>
        </w:rPr>
        <w:t>TABLE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sectPr>
      </w:pPr>
    </w:p>
    <w:p>
      <w:pPr>
        <w:spacing w:after="0" w:line="295" w:lineRule="exact"/>
        <w:rPr>
          <w:sz w:val="20"/>
          <w:szCs w:val="20"/>
          <w:color w:val="auto"/>
        </w:rPr>
      </w:pPr>
    </w:p>
    <w:p>
      <w:pPr>
        <w:ind w:right="3820"/>
        <w:spacing w:after="0" w:line="285" w:lineRule="auto"/>
        <w:rPr>
          <w:sz w:val="20"/>
          <w:szCs w:val="20"/>
          <w:color w:val="auto"/>
        </w:rPr>
      </w:pPr>
      <w:r>
        <w:rPr>
          <w:rFonts w:ascii="Arial" w:cs="Arial" w:eastAsia="Arial" w:hAnsi="Arial"/>
          <w:sz w:val="21"/>
          <w:szCs w:val="21"/>
          <w:b w:val="1"/>
          <w:bCs w:val="1"/>
          <w:color w:val="828282"/>
        </w:rPr>
        <w:t>Reconciliations to Operating Cash Flow and Free Cash Flow and Alternate Presentation of Net Cash Provided by Operating Activities (Unaudited)</w:t>
      </w:r>
    </w:p>
    <w:p>
      <w:pPr>
        <w:sectPr>
          <w:pgSz w:w="11900" w:h="16838" w:orient="portrait"/>
          <w:cols w:equalWidth="0" w:num="1">
            <w:col w:w="11460"/>
          </w:cols>
          <w:pgMar w:left="240" w:top="134" w:right="199" w:bottom="0" w:gutter="0" w:footer="0" w:header="0"/>
          <w:type w:val="continuous"/>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240" w:type="dxa"/>
            <w:vAlign w:val="bottom"/>
            <w:gridSpan w:val="3"/>
          </w:tcPr>
          <w:p>
            <w:pPr>
              <w:jc w:val="center"/>
              <w:ind w:left="54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(in millions)</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18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260"/>
              <w:spacing w:after="0" w:line="143" w:lineRule="exact"/>
              <w:rPr>
                <w:sz w:val="20"/>
                <w:szCs w:val="20"/>
                <w:color w:val="auto"/>
              </w:rPr>
            </w:pPr>
            <w:r>
              <w:rPr>
                <w:rFonts w:ascii="Arial" w:cs="Arial" w:eastAsia="Arial" w:hAnsi="Arial"/>
                <w:sz w:val="14"/>
                <w:szCs w:val="14"/>
                <w:b w:val="1"/>
                <w:bCs w:val="1"/>
                <w:color w:val="auto"/>
              </w:rPr>
              <w:t>Operating income</w:t>
            </w:r>
          </w:p>
        </w:tc>
        <w:tc>
          <w:tcPr>
            <w:tcW w:w="8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$4,001</w:t>
            </w:r>
          </w:p>
        </w:tc>
        <w:tc>
          <w:tcPr>
            <w:tcW w:w="1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$4,440</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$11,996</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$12,595</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2,183</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2,395</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6,410</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7,062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78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Operating income before depreciation and amortization</w:t>
            </w:r>
          </w:p>
        </w:tc>
        <w:tc>
          <w:tcPr>
            <w:tcW w:w="84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440"/>
              <w:spacing w:after="0"/>
              <w:rPr>
                <w:sz w:val="20"/>
                <w:szCs w:val="20"/>
                <w:color w:val="auto"/>
              </w:rPr>
            </w:pPr>
            <w:r>
              <w:rPr>
                <w:rFonts w:ascii="Arial" w:cs="Arial" w:eastAsia="Arial" w:hAnsi="Arial"/>
                <w:sz w:val="14"/>
                <w:szCs w:val="14"/>
                <w:b w:val="1"/>
                <w:bCs w:val="1"/>
                <w:color w:val="auto"/>
              </w:rPr>
              <w:t>(Operating Cash Flow)</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6,184</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6,835</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18,406</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19,657</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Noncash share-based compensation expense</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164</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495</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412</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(1,065)</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(1,874)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260"/>
              <w:spacing w:after="0" w:line="143" w:lineRule="exact"/>
              <w:rPr>
                <w:sz w:val="20"/>
                <w:szCs w:val="20"/>
                <w:color w:val="auto"/>
              </w:rPr>
            </w:pPr>
            <w:r>
              <w:rPr>
                <w:rFonts w:ascii="Arial" w:cs="Arial" w:eastAsia="Arial" w:hAnsi="Arial"/>
                <w:sz w:val="14"/>
                <w:szCs w:val="14"/>
                <w:color w:val="auto"/>
              </w:rPr>
              <w:t>Cash basis operating income</w:t>
            </w:r>
          </w:p>
        </w:tc>
        <w:tc>
          <w:tcPr>
            <w:tcW w:w="8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6,732</w:t>
            </w:r>
          </w:p>
        </w:tc>
        <w:tc>
          <w:tcPr>
            <w:tcW w:w="1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5,934</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18,944</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18,278</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Payments of interest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(808)</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(1,914)</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(2,043)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Payments of income taxes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(1,031)</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(3,145)</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(2,716)</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Excess tax benefits under share-based compensation</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(193)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101</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52</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183</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171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Net Cash Provided by Operating Activities</w:t>
            </w:r>
          </w:p>
        </w:tc>
        <w:tc>
          <w:tcPr>
            <w:tcW w:w="8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$4,979</w:t>
            </w:r>
          </w:p>
        </w:tc>
        <w:tc>
          <w:tcPr>
            <w:tcW w:w="1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$4,114</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$13,813</w:t>
            </w:r>
          </w:p>
        </w:tc>
        <w:tc>
          <w:tcPr>
            <w:tcW w:w="60" w:type="dxa"/>
            <w:vAlign w:val="bottom"/>
            <w:tcBorders>
              <w:top w:val="single" w:sz="8" w:color="auto"/>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$13,497</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260"/>
              <w:spacing w:after="0" w:line="143" w:lineRule="exact"/>
              <w:rPr>
                <w:sz w:val="20"/>
                <w:szCs w:val="20"/>
                <w:color w:val="auto"/>
              </w:rPr>
            </w:pPr>
            <w:r>
              <w:rPr>
                <w:rFonts w:ascii="Arial" w:cs="Arial" w:eastAsia="Arial" w:hAnsi="Arial"/>
                <w:sz w:val="14"/>
                <w:szCs w:val="14"/>
                <w:color w:val="auto"/>
              </w:rPr>
              <w:t>Capital expenditures</w:t>
            </w:r>
          </w:p>
        </w:tc>
        <w:tc>
          <w:tcPr>
            <w:tcW w:w="8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(2,165)</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(2,406)</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3" w:lineRule="exact"/>
              <w:rPr>
                <w:sz w:val="20"/>
                <w:szCs w:val="20"/>
                <w:color w:val="auto"/>
              </w:rPr>
            </w:pPr>
            <w:r>
              <w:rPr>
                <w:rFonts w:ascii="Arial" w:cs="Arial" w:eastAsia="Arial" w:hAnsi="Arial"/>
                <w:sz w:val="14"/>
                <w:szCs w:val="14"/>
                <w:color w:val="auto"/>
              </w:rPr>
              <w:t>(5,862)</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(6,562)</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Cash paid for capitalized software and other intangible assets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(916)</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(1,163)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60"/>
              <w:spacing w:after="0"/>
              <w:rPr>
                <w:sz w:val="20"/>
                <w:szCs w:val="20"/>
                <w:color w:val="auto"/>
              </w:rPr>
            </w:pPr>
            <w:r>
              <w:rPr>
                <w:rFonts w:ascii="Arial" w:cs="Arial" w:eastAsia="Arial" w:hAnsi="Arial"/>
                <w:sz w:val="14"/>
                <w:szCs w:val="14"/>
                <w:color w:val="auto"/>
              </w:rPr>
              <w:t>Principal payments on capital leases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Distributions to noncontrolling interests and dividends for</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(194)</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440"/>
              <w:spacing w:after="0" w:line="144" w:lineRule="exact"/>
              <w:rPr>
                <w:sz w:val="20"/>
                <w:szCs w:val="20"/>
                <w:color w:val="auto"/>
              </w:rPr>
            </w:pPr>
            <w:r>
              <w:rPr>
                <w:rFonts w:ascii="Arial" w:cs="Arial" w:eastAsia="Arial" w:hAnsi="Arial"/>
                <w:sz w:val="14"/>
                <w:szCs w:val="14"/>
                <w:color w:val="auto"/>
              </w:rPr>
              <w:t>redeemable subsidiary preferred stock</w:t>
            </w:r>
          </w:p>
        </w:tc>
        <w:tc>
          <w:tcPr>
            <w:tcW w:w="840" w:type="dxa"/>
            <w:vAlign w:val="bottom"/>
          </w:tcPr>
          <w:p>
            <w:pPr>
              <w:jc w:val="right"/>
              <w:ind w:right="28"/>
              <w:spacing w:after="0" w:line="144" w:lineRule="exact"/>
              <w:rPr>
                <w:sz w:val="20"/>
                <w:szCs w:val="20"/>
                <w:color w:val="auto"/>
              </w:rPr>
            </w:pPr>
            <w:r>
              <w:rPr>
                <w:rFonts w:ascii="Arial" w:cs="Arial" w:eastAsia="Arial" w:hAnsi="Arial"/>
                <w:sz w:val="14"/>
                <w:szCs w:val="14"/>
                <w:color w:val="auto"/>
              </w:rPr>
              <w:t>(64)</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(178)</w:t>
            </w:r>
          </w:p>
        </w:tc>
        <w:tc>
          <w:tcPr>
            <w:tcW w:w="18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Nonoperating items</w:t>
            </w:r>
            <w:r>
              <w:rPr>
                <w:rFonts w:ascii="Arial" w:cs="Arial" w:eastAsia="Arial" w:hAnsi="Arial"/>
                <w:sz w:val="14"/>
                <w:szCs w:val="14"/>
                <w:color w:val="auto"/>
                <w:vertAlign w:val="superscript"/>
              </w:rPr>
              <w:t>(1)</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208</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192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260"/>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8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2,496</w:t>
            </w:r>
          </w:p>
        </w:tc>
        <w:tc>
          <w:tcPr>
            <w:tcW w:w="1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1,415</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6,846</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5,747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Economic Stimulus Packages</w:t>
            </w:r>
            <w:r>
              <w:rPr>
                <w:rFonts w:ascii="Arial" w:cs="Arial" w:eastAsia="Arial" w:hAnsi="Arial"/>
                <w:sz w:val="14"/>
                <w:szCs w:val="14"/>
                <w:color w:val="auto"/>
                <w:vertAlign w:val="superscript"/>
              </w:rPr>
              <w:t>(1)</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167</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(151)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Total Free Cash Flow</w:t>
            </w:r>
          </w:p>
        </w:tc>
        <w:tc>
          <w:tcPr>
            <w:tcW w:w="8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$2,663</w:t>
            </w:r>
          </w:p>
        </w:tc>
        <w:tc>
          <w:tcPr>
            <w:tcW w:w="1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$1,371</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$7,347</w:t>
            </w:r>
          </w:p>
        </w:tc>
        <w:tc>
          <w:tcPr>
            <w:tcW w:w="60" w:type="dxa"/>
            <w:vAlign w:val="bottom"/>
            <w:tcBorders>
              <w:top w:val="single" w:sz="8" w:color="auto"/>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$5,596</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020" w:type="dxa"/>
            <w:vAlign w:val="bottom"/>
            <w:tcBorders>
              <w:bottom w:val="single" w:sz="8" w:color="0050B9"/>
            </w:tcBorders>
            <w:gridSpan w:val="4"/>
          </w:tcPr>
          <w:p>
            <w:pPr>
              <w:spacing w:after="0"/>
              <w:rPr>
                <w:sz w:val="20"/>
                <w:szCs w:val="20"/>
                <w:color w:val="auto"/>
              </w:rPr>
            </w:pPr>
            <w:r>
              <w:rPr>
                <w:rFonts w:ascii="Arial" w:cs="Arial" w:eastAsia="Arial" w:hAnsi="Arial"/>
                <w:sz w:val="22"/>
                <w:szCs w:val="22"/>
                <w:b w:val="1"/>
                <w:bCs w:val="1"/>
                <w:color w:val="828282"/>
              </w:rPr>
              <w:t>Alternate Presentation of Free Cash Flow (Unaudited)</w:t>
            </w:r>
          </w:p>
        </w:tc>
        <w:tc>
          <w:tcPr>
            <w:tcW w:w="620" w:type="dxa"/>
            <w:vAlign w:val="bottom"/>
            <w:tcBorders>
              <w:bottom w:val="single" w:sz="8" w:color="0050B9"/>
            </w:tcBorders>
          </w:tcPr>
          <w:p>
            <w:pPr>
              <w:spacing w:after="0"/>
              <w:rPr>
                <w:sz w:val="24"/>
                <w:szCs w:val="24"/>
                <w:color w:val="auto"/>
              </w:rPr>
            </w:pPr>
          </w:p>
        </w:tc>
        <w:tc>
          <w:tcPr>
            <w:tcW w:w="200" w:type="dxa"/>
            <w:vAlign w:val="bottom"/>
            <w:tcBorders>
              <w:bottom w:val="single" w:sz="8" w:color="0050B9"/>
            </w:tcBorders>
          </w:tcPr>
          <w:p>
            <w:pPr>
              <w:spacing w:after="0"/>
              <w:rPr>
                <w:sz w:val="24"/>
                <w:szCs w:val="24"/>
                <w:color w:val="auto"/>
              </w:rPr>
            </w:pPr>
          </w:p>
        </w:tc>
        <w:tc>
          <w:tcPr>
            <w:tcW w:w="140" w:type="dxa"/>
            <w:vAlign w:val="bottom"/>
            <w:tcBorders>
              <w:bottom w:val="single" w:sz="8" w:color="0050B9"/>
            </w:tcBorders>
          </w:tcPr>
          <w:p>
            <w:pPr>
              <w:spacing w:after="0"/>
              <w:rPr>
                <w:sz w:val="24"/>
                <w:szCs w:val="24"/>
                <w:color w:val="auto"/>
              </w:rPr>
            </w:pPr>
          </w:p>
        </w:tc>
        <w:tc>
          <w:tcPr>
            <w:tcW w:w="760" w:type="dxa"/>
            <w:vAlign w:val="bottom"/>
            <w:tcBorders>
              <w:bottom w:val="single" w:sz="8" w:color="0050B9"/>
            </w:tcBorders>
          </w:tcPr>
          <w:p>
            <w:pPr>
              <w:spacing w:after="0"/>
              <w:rPr>
                <w:sz w:val="24"/>
                <w:szCs w:val="24"/>
                <w:color w:val="auto"/>
              </w:rPr>
            </w:pPr>
          </w:p>
        </w:tc>
        <w:tc>
          <w:tcPr>
            <w:tcW w:w="60" w:type="dxa"/>
            <w:vAlign w:val="bottom"/>
            <w:tcBorders>
              <w:bottom w:val="single" w:sz="8" w:color="0050B9"/>
            </w:tcBorders>
          </w:tcPr>
          <w:p>
            <w:pPr>
              <w:spacing w:after="0"/>
              <w:rPr>
                <w:sz w:val="24"/>
                <w:szCs w:val="24"/>
                <w:color w:val="auto"/>
              </w:rPr>
            </w:pPr>
          </w:p>
        </w:tc>
        <w:tc>
          <w:tcPr>
            <w:tcW w:w="1000" w:type="dxa"/>
            <w:vAlign w:val="bottom"/>
            <w:tcBorders>
              <w:bottom w:val="single" w:sz="8" w:color="0050B9"/>
            </w:tcBorders>
          </w:tcPr>
          <w:p>
            <w:pPr>
              <w:spacing w:after="0"/>
              <w:rPr>
                <w:sz w:val="24"/>
                <w:szCs w:val="24"/>
                <w:color w:val="auto"/>
              </w:rPr>
            </w:pPr>
          </w:p>
        </w:tc>
        <w:tc>
          <w:tcPr>
            <w:tcW w:w="780" w:type="dxa"/>
            <w:vAlign w:val="bottom"/>
            <w:tcBorders>
              <w:bottom w:val="single" w:sz="8" w:color="0050B9"/>
            </w:tcBorders>
          </w:tcPr>
          <w:p>
            <w:pPr>
              <w:spacing w:after="0"/>
              <w:rPr>
                <w:sz w:val="24"/>
                <w:szCs w:val="24"/>
                <w:color w:val="auto"/>
              </w:rPr>
            </w:pPr>
          </w:p>
        </w:tc>
        <w:tc>
          <w:tcPr>
            <w:tcW w:w="840" w:type="dxa"/>
            <w:vAlign w:val="bottom"/>
            <w:tcBorders>
              <w:bottom w:val="single" w:sz="8" w:color="0050B9"/>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2240" w:type="dxa"/>
            <w:vAlign w:val="bottom"/>
            <w:gridSpan w:val="3"/>
            <w:vMerge w:val="restart"/>
          </w:tcPr>
          <w:p>
            <w:pPr>
              <w:jc w:val="center"/>
              <w:ind w:left="548"/>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40" w:type="dxa"/>
            <w:vAlign w:val="bottom"/>
            <w:gridSpan w:val="3"/>
            <w:vMerge w:val="restart"/>
          </w:tcPr>
          <w:p>
            <w:pPr>
              <w:jc w:val="center"/>
              <w:ind w:right="388"/>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4780" w:type="dxa"/>
            <w:vAlign w:val="bottom"/>
            <w:vMerge w:val="restart"/>
          </w:tcPr>
          <w:p>
            <w:pPr>
              <w:ind w:left="260"/>
              <w:spacing w:after="0"/>
              <w:rPr>
                <w:sz w:val="20"/>
                <w:szCs w:val="20"/>
                <w:color w:val="auto"/>
              </w:rPr>
            </w:pPr>
            <w:r>
              <w:rPr>
                <w:rFonts w:ascii="Arial" w:cs="Arial" w:eastAsia="Arial" w:hAnsi="Arial"/>
                <w:sz w:val="14"/>
                <w:szCs w:val="14"/>
                <w:color w:val="auto"/>
              </w:rPr>
              <w:t>(in millions)</w:t>
            </w: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2015</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2015</w:t>
            </w:r>
          </w:p>
        </w:tc>
        <w:tc>
          <w:tcPr>
            <w:tcW w:w="18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2016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80" w:type="dxa"/>
            <w:vAlign w:val="bottom"/>
            <w:vMerge w:val="continue"/>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b w:val="1"/>
                <w:bCs w:val="1"/>
                <w:color w:val="auto"/>
              </w:rPr>
              <w:t>Operating Cash Flow</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$6,184</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$6,835</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$18,406</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$19,657</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Capital expenditures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(2,406)</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(5,862)</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(6,562)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Cash paid for capitalized software and other intangible assets</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(316)</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(916)</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(1,163)</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60"/>
              <w:spacing w:after="0"/>
              <w:rPr>
                <w:sz w:val="20"/>
                <w:szCs w:val="20"/>
                <w:color w:val="auto"/>
              </w:rPr>
            </w:pPr>
            <w:r>
              <w:rPr>
                <w:rFonts w:ascii="Arial" w:cs="Arial" w:eastAsia="Arial" w:hAnsi="Arial"/>
                <w:sz w:val="14"/>
                <w:szCs w:val="14"/>
                <w:color w:val="auto"/>
              </w:rPr>
              <w:t>Cash interest expense</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(673)</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(808)</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(1,914)</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(2,043)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780" w:type="dxa"/>
            <w:vAlign w:val="bottom"/>
          </w:tcPr>
          <w:p>
            <w:pPr>
              <w:ind w:left="260"/>
              <w:spacing w:after="0" w:line="160" w:lineRule="exact"/>
              <w:rPr>
                <w:sz w:val="20"/>
                <w:szCs w:val="20"/>
                <w:color w:val="auto"/>
              </w:rPr>
            </w:pPr>
            <w:r>
              <w:rPr>
                <w:rFonts w:ascii="Arial" w:cs="Arial" w:eastAsia="Arial" w:hAnsi="Arial"/>
                <w:sz w:val="14"/>
                <w:szCs w:val="14"/>
                <w:color w:val="auto"/>
              </w:rPr>
              <w:t>Cash taxes on operating items (including Economic Stimulus</w:t>
            </w:r>
          </w:p>
        </w:tc>
        <w:tc>
          <w:tcPr>
            <w:tcW w:w="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(1,002)</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(2,863)</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780" w:type="dxa"/>
            <w:vAlign w:val="bottom"/>
          </w:tcPr>
          <w:p>
            <w:pPr>
              <w:ind w:left="440"/>
              <w:spacing w:after="0" w:line="147" w:lineRule="exact"/>
              <w:rPr>
                <w:sz w:val="20"/>
                <w:szCs w:val="20"/>
                <w:color w:val="auto"/>
              </w:rPr>
            </w:pPr>
            <w:r>
              <w:rPr>
                <w:rFonts w:ascii="Arial" w:cs="Arial" w:eastAsia="Arial" w:hAnsi="Arial"/>
                <w:sz w:val="14"/>
                <w:szCs w:val="14"/>
                <w:color w:val="auto"/>
              </w:rPr>
              <w:t>Packages)</w:t>
            </w:r>
            <w:r>
              <w:rPr>
                <w:rFonts w:ascii="Arial" w:cs="Arial" w:eastAsia="Arial" w:hAnsi="Arial"/>
                <w:sz w:val="14"/>
                <w:szCs w:val="14"/>
                <w:color w:val="auto"/>
                <w:vertAlign w:val="superscript"/>
              </w:rPr>
              <w:t>(2)</w:t>
            </w:r>
          </w:p>
        </w:tc>
        <w:tc>
          <w:tcPr>
            <w:tcW w:w="84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(1,116)</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Arial" w:cs="Arial" w:eastAsia="Arial" w:hAnsi="Arial"/>
                <w:sz w:val="14"/>
                <w:szCs w:val="14"/>
                <w:color w:val="auto"/>
              </w:rPr>
              <w:t>(3,405)</w:t>
            </w:r>
          </w:p>
        </w:tc>
        <w:tc>
          <w:tcPr>
            <w:tcW w:w="18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r>
              <w:rPr>
                <w:rFonts w:ascii="Arial" w:cs="Arial" w:eastAsia="Arial" w:hAnsi="Arial"/>
                <w:sz w:val="14"/>
                <w:szCs w:val="14"/>
                <w:color w:val="auto"/>
                <w:vertAlign w:val="superscript"/>
              </w:rPr>
              <w:t>(3)</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412</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(919)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(1,728)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80" w:type="dxa"/>
            <w:vAlign w:val="bottom"/>
          </w:tcPr>
          <w:p>
            <w:pPr>
              <w:ind w:left="260"/>
              <w:spacing w:after="0"/>
              <w:rPr>
                <w:sz w:val="20"/>
                <w:szCs w:val="20"/>
                <w:color w:val="auto"/>
              </w:rPr>
            </w:pPr>
            <w:r>
              <w:rPr>
                <w:rFonts w:ascii="Arial" w:cs="Arial" w:eastAsia="Arial" w:hAnsi="Arial"/>
                <w:sz w:val="14"/>
                <w:szCs w:val="14"/>
                <w:color w:val="auto"/>
              </w:rPr>
              <w:t>Noncash share-based compensation</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164</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430</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495</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60"/>
              <w:spacing w:after="0"/>
              <w:rPr>
                <w:sz w:val="20"/>
                <w:szCs w:val="20"/>
                <w:color w:val="auto"/>
              </w:rPr>
            </w:pPr>
            <w:r>
              <w:rPr>
                <w:rFonts w:ascii="Arial" w:cs="Arial" w:eastAsia="Arial" w:hAnsi="Arial"/>
                <w:sz w:val="14"/>
                <w:szCs w:val="14"/>
                <w:color w:val="auto"/>
              </w:rPr>
              <w:t>Distributions to noncontrolling interests and dividends for</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(69)</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(194)</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780" w:type="dxa"/>
            <w:vAlign w:val="bottom"/>
          </w:tcPr>
          <w:p>
            <w:pPr>
              <w:ind w:left="440"/>
              <w:spacing w:after="0" w:line="144" w:lineRule="exact"/>
              <w:rPr>
                <w:sz w:val="20"/>
                <w:szCs w:val="20"/>
                <w:color w:val="auto"/>
              </w:rPr>
            </w:pPr>
            <w:r>
              <w:rPr>
                <w:rFonts w:ascii="Arial" w:cs="Arial" w:eastAsia="Arial" w:hAnsi="Arial"/>
                <w:sz w:val="14"/>
                <w:szCs w:val="14"/>
                <w:color w:val="auto"/>
              </w:rPr>
              <w:t>redeemable subsidiary preferred stock</w:t>
            </w:r>
          </w:p>
        </w:tc>
        <w:tc>
          <w:tcPr>
            <w:tcW w:w="840" w:type="dxa"/>
            <w:vAlign w:val="bottom"/>
          </w:tcPr>
          <w:p>
            <w:pPr>
              <w:jc w:val="right"/>
              <w:ind w:right="28"/>
              <w:spacing w:after="0" w:line="144" w:lineRule="exact"/>
              <w:rPr>
                <w:sz w:val="20"/>
                <w:szCs w:val="20"/>
                <w:color w:val="auto"/>
              </w:rPr>
            </w:pPr>
            <w:r>
              <w:rPr>
                <w:rFonts w:ascii="Arial" w:cs="Arial" w:eastAsia="Arial" w:hAnsi="Arial"/>
                <w:sz w:val="14"/>
                <w:szCs w:val="14"/>
                <w:color w:val="auto"/>
              </w:rPr>
              <w:t>(64)</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Arial" w:cs="Arial" w:eastAsia="Arial" w:hAnsi="Arial"/>
                <w:sz w:val="14"/>
                <w:szCs w:val="14"/>
                <w:color w:val="auto"/>
              </w:rPr>
              <w:t>(178)</w:t>
            </w:r>
          </w:p>
        </w:tc>
        <w:tc>
          <w:tcPr>
            <w:tcW w:w="1840" w:type="dxa"/>
            <w:vAlign w:val="bottom"/>
            <w:gridSpan w:val="3"/>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Other</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98</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46</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177</w:t>
            </w:r>
          </w:p>
        </w:tc>
        <w:tc>
          <w:tcPr>
            <w:tcW w:w="18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148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ind w:left="260"/>
              <w:spacing w:after="0" w:line="143" w:lineRule="exact"/>
              <w:rPr>
                <w:sz w:val="20"/>
                <w:szCs w:val="20"/>
                <w:color w:val="auto"/>
              </w:rPr>
            </w:pPr>
            <w:r>
              <w:rPr>
                <w:rFonts w:ascii="Arial" w:cs="Arial" w:eastAsia="Arial" w:hAnsi="Arial"/>
                <w:sz w:val="14"/>
                <w:szCs w:val="14"/>
                <w:color w:val="auto"/>
              </w:rPr>
              <w:t>Free Cash Flow (including Economic Stimulus Packages)</w:t>
            </w:r>
          </w:p>
        </w:tc>
        <w:tc>
          <w:tcPr>
            <w:tcW w:w="8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rPr>
              <w:t>2,496</w:t>
            </w:r>
          </w:p>
        </w:tc>
        <w:tc>
          <w:tcPr>
            <w:tcW w:w="1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1,415</w:t>
            </w:r>
          </w:p>
        </w:tc>
        <w:tc>
          <w:tcPr>
            <w:tcW w:w="2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6,846</w:t>
            </w:r>
          </w:p>
        </w:tc>
        <w:tc>
          <w:tcPr>
            <w:tcW w:w="6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b w:val="1"/>
                <w:bCs w:val="1"/>
                <w:color w:val="auto"/>
              </w:rPr>
              <w:t>5,747</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60"/>
              <w:spacing w:after="0"/>
              <w:rPr>
                <w:sz w:val="20"/>
                <w:szCs w:val="20"/>
                <w:color w:val="auto"/>
              </w:rPr>
            </w:pPr>
            <w:r>
              <w:rPr>
                <w:rFonts w:ascii="Arial" w:cs="Arial" w:eastAsia="Arial" w:hAnsi="Arial"/>
                <w:sz w:val="14"/>
                <w:szCs w:val="14"/>
                <w:color w:val="auto"/>
              </w:rPr>
              <w:t>Economic Stimulus Packages</w:t>
            </w:r>
            <w:r>
              <w:rPr>
                <w:rFonts w:ascii="Arial" w:cs="Arial" w:eastAsia="Arial" w:hAnsi="Arial"/>
                <w:sz w:val="14"/>
                <w:szCs w:val="14"/>
                <w:color w:val="auto"/>
                <w:vertAlign w:val="superscript"/>
              </w:rPr>
              <w:t>(2)</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167</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20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w:t>
            </w: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(151)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78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Total Free Cash Flow</w:t>
            </w:r>
          </w:p>
        </w:tc>
        <w:tc>
          <w:tcPr>
            <w:tcW w:w="8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$2,663</w:t>
            </w:r>
          </w:p>
        </w:tc>
        <w:tc>
          <w:tcPr>
            <w:tcW w:w="12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$1,371</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$7,347</w:t>
            </w:r>
          </w:p>
        </w:tc>
        <w:tc>
          <w:tcPr>
            <w:tcW w:w="60" w:type="dxa"/>
            <w:vAlign w:val="bottom"/>
            <w:tcBorders>
              <w:top w:val="single" w:sz="8" w:color="auto"/>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$5,596</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right="200" w:hanging="332"/>
        <w:spacing w:after="0" w:line="246" w:lineRule="auto"/>
        <w:tabs>
          <w:tab w:leader="none" w:pos="312"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 Net Cash Provided by Operating Activities for 2016 includes a $146 million payment for the settlement of a tax receivable agreement immediately after the DreamWorks acquisition. For Free Cash Flow purposes, we consider this payment to be nonrecurring in nature and therefore, we excluded this amount from Free Cash Flow as a nonoperating item.</w:t>
      </w:r>
    </w:p>
    <w:p>
      <w:pPr>
        <w:spacing w:after="0" w:line="312" w:lineRule="exact"/>
        <w:rPr>
          <w:rFonts w:ascii="Arial" w:cs="Arial" w:eastAsia="Arial" w:hAnsi="Arial"/>
          <w:sz w:val="14"/>
          <w:szCs w:val="14"/>
          <w:color w:val="auto"/>
        </w:rPr>
      </w:pPr>
    </w:p>
    <w:p>
      <w:pPr>
        <w:ind w:left="340" w:right="320" w:hanging="332"/>
        <w:spacing w:after="0" w:line="247" w:lineRule="auto"/>
        <w:tabs>
          <w:tab w:leader="none" w:pos="312" w:val="left"/>
        </w:tabs>
        <w:numPr>
          <w:ilvl w:val="0"/>
          <w:numId w:val="9"/>
        </w:numPr>
        <w:rPr>
          <w:rFonts w:ascii="Arial" w:cs="Arial" w:eastAsia="Arial" w:hAnsi="Arial"/>
          <w:sz w:val="14"/>
          <w:szCs w:val="14"/>
          <w:color w:val="auto"/>
        </w:rPr>
      </w:pPr>
      <w:r>
        <w:rPr>
          <w:rFonts w:ascii="Arial" w:cs="Arial" w:eastAsia="Arial" w:hAnsi="Arial"/>
          <w:sz w:val="14"/>
          <w:szCs w:val="14"/>
          <w:color w:val="auto"/>
        </w:rPr>
        <w:t>Cash taxes on operating items (including Economic Stimulus Packages) has been adjusted to include the impact of excess tax benefits under share-based compensation arrangements and to exclude the impact of nonoperating items. Nonoperating items include adjustments for cash taxes paid related to certain investing and financing transactions and to reflect cash taxes paid in the year of the related taxable income. Our definition of Free Cash Flow specifically excludes any impact from the Economic Stimulus Packages and these amounts are presented separately.</w:t>
      </w:r>
    </w:p>
    <w:p>
      <w:pPr>
        <w:sectPr>
          <w:pgSz w:w="11900" w:h="16900" w:orient="portrait"/>
          <w:cols w:equalWidth="0" w:num="1">
            <w:col w:w="11420"/>
          </w:cols>
          <w:pgMar w:left="240" w:top="34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Payments of income taxes</w:t>
      </w:r>
    </w:p>
    <w:p>
      <w:pPr>
        <w:spacing w:after="0" w:line="15" w:lineRule="exact"/>
        <w:rPr>
          <w:sz w:val="20"/>
          <w:szCs w:val="20"/>
          <w:color w:val="auto"/>
        </w:rPr>
      </w:pPr>
    </w:p>
    <w:p>
      <w:pPr>
        <w:ind w:left="520" w:right="440"/>
        <w:spacing w:after="0" w:line="241" w:lineRule="auto"/>
        <w:rPr>
          <w:sz w:val="20"/>
          <w:szCs w:val="20"/>
          <w:color w:val="auto"/>
        </w:rPr>
      </w:pPr>
      <w:r>
        <w:rPr>
          <w:rFonts w:ascii="Arial" w:cs="Arial" w:eastAsia="Arial" w:hAnsi="Arial"/>
          <w:sz w:val="14"/>
          <w:szCs w:val="14"/>
          <w:color w:val="auto"/>
        </w:rPr>
        <w:t>Excess tax benefits under share-based compensation Nonoperating items</w:t>
      </w:r>
    </w:p>
    <w:p>
      <w:pPr>
        <w:spacing w:after="0" w:line="1" w:lineRule="exact"/>
        <w:rPr>
          <w:sz w:val="20"/>
          <w:szCs w:val="20"/>
          <w:color w:val="auto"/>
        </w:rPr>
      </w:pPr>
    </w:p>
    <w:p>
      <w:pPr>
        <w:ind w:left="700" w:hanging="181"/>
        <w:spacing w:after="0" w:line="258" w:lineRule="auto"/>
        <w:rPr>
          <w:sz w:val="20"/>
          <w:szCs w:val="20"/>
          <w:color w:val="auto"/>
        </w:rPr>
      </w:pPr>
      <w:r>
        <w:rPr>
          <w:rFonts w:ascii="Arial" w:cs="Arial" w:eastAsia="Arial" w:hAnsi="Arial"/>
          <w:sz w:val="14"/>
          <w:szCs w:val="14"/>
          <w:color w:val="auto"/>
        </w:rPr>
        <w:t>Cash taxes on operating items (including Economic Stimulus Packages)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2120" w:type="dxa"/>
            <w:vAlign w:val="bottom"/>
            <w:gridSpan w:val="2"/>
          </w:tcPr>
          <w:p>
            <w:pPr>
              <w:jc w:val="center"/>
              <w:ind w:left="588"/>
              <w:spacing w:after="0"/>
              <w:rPr>
                <w:sz w:val="20"/>
                <w:szCs w:val="20"/>
                <w:color w:val="auto"/>
              </w:rPr>
            </w:pPr>
            <w:r>
              <w:rPr>
                <w:rFonts w:ascii="Arial" w:cs="Arial" w:eastAsia="Arial" w:hAnsi="Arial"/>
                <w:sz w:val="14"/>
                <w:szCs w:val="14"/>
                <w:color w:val="auto"/>
              </w:rPr>
              <w:t>Three Months Ended</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20" w:type="dxa"/>
            <w:vAlign w:val="bottom"/>
            <w:gridSpan w:val="3"/>
          </w:tcPr>
          <w:p>
            <w:pPr>
              <w:jc w:val="right"/>
              <w:ind w:right="448"/>
              <w:spacing w:after="0"/>
              <w:rPr>
                <w:sz w:val="20"/>
                <w:szCs w:val="20"/>
                <w:color w:val="auto"/>
              </w:rPr>
            </w:pPr>
            <w:r>
              <w:rPr>
                <w:rFonts w:ascii="Arial" w:cs="Arial" w:eastAsia="Arial" w:hAnsi="Arial"/>
                <w:sz w:val="14"/>
                <w:szCs w:val="14"/>
                <w:color w:val="auto"/>
              </w:rPr>
              <w:t>Nine Months Ended</w:t>
            </w:r>
          </w:p>
        </w:tc>
      </w:tr>
      <w:tr>
        <w:trPr>
          <w:trHeight w:val="172"/>
        </w:trPr>
        <w:tc>
          <w:tcPr>
            <w:tcW w:w="84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color w:val="auto"/>
              </w:rPr>
              <w:t>September 30,</w:t>
            </w:r>
          </w:p>
        </w:tc>
        <w:tc>
          <w:tcPr>
            <w:tcW w:w="7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gridSpan w:val="2"/>
          </w:tcPr>
          <w:p>
            <w:pPr>
              <w:jc w:val="right"/>
              <w:ind w:right="608"/>
              <w:spacing w:after="0"/>
              <w:rPr>
                <w:sz w:val="20"/>
                <w:szCs w:val="20"/>
                <w:color w:val="auto"/>
              </w:rPr>
            </w:pPr>
            <w:r>
              <w:rPr>
                <w:rFonts w:ascii="Arial" w:cs="Arial" w:eastAsia="Arial" w:hAnsi="Arial"/>
                <w:sz w:val="14"/>
                <w:szCs w:val="14"/>
                <w:color w:val="auto"/>
              </w:rPr>
              <w:t>September 30,</w:t>
            </w:r>
          </w:p>
        </w:tc>
      </w:tr>
      <w:tr>
        <w:trPr>
          <w:trHeight w:val="309"/>
        </w:trPr>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2015</w:t>
            </w:r>
          </w:p>
        </w:tc>
        <w:tc>
          <w:tcPr>
            <w:tcW w:w="1280" w:type="dxa"/>
            <w:vAlign w:val="bottom"/>
          </w:tcPr>
          <w:p>
            <w:pPr>
              <w:spacing w:after="0"/>
              <w:rPr>
                <w:sz w:val="24"/>
                <w:szCs w:val="24"/>
                <w:color w:val="auto"/>
              </w:rPr>
            </w:pP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2016</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2016</w:t>
            </w:r>
          </w:p>
        </w:tc>
      </w:tr>
      <w:tr>
        <w:trPr>
          <w:trHeight w:val="160"/>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$(1,146)</w:t>
            </w:r>
          </w:p>
        </w:tc>
        <w:tc>
          <w:tcPr>
            <w:tcW w:w="1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$(1,031)</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$(3,145)</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$(2,716)</w:t>
            </w:r>
          </w:p>
        </w:tc>
      </w:tr>
      <w:tr>
        <w:trPr>
          <w:trHeight w:val="162"/>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w:t>
            </w: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(255)</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(193)</w:t>
            </w:r>
          </w:p>
        </w:tc>
      </w:tr>
      <w:tr>
        <w:trPr>
          <w:trHeight w:val="157"/>
        </w:trPr>
        <w:tc>
          <w:tcPr>
            <w:tcW w:w="840" w:type="dxa"/>
            <w:vAlign w:val="bottom"/>
            <w:tcBorders>
              <w:bottom w:val="single" w:sz="8" w:color="auto"/>
            </w:tcBorders>
          </w:tcPr>
          <w:p>
            <w:pPr>
              <w:jc w:val="right"/>
              <w:ind w:right="88"/>
              <w:spacing w:after="0" w:line="157" w:lineRule="exact"/>
              <w:rPr>
                <w:sz w:val="20"/>
                <w:szCs w:val="20"/>
                <w:color w:val="auto"/>
              </w:rPr>
            </w:pPr>
            <w:r>
              <w:rPr>
                <w:rFonts w:ascii="Arial" w:cs="Arial" w:eastAsia="Arial" w:hAnsi="Arial"/>
                <w:sz w:val="14"/>
                <w:szCs w:val="14"/>
                <w:color w:val="auto"/>
              </w:rPr>
              <w:t>65</w:t>
            </w:r>
          </w:p>
        </w:tc>
        <w:tc>
          <w:tcPr>
            <w:tcW w:w="1280" w:type="dxa"/>
            <w:vAlign w:val="bottom"/>
          </w:tcPr>
          <w:p>
            <w:pPr>
              <w:spacing w:after="0"/>
              <w:rPr>
                <w:sz w:val="13"/>
                <w:szCs w:val="13"/>
                <w:color w:val="auto"/>
              </w:rPr>
            </w:pPr>
          </w:p>
        </w:tc>
        <w:tc>
          <w:tcPr>
            <w:tcW w:w="74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62</w:t>
            </w:r>
          </w:p>
        </w:tc>
        <w:tc>
          <w:tcPr>
            <w:tcW w:w="2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w:t>
            </w:r>
          </w:p>
        </w:tc>
        <w:tc>
          <w:tcPr>
            <w:tcW w:w="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46</w:t>
            </w:r>
          </w:p>
        </w:tc>
      </w:tr>
      <w:tr>
        <w:trPr>
          <w:trHeight w:val="291"/>
        </w:trPr>
        <w:tc>
          <w:tcPr>
            <w:tcW w:w="840" w:type="dxa"/>
            <w:vAlign w:val="bottom"/>
          </w:tcPr>
          <w:p>
            <w:pPr>
              <w:jc w:val="right"/>
              <w:ind w:right="28"/>
              <w:spacing w:after="0"/>
              <w:rPr>
                <w:sz w:val="20"/>
                <w:szCs w:val="20"/>
                <w:color w:val="auto"/>
              </w:rPr>
            </w:pPr>
            <w:r>
              <w:rPr>
                <w:rFonts w:ascii="Arial" w:cs="Arial" w:eastAsia="Arial" w:hAnsi="Arial"/>
                <w:sz w:val="14"/>
                <w:szCs w:val="14"/>
                <w:color w:val="auto"/>
              </w:rPr>
              <w:t>$(1,116)</w:t>
            </w:r>
          </w:p>
        </w:tc>
        <w:tc>
          <w:tcPr>
            <w:tcW w:w="1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$(1,002)</w:t>
            </w: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$(3,405)</w:t>
            </w:r>
          </w:p>
        </w:tc>
        <w:tc>
          <w:tcPr>
            <w:tcW w:w="1820" w:type="dxa"/>
            <w:vAlign w:val="bottom"/>
            <w:gridSpan w:val="3"/>
          </w:tcPr>
          <w:p>
            <w:pPr>
              <w:jc w:val="right"/>
              <w:spacing w:after="0"/>
              <w:rPr>
                <w:sz w:val="20"/>
                <w:szCs w:val="20"/>
                <w:color w:val="auto"/>
              </w:rPr>
            </w:pPr>
            <w:r>
              <w:rPr>
                <w:rFonts w:ascii="Arial" w:cs="Arial" w:eastAsia="Arial" w:hAnsi="Arial"/>
                <w:sz w:val="14"/>
                <w:szCs w:val="14"/>
                <w:color w:val="auto"/>
              </w:rPr>
              <w:t>$(2,863)</w:t>
            </w: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900" w:orient="portrait"/>
          <w:cols w:equalWidth="0" w:num="2">
            <w:col w:w="4400" w:space="380"/>
            <w:col w:w="6640"/>
          </w:cols>
          <w:pgMar w:left="240" w:top="343" w:right="239" w:bottom="0" w:gutter="0" w:footer="0" w:header="0"/>
          <w:type w:val="continuous"/>
        </w:sectPr>
      </w:pPr>
    </w:p>
    <w:p>
      <w:pPr>
        <w:spacing w:after="0" w:line="7" w:lineRule="exact"/>
        <w:rPr>
          <w:sz w:val="20"/>
          <w:szCs w:val="20"/>
          <w:color w:val="auto"/>
        </w:rPr>
      </w:pPr>
    </w:p>
    <w:p>
      <w:pPr>
        <w:ind w:left="340" w:right="20" w:hanging="332"/>
        <w:spacing w:after="0" w:line="247" w:lineRule="auto"/>
        <w:tabs>
          <w:tab w:leader="none" w:pos="312"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Cash Provided by Operating Activities in our Consolidated Statement of Cash Flows for 2016 includes a $146 million decrease in August 2016 resulting from a payment for the settlement of a tax receivable agreement immediately after the DreamWorks acquisition. For Free Cash Flow purposes, we consider this payment to be nonrecurring in nature and therefore, we excluded the amount from Free Cash Flow. Because the amount has no impact on Free Cash Flow, it is not included in the changes in operating assets and liabilities for this presentation.</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r>
        <w:rPr>
          <w:rFonts w:ascii="Arial" w:cs="Arial" w:eastAsia="Arial" w:hAnsi="Arial"/>
          <w:sz w:val="14"/>
          <w:szCs w:val="14"/>
          <w:color w:val="auto"/>
        </w:rPr>
        <w:t xml:space="preserve"> Minor differences may exist due to rounding.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445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Reconciliation of EPS Excluding Adjustments (Unaudited)</w:t>
      </w: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36"/>
        </w:trPr>
        <w:tc>
          <w:tcPr>
            <w:tcW w:w="3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780" w:type="dxa"/>
            <w:vAlign w:val="bottom"/>
            <w:gridSpan w:val="3"/>
            <w:vMerge w:val="restart"/>
          </w:tcPr>
          <w:p>
            <w:pPr>
              <w:jc w:val="center"/>
              <w:ind w:right="317"/>
              <w:spacing w:after="0"/>
              <w:rPr>
                <w:sz w:val="20"/>
                <w:szCs w:val="20"/>
                <w:color w:val="auto"/>
              </w:rPr>
            </w:pPr>
            <w:r>
              <w:rPr>
                <w:rFonts w:ascii="Arial" w:cs="Arial" w:eastAsia="Arial" w:hAnsi="Arial"/>
                <w:sz w:val="13"/>
                <w:szCs w:val="13"/>
                <w:b w:val="1"/>
                <w:bCs w:val="1"/>
                <w:color w:val="auto"/>
                <w:w w:val="96"/>
              </w:rPr>
              <w:t>Three Months Ended</w:t>
            </w: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00" w:type="dxa"/>
            <w:vAlign w:val="bottom"/>
            <w:gridSpan w:val="4"/>
            <w:vMerge w:val="restart"/>
          </w:tcPr>
          <w:p>
            <w:pPr>
              <w:jc w:val="center"/>
              <w:ind w:right="317"/>
              <w:spacing w:after="0"/>
              <w:rPr>
                <w:sz w:val="20"/>
                <w:szCs w:val="20"/>
                <w:color w:val="auto"/>
              </w:rPr>
            </w:pPr>
            <w:r>
              <w:rPr>
                <w:rFonts w:ascii="Arial" w:cs="Arial" w:eastAsia="Arial" w:hAnsi="Arial"/>
                <w:sz w:val="13"/>
                <w:szCs w:val="13"/>
                <w:b w:val="1"/>
                <w:bCs w:val="1"/>
                <w:color w:val="auto"/>
                <w:w w:val="97"/>
              </w:rPr>
              <w:t>Nine Months Ended</w:t>
            </w: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3"/>
        </w:trPr>
        <w:tc>
          <w:tcPr>
            <w:tcW w:w="39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8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3"/>
          </w:tcPr>
          <w:p>
            <w:pPr>
              <w:jc w:val="center"/>
              <w:ind w:right="297"/>
              <w:spacing w:after="0"/>
              <w:rPr>
                <w:sz w:val="20"/>
                <w:szCs w:val="20"/>
                <w:color w:val="auto"/>
              </w:rPr>
            </w:pPr>
            <w:r>
              <w:rPr>
                <w:rFonts w:ascii="Arial" w:cs="Arial" w:eastAsia="Arial" w:hAnsi="Arial"/>
                <w:sz w:val="13"/>
                <w:szCs w:val="13"/>
                <w:b w:val="1"/>
                <w:bCs w:val="1"/>
                <w:color w:val="auto"/>
                <w:w w:val="96"/>
              </w:rPr>
              <w:t>September 30,</w:t>
            </w:r>
          </w:p>
        </w:tc>
        <w:tc>
          <w:tcPr>
            <w:tcW w:w="6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gridSpan w:val="3"/>
          </w:tcPr>
          <w:p>
            <w:pPr>
              <w:jc w:val="center"/>
              <w:ind w:left="217"/>
              <w:spacing w:after="0"/>
              <w:rPr>
                <w:sz w:val="20"/>
                <w:szCs w:val="20"/>
                <w:color w:val="auto"/>
              </w:rPr>
            </w:pPr>
            <w:r>
              <w:rPr>
                <w:rFonts w:ascii="Arial" w:cs="Arial" w:eastAsia="Arial" w:hAnsi="Arial"/>
                <w:sz w:val="13"/>
                <w:szCs w:val="13"/>
                <w:b w:val="1"/>
                <w:bCs w:val="1"/>
                <w:color w:val="auto"/>
                <w:w w:val="96"/>
              </w:rPr>
              <w:t>September 30,</w:t>
            </w: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3900" w:type="dxa"/>
            <w:vAlign w:val="bottom"/>
            <w:vMerge w:val="restart"/>
          </w:tcPr>
          <w:p>
            <w:pPr>
              <w:spacing w:after="0"/>
              <w:rPr>
                <w:sz w:val="20"/>
                <w:szCs w:val="20"/>
                <w:color w:val="auto"/>
              </w:rPr>
            </w:pPr>
            <w:r>
              <w:rPr>
                <w:rFonts w:ascii="Arial" w:cs="Arial" w:eastAsia="Arial" w:hAnsi="Arial"/>
                <w:sz w:val="13"/>
                <w:szCs w:val="13"/>
                <w:color w:val="auto"/>
              </w:rPr>
              <w:t>(in millions, except per share data)</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w:t>
            </w:r>
          </w:p>
        </w:tc>
        <w:tc>
          <w:tcPr>
            <w:tcW w:w="62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620" w:type="dxa"/>
            <w:vAlign w:val="bottom"/>
            <w:tcBorders>
              <w:bottom w:val="single" w:sz="8" w:color="auto"/>
            </w:tcBorders>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2015</w:t>
            </w:r>
          </w:p>
        </w:tc>
        <w:tc>
          <w:tcPr>
            <w:tcW w:w="580" w:type="dxa"/>
            <w:vAlign w:val="bottom"/>
            <w:tcBorders>
              <w:bottom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2016</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900" w:type="dxa"/>
            <w:vAlign w:val="bottom"/>
            <w:vMerge w:val="continue"/>
          </w:tcPr>
          <w:p>
            <w:pPr>
              <w:spacing w:after="0"/>
              <w:rPr>
                <w:sz w:val="10"/>
                <w:szCs w:val="10"/>
                <w:color w:val="auto"/>
              </w:rPr>
            </w:pPr>
          </w:p>
        </w:tc>
        <w:tc>
          <w:tcPr>
            <w:tcW w:w="100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auto"/>
              </w:rPr>
              <w:t xml:space="preserve">EPS </w:t>
            </w:r>
            <w:r>
              <w:rPr>
                <w:rFonts w:ascii="Arial" w:cs="Arial" w:eastAsia="Arial" w:hAnsi="Arial"/>
                <w:sz w:val="17"/>
                <w:szCs w:val="17"/>
                <w:color w:val="auto"/>
                <w:vertAlign w:val="superscript"/>
              </w:rPr>
              <w:t>(1)</w:t>
            </w:r>
          </w:p>
        </w:tc>
        <w:tc>
          <w:tcPr>
            <w:tcW w:w="980" w:type="dxa"/>
            <w:vAlign w:val="bottom"/>
            <w:vMerge w:val="restart"/>
          </w:tcPr>
          <w:p>
            <w:pPr>
              <w:ind w:left="300"/>
              <w:spacing w:after="0"/>
              <w:rPr>
                <w:sz w:val="20"/>
                <w:szCs w:val="20"/>
                <w:color w:val="auto"/>
              </w:rPr>
            </w:pPr>
            <w:r>
              <w:rPr>
                <w:rFonts w:ascii="Arial" w:cs="Arial" w:eastAsia="Arial" w:hAnsi="Arial"/>
                <w:sz w:val="13"/>
                <w:szCs w:val="13"/>
                <w:b w:val="1"/>
                <w:bCs w:val="1"/>
                <w:color w:val="auto"/>
              </w:rPr>
              <w:t>$</w:t>
            </w:r>
          </w:p>
        </w:tc>
        <w:tc>
          <w:tcPr>
            <w:tcW w:w="82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3"/>
                <w:szCs w:val="13"/>
                <w:b w:val="1"/>
                <w:bCs w:val="1"/>
                <w:color w:val="auto"/>
              </w:rPr>
              <w:t xml:space="preserve">EPS </w:t>
            </w:r>
            <w:r>
              <w:rPr>
                <w:rFonts w:ascii="Arial" w:cs="Arial" w:eastAsia="Arial" w:hAnsi="Arial"/>
                <w:sz w:val="17"/>
                <w:szCs w:val="17"/>
                <w:color w:val="auto"/>
                <w:vertAlign w:val="superscript"/>
              </w:rPr>
              <w:t>(1)</w:t>
            </w:r>
          </w:p>
        </w:tc>
        <w:tc>
          <w:tcPr>
            <w:tcW w:w="140" w:type="dxa"/>
            <w:vAlign w:val="bottom"/>
          </w:tcPr>
          <w:p>
            <w:pPr>
              <w:spacing w:after="0"/>
              <w:rPr>
                <w:sz w:val="10"/>
                <w:szCs w:val="10"/>
                <w:color w:val="auto"/>
              </w:rPr>
            </w:pPr>
          </w:p>
        </w:tc>
        <w:tc>
          <w:tcPr>
            <w:tcW w:w="96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11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 xml:space="preserve">EPS </w:t>
            </w:r>
            <w:r>
              <w:rPr>
                <w:rFonts w:ascii="Arial" w:cs="Arial" w:eastAsia="Arial" w:hAnsi="Arial"/>
                <w:sz w:val="17"/>
                <w:szCs w:val="17"/>
                <w:b w:val="1"/>
                <w:bCs w:val="1"/>
                <w:color w:val="auto"/>
                <w:vertAlign w:val="superscript"/>
              </w:rPr>
              <w:t>(1)</w:t>
            </w: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w w:val="91"/>
              </w:rPr>
              <w:t xml:space="preserve">EPS </w:t>
            </w:r>
            <w:r>
              <w:rPr>
                <w:rFonts w:ascii="Arial" w:cs="Arial" w:eastAsia="Arial" w:hAnsi="Arial"/>
                <w:sz w:val="17"/>
                <w:szCs w:val="17"/>
                <w:b w:val="1"/>
                <w:bCs w:val="1"/>
                <w:color w:val="auto"/>
                <w:w w:val="91"/>
                <w:vertAlign w:val="superscript"/>
              </w:rPr>
              <w:t>(1)</w:t>
            </w:r>
          </w:p>
        </w:tc>
        <w:tc>
          <w:tcPr>
            <w:tcW w:w="0" w:type="dxa"/>
            <w:vAlign w:val="bottom"/>
          </w:tcPr>
          <w:p>
            <w:pPr>
              <w:spacing w:after="0"/>
              <w:rPr>
                <w:sz w:val="1"/>
                <w:szCs w:val="1"/>
                <w:color w:val="auto"/>
              </w:rPr>
            </w:pPr>
          </w:p>
        </w:tc>
      </w:tr>
      <w:tr>
        <w:trPr>
          <w:trHeight w:val="124"/>
        </w:trPr>
        <w:tc>
          <w:tcPr>
            <w:tcW w:w="39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20" w:type="dxa"/>
            <w:vAlign w:val="bottom"/>
            <w:tcBorders>
              <w:right w:val="single" w:sz="8" w:color="auto"/>
            </w:tcBorders>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900" w:type="dxa"/>
            <w:vAlign w:val="bottom"/>
          </w:tcPr>
          <w:p>
            <w:pPr>
              <w:spacing w:after="0"/>
              <w:rPr>
                <w:sz w:val="20"/>
                <w:szCs w:val="20"/>
                <w:color w:val="auto"/>
              </w:rPr>
            </w:pPr>
            <w:r>
              <w:rPr>
                <w:rFonts w:ascii="Arial" w:cs="Arial" w:eastAsia="Arial" w:hAnsi="Arial"/>
                <w:sz w:val="13"/>
                <w:szCs w:val="13"/>
                <w:color w:val="auto"/>
              </w:rPr>
              <w:t>Net income attributable to Comcast Corporation</w:t>
            </w:r>
          </w:p>
        </w:tc>
        <w:tc>
          <w:tcPr>
            <w:tcW w:w="1000" w:type="dxa"/>
            <w:vAlign w:val="bottom"/>
            <w:tcBorders>
              <w:top w:val="single" w:sz="8" w:color="auto"/>
            </w:tcBorders>
          </w:tcPr>
          <w:p>
            <w:pPr>
              <w:ind w:left="320"/>
              <w:spacing w:after="0"/>
              <w:rPr>
                <w:sz w:val="20"/>
                <w:szCs w:val="20"/>
                <w:color w:val="auto"/>
              </w:rPr>
            </w:pPr>
            <w:r>
              <w:rPr>
                <w:rFonts w:ascii="Arial" w:cs="Arial" w:eastAsia="Arial" w:hAnsi="Arial"/>
                <w:sz w:val="13"/>
                <w:szCs w:val="13"/>
                <w:color w:val="auto"/>
              </w:rPr>
              <w:t>$1,996</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$0.80</w:t>
            </w:r>
          </w:p>
        </w:tc>
        <w:tc>
          <w:tcPr>
            <w:tcW w:w="180" w:type="dxa"/>
            <w:vAlign w:val="bottom"/>
          </w:tcPr>
          <w:p>
            <w:pPr>
              <w:spacing w:after="0"/>
              <w:rPr>
                <w:sz w:val="23"/>
                <w:szCs w:val="23"/>
                <w:color w:val="auto"/>
              </w:rPr>
            </w:pPr>
          </w:p>
        </w:tc>
        <w:tc>
          <w:tcPr>
            <w:tcW w:w="980" w:type="dxa"/>
            <w:vAlign w:val="bottom"/>
            <w:tcBorders>
              <w:top w:val="single" w:sz="8" w:color="auto"/>
            </w:tcBorders>
          </w:tcPr>
          <w:p>
            <w:pPr>
              <w:ind w:left="300"/>
              <w:spacing w:after="0"/>
              <w:rPr>
                <w:sz w:val="20"/>
                <w:szCs w:val="20"/>
                <w:color w:val="auto"/>
              </w:rPr>
            </w:pPr>
            <w:r>
              <w:rPr>
                <w:rFonts w:ascii="Arial" w:cs="Arial" w:eastAsia="Arial" w:hAnsi="Arial"/>
                <w:sz w:val="13"/>
                <w:szCs w:val="13"/>
                <w:b w:val="1"/>
                <w:bCs w:val="1"/>
                <w:color w:val="auto"/>
              </w:rPr>
              <w:t>$2,237</w:t>
            </w: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$0.92</w:t>
            </w:r>
          </w:p>
        </w:tc>
        <w:tc>
          <w:tcPr>
            <w:tcW w:w="2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Borders>
              <w:top w:val="single" w:sz="8" w:color="auto"/>
            </w:tcBorders>
          </w:tcPr>
          <w:p>
            <w:pPr>
              <w:ind w:left="320"/>
              <w:spacing w:after="0"/>
              <w:rPr>
                <w:sz w:val="20"/>
                <w:szCs w:val="20"/>
                <w:color w:val="auto"/>
              </w:rPr>
            </w:pPr>
            <w:r>
              <w:rPr>
                <w:rFonts w:ascii="Arial" w:cs="Arial" w:eastAsia="Arial" w:hAnsi="Arial"/>
                <w:sz w:val="13"/>
                <w:szCs w:val="13"/>
                <w:color w:val="auto"/>
              </w:rPr>
              <w:t>$6,192</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$2.45</w:t>
            </w:r>
          </w:p>
        </w:tc>
        <w:tc>
          <w:tcPr>
            <w:tcW w:w="2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$6,399</w:t>
            </w:r>
          </w:p>
        </w:tc>
        <w:tc>
          <w:tcPr>
            <w:tcW w:w="680" w:type="dxa"/>
            <w:vAlign w:val="bottom"/>
            <w:tcBorders>
              <w:top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$2.62</w:t>
            </w:r>
          </w:p>
        </w:tc>
        <w:tc>
          <w:tcPr>
            <w:tcW w:w="0" w:type="dxa"/>
            <w:vAlign w:val="bottom"/>
          </w:tcPr>
          <w:p>
            <w:pPr>
              <w:spacing w:after="0"/>
              <w:rPr>
                <w:sz w:val="1"/>
                <w:szCs w:val="1"/>
                <w:color w:val="auto"/>
              </w:rPr>
            </w:pPr>
          </w:p>
        </w:tc>
      </w:tr>
    </w:tbl>
    <w:p>
      <w:pPr>
        <w:sectPr>
          <w:pgSz w:w="11900" w:h="16900" w:orient="portrait"/>
          <w:cols w:equalWidth="0" w:num="1">
            <w:col w:w="11420"/>
          </w:cols>
          <w:pgMar w:left="240" w:top="343" w:right="239" w:bottom="0" w:gutter="0" w:footer="0" w:header="0"/>
          <w:type w:val="continuous"/>
        </w:sectPr>
      </w:pPr>
    </w:p>
    <w:bookmarkStart w:id="10" w:name="page11"/>
    <w:bookmarkEnd w:id="10"/>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4040" w:type="dxa"/>
            <w:vAlign w:val="bottom"/>
          </w:tcPr>
          <w:p>
            <w:pPr>
              <w:ind w:left="140"/>
              <w:spacing w:after="0"/>
              <w:rPr>
                <w:sz w:val="20"/>
                <w:szCs w:val="20"/>
                <w:color w:val="auto"/>
              </w:rPr>
            </w:pPr>
            <w:r>
              <w:rPr>
                <w:rFonts w:ascii="Arial" w:cs="Arial" w:eastAsia="Arial" w:hAnsi="Arial"/>
                <w:sz w:val="13"/>
                <w:szCs w:val="13"/>
                <w:i w:val="1"/>
                <w:iCs w:val="1"/>
                <w:color w:val="auto"/>
              </w:rPr>
              <w:t>Growth %</w:t>
            </w: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i w:val="1"/>
                <w:iCs w:val="1"/>
                <w:color w:val="auto"/>
              </w:rPr>
              <w:t>12.1%</w:t>
            </w:r>
          </w:p>
        </w:tc>
        <w:tc>
          <w:tcPr>
            <w:tcW w:w="700" w:type="dxa"/>
            <w:vAlign w:val="bottom"/>
          </w:tcPr>
          <w:p>
            <w:pPr>
              <w:jc w:val="center"/>
              <w:ind w:left="77"/>
              <w:spacing w:after="0"/>
              <w:rPr>
                <w:sz w:val="20"/>
                <w:szCs w:val="20"/>
                <w:color w:val="auto"/>
              </w:rPr>
            </w:pPr>
            <w:r>
              <w:rPr>
                <w:rFonts w:ascii="Arial" w:cs="Arial" w:eastAsia="Arial" w:hAnsi="Arial"/>
                <w:sz w:val="13"/>
                <w:szCs w:val="13"/>
                <w:i w:val="1"/>
                <w:iCs w:val="1"/>
                <w:color w:val="auto"/>
                <w:w w:val="97"/>
              </w:rPr>
              <w:t>15.0%</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157"/>
              <w:spacing w:after="0"/>
              <w:rPr>
                <w:sz w:val="20"/>
                <w:szCs w:val="20"/>
                <w:color w:val="auto"/>
              </w:rPr>
            </w:pPr>
            <w:r>
              <w:rPr>
                <w:rFonts w:ascii="Arial" w:cs="Arial" w:eastAsia="Arial" w:hAnsi="Arial"/>
                <w:sz w:val="13"/>
                <w:szCs w:val="13"/>
                <w:i w:val="1"/>
                <w:iCs w:val="1"/>
                <w:color w:val="auto"/>
              </w:rPr>
              <w:t>3.4%</w:t>
            </w:r>
          </w:p>
        </w:tc>
        <w:tc>
          <w:tcPr>
            <w:tcW w:w="620" w:type="dxa"/>
            <w:vAlign w:val="bottom"/>
          </w:tcPr>
          <w:p>
            <w:pPr>
              <w:jc w:val="right"/>
              <w:ind w:right="17"/>
              <w:spacing w:after="0"/>
              <w:rPr>
                <w:sz w:val="20"/>
                <w:szCs w:val="20"/>
                <w:color w:val="auto"/>
              </w:rPr>
            </w:pPr>
            <w:r>
              <w:rPr>
                <w:rFonts w:ascii="Arial" w:cs="Arial" w:eastAsia="Arial" w:hAnsi="Arial"/>
                <w:sz w:val="13"/>
                <w:szCs w:val="13"/>
                <w:i w:val="1"/>
                <w:iCs w:val="1"/>
                <w:color w:val="auto"/>
              </w:rPr>
              <w:t>6.9%</w:t>
            </w:r>
          </w:p>
        </w:tc>
        <w:tc>
          <w:tcPr>
            <w:tcW w:w="0" w:type="dxa"/>
            <w:vAlign w:val="bottom"/>
          </w:tcPr>
          <w:p>
            <w:pPr>
              <w:spacing w:after="0"/>
              <w:rPr>
                <w:sz w:val="1"/>
                <w:szCs w:val="1"/>
                <w:color w:val="auto"/>
              </w:rPr>
            </w:pPr>
          </w:p>
        </w:tc>
      </w:tr>
      <w:tr>
        <w:trPr>
          <w:trHeight w:val="194"/>
        </w:trPr>
        <w:tc>
          <w:tcPr>
            <w:tcW w:w="4040" w:type="dxa"/>
            <w:vAlign w:val="bottom"/>
          </w:tcPr>
          <w:p>
            <w:pPr>
              <w:ind w:left="320"/>
              <w:spacing w:after="0" w:line="194" w:lineRule="exact"/>
              <w:rPr>
                <w:sz w:val="20"/>
                <w:szCs w:val="20"/>
                <w:color w:val="auto"/>
              </w:rPr>
            </w:pPr>
            <w:r>
              <w:rPr>
                <w:rFonts w:ascii="Arial" w:cs="Arial" w:eastAsia="Arial" w:hAnsi="Arial"/>
                <w:sz w:val="13"/>
                <w:szCs w:val="13"/>
                <w:color w:val="auto"/>
              </w:rPr>
              <w:t>Gains on sales of businesses and investments</w:t>
            </w:r>
            <w:r>
              <w:rPr>
                <w:rFonts w:ascii="Arial" w:cs="Arial" w:eastAsia="Arial" w:hAnsi="Arial"/>
                <w:sz w:val="17"/>
                <w:szCs w:val="17"/>
                <w:color w:val="auto"/>
                <w:vertAlign w:val="superscript"/>
              </w:rPr>
              <w:t>(2)</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9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77"/>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157"/>
              <w:spacing w:after="0"/>
              <w:rPr>
                <w:sz w:val="20"/>
                <w:szCs w:val="20"/>
                <w:color w:val="auto"/>
              </w:rPr>
            </w:pPr>
            <w:r>
              <w:rPr>
                <w:rFonts w:ascii="Arial" w:cs="Arial" w:eastAsia="Arial" w:hAnsi="Arial"/>
                <w:sz w:val="13"/>
                <w:szCs w:val="13"/>
                <w:color w:val="auto"/>
              </w:rPr>
              <w:t>(202)</w:t>
            </w:r>
          </w:p>
        </w:tc>
        <w:tc>
          <w:tcPr>
            <w:tcW w:w="580" w:type="dxa"/>
            <w:vAlign w:val="bottom"/>
          </w:tcPr>
          <w:p>
            <w:pPr>
              <w:jc w:val="right"/>
              <w:spacing w:after="0"/>
              <w:rPr>
                <w:sz w:val="20"/>
                <w:szCs w:val="20"/>
                <w:color w:val="auto"/>
              </w:rPr>
            </w:pPr>
            <w:r>
              <w:rPr>
                <w:rFonts w:ascii="Arial" w:cs="Arial" w:eastAsia="Arial" w:hAnsi="Arial"/>
                <w:sz w:val="13"/>
                <w:szCs w:val="13"/>
                <w:color w:val="auto"/>
              </w:rPr>
              <w:t>(0.08)</w:t>
            </w:r>
          </w:p>
        </w:tc>
        <w:tc>
          <w:tcPr>
            <w:tcW w:w="280" w:type="dxa"/>
            <w:vAlign w:val="bottom"/>
          </w:tcPr>
          <w:p>
            <w:pPr>
              <w:spacing w:after="0"/>
              <w:rPr>
                <w:sz w:val="16"/>
                <w:szCs w:val="16"/>
                <w:color w:val="auto"/>
              </w:rPr>
            </w:pPr>
          </w:p>
        </w:tc>
        <w:tc>
          <w:tcPr>
            <w:tcW w:w="900" w:type="dxa"/>
            <w:vAlign w:val="bottom"/>
          </w:tcPr>
          <w:p>
            <w:pPr>
              <w:ind w:left="460"/>
              <w:spacing w:after="0"/>
              <w:rPr>
                <w:sz w:val="20"/>
                <w:szCs w:val="20"/>
                <w:color w:val="auto"/>
              </w:rPr>
            </w:pPr>
            <w:r>
              <w:rPr>
                <w:rFonts w:ascii="Arial" w:cs="Arial" w:eastAsia="Arial" w:hAnsi="Arial"/>
                <w:sz w:val="13"/>
                <w:szCs w:val="13"/>
                <w:b w:val="1"/>
                <w:bCs w:val="1"/>
                <w:color w:val="auto"/>
              </w:rPr>
              <w:t>(67)</w:t>
            </w:r>
          </w:p>
        </w:tc>
        <w:tc>
          <w:tcPr>
            <w:tcW w:w="620" w:type="dxa"/>
            <w:vAlign w:val="bottom"/>
          </w:tcPr>
          <w:p>
            <w:pPr>
              <w:jc w:val="right"/>
              <w:ind w:right="17"/>
              <w:spacing w:after="0"/>
              <w:rPr>
                <w:sz w:val="20"/>
                <w:szCs w:val="20"/>
                <w:color w:val="auto"/>
              </w:rPr>
            </w:pPr>
            <w:r>
              <w:rPr>
                <w:rFonts w:ascii="Arial" w:cs="Arial" w:eastAsia="Arial" w:hAnsi="Arial"/>
                <w:sz w:val="13"/>
                <w:szCs w:val="13"/>
                <w:b w:val="1"/>
                <w:bCs w:val="1"/>
                <w:color w:val="auto"/>
              </w:rPr>
              <w:t>(0.03)</w:t>
            </w:r>
          </w:p>
        </w:tc>
        <w:tc>
          <w:tcPr>
            <w:tcW w:w="0" w:type="dxa"/>
            <w:vAlign w:val="bottom"/>
          </w:tcPr>
          <w:p>
            <w:pPr>
              <w:spacing w:after="0"/>
              <w:rPr>
                <w:sz w:val="1"/>
                <w:szCs w:val="1"/>
                <w:color w:val="auto"/>
              </w:rPr>
            </w:pPr>
          </w:p>
        </w:tc>
      </w:tr>
      <w:tr>
        <w:trPr>
          <w:trHeight w:val="135"/>
        </w:trPr>
        <w:tc>
          <w:tcPr>
            <w:tcW w:w="4040" w:type="dxa"/>
            <w:vAlign w:val="bottom"/>
          </w:tcPr>
          <w:p>
            <w:pPr>
              <w:ind w:left="320"/>
              <w:spacing w:after="0" w:line="135" w:lineRule="exact"/>
              <w:rPr>
                <w:sz w:val="20"/>
                <w:szCs w:val="20"/>
                <w:color w:val="auto"/>
              </w:rPr>
            </w:pPr>
            <w:r>
              <w:rPr>
                <w:rFonts w:ascii="Arial" w:cs="Arial" w:eastAsia="Arial" w:hAnsi="Arial"/>
                <w:sz w:val="11"/>
                <w:szCs w:val="11"/>
                <w:color w:val="auto"/>
              </w:rPr>
              <w:t>Gain on settlement of contingent consideration liability</w:t>
            </w:r>
            <w:r>
              <w:rPr>
                <w:rFonts w:ascii="Arial" w:cs="Arial" w:eastAsia="Arial" w:hAnsi="Arial"/>
                <w:sz w:val="15"/>
                <w:szCs w:val="15"/>
                <w:color w:val="auto"/>
                <w:vertAlign w:val="superscript"/>
              </w:rPr>
              <w:t>(3)</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(150)</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(0.06)</w:t>
            </w:r>
          </w:p>
        </w:tc>
        <w:tc>
          <w:tcPr>
            <w:tcW w:w="280" w:type="dxa"/>
            <w:vAlign w:val="bottom"/>
          </w:tcPr>
          <w:p>
            <w:pPr>
              <w:spacing w:after="0"/>
              <w:rPr>
                <w:sz w:val="11"/>
                <w:szCs w:val="11"/>
                <w:color w:val="auto"/>
              </w:rPr>
            </w:pPr>
          </w:p>
        </w:tc>
        <w:tc>
          <w:tcPr>
            <w:tcW w:w="90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5"/>
        </w:trPr>
        <w:tc>
          <w:tcPr>
            <w:tcW w:w="4040" w:type="dxa"/>
            <w:vAlign w:val="bottom"/>
          </w:tcPr>
          <w:p>
            <w:pPr>
              <w:ind w:left="320"/>
              <w:spacing w:after="0" w:line="135" w:lineRule="exact"/>
              <w:rPr>
                <w:sz w:val="20"/>
                <w:szCs w:val="20"/>
                <w:color w:val="auto"/>
              </w:rPr>
            </w:pPr>
            <w:r>
              <w:rPr>
                <w:rFonts w:ascii="Arial" w:cs="Arial" w:eastAsia="Arial" w:hAnsi="Arial"/>
                <w:sz w:val="11"/>
                <w:szCs w:val="11"/>
                <w:color w:val="auto"/>
              </w:rPr>
              <w:t>Loss on early redemption of debt</w:t>
            </w:r>
            <w:r>
              <w:rPr>
                <w:rFonts w:ascii="Arial" w:cs="Arial" w:eastAsia="Arial" w:hAnsi="Arial"/>
                <w:sz w:val="15"/>
                <w:szCs w:val="15"/>
                <w:color w:val="auto"/>
                <w:vertAlign w:val="superscript"/>
              </w:rPr>
              <w:t>(4)</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29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0.01</w:t>
            </w:r>
          </w:p>
        </w:tc>
        <w:tc>
          <w:tcPr>
            <w:tcW w:w="280" w:type="dxa"/>
            <w:vAlign w:val="bottom"/>
          </w:tcPr>
          <w:p>
            <w:pPr>
              <w:spacing w:after="0"/>
              <w:rPr>
                <w:sz w:val="11"/>
                <w:szCs w:val="11"/>
                <w:color w:val="auto"/>
              </w:rPr>
            </w:pPr>
          </w:p>
        </w:tc>
        <w:tc>
          <w:tcPr>
            <w:tcW w:w="90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5"/>
        </w:trPr>
        <w:tc>
          <w:tcPr>
            <w:tcW w:w="4040" w:type="dxa"/>
            <w:vAlign w:val="bottom"/>
          </w:tcPr>
          <w:p>
            <w:pPr>
              <w:ind w:left="320"/>
              <w:spacing w:after="0" w:line="135" w:lineRule="exact"/>
              <w:rPr>
                <w:sz w:val="20"/>
                <w:szCs w:val="20"/>
                <w:color w:val="auto"/>
              </w:rPr>
            </w:pPr>
            <w:r>
              <w:rPr>
                <w:rFonts w:ascii="Arial" w:cs="Arial" w:eastAsia="Arial" w:hAnsi="Arial"/>
                <w:sz w:val="11"/>
                <w:szCs w:val="11"/>
                <w:color w:val="auto"/>
              </w:rPr>
              <w:t>Costs related to Time Warner Cable and Charter transactions</w:t>
            </w:r>
            <w:r>
              <w:rPr>
                <w:rFonts w:ascii="Arial" w:cs="Arial" w:eastAsia="Arial" w:hAnsi="Arial"/>
                <w:sz w:val="15"/>
                <w:szCs w:val="15"/>
                <w:color w:val="auto"/>
                <w:vertAlign w:val="superscript"/>
              </w:rPr>
              <w:t>(5)</w:t>
            </w:r>
          </w:p>
        </w:tc>
        <w:tc>
          <w:tcPr>
            <w:tcW w:w="94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68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900" w:type="dxa"/>
            <w:vAlign w:val="bottom"/>
          </w:tcPr>
          <w:p>
            <w:pPr>
              <w:jc w:val="right"/>
              <w:ind w:right="337"/>
              <w:spacing w:after="0" w:line="135"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77"/>
              <w:spacing w:after="0" w:line="135" w:lineRule="exact"/>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123</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0.05</w:t>
            </w:r>
          </w:p>
        </w:tc>
        <w:tc>
          <w:tcPr>
            <w:tcW w:w="280" w:type="dxa"/>
            <w:vAlign w:val="bottom"/>
          </w:tcPr>
          <w:p>
            <w:pPr>
              <w:spacing w:after="0"/>
              <w:rPr>
                <w:sz w:val="11"/>
                <w:szCs w:val="11"/>
                <w:color w:val="auto"/>
              </w:rPr>
            </w:pPr>
          </w:p>
        </w:tc>
        <w:tc>
          <w:tcPr>
            <w:tcW w:w="900" w:type="dxa"/>
            <w:vAlign w:val="bottom"/>
          </w:tcPr>
          <w:p>
            <w:pPr>
              <w:ind w:left="460"/>
              <w:spacing w:after="0" w:line="135"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77"/>
              <w:spacing w:after="0" w:line="13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9"/>
        </w:trPr>
        <w:tc>
          <w:tcPr>
            <w:tcW w:w="4040" w:type="dxa"/>
            <w:vAlign w:val="bottom"/>
          </w:tcPr>
          <w:p>
            <w:pPr>
              <w:ind w:left="320"/>
              <w:spacing w:after="0"/>
              <w:rPr>
                <w:sz w:val="20"/>
                <w:szCs w:val="20"/>
                <w:color w:val="auto"/>
              </w:rPr>
            </w:pPr>
            <w:r>
              <w:rPr>
                <w:rFonts w:ascii="Arial" w:cs="Arial" w:eastAsia="Arial" w:hAnsi="Arial"/>
                <w:sz w:val="13"/>
                <w:szCs w:val="13"/>
                <w:color w:val="auto"/>
              </w:rPr>
              <w:t>Loss on investment</w:t>
            </w:r>
            <w:r>
              <w:rPr>
                <w:rFonts w:ascii="Arial" w:cs="Arial" w:eastAsia="Arial" w:hAnsi="Arial"/>
                <w:sz w:val="17"/>
                <w:szCs w:val="17"/>
                <w:color w:val="auto"/>
                <w:vertAlign w:val="superscript"/>
              </w:rPr>
              <w:t>(6)</w:t>
            </w:r>
          </w:p>
        </w:tc>
        <w:tc>
          <w:tcPr>
            <w:tcW w:w="94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68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9"/>
                <w:szCs w:val="19"/>
                <w:color w:val="auto"/>
              </w:rPr>
            </w:pPr>
          </w:p>
        </w:tc>
        <w:tc>
          <w:tcPr>
            <w:tcW w:w="900" w:type="dxa"/>
            <w:vAlign w:val="bottom"/>
          </w:tcPr>
          <w:p>
            <w:pPr>
              <w:jc w:val="right"/>
              <w:ind w:right="337"/>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ind w:left="77"/>
              <w:spacing w:after="0"/>
              <w:rPr>
                <w:sz w:val="20"/>
                <w:szCs w:val="20"/>
                <w:color w:val="auto"/>
              </w:rPr>
            </w:pPr>
            <w:r>
              <w:rPr>
                <w:rFonts w:ascii="Arial" w:cs="Arial" w:eastAsia="Arial" w:hAnsi="Arial"/>
                <w:sz w:val="13"/>
                <w:szCs w:val="13"/>
                <w:b w:val="1"/>
                <w:bCs w:val="1"/>
                <w:color w:val="auto"/>
                <w:w w:val="91"/>
              </w:rPr>
              <w:t>-</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97"/>
              <w:spacing w:after="0"/>
              <w:rPr>
                <w:sz w:val="20"/>
                <w:szCs w:val="20"/>
                <w:color w:val="auto"/>
              </w:rPr>
            </w:pPr>
            <w:r>
              <w:rPr>
                <w:rFonts w:ascii="Arial" w:cs="Arial" w:eastAsia="Arial" w:hAnsi="Arial"/>
                <w:sz w:val="13"/>
                <w:szCs w:val="13"/>
                <w:color w:val="auto"/>
              </w:rPr>
              <w:t>158</w:t>
            </w:r>
          </w:p>
        </w:tc>
        <w:tc>
          <w:tcPr>
            <w:tcW w:w="580" w:type="dxa"/>
            <w:vAlign w:val="bottom"/>
          </w:tcPr>
          <w:p>
            <w:pPr>
              <w:jc w:val="right"/>
              <w:spacing w:after="0"/>
              <w:rPr>
                <w:sz w:val="20"/>
                <w:szCs w:val="20"/>
                <w:color w:val="auto"/>
              </w:rPr>
            </w:pPr>
            <w:r>
              <w:rPr>
                <w:rFonts w:ascii="Arial" w:cs="Arial" w:eastAsia="Arial" w:hAnsi="Arial"/>
                <w:sz w:val="13"/>
                <w:szCs w:val="13"/>
                <w:color w:val="auto"/>
              </w:rPr>
              <w:t>0.06</w:t>
            </w:r>
          </w:p>
        </w:tc>
        <w:tc>
          <w:tcPr>
            <w:tcW w:w="280" w:type="dxa"/>
            <w:vAlign w:val="bottom"/>
          </w:tcPr>
          <w:p>
            <w:pPr>
              <w:spacing w:after="0"/>
              <w:rPr>
                <w:sz w:val="19"/>
                <w:szCs w:val="19"/>
                <w:color w:val="auto"/>
              </w:rPr>
            </w:pPr>
          </w:p>
        </w:tc>
        <w:tc>
          <w:tcPr>
            <w:tcW w:w="90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8"/>
        </w:trPr>
        <w:tc>
          <w:tcPr>
            <w:tcW w:w="4040" w:type="dxa"/>
            <w:vAlign w:val="bottom"/>
            <w:vMerge w:val="restart"/>
          </w:tcPr>
          <w:p>
            <w:pPr>
              <w:spacing w:after="0"/>
              <w:rPr>
                <w:sz w:val="20"/>
                <w:szCs w:val="20"/>
                <w:color w:val="auto"/>
              </w:rPr>
            </w:pPr>
            <w:r>
              <w:rPr>
                <w:rFonts w:ascii="Arial" w:cs="Arial" w:eastAsia="Arial" w:hAnsi="Arial"/>
                <w:sz w:val="13"/>
                <w:szCs w:val="13"/>
                <w:color w:val="auto"/>
              </w:rPr>
              <w:t>Net income attributable to Comcast Corporation (excluding</w:t>
            </w: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4040" w:type="dxa"/>
            <w:vAlign w:val="bottom"/>
            <w:vMerge w:val="continue"/>
          </w:tcPr>
          <w:p>
            <w:pPr>
              <w:spacing w:after="0"/>
              <w:rPr>
                <w:sz w:val="9"/>
                <w:szCs w:val="9"/>
                <w:color w:val="auto"/>
              </w:rPr>
            </w:pPr>
          </w:p>
        </w:tc>
        <w:tc>
          <w:tcPr>
            <w:tcW w:w="940" w:type="dxa"/>
            <w:vAlign w:val="bottom"/>
            <w:vMerge w:val="restart"/>
          </w:tcPr>
          <w:p>
            <w:pPr>
              <w:jc w:val="center"/>
              <w:ind w:left="17"/>
              <w:spacing w:after="0"/>
              <w:rPr>
                <w:sz w:val="20"/>
                <w:szCs w:val="20"/>
                <w:color w:val="auto"/>
              </w:rPr>
            </w:pPr>
            <w:r>
              <w:rPr>
                <w:rFonts w:ascii="Arial" w:cs="Arial" w:eastAsia="Arial" w:hAnsi="Arial"/>
                <w:sz w:val="13"/>
                <w:szCs w:val="13"/>
                <w:color w:val="auto"/>
                <w:w w:val="95"/>
              </w:rPr>
              <w:t>$1,996</w:t>
            </w: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$0.80</w:t>
            </w:r>
          </w:p>
        </w:tc>
        <w:tc>
          <w:tcPr>
            <w:tcW w:w="180" w:type="dxa"/>
            <w:vAlign w:val="bottom"/>
          </w:tcPr>
          <w:p>
            <w:pPr>
              <w:spacing w:after="0"/>
              <w:rPr>
                <w:sz w:val="9"/>
                <w:szCs w:val="9"/>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$2,237</w:t>
            </w: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$0.92</w:t>
            </w:r>
          </w:p>
        </w:tc>
        <w:tc>
          <w:tcPr>
            <w:tcW w:w="2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vMerge w:val="restart"/>
          </w:tcPr>
          <w:p>
            <w:pPr>
              <w:jc w:val="right"/>
              <w:ind w:right="197"/>
              <w:spacing w:after="0"/>
              <w:rPr>
                <w:sz w:val="20"/>
                <w:szCs w:val="20"/>
                <w:color w:val="auto"/>
              </w:rPr>
            </w:pPr>
            <w:r>
              <w:rPr>
                <w:rFonts w:ascii="Arial" w:cs="Arial" w:eastAsia="Arial" w:hAnsi="Arial"/>
                <w:sz w:val="13"/>
                <w:szCs w:val="13"/>
                <w:color w:val="auto"/>
              </w:rPr>
              <w:t>$6,150</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$2.43</w:t>
            </w:r>
          </w:p>
        </w:tc>
        <w:tc>
          <w:tcPr>
            <w:tcW w:w="280" w:type="dxa"/>
            <w:vAlign w:val="bottom"/>
          </w:tcPr>
          <w:p>
            <w:pPr>
              <w:spacing w:after="0"/>
              <w:rPr>
                <w:sz w:val="9"/>
                <w:szCs w:val="9"/>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$6,332</w:t>
            </w:r>
          </w:p>
        </w:tc>
        <w:tc>
          <w:tcPr>
            <w:tcW w:w="62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$2.59</w:t>
            </w:r>
          </w:p>
        </w:tc>
        <w:tc>
          <w:tcPr>
            <w:tcW w:w="0" w:type="dxa"/>
            <w:vAlign w:val="bottom"/>
          </w:tcPr>
          <w:p>
            <w:pPr>
              <w:spacing w:after="0"/>
              <w:rPr>
                <w:sz w:val="1"/>
                <w:szCs w:val="1"/>
                <w:color w:val="auto"/>
              </w:rPr>
            </w:pPr>
          </w:p>
        </w:tc>
      </w:tr>
      <w:tr>
        <w:trPr>
          <w:trHeight w:val="133"/>
        </w:trPr>
        <w:tc>
          <w:tcPr>
            <w:tcW w:w="4040" w:type="dxa"/>
            <w:vAlign w:val="bottom"/>
          </w:tcPr>
          <w:p>
            <w:pPr>
              <w:ind w:left="180"/>
              <w:spacing w:after="0" w:line="128" w:lineRule="exact"/>
              <w:rPr>
                <w:sz w:val="20"/>
                <w:szCs w:val="20"/>
                <w:color w:val="auto"/>
              </w:rPr>
            </w:pPr>
            <w:r>
              <w:rPr>
                <w:rFonts w:ascii="Arial" w:cs="Arial" w:eastAsia="Arial" w:hAnsi="Arial"/>
                <w:sz w:val="13"/>
                <w:szCs w:val="13"/>
                <w:color w:val="auto"/>
              </w:rPr>
              <w:t>adjustments)</w:t>
            </w:r>
          </w:p>
        </w:tc>
        <w:tc>
          <w:tcPr>
            <w:tcW w:w="94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line="144" w:lineRule="exact"/>
              <w:rPr>
                <w:sz w:val="20"/>
                <w:szCs w:val="20"/>
                <w:color w:val="auto"/>
              </w:rPr>
            </w:pPr>
            <w:r>
              <w:rPr>
                <w:rFonts w:ascii="Arial" w:cs="Arial" w:eastAsia="Arial" w:hAnsi="Arial"/>
                <w:sz w:val="13"/>
                <w:szCs w:val="13"/>
                <w:i w:val="1"/>
                <w:iCs w:val="1"/>
                <w:color w:val="auto"/>
              </w:rPr>
              <w:t>Growth %</w:t>
            </w: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4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157"/>
              <w:spacing w:after="0" w:line="145" w:lineRule="exact"/>
              <w:rPr>
                <w:sz w:val="20"/>
                <w:szCs w:val="20"/>
                <w:color w:val="auto"/>
              </w:rPr>
            </w:pPr>
            <w:r>
              <w:rPr>
                <w:rFonts w:ascii="Arial" w:cs="Arial" w:eastAsia="Arial" w:hAnsi="Arial"/>
                <w:sz w:val="13"/>
                <w:szCs w:val="13"/>
                <w:i w:val="1"/>
                <w:iCs w:val="1"/>
                <w:color w:val="auto"/>
              </w:rPr>
              <w:t>12.1%</w:t>
            </w:r>
          </w:p>
        </w:tc>
        <w:tc>
          <w:tcPr>
            <w:tcW w:w="700" w:type="dxa"/>
            <w:vAlign w:val="bottom"/>
          </w:tcPr>
          <w:p>
            <w:pPr>
              <w:jc w:val="center"/>
              <w:ind w:left="77"/>
              <w:spacing w:after="0" w:line="145" w:lineRule="exact"/>
              <w:rPr>
                <w:sz w:val="20"/>
                <w:szCs w:val="20"/>
                <w:color w:val="auto"/>
              </w:rPr>
            </w:pPr>
            <w:r>
              <w:rPr>
                <w:rFonts w:ascii="Arial" w:cs="Arial" w:eastAsia="Arial" w:hAnsi="Arial"/>
                <w:sz w:val="13"/>
                <w:szCs w:val="13"/>
                <w:i w:val="1"/>
                <w:iCs w:val="1"/>
                <w:color w:val="auto"/>
                <w:w w:val="97"/>
              </w:rPr>
              <w:t>15.0%</w:t>
            </w:r>
          </w:p>
        </w:tc>
        <w:tc>
          <w:tcPr>
            <w:tcW w:w="20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ind w:right="157"/>
              <w:spacing w:after="0" w:line="145" w:lineRule="exact"/>
              <w:rPr>
                <w:sz w:val="20"/>
                <w:szCs w:val="20"/>
                <w:color w:val="auto"/>
              </w:rPr>
            </w:pPr>
            <w:r>
              <w:rPr>
                <w:rFonts w:ascii="Arial" w:cs="Arial" w:eastAsia="Arial" w:hAnsi="Arial"/>
                <w:sz w:val="13"/>
                <w:szCs w:val="13"/>
                <w:i w:val="1"/>
                <w:iCs w:val="1"/>
                <w:color w:val="auto"/>
              </w:rPr>
              <w:t>3.0%</w:t>
            </w:r>
          </w:p>
        </w:tc>
        <w:tc>
          <w:tcPr>
            <w:tcW w:w="620" w:type="dxa"/>
            <w:vAlign w:val="bottom"/>
          </w:tcPr>
          <w:p>
            <w:pPr>
              <w:jc w:val="right"/>
              <w:ind w:right="17"/>
              <w:spacing w:after="0" w:line="145" w:lineRule="exact"/>
              <w:rPr>
                <w:sz w:val="20"/>
                <w:szCs w:val="20"/>
                <w:color w:val="auto"/>
              </w:rPr>
            </w:pPr>
            <w:r>
              <w:rPr>
                <w:rFonts w:ascii="Arial" w:cs="Arial" w:eastAsia="Arial" w:hAnsi="Arial"/>
                <w:sz w:val="13"/>
                <w:szCs w:val="13"/>
                <w:i w:val="1"/>
                <w:iCs w:val="1"/>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Based on diluted weighted-average number of common shares for the respective periods as presented in Table 1.</w:t>
      </w:r>
    </w:p>
    <w:p>
      <w:pPr>
        <w:spacing w:after="0" w:line="120" w:lineRule="exact"/>
        <w:rPr>
          <w:rFonts w:ascii="Arial" w:cs="Arial" w:eastAsia="Arial" w:hAnsi="Arial"/>
          <w:sz w:val="13"/>
          <w:szCs w:val="13"/>
          <w:color w:val="auto"/>
        </w:rPr>
      </w:pPr>
    </w:p>
    <w:p>
      <w:pPr>
        <w:ind w:left="580" w:right="80" w:hanging="572"/>
        <w:spacing w:after="0" w:line="225"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2016 year to date net income attributable to Comcast Corporation includes $108 million of other income, $67 million net of tax, resulting from a gain on the sale of our investment in The Weather Channel’s product and technology business. 2015 year to date net income attributable to Comcast Corporation includes $335 million of other income, $202 million net of tax and noncontrolling interests, resulting from sales of an investment and a business.</w:t>
      </w:r>
    </w:p>
    <w:p>
      <w:pPr>
        <w:spacing w:after="0" w:line="119" w:lineRule="exact"/>
        <w:rPr>
          <w:rFonts w:ascii="Arial" w:cs="Arial" w:eastAsia="Arial" w:hAnsi="Arial"/>
          <w:sz w:val="13"/>
          <w:szCs w:val="13"/>
          <w:color w:val="auto"/>
        </w:rPr>
      </w:pPr>
    </w:p>
    <w:p>
      <w:pPr>
        <w:ind w:left="580" w:right="60" w:hanging="572"/>
        <w:spacing w:after="0" w:line="230"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$240 million of other income, $150 million net of tax, resulting from the settlement of a contingent consideration liability with General Electric Company related to the acquisition of NBCUniversal.</w:t>
      </w:r>
    </w:p>
    <w:p>
      <w:pPr>
        <w:spacing w:after="0" w:line="118" w:lineRule="exact"/>
        <w:rPr>
          <w:rFonts w:ascii="Arial" w:cs="Arial" w:eastAsia="Arial" w:hAnsi="Arial"/>
          <w:sz w:val="13"/>
          <w:szCs w:val="13"/>
          <w:color w:val="auto"/>
        </w:rPr>
      </w:pPr>
    </w:p>
    <w:p>
      <w:pPr>
        <w:ind w:left="580" w:hanging="572"/>
        <w:spacing w:after="0"/>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$47 million of interest expense, $29 million net of tax, resulting from the early redemption of debt.</w:t>
      </w:r>
    </w:p>
    <w:p>
      <w:pPr>
        <w:spacing w:after="0" w:line="120" w:lineRule="exact"/>
        <w:rPr>
          <w:rFonts w:ascii="Arial" w:cs="Arial" w:eastAsia="Arial" w:hAnsi="Arial"/>
          <w:sz w:val="13"/>
          <w:szCs w:val="13"/>
          <w:color w:val="auto"/>
        </w:rPr>
      </w:pPr>
    </w:p>
    <w:p>
      <w:pPr>
        <w:ind w:left="580" w:right="20" w:hanging="572"/>
        <w:spacing w:after="0" w:line="230"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$198 million of expense ($178 million of operating costs and expenses and $20 million of depreciation and amortization expense), $123 million net of tax, related to the Time Warner Cable and Charter transactions.</w:t>
      </w:r>
    </w:p>
    <w:p>
      <w:pPr>
        <w:spacing w:after="0" w:line="118" w:lineRule="exact"/>
        <w:rPr>
          <w:rFonts w:ascii="Arial" w:cs="Arial" w:eastAsia="Arial" w:hAnsi="Arial"/>
          <w:sz w:val="13"/>
          <w:szCs w:val="13"/>
          <w:color w:val="auto"/>
        </w:rPr>
      </w:pPr>
    </w:p>
    <w:p>
      <w:pPr>
        <w:ind w:left="580" w:right="220" w:hanging="572"/>
        <w:spacing w:after="0" w:line="230" w:lineRule="auto"/>
        <w:tabs>
          <w:tab w:leader="none" w:pos="5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2015 year to date net income attributable to Comcast Corporation includes $252 million of equity in net losses of investees, $158 million net of tax, resulting from our proportionate share of an impairment loss recorded at The Weather Channel.</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445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5"/>
          <w:szCs w:val="25"/>
          <w:b w:val="1"/>
          <w:bCs w:val="1"/>
          <w:color w:val="828282"/>
        </w:rPr>
        <w:t>TABLE 6</w:t>
      </w:r>
    </w:p>
    <w:p>
      <w:pPr>
        <w:spacing w:after="0" w:line="23"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Reconciliation of As Reported to Pro Forma</w:t>
      </w:r>
      <w:r>
        <w:rPr>
          <w:rFonts w:ascii="Arial" w:cs="Arial" w:eastAsia="Arial" w:hAnsi="Arial"/>
          <w:sz w:val="22"/>
          <w:szCs w:val="22"/>
          <w:b w:val="1"/>
          <w:bCs w:val="1"/>
          <w:color w:val="828282"/>
          <w:vertAlign w:val="superscript"/>
        </w:rPr>
        <w:t>(1)</w:t>
      </w:r>
      <w:r>
        <w:rPr>
          <w:rFonts w:ascii="Arial" w:cs="Arial" w:eastAsia="Arial" w:hAnsi="Arial"/>
          <w:sz w:val="22"/>
          <w:szCs w:val="22"/>
          <w:b w:val="1"/>
          <w:bCs w:val="1"/>
          <w:color w:val="828282"/>
        </w:rPr>
        <w:t xml:space="preserve"> Financial Information (Unaudited)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Theme Parks</w:t>
            </w:r>
          </w:p>
        </w:tc>
        <w:tc>
          <w:tcPr>
            <w:tcW w:w="400" w:type="dxa"/>
            <w:vAlign w:val="bottom"/>
            <w:gridSpan w:val="2"/>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NBCUniversal</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2980" w:type="dxa"/>
            <w:vAlign w:val="bottom"/>
            <w:gridSpan w:val="7"/>
          </w:tcPr>
          <w:p>
            <w:pPr>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Pro Forma</w:t>
            </w:r>
          </w:p>
        </w:tc>
        <w:tc>
          <w:tcPr>
            <w:tcW w:w="400" w:type="dxa"/>
            <w:vAlign w:val="bottom"/>
            <w:gridSpan w:val="2"/>
            <w:vMerge w:val="restart"/>
          </w:tcPr>
          <w:p>
            <w:pPr>
              <w:spacing w:after="0"/>
              <w:rPr>
                <w:sz w:val="24"/>
                <w:szCs w:val="24"/>
                <w:color w:val="auto"/>
              </w:rPr>
            </w:pPr>
          </w:p>
        </w:tc>
        <w:tc>
          <w:tcPr>
            <w:tcW w:w="130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Pro Forma</w:t>
            </w:r>
          </w:p>
        </w:tc>
        <w:tc>
          <w:tcPr>
            <w:tcW w:w="340" w:type="dxa"/>
            <w:vAlign w:val="bottom"/>
            <w:gridSpan w:val="2"/>
            <w:vMerge w:val="restart"/>
          </w:tcPr>
          <w:p>
            <w:pPr>
              <w:spacing w:after="0"/>
              <w:rPr>
                <w:sz w:val="24"/>
                <w:szCs w:val="24"/>
                <w:color w:val="auto"/>
              </w:rPr>
            </w:pPr>
          </w:p>
        </w:tc>
        <w:tc>
          <w:tcPr>
            <w:tcW w:w="13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130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340" w:type="dxa"/>
            <w:vAlign w:val="bottom"/>
            <w:gridSpan w:val="2"/>
            <w:vMerge w:val="continue"/>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9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9"/>
              </w:rPr>
              <w:t>Adjustments</w:t>
            </w:r>
            <w:r>
              <w:rPr>
                <w:rFonts w:ascii="Arial" w:cs="Arial" w:eastAsia="Arial" w:hAnsi="Arial"/>
                <w:sz w:val="14"/>
                <w:szCs w:val="14"/>
                <w:b w:val="1"/>
                <w:bCs w:val="1"/>
                <w:color w:val="auto"/>
                <w:w w:val="99"/>
                <w:vertAlign w:val="superscript"/>
              </w:rPr>
              <w:t>(1)</w:t>
            </w:r>
          </w:p>
        </w:tc>
        <w:tc>
          <w:tcPr>
            <w:tcW w:w="1300" w:type="dxa"/>
            <w:vAlign w:val="bottom"/>
            <w:tcBorders>
              <w:right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rPr>
              <w:t>Theme Parks</w:t>
            </w:r>
          </w:p>
        </w:tc>
        <w:tc>
          <w:tcPr>
            <w:tcW w:w="100" w:type="dxa"/>
            <w:vAlign w:val="bottom"/>
          </w:tcPr>
          <w:p>
            <w:pPr>
              <w:spacing w:after="0"/>
              <w:rPr>
                <w:sz w:val="15"/>
                <w:szCs w:val="15"/>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5"/>
                <w:szCs w:val="15"/>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7"/>
              </w:rPr>
              <w:t>Adjustments</w:t>
            </w:r>
            <w:r>
              <w:rPr>
                <w:rFonts w:ascii="Arial" w:cs="Arial" w:eastAsia="Arial" w:hAnsi="Arial"/>
                <w:sz w:val="14"/>
                <w:szCs w:val="14"/>
                <w:b w:val="1"/>
                <w:bCs w:val="1"/>
                <w:color w:val="auto"/>
                <w:w w:val="97"/>
                <w:vertAlign w:val="superscript"/>
              </w:rPr>
              <w:t>(1)</w:t>
            </w:r>
          </w:p>
        </w:tc>
        <w:tc>
          <w:tcPr>
            <w:tcW w:w="13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NBCUniversal</w:t>
            </w:r>
          </w:p>
        </w:tc>
        <w:tc>
          <w:tcPr>
            <w:tcW w:w="0" w:type="dxa"/>
            <w:vAlign w:val="bottom"/>
          </w:tcPr>
          <w:p>
            <w:pPr>
              <w:spacing w:after="0"/>
              <w:rPr>
                <w:sz w:val="1"/>
                <w:szCs w:val="1"/>
                <w:color w:val="auto"/>
              </w:rPr>
            </w:pPr>
          </w:p>
        </w:tc>
      </w:tr>
      <w:tr>
        <w:trPr>
          <w:trHeight w:val="129"/>
        </w:trPr>
        <w:tc>
          <w:tcPr>
            <w:tcW w:w="2980" w:type="dxa"/>
            <w:vAlign w:val="bottom"/>
            <w:gridSpan w:val="7"/>
            <w:vMerge w:val="continue"/>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4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980" w:type="dxa"/>
            <w:vAlign w:val="bottom"/>
            <w:gridSpan w:val="7"/>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$896</w:t>
            </w:r>
          </w:p>
        </w:tc>
        <w:tc>
          <w:tcPr>
            <w:tcW w:w="240" w:type="dxa"/>
            <w:vAlign w:val="bottom"/>
          </w:tcPr>
          <w:p>
            <w:pPr>
              <w:spacing w:after="0"/>
              <w:rPr>
                <w:sz w:val="24"/>
                <w:szCs w:val="2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$343</w:t>
            </w:r>
          </w:p>
        </w:tc>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$1,239</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$7,151</w:t>
            </w:r>
          </w:p>
        </w:tc>
        <w:tc>
          <w:tcPr>
            <w:tcW w:w="24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$344</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$7,495</w:t>
            </w:r>
          </w:p>
        </w:tc>
        <w:tc>
          <w:tcPr>
            <w:tcW w:w="0" w:type="dxa"/>
            <w:vAlign w:val="bottom"/>
          </w:tcPr>
          <w:p>
            <w:pPr>
              <w:spacing w:after="0"/>
              <w:rPr>
                <w:sz w:val="1"/>
                <w:szCs w:val="1"/>
                <w:color w:val="auto"/>
              </w:rPr>
            </w:pPr>
          </w:p>
        </w:tc>
      </w:tr>
      <w:tr>
        <w:trPr>
          <w:trHeight w:val="228"/>
        </w:trPr>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Operating costs and expenses </w:t>
            </w:r>
            <w:r>
              <w:rPr>
                <w:rFonts w:ascii="Arial" w:cs="Arial" w:eastAsia="Arial" w:hAnsi="Arial"/>
                <w:sz w:val="14"/>
                <w:szCs w:val="14"/>
                <w:color w:val="auto"/>
                <w:vertAlign w:val="superscript"/>
              </w:rPr>
              <w:t>(2)</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462</w:t>
            </w:r>
          </w:p>
        </w:tc>
        <w:tc>
          <w:tcPr>
            <w:tcW w:w="240" w:type="dxa"/>
            <w:vAlign w:val="bottom"/>
          </w:tcPr>
          <w:p>
            <w:pPr>
              <w:spacing w:after="0"/>
              <w:rPr>
                <w:sz w:val="19"/>
                <w:szCs w:val="19"/>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174</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5,518</w:t>
            </w:r>
          </w:p>
        </w:tc>
        <w:tc>
          <w:tcPr>
            <w:tcW w:w="24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176</w:t>
            </w:r>
          </w:p>
        </w:tc>
        <w:tc>
          <w:tcPr>
            <w:tcW w:w="2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5,694</w:t>
            </w:r>
          </w:p>
        </w:tc>
        <w:tc>
          <w:tcPr>
            <w:tcW w:w="0" w:type="dxa"/>
            <w:vAlign w:val="bottom"/>
          </w:tcPr>
          <w:p>
            <w:pPr>
              <w:spacing w:after="0"/>
              <w:rPr>
                <w:sz w:val="1"/>
                <w:szCs w:val="1"/>
                <w:color w:val="auto"/>
              </w:rPr>
            </w:pPr>
          </w:p>
        </w:tc>
      </w:tr>
      <w:tr>
        <w:trPr>
          <w:trHeight w:val="196"/>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w:t>
            </w:r>
          </w:p>
        </w:tc>
        <w:tc>
          <w:tcPr>
            <w:tcW w:w="240" w:type="dxa"/>
            <w:vAlign w:val="bottom"/>
          </w:tcPr>
          <w:p>
            <w:pPr>
              <w:spacing w:after="0"/>
              <w:rPr>
                <w:sz w:val="17"/>
                <w:szCs w:val="17"/>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$169</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$1,633</w:t>
            </w:r>
          </w:p>
        </w:tc>
        <w:tc>
          <w:tcPr>
            <w:tcW w:w="240" w:type="dxa"/>
            <w:vAlign w:val="bottom"/>
          </w:tcPr>
          <w:p>
            <w:pPr>
              <w:spacing w:after="0"/>
              <w:rPr>
                <w:sz w:val="17"/>
                <w:szCs w:val="17"/>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$168</w:t>
            </w:r>
          </w:p>
        </w:tc>
        <w:tc>
          <w:tcPr>
            <w:tcW w:w="2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$1,801</w:t>
            </w:r>
          </w:p>
        </w:tc>
        <w:tc>
          <w:tcPr>
            <w:tcW w:w="0" w:type="dxa"/>
            <w:vAlign w:val="bottom"/>
          </w:tcPr>
          <w:p>
            <w:pPr>
              <w:spacing w:after="0"/>
              <w:rPr>
                <w:sz w:val="1"/>
                <w:szCs w:val="1"/>
                <w:color w:val="auto"/>
              </w:rPr>
            </w:pPr>
          </w:p>
        </w:tc>
      </w:tr>
      <w:tr>
        <w:trPr>
          <w:trHeight w:val="20"/>
        </w:trPr>
        <w:tc>
          <w:tcPr>
            <w:tcW w:w="29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7"/>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9"/>
        </w:trPr>
        <w:tc>
          <w:tcPr>
            <w:tcW w:w="2980" w:type="dxa"/>
            <w:vAlign w:val="bottom"/>
            <w:gridSpan w:val="7"/>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$1,440</w:t>
            </w:r>
          </w:p>
        </w:tc>
        <w:tc>
          <w:tcPr>
            <w:tcW w:w="240" w:type="dxa"/>
            <w:vAlign w:val="bottom"/>
          </w:tcPr>
          <w:p>
            <w:pPr>
              <w:spacing w:after="0"/>
              <w:rPr>
                <w:sz w:val="24"/>
                <w:szCs w:val="24"/>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$1,440</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$9,178</w:t>
            </w:r>
          </w:p>
        </w:tc>
        <w:tc>
          <w:tcPr>
            <w:tcW w:w="240" w:type="dxa"/>
            <w:vAlign w:val="bottom"/>
          </w:tcPr>
          <w:p>
            <w:pPr>
              <w:spacing w:after="0"/>
              <w:rPr>
                <w:sz w:val="24"/>
                <w:szCs w:val="24"/>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$9,178</w:t>
            </w:r>
          </w:p>
        </w:tc>
        <w:tc>
          <w:tcPr>
            <w:tcW w:w="0" w:type="dxa"/>
            <w:vAlign w:val="bottom"/>
          </w:tcPr>
          <w:p>
            <w:pPr>
              <w:spacing w:after="0"/>
              <w:rPr>
                <w:sz w:val="1"/>
                <w:szCs w:val="1"/>
                <w:color w:val="auto"/>
              </w:rPr>
            </w:pPr>
          </w:p>
        </w:tc>
      </w:tr>
      <w:tr>
        <w:trPr>
          <w:trHeight w:val="228"/>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w:t>
            </w:r>
          </w:p>
        </w:tc>
        <w:tc>
          <w:tcPr>
            <w:tcW w:w="2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734</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7,032</w:t>
            </w:r>
          </w:p>
        </w:tc>
        <w:tc>
          <w:tcPr>
            <w:tcW w:w="24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7,032</w:t>
            </w:r>
          </w:p>
        </w:tc>
        <w:tc>
          <w:tcPr>
            <w:tcW w:w="0" w:type="dxa"/>
            <w:vAlign w:val="bottom"/>
          </w:tcPr>
          <w:p>
            <w:pPr>
              <w:spacing w:after="0"/>
              <w:rPr>
                <w:sz w:val="1"/>
                <w:szCs w:val="1"/>
                <w:color w:val="auto"/>
              </w:rPr>
            </w:pPr>
          </w:p>
        </w:tc>
      </w:tr>
      <w:tr>
        <w:trPr>
          <w:trHeight w:val="196"/>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$706</w:t>
            </w:r>
          </w:p>
        </w:tc>
        <w:tc>
          <w:tcPr>
            <w:tcW w:w="24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$2,146</w:t>
            </w:r>
          </w:p>
        </w:tc>
        <w:tc>
          <w:tcPr>
            <w:tcW w:w="24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$2,146</w:t>
            </w:r>
          </w:p>
        </w:tc>
        <w:tc>
          <w:tcPr>
            <w:tcW w:w="0" w:type="dxa"/>
            <w:vAlign w:val="bottom"/>
          </w:tcPr>
          <w:p>
            <w:pPr>
              <w:spacing w:after="0"/>
              <w:rPr>
                <w:sz w:val="1"/>
                <w:szCs w:val="1"/>
                <w:color w:val="auto"/>
              </w:rPr>
            </w:pPr>
          </w:p>
        </w:tc>
      </w:tr>
      <w:tr>
        <w:trPr>
          <w:trHeight w:val="20"/>
        </w:trPr>
        <w:tc>
          <w:tcPr>
            <w:tcW w:w="29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7"/>
            <w:vMerge w:val="continue"/>
          </w:tcPr>
          <w:p>
            <w:pPr>
              <w:spacing w:after="0"/>
              <w:rPr>
                <w:sz w:val="24"/>
                <w:szCs w:val="2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60.6%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16.1%</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color w:val="auto"/>
              </w:rPr>
              <w:t>28.3%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Revenue</w:t>
            </w:r>
          </w:p>
        </w:tc>
        <w:tc>
          <w:tcPr>
            <w:tcW w:w="2040" w:type="dxa"/>
            <w:vAlign w:val="bottom"/>
            <w:gridSpan w:val="3"/>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17.1%</w:t>
            </w:r>
          </w:p>
        </w:tc>
        <w:tc>
          <w:tcPr>
            <w:tcW w:w="14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66"/>
        </w:trPr>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Nine Months Ended September 30, 2015</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980" w:type="dxa"/>
            <w:vAlign w:val="bottom"/>
            <w:gridSpan w:val="7"/>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$2,320</w:t>
            </w:r>
          </w:p>
        </w:tc>
        <w:tc>
          <w:tcPr>
            <w:tcW w:w="240" w:type="dxa"/>
            <w:vAlign w:val="bottom"/>
          </w:tcPr>
          <w:p>
            <w:pPr>
              <w:spacing w:after="0"/>
              <w:rPr>
                <w:sz w:val="24"/>
                <w:szCs w:val="24"/>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$882</w:t>
            </w:r>
          </w:p>
        </w:tc>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$3,202</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$20,985</w:t>
            </w:r>
          </w:p>
        </w:tc>
        <w:tc>
          <w:tcPr>
            <w:tcW w:w="240" w:type="dxa"/>
            <w:vAlign w:val="bottom"/>
          </w:tcPr>
          <w:p>
            <w:pPr>
              <w:spacing w:after="0"/>
              <w:rPr>
                <w:sz w:val="24"/>
                <w:szCs w:val="2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$882</w:t>
            </w: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$21,867</w:t>
            </w:r>
          </w:p>
        </w:tc>
        <w:tc>
          <w:tcPr>
            <w:tcW w:w="0" w:type="dxa"/>
            <w:vAlign w:val="bottom"/>
          </w:tcPr>
          <w:p>
            <w:pPr>
              <w:spacing w:after="0"/>
              <w:rPr>
                <w:sz w:val="1"/>
                <w:szCs w:val="1"/>
                <w:color w:val="auto"/>
              </w:rPr>
            </w:pPr>
          </w:p>
        </w:tc>
      </w:tr>
      <w:tr>
        <w:trPr>
          <w:trHeight w:val="228"/>
        </w:trPr>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Operating costs and expenses </w:t>
            </w:r>
            <w:r>
              <w:rPr>
                <w:rFonts w:ascii="Arial" w:cs="Arial" w:eastAsia="Arial" w:hAnsi="Arial"/>
                <w:sz w:val="14"/>
                <w:szCs w:val="14"/>
                <w:color w:val="auto"/>
                <w:vertAlign w:val="superscript"/>
              </w:rPr>
              <w:t>(2)</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1,308</w:t>
            </w:r>
          </w:p>
        </w:tc>
        <w:tc>
          <w:tcPr>
            <w:tcW w:w="240" w:type="dxa"/>
            <w:vAlign w:val="bottom"/>
          </w:tcPr>
          <w:p>
            <w:pPr>
              <w:spacing w:after="0"/>
              <w:rPr>
                <w:sz w:val="19"/>
                <w:szCs w:val="19"/>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483</w:t>
            </w: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1,791</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16,185</w:t>
            </w:r>
          </w:p>
        </w:tc>
        <w:tc>
          <w:tcPr>
            <w:tcW w:w="24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483</w:t>
            </w:r>
          </w:p>
        </w:tc>
        <w:tc>
          <w:tcPr>
            <w:tcW w:w="2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16,668</w:t>
            </w:r>
          </w:p>
        </w:tc>
        <w:tc>
          <w:tcPr>
            <w:tcW w:w="0" w:type="dxa"/>
            <w:vAlign w:val="bottom"/>
          </w:tcPr>
          <w:p>
            <w:pPr>
              <w:spacing w:after="0"/>
              <w:rPr>
                <w:sz w:val="1"/>
                <w:szCs w:val="1"/>
                <w:color w:val="auto"/>
              </w:rPr>
            </w:pPr>
          </w:p>
        </w:tc>
      </w:tr>
      <w:tr>
        <w:trPr>
          <w:trHeight w:val="196"/>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$1,012</w:t>
            </w:r>
          </w:p>
        </w:tc>
        <w:tc>
          <w:tcPr>
            <w:tcW w:w="240" w:type="dxa"/>
            <w:vAlign w:val="bottom"/>
          </w:tcPr>
          <w:p>
            <w:pPr>
              <w:spacing w:after="0"/>
              <w:rPr>
                <w:sz w:val="17"/>
                <w:szCs w:val="17"/>
                <w:color w:val="auto"/>
              </w:rPr>
            </w:pPr>
          </w:p>
        </w:tc>
        <w:tc>
          <w:tcPr>
            <w:tcW w:w="12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$399</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$1,411</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$4,800</w:t>
            </w:r>
          </w:p>
        </w:tc>
        <w:tc>
          <w:tcPr>
            <w:tcW w:w="240" w:type="dxa"/>
            <w:vAlign w:val="bottom"/>
          </w:tcPr>
          <w:p>
            <w:pPr>
              <w:spacing w:after="0"/>
              <w:rPr>
                <w:sz w:val="17"/>
                <w:szCs w:val="17"/>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$399</w:t>
            </w:r>
          </w:p>
        </w:tc>
        <w:tc>
          <w:tcPr>
            <w:tcW w:w="2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$5,199</w:t>
            </w:r>
          </w:p>
        </w:tc>
        <w:tc>
          <w:tcPr>
            <w:tcW w:w="0" w:type="dxa"/>
            <w:vAlign w:val="bottom"/>
          </w:tcPr>
          <w:p>
            <w:pPr>
              <w:spacing w:after="0"/>
              <w:rPr>
                <w:sz w:val="1"/>
                <w:szCs w:val="1"/>
                <w:color w:val="auto"/>
              </w:rPr>
            </w:pPr>
          </w:p>
        </w:tc>
      </w:tr>
      <w:tr>
        <w:trPr>
          <w:trHeight w:val="20"/>
        </w:trPr>
        <w:tc>
          <w:tcPr>
            <w:tcW w:w="274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Nine Months Ended September 30, 2016</w:t>
            </w:r>
          </w:p>
        </w:tc>
        <w:tc>
          <w:tcPr>
            <w:tcW w:w="24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740" w:type="dxa"/>
            <w:vAlign w:val="bottom"/>
            <w:tcBorders>
              <w:bottom w:val="single" w:sz="8" w:color="auto"/>
            </w:tcBorders>
            <w:gridSpan w:val="6"/>
            <w:vMerge w:val="continue"/>
          </w:tcPr>
          <w:p>
            <w:pPr>
              <w:spacing w:after="0"/>
              <w:rPr>
                <w:sz w:val="24"/>
                <w:szCs w:val="24"/>
                <w:color w:val="auto"/>
              </w:rPr>
            </w:pPr>
          </w:p>
        </w:tc>
        <w:tc>
          <w:tcPr>
            <w:tcW w:w="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980" w:type="dxa"/>
            <w:vAlign w:val="bottom"/>
            <w:gridSpan w:val="7"/>
          </w:tcPr>
          <w:p>
            <w:pPr>
              <w:spacing w:after="0"/>
              <w:rPr>
                <w:sz w:val="20"/>
                <w:szCs w:val="20"/>
                <w:color w:val="auto"/>
              </w:rPr>
            </w:pPr>
            <w:r>
              <w:rPr>
                <w:rFonts w:ascii="Arial" w:cs="Arial" w:eastAsia="Arial" w:hAnsi="Arial"/>
                <w:sz w:val="14"/>
                <w:szCs w:val="14"/>
                <w:color w:val="auto"/>
              </w:rPr>
              <w:t>Revenue</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$3,602</w:t>
            </w:r>
          </w:p>
        </w:tc>
        <w:tc>
          <w:tcPr>
            <w:tcW w:w="240" w:type="dxa"/>
            <w:vAlign w:val="bottom"/>
          </w:tcPr>
          <w:p>
            <w:pPr>
              <w:spacing w:after="0"/>
              <w:rPr>
                <w:sz w:val="24"/>
                <w:szCs w:val="24"/>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$3,602</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$23,142</w:t>
            </w:r>
          </w:p>
        </w:tc>
        <w:tc>
          <w:tcPr>
            <w:tcW w:w="240" w:type="dxa"/>
            <w:vAlign w:val="bottom"/>
          </w:tcPr>
          <w:p>
            <w:pPr>
              <w:spacing w:after="0"/>
              <w:rPr>
                <w:sz w:val="24"/>
                <w:szCs w:val="24"/>
                <w:color w:val="auto"/>
              </w:rPr>
            </w:pPr>
          </w:p>
        </w:tc>
        <w:tc>
          <w:tcPr>
            <w:tcW w:w="11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4"/>
                <w:szCs w:val="14"/>
                <w:color w:val="auto"/>
              </w:rPr>
              <w:t>$23,142</w:t>
            </w:r>
          </w:p>
        </w:tc>
        <w:tc>
          <w:tcPr>
            <w:tcW w:w="0" w:type="dxa"/>
            <w:vAlign w:val="bottom"/>
          </w:tcPr>
          <w:p>
            <w:pPr>
              <w:spacing w:after="0"/>
              <w:rPr>
                <w:sz w:val="1"/>
                <w:szCs w:val="1"/>
                <w:color w:val="auto"/>
              </w:rPr>
            </w:pPr>
          </w:p>
        </w:tc>
      </w:tr>
      <w:tr>
        <w:trPr>
          <w:trHeight w:val="228"/>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costs and expenses</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2,052</w:t>
            </w:r>
          </w:p>
        </w:tc>
        <w:tc>
          <w:tcPr>
            <w:tcW w:w="240" w:type="dxa"/>
            <w:vAlign w:val="bottom"/>
          </w:tcPr>
          <w:p>
            <w:pPr>
              <w:spacing w:after="0"/>
              <w:rPr>
                <w:sz w:val="19"/>
                <w:szCs w:val="19"/>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2,052</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17,685</w:t>
            </w:r>
          </w:p>
        </w:tc>
        <w:tc>
          <w:tcPr>
            <w:tcW w:w="24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17,685</w:t>
            </w:r>
          </w:p>
        </w:tc>
        <w:tc>
          <w:tcPr>
            <w:tcW w:w="0" w:type="dxa"/>
            <w:vAlign w:val="bottom"/>
          </w:tcPr>
          <w:p>
            <w:pPr>
              <w:spacing w:after="0"/>
              <w:rPr>
                <w:sz w:val="1"/>
                <w:szCs w:val="1"/>
                <w:color w:val="auto"/>
              </w:rPr>
            </w:pPr>
          </w:p>
        </w:tc>
      </w:tr>
      <w:tr>
        <w:trPr>
          <w:trHeight w:val="196"/>
        </w:trPr>
        <w:tc>
          <w:tcPr>
            <w:tcW w:w="2980" w:type="dxa"/>
            <w:vAlign w:val="bottom"/>
            <w:gridSpan w:val="7"/>
          </w:tcPr>
          <w:p>
            <w:pPr>
              <w:spacing w:after="0"/>
              <w:rPr>
                <w:sz w:val="20"/>
                <w:szCs w:val="20"/>
                <w:color w:val="auto"/>
              </w:rPr>
            </w:pPr>
            <w:r>
              <w:rPr>
                <w:rFonts w:ascii="Arial" w:cs="Arial" w:eastAsia="Arial" w:hAnsi="Arial"/>
                <w:sz w:val="14"/>
                <w:szCs w:val="14"/>
                <w:color w:val="auto"/>
              </w:rPr>
              <w:t>Operating cash flow</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$1,550</w:t>
            </w:r>
          </w:p>
        </w:tc>
        <w:tc>
          <w:tcPr>
            <w:tcW w:w="240" w:type="dxa"/>
            <w:vAlign w:val="bottom"/>
          </w:tcPr>
          <w:p>
            <w:pPr>
              <w:spacing w:after="0"/>
              <w:rPr>
                <w:sz w:val="17"/>
                <w:szCs w:val="17"/>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$1,550</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$5,457</w:t>
            </w:r>
          </w:p>
        </w:tc>
        <w:tc>
          <w:tcPr>
            <w:tcW w:w="240" w:type="dxa"/>
            <w:vAlign w:val="bottom"/>
          </w:tcPr>
          <w:p>
            <w:pPr>
              <w:spacing w:after="0"/>
              <w:rPr>
                <w:sz w:val="17"/>
                <w:szCs w:val="17"/>
                <w:color w:val="auto"/>
              </w:rPr>
            </w:pPr>
          </w:p>
        </w:tc>
        <w:tc>
          <w:tcPr>
            <w:tcW w:w="11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$5,457</w:t>
            </w:r>
          </w:p>
        </w:tc>
        <w:tc>
          <w:tcPr>
            <w:tcW w:w="0" w:type="dxa"/>
            <w:vAlign w:val="bottom"/>
          </w:tcPr>
          <w:p>
            <w:pPr>
              <w:spacing w:after="0"/>
              <w:rPr>
                <w:sz w:val="1"/>
                <w:szCs w:val="1"/>
                <w:color w:val="auto"/>
              </w:rPr>
            </w:pPr>
          </w:p>
        </w:tc>
      </w:tr>
      <w:tr>
        <w:trPr>
          <w:trHeight w:val="20"/>
        </w:trPr>
        <w:tc>
          <w:tcPr>
            <w:tcW w:w="298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Growth Rates</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gridSpan w:val="7"/>
            <w:vMerge w:val="continue"/>
          </w:tcPr>
          <w:p>
            <w:pPr>
              <w:spacing w:after="0"/>
              <w:rPr>
                <w:sz w:val="24"/>
                <w:szCs w:val="2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55.2%</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12.5%</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10.3%</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0"/>
        </w:trPr>
        <w:tc>
          <w:tcPr>
            <w:tcW w:w="9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rPr>
              <w:t>Revenue</w:t>
            </w:r>
          </w:p>
        </w:tc>
        <w:tc>
          <w:tcPr>
            <w:tcW w:w="2040" w:type="dxa"/>
            <w:vAlign w:val="bottom"/>
            <w:gridSpan w:val="3"/>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80" w:type="dxa"/>
            <w:vAlign w:val="bottom"/>
            <w:gridSpan w:val="7"/>
          </w:tcPr>
          <w:p>
            <w:pPr>
              <w:spacing w:after="0" w:line="157" w:lineRule="exact"/>
              <w:rPr>
                <w:sz w:val="20"/>
                <w:szCs w:val="20"/>
                <w:color w:val="auto"/>
              </w:rPr>
            </w:pPr>
            <w:r>
              <w:rPr>
                <w:rFonts w:ascii="Arial" w:cs="Arial" w:eastAsia="Arial" w:hAnsi="Arial"/>
                <w:sz w:val="14"/>
                <w:szCs w:val="14"/>
                <w:color w:val="auto"/>
              </w:rPr>
              <w:t>Operating cash flow</w:t>
            </w:r>
          </w:p>
        </w:tc>
        <w:tc>
          <w:tcPr>
            <w:tcW w:w="1140" w:type="dxa"/>
            <w:vAlign w:val="bottom"/>
          </w:tcPr>
          <w:p>
            <w:pPr>
              <w:jc w:val="right"/>
              <w:ind w:right="8"/>
              <w:spacing w:after="0" w:line="157"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9.8%</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8"/>
              <w:spacing w:after="0" w:line="157" w:lineRule="exact"/>
              <w:rPr>
                <w:sz w:val="20"/>
                <w:szCs w:val="20"/>
                <w:color w:val="auto"/>
              </w:rPr>
            </w:pPr>
            <w:r>
              <w:rPr>
                <w:rFonts w:ascii="Arial" w:cs="Arial" w:eastAsia="Arial" w:hAnsi="Arial"/>
                <w:sz w:val="14"/>
                <w:szCs w:val="14"/>
                <w:color w:val="auto"/>
              </w:rPr>
              <w:t>13.7%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80" w:firstLine="8"/>
        <w:spacing w:after="0" w:line="247" w:lineRule="auto"/>
        <w:tabs>
          <w:tab w:leader="none" w:pos="2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information is presented as if the acquisition of the 51% interest of Universal Studios Japan occurred January 1, 2014. Pro forma data does not include adjustments for transaction-related costs, costs related to integration activities, or cost savings or synergies that have been or may be achieved by the combined businesses. The pro forma amounts are based on historical results of operations and are subject to change as valuations are finalized. Pro forma amounts are not necessarily indicative of what our results would have been had we operated Universal Studios Japan since January 1, 2014, nor of our future results.</w:t>
      </w:r>
    </w:p>
    <w:p>
      <w:pPr>
        <w:spacing w:after="0" w:line="147" w:lineRule="exact"/>
        <w:rPr>
          <w:rFonts w:ascii="Arial" w:cs="Arial" w:eastAsia="Arial" w:hAnsi="Arial"/>
          <w:sz w:val="14"/>
          <w:szCs w:val="14"/>
          <w:color w:val="auto"/>
        </w:rPr>
      </w:pPr>
    </w:p>
    <w:p>
      <w:pPr>
        <w:jc w:val="both"/>
        <w:ind w:right="160" w:firstLine="8"/>
        <w:spacing w:after="0" w:line="247" w:lineRule="auto"/>
        <w:tabs>
          <w:tab w:leader="none" w:pos="208" w:val="left"/>
        </w:tabs>
        <w:numPr>
          <w:ilvl w:val="0"/>
          <w:numId w:val="12"/>
        </w:numPr>
        <w:rPr>
          <w:rFonts w:ascii="Arial" w:cs="Arial" w:eastAsia="Arial" w:hAnsi="Arial"/>
          <w:sz w:val="14"/>
          <w:szCs w:val="14"/>
          <w:color w:val="auto"/>
        </w:rPr>
      </w:pPr>
      <w:r>
        <w:rPr>
          <w:rFonts w:ascii="Arial" w:cs="Arial" w:eastAsia="Arial" w:hAnsi="Arial"/>
          <w:sz w:val="14"/>
          <w:szCs w:val="14"/>
          <w:color w:val="auto"/>
        </w:rPr>
        <w:t>As reported results for Theme Parks and total NBCUniversal for 2015 have been adjusted for the change in NBCUniversal’s method of accounting for a contractual obligation that involves an interest held by a third party in the revenue of certain theme parks. As a result of the change, the amounts that are payable based on current period revenue are now presented in operating costs and expenses, rather than other income (expense), net in our consolidated statement of income. The change was effective beginning in the 4th quarter of 2015 and for segment reporting purposes we also adjusted prior periods to reflect management reporting presentation of such amounts on a consistent basis.</w:t>
      </w:r>
    </w:p>
    <w:p>
      <w:pPr>
        <w:sectPr>
          <w:pgSz w:w="11900" w:h="16838" w:orient="portrait"/>
          <w:cols w:equalWidth="0" w:num="1">
            <w:col w:w="11420"/>
          </w:cols>
          <w:pgMar w:left="240" w:top="140" w:right="239" w:bottom="0" w:gutter="0" w:footer="0" w:header="0"/>
        </w:sectPr>
      </w:pPr>
    </w:p>
    <w:bookmarkStart w:id="11" w:name="page12"/>
    <w:bookmarkEnd w:id="11"/>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71755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50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828282"/>
        </w:rPr>
        <w:t>TABLE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66040</wp:posOffset>
            </wp:positionV>
            <wp:extent cx="1089025"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89025" cy="428625"/>
                    </a:xfrm>
                    <a:prstGeom prst="rect">
                      <a:avLst/>
                    </a:prstGeom>
                    <a:noFill/>
                  </pic:spPr>
                </pic:pic>
              </a:graphicData>
            </a:graphic>
          </wp:anchor>
        </w:drawing>
      </w:r>
    </w:p>
    <w:p>
      <w:pPr>
        <w:spacing w:after="0" w:line="128" w:lineRule="exact"/>
        <w:rPr>
          <w:sz w:val="20"/>
          <w:szCs w:val="20"/>
          <w:color w:val="auto"/>
        </w:rPr>
      </w:pPr>
    </w:p>
    <w:p>
      <w:pPr>
        <w:ind w:right="3340"/>
        <w:spacing w:after="0" w:line="253" w:lineRule="auto"/>
        <w:rPr>
          <w:sz w:val="20"/>
          <w:szCs w:val="20"/>
          <w:color w:val="auto"/>
        </w:rPr>
      </w:pPr>
      <w:r>
        <w:rPr>
          <w:rFonts w:ascii="Arial" w:cs="Arial" w:eastAsia="Arial" w:hAnsi="Arial"/>
          <w:sz w:val="18"/>
          <w:szCs w:val="18"/>
          <w:b w:val="1"/>
          <w:bCs w:val="1"/>
          <w:color w:val="828282"/>
        </w:rPr>
        <w:t>Reconciliation of Consolidated Revenue Excluding 2016 Olympics and 2015 Super Bowl and Operating Cash Flow Excluding Costs Related to Time Warner Cable and Charter Transactions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5"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$18,669</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$21,319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$55,265</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$59,378</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4"/>
                <w:szCs w:val="14"/>
                <w:color w:val="auto"/>
              </w:rPr>
              <w:t>2016 Olympics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60" w:type="dxa"/>
            <w:vAlign w:val="bottom"/>
          </w:tcPr>
          <w:p>
            <w:pPr>
              <w:spacing w:after="0"/>
              <w:rPr>
                <w:sz w:val="20"/>
                <w:szCs w:val="20"/>
                <w:color w:val="auto"/>
              </w:rPr>
            </w:pPr>
            <w:r>
              <w:rPr>
                <w:rFonts w:ascii="Arial" w:cs="Arial" w:eastAsia="Arial" w:hAnsi="Arial"/>
                <w:sz w:val="14"/>
                <w:szCs w:val="14"/>
                <w:color w:val="auto"/>
              </w:rPr>
              <w:t>2015 Super Bowl</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4"/>
                <w:szCs w:val="14"/>
                <w:color w:val="auto"/>
              </w:rPr>
              <w:t>Revenue excluding 2016 Olympics and 2015 Super Bowl</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$18,669</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$19,699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$54,889</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$57,758</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Borders>
              <w:right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6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0"/>
                <w:szCs w:val="20"/>
                <w:color w:val="auto"/>
              </w:rPr>
            </w:pPr>
            <w:r>
              <w:rPr>
                <w:rFonts w:ascii="Arial" w:cs="Arial" w:eastAsia="Arial" w:hAnsi="Arial"/>
                <w:sz w:val="14"/>
                <w:szCs w:val="14"/>
                <w:color w:val="auto"/>
              </w:rPr>
              <w:t>Operating Income</w:t>
            </w:r>
          </w:p>
        </w:tc>
        <w:tc>
          <w:tcPr>
            <w:tcW w:w="880" w:type="dxa"/>
            <w:vAlign w:val="bottom"/>
          </w:tcPr>
          <w:p>
            <w:pPr>
              <w:jc w:val="right"/>
              <w:spacing w:after="0"/>
              <w:rPr>
                <w:sz w:val="20"/>
                <w:szCs w:val="20"/>
                <w:color w:val="auto"/>
              </w:rPr>
            </w:pPr>
            <w:r>
              <w:rPr>
                <w:rFonts w:ascii="Arial" w:cs="Arial" w:eastAsia="Arial" w:hAnsi="Arial"/>
                <w:sz w:val="14"/>
                <w:szCs w:val="14"/>
                <w:color w:val="auto"/>
              </w:rPr>
              <w:t>$4,001</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$4,440</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$11,996</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$12,595</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jc w:val="right"/>
              <w:spacing w:after="0"/>
              <w:rPr>
                <w:sz w:val="20"/>
                <w:szCs w:val="20"/>
                <w:color w:val="auto"/>
              </w:rPr>
            </w:pPr>
            <w:r>
              <w:rPr>
                <w:rFonts w:ascii="Arial" w:cs="Arial" w:eastAsia="Arial" w:hAnsi="Arial"/>
                <w:sz w:val="14"/>
                <w:szCs w:val="14"/>
                <w:color w:val="auto"/>
              </w:rPr>
              <w:t>2,183</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2,395</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6,410</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7,062</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3"/>
        </w:trPr>
        <w:tc>
          <w:tcPr>
            <w:tcW w:w="4560" w:type="dxa"/>
            <w:vAlign w:val="bottom"/>
            <w:vMerge w:val="restart"/>
          </w:tcPr>
          <w:p>
            <w:pPr>
              <w:spacing w:after="0"/>
              <w:rPr>
                <w:sz w:val="20"/>
                <w:szCs w:val="20"/>
                <w:color w:val="auto"/>
              </w:rPr>
            </w:pPr>
            <w:r>
              <w:rPr>
                <w:rFonts w:ascii="Arial" w:cs="Arial" w:eastAsia="Arial" w:hAnsi="Arial"/>
                <w:sz w:val="14"/>
                <w:szCs w:val="14"/>
                <w:color w:val="auto"/>
              </w:rPr>
              <w:t>Operating Cash Flow</w:t>
            </w:r>
          </w:p>
        </w:tc>
        <w:tc>
          <w:tcPr>
            <w:tcW w:w="880" w:type="dxa"/>
            <w:vAlign w:val="bottom"/>
          </w:tcPr>
          <w:p>
            <w:pPr>
              <w:spacing w:after="0"/>
              <w:rPr>
                <w:sz w:val="4"/>
                <w:szCs w:val="4"/>
                <w:color w:val="auto"/>
              </w:rPr>
            </w:pPr>
          </w:p>
        </w:tc>
        <w:tc>
          <w:tcPr>
            <w:tcW w:w="1180" w:type="dxa"/>
            <w:vAlign w:val="bottom"/>
            <w:gridSpan w:val="3"/>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10.5%</w:t>
            </w:r>
          </w:p>
        </w:tc>
        <w:tc>
          <w:tcPr>
            <w:tcW w:w="20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60" w:type="dxa"/>
            <w:vAlign w:val="bottom"/>
            <w:gridSpan w:val="3"/>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4"/>
        </w:trPr>
        <w:tc>
          <w:tcPr>
            <w:tcW w:w="4560" w:type="dxa"/>
            <w:vAlign w:val="bottom"/>
            <w:vMerge w:val="continue"/>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$6,184</w:t>
            </w: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$6,835</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$18,406</w:t>
            </w:r>
          </w:p>
        </w:tc>
        <w:tc>
          <w:tcPr>
            <w:tcW w:w="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$19,657</w:t>
            </w:r>
          </w:p>
        </w:tc>
        <w:tc>
          <w:tcPr>
            <w:tcW w:w="2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560" w:type="dxa"/>
            <w:vAlign w:val="bottom"/>
          </w:tcPr>
          <w:p>
            <w:pPr>
              <w:spacing w:after="0"/>
              <w:rPr>
                <w:sz w:val="20"/>
                <w:szCs w:val="20"/>
                <w:color w:val="auto"/>
              </w:rPr>
            </w:pPr>
            <w:r>
              <w:rPr>
                <w:rFonts w:ascii="Arial" w:cs="Arial" w:eastAsia="Arial" w:hAnsi="Arial"/>
                <w:sz w:val="14"/>
                <w:szCs w:val="14"/>
                <w:color w:val="auto"/>
              </w:rPr>
              <w:t>Costs related to Time Warner Cable and Charter transactions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60" w:type="dxa"/>
            <w:vAlign w:val="bottom"/>
          </w:tcPr>
          <w:p>
            <w:pPr>
              <w:spacing w:after="0"/>
              <w:rPr>
                <w:sz w:val="20"/>
                <w:szCs w:val="20"/>
                <w:color w:val="auto"/>
              </w:rPr>
            </w:pPr>
            <w:r>
              <w:rPr>
                <w:rFonts w:ascii="Arial" w:cs="Arial" w:eastAsia="Arial" w:hAnsi="Arial"/>
                <w:sz w:val="14"/>
                <w:szCs w:val="14"/>
                <w:color w:val="auto"/>
              </w:rPr>
              <w:t>Operating Cash Flow excluding costs related to Time Warner Cable</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$6,184</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$6,835</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$18,584</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$19,657</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4560" w:type="dxa"/>
            <w:vAlign w:val="bottom"/>
          </w:tcPr>
          <w:p>
            <w:pPr>
              <w:ind w:left="180"/>
              <w:spacing w:after="0" w:line="144" w:lineRule="exact"/>
              <w:rPr>
                <w:sz w:val="20"/>
                <w:szCs w:val="20"/>
                <w:color w:val="auto"/>
              </w:rPr>
            </w:pPr>
            <w:r>
              <w:rPr>
                <w:rFonts w:ascii="Arial" w:cs="Arial" w:eastAsia="Arial" w:hAnsi="Arial"/>
                <w:sz w:val="14"/>
                <w:szCs w:val="14"/>
                <w:color w:val="auto"/>
              </w:rPr>
              <w:t>and Charter transactions</w:t>
            </w:r>
          </w:p>
        </w:tc>
        <w:tc>
          <w:tcPr>
            <w:tcW w:w="88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10.5%</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Consolidated NBCUniversal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269"/>
        </w:trPr>
        <w:tc>
          <w:tcPr>
            <w:tcW w:w="4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56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$7,151</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$9,178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28.3%</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$20,985</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$23,142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15"/>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220" w:type="dxa"/>
            <w:vAlign w:val="bottom"/>
          </w:tcPr>
          <w:p>
            <w:pPr>
              <w:ind w:left="20"/>
              <w:spacing w:after="0"/>
              <w:rPr>
                <w:sz w:val="20"/>
                <w:szCs w:val="20"/>
                <w:color w:val="auto"/>
              </w:rPr>
            </w:pPr>
            <w:r>
              <w:rPr>
                <w:rFonts w:ascii="Arial" w:cs="Arial" w:eastAsia="Arial" w:hAnsi="Arial"/>
                <w:sz w:val="14"/>
                <w:szCs w:val="14"/>
                <w:color w:val="auto"/>
              </w:rPr>
              <w:t>Olympics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2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4560" w:type="dxa"/>
            <w:vAlign w:val="bottom"/>
            <w:gridSpan w:val="2"/>
          </w:tcPr>
          <w:p>
            <w:pPr>
              <w:spacing w:after="0"/>
              <w:rPr>
                <w:sz w:val="20"/>
                <w:szCs w:val="20"/>
                <w:color w:val="auto"/>
              </w:rPr>
            </w:pPr>
            <w:r>
              <w:rPr>
                <w:rFonts w:ascii="Arial" w:cs="Arial" w:eastAsia="Arial" w:hAnsi="Arial"/>
                <w:sz w:val="14"/>
                <w:szCs w:val="14"/>
                <w:color w:val="auto"/>
              </w:rPr>
              <w:t>Revenue excluding 2016 Olympics and 2015 Super Bowl</w:t>
            </w:r>
          </w:p>
        </w:tc>
        <w:tc>
          <w:tcPr>
            <w:tcW w:w="880" w:type="dxa"/>
            <w:vAlign w:val="bottom"/>
          </w:tcPr>
          <w:p>
            <w:pPr>
              <w:jc w:val="right"/>
              <w:spacing w:after="0"/>
              <w:rPr>
                <w:sz w:val="20"/>
                <w:szCs w:val="20"/>
                <w:color w:val="auto"/>
              </w:rPr>
            </w:pPr>
            <w:r>
              <w:rPr>
                <w:rFonts w:ascii="Arial" w:cs="Arial" w:eastAsia="Arial" w:hAnsi="Arial"/>
                <w:sz w:val="14"/>
                <w:szCs w:val="14"/>
                <w:color w:val="auto"/>
              </w:rPr>
              <w:t>$7,151</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$7,558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$20,609</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$21,522</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Consolidated NBCUniversal Pro Forma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45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0" w:type="dxa"/>
            <w:vAlign w:val="bottom"/>
          </w:tcPr>
          <w:p>
            <w:pPr>
              <w:spacing w:after="0"/>
              <w:rPr>
                <w:sz w:val="1"/>
                <w:szCs w:val="1"/>
                <w:color w:val="auto"/>
              </w:rPr>
            </w:pPr>
          </w:p>
        </w:tc>
      </w:tr>
      <w:tr>
        <w:trPr>
          <w:trHeight w:val="252"/>
        </w:trPr>
        <w:tc>
          <w:tcPr>
            <w:tcW w:w="4560" w:type="dxa"/>
            <w:vAlign w:val="bottom"/>
            <w:gridSpan w:val="2"/>
          </w:tcPr>
          <w:p>
            <w:pPr>
              <w:spacing w:after="0"/>
              <w:rPr>
                <w:sz w:val="20"/>
                <w:szCs w:val="20"/>
                <w:color w:val="auto"/>
              </w:rPr>
            </w:pPr>
            <w:r>
              <w:rPr>
                <w:rFonts w:ascii="Arial" w:cs="Arial" w:eastAsia="Arial" w:hAnsi="Arial"/>
                <w:sz w:val="14"/>
                <w:szCs w:val="14"/>
                <w:color w:val="auto"/>
              </w:rPr>
              <w:t>Pro Forma 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$7,495</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$9,178</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$21,867</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$23,142</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220" w:type="dxa"/>
            <w:vAlign w:val="bottom"/>
          </w:tcPr>
          <w:p>
            <w:pPr>
              <w:ind w:left="20"/>
              <w:spacing w:after="0"/>
              <w:rPr>
                <w:sz w:val="20"/>
                <w:szCs w:val="20"/>
                <w:color w:val="auto"/>
              </w:rPr>
            </w:pPr>
            <w:r>
              <w:rPr>
                <w:rFonts w:ascii="Arial" w:cs="Arial" w:eastAsia="Arial" w:hAnsi="Arial"/>
                <w:sz w:val="14"/>
                <w:szCs w:val="14"/>
                <w:color w:val="auto"/>
              </w:rPr>
              <w:t>Olympics</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(1,620)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22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560" w:type="dxa"/>
            <w:vAlign w:val="bottom"/>
            <w:gridSpan w:val="2"/>
          </w:tcPr>
          <w:p>
            <w:pPr>
              <w:spacing w:after="0"/>
              <w:rPr>
                <w:sz w:val="20"/>
                <w:szCs w:val="20"/>
                <w:color w:val="auto"/>
              </w:rPr>
            </w:pPr>
            <w:r>
              <w:rPr>
                <w:rFonts w:ascii="Arial" w:cs="Arial" w:eastAsia="Arial" w:hAnsi="Arial"/>
                <w:sz w:val="14"/>
                <w:szCs w:val="14"/>
                <w:color w:val="auto"/>
              </w:rPr>
              <w:t>Pro Forma Revenue excluding 2016 Olympics and 2015 Super</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$7,495</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$7,558</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$21,491</w:t>
            </w: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$21,522</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4560" w:type="dxa"/>
            <w:vAlign w:val="bottom"/>
            <w:gridSpan w:val="2"/>
          </w:tcPr>
          <w:p>
            <w:pPr>
              <w:ind w:left="180"/>
              <w:spacing w:after="0" w:line="144" w:lineRule="exact"/>
              <w:rPr>
                <w:sz w:val="20"/>
                <w:szCs w:val="20"/>
                <w:color w:val="auto"/>
              </w:rPr>
            </w:pPr>
            <w:r>
              <w:rPr>
                <w:rFonts w:ascii="Arial" w:cs="Arial" w:eastAsia="Arial" w:hAnsi="Arial"/>
                <w:sz w:val="14"/>
                <w:szCs w:val="14"/>
                <w:color w:val="auto"/>
              </w:rPr>
              <w:t>Bowl</w:t>
            </w:r>
          </w:p>
        </w:tc>
        <w:tc>
          <w:tcPr>
            <w:tcW w:w="880" w:type="dxa"/>
            <w:vAlign w:val="bottom"/>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right"/>
              <w:spacing w:after="0" w:line="144" w:lineRule="exact"/>
              <w:rPr>
                <w:sz w:val="20"/>
                <w:szCs w:val="20"/>
                <w:color w:val="auto"/>
              </w:rPr>
            </w:pPr>
            <w:r>
              <w:rPr>
                <w:rFonts w:ascii="Arial" w:cs="Arial" w:eastAsia="Arial" w:hAnsi="Arial"/>
                <w:sz w:val="14"/>
                <w:szCs w:val="14"/>
                <w:color w:val="auto"/>
              </w:rPr>
              <w:t>0.8%</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Cable Networks Revenue Excluding 2016 Olympics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center"/>
              <w:ind w:left="828"/>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4"/>
                <w:szCs w:val="14"/>
                <w:color w:val="auto"/>
              </w:rPr>
              <w:t>(in millions)</w:t>
            </w: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560" w:type="dxa"/>
            <w:vAlign w:val="bottom"/>
          </w:tcPr>
          <w:p>
            <w:pPr>
              <w:spacing w:after="0"/>
              <w:rPr>
                <w:sz w:val="20"/>
                <w:szCs w:val="20"/>
                <w:color w:val="auto"/>
              </w:rPr>
            </w:pPr>
            <w:r>
              <w:rPr>
                <w:rFonts w:ascii="Arial" w:cs="Arial" w:eastAsia="Arial" w:hAnsi="Arial"/>
                <w:sz w:val="14"/>
                <w:szCs w:val="14"/>
                <w:color w:val="auto"/>
              </w:rPr>
              <w:t>Revenue</w:t>
            </w:r>
          </w:p>
        </w:tc>
        <w:tc>
          <w:tcPr>
            <w:tcW w:w="880" w:type="dxa"/>
            <w:vAlign w:val="bottom"/>
          </w:tcPr>
          <w:p>
            <w:pPr>
              <w:jc w:val="right"/>
              <w:spacing w:after="0"/>
              <w:rPr>
                <w:sz w:val="20"/>
                <w:szCs w:val="20"/>
                <w:color w:val="auto"/>
              </w:rPr>
            </w:pPr>
            <w:r>
              <w:rPr>
                <w:rFonts w:ascii="Arial" w:cs="Arial" w:eastAsia="Arial" w:hAnsi="Arial"/>
                <w:sz w:val="14"/>
                <w:szCs w:val="14"/>
                <w:color w:val="auto"/>
              </w:rPr>
              <w:t>$2,412</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$2,942</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$7,221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$7,961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w:t>
            </w:r>
          </w:p>
        </w:tc>
      </w:tr>
      <w:tr>
        <w:trPr>
          <w:trHeight w:val="228"/>
        </w:trPr>
        <w:tc>
          <w:tcPr>
            <w:tcW w:w="4560" w:type="dxa"/>
            <w:vAlign w:val="bottom"/>
          </w:tcPr>
          <w:p>
            <w:pPr>
              <w:spacing w:after="0"/>
              <w:rPr>
                <w:sz w:val="20"/>
                <w:szCs w:val="20"/>
                <w:color w:val="auto"/>
              </w:rPr>
            </w:pPr>
            <w:r>
              <w:rPr>
                <w:rFonts w:ascii="Arial" w:cs="Arial" w:eastAsia="Arial" w:hAnsi="Arial"/>
                <w:sz w:val="14"/>
                <w:szCs w:val="14"/>
                <w:color w:val="auto"/>
              </w:rPr>
              <w:t>2016 Olympics</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(432)</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4"/>
                <w:szCs w:val="14"/>
                <w:color w:val="auto"/>
              </w:rPr>
              <w:t>Revenue excluding 2016 Olympics</w:t>
            </w:r>
          </w:p>
        </w:tc>
        <w:tc>
          <w:tcPr>
            <w:tcW w:w="880" w:type="dxa"/>
            <w:vAlign w:val="bottom"/>
          </w:tcPr>
          <w:p>
            <w:pPr>
              <w:jc w:val="right"/>
              <w:spacing w:after="0"/>
              <w:rPr>
                <w:sz w:val="20"/>
                <w:szCs w:val="20"/>
                <w:color w:val="auto"/>
              </w:rPr>
            </w:pPr>
            <w:r>
              <w:rPr>
                <w:rFonts w:ascii="Arial" w:cs="Arial" w:eastAsia="Arial" w:hAnsi="Arial"/>
                <w:sz w:val="14"/>
                <w:szCs w:val="14"/>
                <w:color w:val="auto"/>
              </w:rPr>
              <w:t>$2,412</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$2,510</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$7,221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$7,529</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
        </w:trPr>
        <w:tc>
          <w:tcPr>
            <w:tcW w:w="45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828282"/>
        </w:rPr>
        <w:t>Reconciliation of Broadcast Television Revenue Excluding 2016 Olympics and 2015 Super Bowl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60" w:type="dxa"/>
            <w:vAlign w:val="bottom"/>
            <w:gridSpan w:val="6"/>
          </w:tcPr>
          <w:p>
            <w:pPr>
              <w:jc w:val="center"/>
              <w:ind w:left="788"/>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tcPr>
          <w:p>
            <w:pPr>
              <w:jc w:val="center"/>
              <w:ind w:left="828"/>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34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6"/>
                <w:szCs w:val="16"/>
                <w:color w:val="auto"/>
              </w:rPr>
            </w:pPr>
          </w:p>
        </w:tc>
      </w:tr>
      <w:tr>
        <w:trPr>
          <w:trHeight w:val="269"/>
        </w:trPr>
        <w:tc>
          <w:tcPr>
            <w:tcW w:w="47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Growth %</w:t>
            </w:r>
          </w:p>
        </w:tc>
        <w:tc>
          <w:tcPr>
            <w:tcW w:w="2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Growth %</w:t>
            </w:r>
          </w:p>
        </w:tc>
      </w:tr>
      <w:tr>
        <w:trPr>
          <w:trHeight w:val="252"/>
        </w:trPr>
        <w:tc>
          <w:tcPr>
            <w:tcW w:w="4700" w:type="dxa"/>
            <w:vAlign w:val="bottom"/>
            <w:gridSpan w:val="2"/>
          </w:tcPr>
          <w:p>
            <w:pPr>
              <w:spacing w:after="0"/>
              <w:rPr>
                <w:sz w:val="20"/>
                <w:szCs w:val="20"/>
                <w:color w:val="auto"/>
              </w:rPr>
            </w:pPr>
            <w:r>
              <w:rPr>
                <w:rFonts w:ascii="Arial" w:cs="Arial" w:eastAsia="Arial" w:hAnsi="Arial"/>
                <w:sz w:val="14"/>
                <w:szCs w:val="14"/>
                <w:color w:val="auto"/>
              </w:rPr>
              <w:t>Revenue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$1,971</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$3,087</w:t>
            </w:r>
          </w:p>
        </w:tc>
        <w:tc>
          <w:tcPr>
            <w:tcW w:w="6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56.6%</w:t>
            </w:r>
          </w:p>
        </w:tc>
        <w:tc>
          <w:tcPr>
            <w:tcW w:w="16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$6,032</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$7,299</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15"/>
        </w:trPr>
        <w:tc>
          <w:tcPr>
            <w:tcW w:w="340" w:type="dxa"/>
            <w:vAlign w:val="bottom"/>
          </w:tcPr>
          <w:p>
            <w:pPr>
              <w:spacing w:after="0"/>
              <w:rPr>
                <w:sz w:val="20"/>
                <w:szCs w:val="20"/>
                <w:color w:val="auto"/>
              </w:rPr>
            </w:pPr>
            <w:r>
              <w:rPr>
                <w:rFonts w:ascii="Arial" w:cs="Arial" w:eastAsia="Arial" w:hAnsi="Arial"/>
                <w:sz w:val="14"/>
                <w:szCs w:val="14"/>
                <w:color w:val="auto"/>
              </w:rPr>
              <w:t>2016</w:t>
            </w:r>
          </w:p>
        </w:tc>
        <w:tc>
          <w:tcPr>
            <w:tcW w:w="4360" w:type="dxa"/>
            <w:vAlign w:val="bottom"/>
          </w:tcPr>
          <w:p>
            <w:pPr>
              <w:ind w:left="20"/>
              <w:spacing w:after="0"/>
              <w:rPr>
                <w:sz w:val="20"/>
                <w:szCs w:val="20"/>
                <w:color w:val="auto"/>
              </w:rPr>
            </w:pPr>
            <w:r>
              <w:rPr>
                <w:rFonts w:ascii="Arial" w:cs="Arial" w:eastAsia="Arial" w:hAnsi="Arial"/>
                <w:sz w:val="14"/>
                <w:szCs w:val="14"/>
                <w:color w:val="auto"/>
              </w:rPr>
              <w:t>Olympics</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(1,188)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(1,188)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75"/>
        </w:trPr>
        <w:tc>
          <w:tcPr>
            <w:tcW w:w="340" w:type="dxa"/>
            <w:vAlign w:val="bottom"/>
          </w:tcPr>
          <w:p>
            <w:pPr>
              <w:spacing w:after="0"/>
              <w:rPr>
                <w:sz w:val="20"/>
                <w:szCs w:val="20"/>
                <w:color w:val="auto"/>
              </w:rPr>
            </w:pPr>
            <w:r>
              <w:rPr>
                <w:rFonts w:ascii="Arial" w:cs="Arial" w:eastAsia="Arial" w:hAnsi="Arial"/>
                <w:sz w:val="14"/>
                <w:szCs w:val="14"/>
                <w:color w:val="auto"/>
              </w:rPr>
              <w:t>2015</w:t>
            </w:r>
          </w:p>
        </w:tc>
        <w:tc>
          <w:tcPr>
            <w:tcW w:w="4360" w:type="dxa"/>
            <w:vAlign w:val="bottom"/>
          </w:tcPr>
          <w:p>
            <w:pPr>
              <w:ind w:left="20"/>
              <w:spacing w:after="0"/>
              <w:rPr>
                <w:sz w:val="20"/>
                <w:szCs w:val="20"/>
                <w:color w:val="auto"/>
              </w:rPr>
            </w:pPr>
            <w:r>
              <w:rPr>
                <w:rFonts w:ascii="Arial" w:cs="Arial" w:eastAsia="Arial" w:hAnsi="Arial"/>
                <w:sz w:val="14"/>
                <w:szCs w:val="14"/>
                <w:color w:val="auto"/>
              </w:rPr>
              <w:t>Super Bowl</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4"/>
                <w:szCs w:val="14"/>
                <w:color w:val="auto"/>
              </w:rPr>
              <w:t>Revenue excluding 2016 Olympics and 2015 Super Bowl</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$1,971</w:t>
            </w:r>
          </w:p>
        </w:tc>
        <w:tc>
          <w:tcPr>
            <w:tcW w:w="12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$1,899</w:t>
            </w:r>
          </w:p>
        </w:tc>
        <w:tc>
          <w:tcPr>
            <w:tcW w:w="6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$5,656</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rPr>
              <w:t>$6,111</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0"/>
        </w:trPr>
        <w:tc>
          <w:tcPr>
            <w:tcW w:w="3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xml:space="preserve"> Minor differences may exist due to rounding.</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55" w:right="239" w:bottom="505"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7"/>
          <w:szCs w:val="17"/>
          <w:b w:val="1"/>
          <w:bCs w:val="1"/>
          <w:color w:val="auto"/>
        </w:rPr>
        <w:t>Exhibit 99.2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This Exhibit 99.2 to the accompanying Current Report on Form 8-K for Comcast Corporation (“Company”,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financial condition and results of operations. To the extent material, this Exhibit also discloses the additional purposes, if any, for which our management uses these non-GAAP financial measures. A reconciliation of these non-GAAP financial measures with the most directly comparable GAAP financial measures is included in the earnings press release itself.</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Operating Cash Flow is the primary basis used to measure the operational strength and performance of our businesses. Free Cash Flow is an additional performance measure used as an indicator of our ability to service and repay debt, make investments and return capital to investors, through stock repurchases and dividends. We also adjust certain historical data on a pro forma basis following certain acquisitions or dispositions to enhance comparability.</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Cash Flow is defined as operating income (loss) before depreciation and amortization, excluding impairment charges related to fixed and intangible assets and gains or losses on the sale of assets, if any. This measure eliminates the significant level of noncash depreciation and amortization expense that results from the capital-intensive nature of certain of our businesses and from intangible assets recognized in business combinations. It is also unaffected by our capital structure or investment activities.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Operating Cash Flow is useful to investors because it is one of the bases for comparing our operating performance with that of other companies in our industries, although our measure of Operating Cash Flow may not be directly comparable to similar measures used by other companies.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Because we use Operating Cash Flow to measure our segment profit or loss, we reconcile it to operating income, the most directly comparable financial measure calculated and presented in accordance with GAAP, in the business segment footnote to our quarterly and annual consolidated financial statements. Therefore, we believe our measure of Operating Cash Flow for our segments is not a “non-GAAP financial measure” as contemplated by Regulation G adopted by the Securities and Exchange Commission. Consolidated Operating Cash Flow is a non-GAAP financial measure.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Free Cash Flow, which is a non-GAAP financial measure, is defined as “Net Cash Provided by Operating Activities” (as stated in our Consolidated Statement of Cash Flows) reduced by capital expenditures, cash paid for intangible assets, principal payments on capital leases and cash distributions to noncontrolling interests; and adjusted for any payments and receipts related to certain nonoperating items, net of estimated tax effects (such as income taxes on investment sales and payments related to income tax and litigation contingencies of acquired companies). We believe that Free Cash Flow is also useful to investors as the basis for comparing our performance and coverage ratios with other companies in our industries, although our measure of Free Cash Flow may not be directly comparable to similar measures used by other companies.</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Pro forma data is used by management to evaluate performance when certain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preceding year. Our pro forma data is adjusted for the timing of acquisitions or dispositions, the effects of acquisition accounting, eliminating the costs and expenses directly related to the transaction, but does not include adjustments for costs related to integration activities, cost savings or synergies that have been or may be achieved by the combined businesses. We do not believe our pro forma data is a non-GAAP financial measure as contemplated by Regulation G.</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certain circumstances we also present “adjusted” data, to exclude certain gains, losses or other charges (such as from the sales of investments or dispositions of businesses). This “adjusted” data is a non-GAAP financial measure. We believe, among other things, that the “adjusted” data may help investors evaluate our ongoing operations and can assist in making meaningful period-over-period comparisons.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 99.2 – Explanation of Non-GAAP and Other Financial Measures, cont’d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Non-GAAP financial measures should not be considered as substitutes for operating income (loss), net income (loss) attributable to Comcast Corporation, earnings per common share attributable to Comcast Corporation shareholders, net cash provided by operating activities or other measures of performance or liquidity reported in accordance with GAAP.</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Additionally, in the opinion of management, our pro forma data is not necessarily indicative of future results or what our results would have been had the acquired businesses been operated by us after the assumed earlier date.</w:t>
      </w:r>
    </w:p>
    <w:p>
      <w:pPr>
        <w:spacing w:after="0" w:line="17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In Exhibit 99.1 to this Current Report on Form 8-K we provide reconciliations of Operating Cash Flow and Free Cash Flow in Table 4 and “adjusted” data in Tables 5 and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3"/>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3"/>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2019-12-07T15:52:58Z</dcterms:created>
  <dcterms:modified xsi:type="dcterms:W3CDTF">2019-12-07T15:52:58Z</dcterms:modified>
</cp:coreProperties>
</file>