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5807075</wp:posOffset>
            </wp:positionH>
            <wp:positionV relativeFrom="page">
              <wp:posOffset>155575</wp:posOffset>
            </wp:positionV>
            <wp:extent cx="1598930" cy="559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8930" cy="559435"/>
                    </a:xfrm>
                    <a:prstGeom prst="rect">
                      <a:avLst/>
                    </a:prstGeom>
                    <a:noFill/>
                  </pic:spPr>
                </pic:pic>
              </a:graphicData>
            </a:graphic>
          </wp:anchor>
        </w:drawing>
        <w:t>OMB APPROVAL</w:t>
      </w:r>
    </w:p>
    <w:tbl>
      <w:tblPr>
        <w:tblLayout w:type="fixed"/>
        <w:tblInd w:w="8900" w:type="dxa"/>
        <w:tblCellMar>
          <w:top w:w="0" w:type="dxa"/>
          <w:left w:w="0" w:type="dxa"/>
          <w:bottom w:w="0" w:type="dxa"/>
          <w:right w:w="0" w:type="dxa"/>
        </w:tblCellMar>
      </w:tblPr>
      <w:tr>
        <w:trPr>
          <w:trHeight w:val="145"/>
        </w:trPr>
        <w:tc>
          <w:tcPr>
            <w:tcW w:w="1240" w:type="dxa"/>
            <w:vAlign w:val="bottom"/>
            <w:tcBorders>
              <w:top w:val="single" w:sz="8" w:color="auto"/>
              <w:bottom w:val="single" w:sz="8" w:color="auto"/>
            </w:tcBorders>
          </w:tcPr>
          <w:p>
            <w:pPr>
              <w:ind w:left="240"/>
              <w:spacing w:after="0" w:line="145" w:lineRule="exact"/>
              <w:rPr>
                <w:sz w:val="20"/>
                <w:szCs w:val="20"/>
                <w:color w:val="auto"/>
              </w:rPr>
            </w:pPr>
            <w:r>
              <w:rPr>
                <w:rFonts w:ascii="Arial" w:cs="Arial" w:eastAsia="Arial" w:hAnsi="Arial"/>
                <w:sz w:val="14"/>
                <w:szCs w:val="14"/>
                <w:color w:val="auto"/>
              </w:rPr>
              <w:t>OMB Number:</w:t>
            </w:r>
          </w:p>
        </w:tc>
        <w:tc>
          <w:tcPr>
            <w:tcW w:w="1280" w:type="dxa"/>
            <w:vAlign w:val="bottom"/>
            <w:tcBorders>
              <w:top w:val="single" w:sz="8" w:color="auto"/>
              <w:bottom w:val="single" w:sz="8" w:color="auto"/>
            </w:tcBorders>
          </w:tcPr>
          <w:p>
            <w:pPr>
              <w:jc w:val="right"/>
              <w:ind w:right="52"/>
              <w:spacing w:after="0" w:line="145" w:lineRule="exact"/>
              <w:rPr>
                <w:sz w:val="20"/>
                <w:szCs w:val="20"/>
                <w:color w:val="auto"/>
              </w:rPr>
            </w:pPr>
            <w:r>
              <w:rPr>
                <w:rFonts w:ascii="Arial" w:cs="Arial" w:eastAsia="Arial" w:hAnsi="Arial"/>
                <w:sz w:val="14"/>
                <w:szCs w:val="14"/>
                <w:color w:val="auto"/>
              </w:rPr>
              <w:t>3235-0415</w:t>
            </w:r>
          </w:p>
        </w:tc>
        <w:tc>
          <w:tcPr>
            <w:tcW w:w="20" w:type="dxa"/>
            <w:vAlign w:val="bottom"/>
            <w:tcBorders>
              <w:top w:val="single" w:sz="8" w:color="auto"/>
            </w:tcBorders>
          </w:tcPr>
          <w:p>
            <w:pPr>
              <w:spacing w:after="0"/>
              <w:rPr>
                <w:sz w:val="12"/>
                <w:szCs w:val="12"/>
                <w:color w:val="auto"/>
              </w:rPr>
            </w:pPr>
          </w:p>
        </w:tc>
      </w:tr>
      <w:tr>
        <w:trPr>
          <w:trHeight w:val="157"/>
        </w:trPr>
        <w:tc>
          <w:tcPr>
            <w:tcW w:w="1240" w:type="dxa"/>
            <w:vAlign w:val="bottom"/>
          </w:tcPr>
          <w:p>
            <w:pPr>
              <w:ind w:left="240"/>
              <w:spacing w:after="0" w:line="157" w:lineRule="exact"/>
              <w:rPr>
                <w:sz w:val="20"/>
                <w:szCs w:val="20"/>
                <w:color w:val="auto"/>
              </w:rPr>
            </w:pPr>
            <w:r>
              <w:rPr>
                <w:rFonts w:ascii="Arial" w:cs="Arial" w:eastAsia="Arial" w:hAnsi="Arial"/>
                <w:sz w:val="14"/>
                <w:szCs w:val="14"/>
                <w:color w:val="auto"/>
              </w:rPr>
              <w:t>Expires:</w:t>
            </w:r>
          </w:p>
        </w:tc>
        <w:tc>
          <w:tcPr>
            <w:tcW w:w="1280" w:type="dxa"/>
            <w:vAlign w:val="bottom"/>
          </w:tcPr>
          <w:p>
            <w:pPr>
              <w:jc w:val="right"/>
              <w:ind w:right="52"/>
              <w:spacing w:after="0" w:line="157" w:lineRule="exact"/>
              <w:rPr>
                <w:sz w:val="20"/>
                <w:szCs w:val="20"/>
                <w:color w:val="auto"/>
              </w:rPr>
            </w:pPr>
            <w:r>
              <w:rPr>
                <w:rFonts w:ascii="Arial" w:cs="Arial" w:eastAsia="Arial" w:hAnsi="Arial"/>
                <w:sz w:val="14"/>
                <w:szCs w:val="14"/>
                <w:color w:val="auto"/>
                <w:w w:val="99"/>
              </w:rPr>
              <w:t>February 28, 2009</w:t>
            </w:r>
          </w:p>
        </w:tc>
        <w:tc>
          <w:tcPr>
            <w:tcW w:w="20" w:type="dxa"/>
            <w:vAlign w:val="bottom"/>
          </w:tcPr>
          <w:p>
            <w:pPr>
              <w:spacing w:after="0"/>
              <w:rPr>
                <w:sz w:val="13"/>
                <w:szCs w:val="13"/>
                <w:color w:val="auto"/>
              </w:rPr>
            </w:pPr>
          </w:p>
        </w:tc>
      </w:tr>
    </w:tbl>
    <w:p>
      <w:pPr>
        <w:ind w:left="9140"/>
        <w:spacing w:after="0" w:line="228" w:lineRule="auto"/>
        <w:rPr>
          <w:sz w:val="20"/>
          <w:szCs w:val="20"/>
          <w:color w:val="auto"/>
        </w:rPr>
      </w:pPr>
      <w:r>
        <w:rPr>
          <w:rFonts w:ascii="Arial" w:cs="Arial" w:eastAsia="Arial" w:hAnsi="Arial"/>
          <w:sz w:val="14"/>
          <w:szCs w:val="14"/>
          <w:color w:val="auto"/>
        </w:rPr>
        <w:t>Estimated average burdon</w:t>
      </w:r>
    </w:p>
    <w:p>
      <w:pPr>
        <w:ind w:left="9140"/>
        <w:spacing w:after="0"/>
        <w:rPr>
          <w:sz w:val="20"/>
          <w:szCs w:val="20"/>
          <w:color w:val="auto"/>
        </w:rPr>
      </w:pPr>
      <w:r>
        <w:rPr>
          <w:rFonts w:ascii="Arial" w:cs="Arial" w:eastAsia="Arial" w:hAnsi="Arial"/>
          <w:sz w:val="12"/>
          <w:szCs w:val="12"/>
          <w:color w:val="auto"/>
        </w:rPr>
        <w:t xml:space="preserve">hours per response </w:t>
      </w:r>
      <w:r>
        <w:rPr>
          <w:rFonts w:ascii="Arial" w:cs="Arial" w:eastAsia="Arial" w:hAnsi="Arial"/>
          <w:sz w:val="15"/>
          <w:szCs w:val="15"/>
          <w:color w:val="auto"/>
        </w:rPr>
        <w:t>. . . . . . . . . 10.4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20030N 10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right="8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30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ind w:right="80"/>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OBM control number.</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5</w:t>
      </w:r>
    </w:p>
    <w:p>
      <w:pPr>
        <w:sectPr>
          <w:pgSz w:w="11900" w:h="16838" w:orient="portrait"/>
          <w:cols w:equalWidth="0" w:num="1">
            <w:col w:w="11420"/>
          </w:cols>
          <w:pgMar w:left="240" w:top="2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b w:val="1"/>
          <w:bCs w:val="1"/>
          <w:color w:val="auto"/>
        </w:rPr>
        <w:t>20030N 10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Amendment No. 1 is filed solely to update the number of shares owned after a three-for-two stock split in the form of a 50% stock dividend which was paid on February 21, 2007 to Comcast shareholders. In connection with the stock split, Microsoft received an additional 0.5 share of Class A common stock for every share held on February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Microsoft Corporation 91-1144442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WA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40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986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4"/>
              </w:rPr>
              <w:t>Beneficially</w:t>
            </w:r>
          </w:p>
        </w:tc>
        <w:tc>
          <w:tcPr>
            <w:tcW w:w="400" w:type="dxa"/>
            <w:vAlign w:val="bottom"/>
          </w:tcPr>
          <w:p>
            <w:pPr>
              <w:spacing w:after="0"/>
              <w:rPr>
                <w:sz w:val="18"/>
                <w:szCs w:val="18"/>
                <w:color w:val="auto"/>
              </w:rPr>
            </w:pPr>
          </w:p>
        </w:tc>
        <w:tc>
          <w:tcPr>
            <w:tcW w:w="98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400" w:type="dxa"/>
            <w:vAlign w:val="bottom"/>
            <w:tcBorders>
              <w:bottom w:val="single" w:sz="8" w:color="auto"/>
            </w:tcBorders>
          </w:tcPr>
          <w:p>
            <w:pPr>
              <w:spacing w:after="0"/>
              <w:rPr>
                <w:sz w:val="19"/>
                <w:szCs w:val="19"/>
                <w:color w:val="auto"/>
              </w:rPr>
            </w:pPr>
          </w:p>
        </w:tc>
        <w:tc>
          <w:tcPr>
            <w:tcW w:w="9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986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400" w:type="dxa"/>
            <w:vAlign w:val="bottom"/>
          </w:tcPr>
          <w:p>
            <w:pPr>
              <w:spacing w:after="0"/>
              <w:rPr>
                <w:sz w:val="18"/>
                <w:szCs w:val="18"/>
                <w:color w:val="auto"/>
              </w:rPr>
            </w:pPr>
          </w:p>
        </w:tc>
        <w:tc>
          <w:tcPr>
            <w:tcW w:w="98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9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4"/>
                <w:szCs w:val="4"/>
                <w:color w:val="auto"/>
              </w:rPr>
            </w:pPr>
          </w:p>
        </w:tc>
        <w:tc>
          <w:tcPr>
            <w:tcW w:w="9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8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640"/>
        <w:spacing w:after="0"/>
        <w:rPr>
          <w:sz w:val="20"/>
          <w:szCs w:val="20"/>
          <w:color w:val="auto"/>
        </w:rPr>
      </w:pPr>
      <w:r>
        <w:rPr>
          <w:rFonts w:ascii="Arial" w:cs="Arial" w:eastAsia="Arial" w:hAnsi="Arial"/>
          <w:sz w:val="22"/>
          <w:szCs w:val="22"/>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387"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Name of Issuer</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(b)</w:t>
        <w:tab/>
        <w:t>Address of Issuer’s Principal Executive Offices</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1500 Market Street, Philadelphia, PA 19102-2148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Name of Person Filing</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Microsoft Corporation</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5"/>
          <w:szCs w:val="15"/>
          <w:color w:val="auto"/>
        </w:rPr>
        <w:t>Address of Principal Business Office or, if none, Residence</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One Microsoft Way, Redmond, WA 98052-6399</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(c)</w:t>
        <w:tab/>
        <w:t>Citizenship</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WA</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(d)</w:t>
        <w:tab/>
        <w:t>Title of Class of Securities</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Common Stock, par value $.01</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(e)</w:t>
        <w:tab/>
        <w:t>CUSIP Number</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20030N 10 1</w:t>
      </w:r>
    </w:p>
    <w:p>
      <w:pPr>
        <w:sectPr>
          <w:pgSz w:w="11900" w:h="16838" w:orient="portrait"/>
          <w:cols w:equalWidth="0" w:num="1">
            <w:col w:w="10480"/>
          </w:cols>
          <w:pgMar w:left="240" w:top="274" w:right="1179" w:bottom="1440" w:gutter="0" w:footer="0" w:header="0"/>
        </w:sect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347" w:lineRule="auto"/>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 Not Applicable Ownership</w:t>
      </w:r>
    </w:p>
    <w:p>
      <w:pPr>
        <w:spacing w:after="0" w:line="2" w:lineRule="exact"/>
        <w:rPr>
          <w:sz w:val="20"/>
          <w:szCs w:val="20"/>
          <w:color w:val="auto"/>
        </w:rPr>
      </w:pPr>
    </w:p>
    <w:p>
      <w:pPr>
        <w:sectPr>
          <w:pgSz w:w="11900" w:h="16838" w:orient="portrait"/>
          <w:cols w:equalWidth="0" w:num="2">
            <w:col w:w="540" w:space="500"/>
            <w:col w:w="9440"/>
          </w:cols>
          <w:pgMar w:left="240" w:top="274" w:right="1179" w:bottom="1440" w:gutter="0" w:footer="0" w:header="0"/>
          <w:type w:val="continuous"/>
        </w:sectPr>
      </w:pPr>
    </w:p>
    <w:p>
      <w:pPr>
        <w:spacing w:after="0"/>
        <w:rPr>
          <w:sz w:val="20"/>
          <w:szCs w:val="20"/>
          <w:color w:val="auto"/>
        </w:rPr>
      </w:pPr>
      <w:r>
        <w:rPr>
          <w:rFonts w:ascii="Arial" w:cs="Arial" w:eastAsia="Arial" w:hAnsi="Arial"/>
          <w:sz w:val="15"/>
          <w:szCs w:val="15"/>
          <w:color w:val="auto"/>
        </w:rPr>
        <w:t>Provide the following information regarding the aggregate number and percentage of the class of securities of the issuer identified in Item 1.</w:t>
      </w:r>
    </w:p>
    <w:p>
      <w:pPr>
        <w:spacing w:after="0" w:line="12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8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8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84"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84"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84"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84"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16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0480"/>
          </w:cols>
          <w:pgMar w:left="240" w:top="274" w:right="1179" w:bottom="1440" w:gutter="0" w:footer="0" w:header="0"/>
          <w:type w:val="continuous"/>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right="18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Not Applicable</w:t>
      </w:r>
    </w:p>
    <w:p>
      <w:pPr>
        <w:spacing w:after="0" w:line="293" w:lineRule="exact"/>
        <w:rPr>
          <w:sz w:val="20"/>
          <w:szCs w:val="20"/>
          <w:color w:val="auto"/>
        </w:rPr>
      </w:pPr>
    </w:p>
    <w:p>
      <w:pPr>
        <w:ind w:left="1040" w:right="2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90" w:lineRule="exact"/>
        <w:rPr>
          <w:sz w:val="20"/>
          <w:szCs w:val="20"/>
          <w:color w:val="auto"/>
        </w:rPr>
      </w:pPr>
    </w:p>
    <w:p>
      <w:pPr>
        <w:ind w:left="1040"/>
        <w:spacing w:after="0" w:line="258" w:lineRule="auto"/>
        <w:rPr>
          <w:sz w:val="20"/>
          <w:szCs w:val="20"/>
          <w:color w:val="auto"/>
        </w:rPr>
      </w:pPr>
      <w:r>
        <w:rPr>
          <w:rFonts w:ascii="Arial" w:cs="Arial" w:eastAsia="Arial" w:hAnsi="Arial"/>
          <w:sz w:val="18"/>
          <w:szCs w:val="18"/>
          <w:b w:val="1"/>
          <w:bCs w:val="1"/>
          <w:color w:val="auto"/>
        </w:rPr>
        <w:t>By signing below I certify that, to the best of my knowledge and belief, the securities referred to above were acquired and held in the ordinary course of business and were not acquired and held for the purpose of or with the effect of changing or influencing the control of the issuer of the securities and were not acquired and held in connection with or as a participant in any transaction having that purpose or effect.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1380"/>
          </w:cols>
          <w:pgMar w:left="240" w:top="274" w:right="279" w:bottom="1440" w:gutter="0" w:footer="0" w:header="0"/>
        </w:sectPr>
      </w:pPr>
    </w:p>
    <w:bookmarkStart w:id="4" w:name="page5"/>
    <w:bookmarkEnd w:id="4"/>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January 16, 2009</w:t>
      </w:r>
    </w:p>
    <w:p>
      <w:pPr>
        <w:spacing w:after="0" w:line="1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Date</w:t>
      </w:r>
    </w:p>
    <w:p>
      <w:pPr>
        <w:spacing w:after="0" w:line="226" w:lineRule="exact"/>
        <w:rPr>
          <w:sz w:val="20"/>
          <w:szCs w:val="20"/>
          <w:color w:val="auto"/>
        </w:rPr>
      </w:pPr>
    </w:p>
    <w:p>
      <w:pPr>
        <w:jc w:val="right"/>
        <w:ind w:right="1480"/>
        <w:spacing w:after="0"/>
        <w:rPr>
          <w:sz w:val="20"/>
          <w:szCs w:val="20"/>
          <w:color w:val="auto"/>
        </w:rPr>
      </w:pPr>
      <w:r>
        <w:rPr>
          <w:rFonts w:ascii="Arial" w:cs="Arial" w:eastAsia="Arial" w:hAnsi="Arial"/>
          <w:sz w:val="18"/>
          <w:szCs w:val="18"/>
          <w:b w:val="1"/>
          <w:bCs w:val="1"/>
          <w:color w:val="auto"/>
        </w:rPr>
        <w:t>MICROSOFT CORPORATION</w:t>
      </w:r>
    </w:p>
    <w:p>
      <w:pPr>
        <w:spacing w:after="0" w:line="231"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Keith R. Dolliver, Assistant Secretary</w:t>
      </w:r>
    </w:p>
    <w:p>
      <w:pPr>
        <w:spacing w:after="0" w:line="1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Name/Title</w:t>
      </w:r>
    </w:p>
    <w:p>
      <w:pPr>
        <w:spacing w:after="0" w:line="1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5 of 5</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lvl w:ilvl="1">
      <w:lvlJc w:val="left"/>
      <w:lvlText w:val="(%2)"/>
      <w:numFmt w:val="lowerLetter"/>
      <w:start w:val="1"/>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2019-12-10T22:03:40Z</dcterms:created>
  <dcterms:modified xsi:type="dcterms:W3CDTF">2019-12-10T22:03:40Z</dcterms:modified>
</cp:coreProperties>
</file>