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225425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3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Pursuant to Section 13 or 15(d) of the</w:t>
      </w:r>
    </w:p>
    <w:p>
      <w:pPr>
        <w:spacing w:after="0" w:line="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00" w:lineRule="exact"/>
        <w:rPr>
          <w:sz w:val="24"/>
          <w:szCs w:val="24"/>
          <w:color w:val="auto"/>
        </w:rPr>
      </w:pPr>
    </w:p>
    <w:p>
      <w:pPr>
        <w:spacing w:after="0" w:line="21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29, 2014</w:t>
      </w:r>
    </w:p>
    <w:p>
      <w:pPr>
        <w:spacing w:after="0" w:line="20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Comcast Corporation</w:t>
      </w:r>
    </w:p>
    <w:p>
      <w:pPr>
        <w:spacing w:after="0" w:line="2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(Exact Name of Registrant</w:t>
      </w:r>
    </w:p>
    <w:p>
      <w:pPr>
        <w:ind w:left="4940"/>
        <w:spacing w:after="0"/>
        <w:rPr>
          <w:sz w:val="20"/>
          <w:szCs w:val="20"/>
          <w:color w:val="auto"/>
        </w:rPr>
      </w:pPr>
      <w:r>
        <w:rPr>
          <w:rFonts w:ascii="Times New Roman" w:cs="Times New Roman" w:eastAsia="Times New Roman" w:hAnsi="Times New Roman"/>
          <w:sz w:val="14"/>
          <w:szCs w:val="14"/>
          <w:color w:val="auto"/>
        </w:rPr>
        <w:t>as Specified in its Charter)</w:t>
      </w:r>
    </w:p>
    <w:p>
      <w:pPr>
        <w:spacing w:after="0" w:line="18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15"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140" w:type="dxa"/>
            <w:vAlign w:val="bottom"/>
          </w:tcPr>
          <w:p>
            <w:pPr>
              <w:jc w:val="center"/>
              <w:ind w:right="171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3780" w:type="dxa"/>
            <w:vAlign w:val="bottom"/>
          </w:tcPr>
          <w:p>
            <w:pPr>
              <w:jc w:val="center"/>
              <w:ind w:left="1719"/>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188"/>
        </w:trPr>
        <w:tc>
          <w:tcPr>
            <w:tcW w:w="4140" w:type="dxa"/>
            <w:vAlign w:val="bottom"/>
          </w:tcPr>
          <w:p>
            <w:pPr>
              <w:jc w:val="center"/>
              <w:ind w:right="1717"/>
              <w:spacing w:after="0"/>
              <w:rPr>
                <w:sz w:val="20"/>
                <w:szCs w:val="20"/>
                <w:color w:val="auto"/>
              </w:rPr>
            </w:pPr>
            <w:r>
              <w:rPr>
                <w:rFonts w:ascii="Times New Roman" w:cs="Times New Roman" w:eastAsia="Times New Roman" w:hAnsi="Times New Roman"/>
                <w:sz w:val="14"/>
                <w:szCs w:val="14"/>
                <w:color w:val="auto"/>
              </w:rPr>
              <w:t>(Commission File Number)</w:t>
            </w:r>
          </w:p>
        </w:tc>
        <w:tc>
          <w:tcPr>
            <w:tcW w:w="3780" w:type="dxa"/>
            <w:vAlign w:val="bottom"/>
          </w:tcPr>
          <w:p>
            <w:pPr>
              <w:jc w:val="center"/>
              <w:ind w:left="171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93"/>
        </w:trPr>
        <w:tc>
          <w:tcPr>
            <w:tcW w:w="4140" w:type="dxa"/>
            <w:vAlign w:val="bottom"/>
          </w:tcPr>
          <w:p>
            <w:pPr>
              <w:jc w:val="center"/>
              <w:ind w:right="171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3780" w:type="dxa"/>
            <w:vAlign w:val="bottom"/>
          </w:tcPr>
          <w:p>
            <w:pPr>
              <w:spacing w:after="0"/>
              <w:rPr>
                <w:sz w:val="24"/>
                <w:szCs w:val="24"/>
                <w:color w:val="auto"/>
              </w:rPr>
            </w:pPr>
          </w:p>
        </w:tc>
      </w:tr>
      <w:tr>
        <w:trPr>
          <w:trHeight w:val="216"/>
        </w:trPr>
        <w:tc>
          <w:tcPr>
            <w:tcW w:w="4140" w:type="dxa"/>
            <w:vAlign w:val="bottom"/>
          </w:tcPr>
          <w:p>
            <w:pPr>
              <w:jc w:val="center"/>
              <w:ind w:right="1717"/>
              <w:spacing w:after="0"/>
              <w:rPr>
                <w:sz w:val="20"/>
                <w:szCs w:val="20"/>
                <w:color w:val="auto"/>
              </w:rPr>
            </w:pPr>
            <w:r>
              <w:rPr>
                <w:rFonts w:ascii="Times New Roman" w:cs="Times New Roman" w:eastAsia="Times New Roman" w:hAnsi="Times New Roman"/>
                <w:sz w:val="18"/>
                <w:szCs w:val="18"/>
                <w:b w:val="1"/>
                <w:bCs w:val="1"/>
                <w:color w:val="auto"/>
                <w:w w:val="99"/>
              </w:rPr>
              <w:t>Philadelphia, PA</w:t>
            </w:r>
          </w:p>
        </w:tc>
        <w:tc>
          <w:tcPr>
            <w:tcW w:w="3780" w:type="dxa"/>
            <w:vAlign w:val="bottom"/>
          </w:tcPr>
          <w:p>
            <w:pPr>
              <w:jc w:val="center"/>
              <w:ind w:left="1719"/>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188"/>
        </w:trPr>
        <w:tc>
          <w:tcPr>
            <w:tcW w:w="4140" w:type="dxa"/>
            <w:vAlign w:val="bottom"/>
          </w:tcPr>
          <w:p>
            <w:pPr>
              <w:jc w:val="center"/>
              <w:ind w:right="171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780" w:type="dxa"/>
            <w:vAlign w:val="bottom"/>
          </w:tcPr>
          <w:p>
            <w:pPr>
              <w:jc w:val="center"/>
              <w:ind w:left="171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8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33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81" w:lineRule="exact"/>
        <w:rPr>
          <w:sz w:val="24"/>
          <w:szCs w:val="24"/>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020"/>
          </w:cols>
          <w:pgMar w:left="240" w:top="736" w:right="6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a planned financing by Charter Communications, Inc. (“Charter”) relating to the transactions agreement dated April 25, 2014 between Comcast Corporation (“Comcast”) and Charter, Charter intends to file a Form 8-K with the Securities and Exchange Commission. Charter’s Form 8-K will include certain historical combined financial statements for the Comcast Cable Systems to be Contributed to Midwest Cable, Inc., or SpinCo, which is a newly formed entity that Comcast intends to spin-off to its shareholders. Accordingly, Comcast is furnishing the audited combined financial statements of Comcast Cable Systems to be Contributed to Midwest Cable, Inc. as of December 31, 2013 and 2012 and for each of the three years in the period ended December 31, 2013 and the unaudited condensed combined financial statements of Comcast Cable Systems to be Contributed to Midwest Cable, Inc. as of June 30, 2014 and for the six months ended June 30, 2014 and 2013 attached hereto as Exhibit 99.1 and Exhibit 99.2, respectively.</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Comcast does not intend for this Item 7.01, Exhibit 99.1 or Exhibit 99.2 to be treated as “filed” under the Securities Exchange Act of 1934, as amended, or incorporated by reference into its filings under the Securities Act of 1933, as amended.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80" w:type="dxa"/>
            <w:vAlign w:val="bottom"/>
          </w:tcPr>
          <w:p>
            <w:pPr>
              <w:spacing w:after="0"/>
              <w:rPr>
                <w:sz w:val="18"/>
                <w:szCs w:val="18"/>
                <w:color w:val="auto"/>
              </w:rPr>
            </w:pPr>
          </w:p>
        </w:tc>
        <w:tc>
          <w:tcPr>
            <w:tcW w:w="9160" w:type="dxa"/>
            <w:vAlign w:val="bottom"/>
          </w:tcPr>
          <w:p>
            <w:pPr>
              <w:spacing w:after="0"/>
              <w:rPr>
                <w:sz w:val="18"/>
                <w:szCs w:val="18"/>
                <w:color w:val="auto"/>
              </w:rPr>
            </w:pPr>
          </w:p>
        </w:tc>
      </w:tr>
      <w:tr>
        <w:trPr>
          <w:trHeight w:val="2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9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Audited Combined Financial Statements of Comcast Cable Systems to be Contributed to Midwest Cable, Inc. as of December 31, 2013 and</w:t>
            </w:r>
          </w:p>
        </w:tc>
      </w:tr>
      <w:tr>
        <w:trPr>
          <w:trHeight w:val="234"/>
        </w:trPr>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2012 and for each of the Three Years in the Period Ended December 31, 2013</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Unaudited Condensed Combined Financial Statements of Comcast Cable Systems to be Contributed to Midwest Cable, Inc. as of June 30,</w:t>
            </w:r>
          </w:p>
        </w:tc>
      </w:tr>
      <w:tr>
        <w:trPr>
          <w:trHeight w:val="234"/>
        </w:trPr>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2014 and for the Six Months Ended June 30, 2014 and 2013</w:t>
            </w:r>
          </w:p>
        </w:tc>
      </w:tr>
    </w:tbl>
    <w:p>
      <w:pPr>
        <w:sectPr>
          <w:pgSz w:w="11900" w:h="16838" w:orient="portrait"/>
          <w:cols w:equalWidth="0" w:num="1">
            <w:col w:w="11240"/>
          </w:cols>
          <w:pgMar w:left="240" w:top="266" w:right="419" w:bottom="1440" w:gutter="0" w:footer="0" w:header="0"/>
        </w:sectPr>
      </w:pPr>
    </w:p>
    <w:bookmarkStart w:id="2" w:name="page3"/>
    <w:bookmarkEnd w:id="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70"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18"/>
          <w:szCs w:val="18"/>
          <w:color w:val="auto"/>
        </w:rPr>
        <w:t>Date: October 29, 2014</w:t>
      </w:r>
      <w:r>
        <w:rPr>
          <w:sz w:val="20"/>
          <w:szCs w:val="20"/>
          <w:color w:val="auto"/>
        </w:rPr>
        <w:tab/>
      </w:r>
      <w:r>
        <w:rPr>
          <w:rFonts w:ascii="Times New Roman" w:cs="Times New Roman" w:eastAsia="Times New Roman" w:hAnsi="Times New Roman"/>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17145</wp:posOffset>
            </wp:positionV>
            <wp:extent cx="3035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4" w:lineRule="exact"/>
        <w:rPr>
          <w:sz w:val="20"/>
          <w:szCs w:val="20"/>
          <w:color w:val="auto"/>
        </w:rPr>
      </w:pPr>
    </w:p>
    <w:p>
      <w:pPr>
        <w:ind w:left="6640"/>
        <w:spacing w:after="0"/>
        <w:tabs>
          <w:tab w:leader="none" w:pos="7280" w:val="left"/>
        </w:tabs>
        <w:rPr>
          <w:sz w:val="20"/>
          <w:szCs w:val="20"/>
          <w:color w:val="auto"/>
        </w:rPr>
      </w:pPr>
      <w:r>
        <w:rPr>
          <w:rFonts w:ascii="Times New Roman" w:cs="Times New Roman" w:eastAsia="Times New Roman" w:hAnsi="Times New Roman"/>
          <w:sz w:val="18"/>
          <w:szCs w:val="18"/>
          <w:color w:val="auto"/>
        </w:rPr>
        <w:t>Name:</w:t>
        <w:tab/>
        <w:t>Lawrence J. Salva</w:t>
      </w:r>
    </w:p>
    <w:p>
      <w:pPr>
        <w:spacing w:after="0" w:line="9" w:lineRule="exact"/>
        <w:rPr>
          <w:sz w:val="20"/>
          <w:szCs w:val="20"/>
          <w:color w:val="auto"/>
        </w:rPr>
      </w:pPr>
    </w:p>
    <w:p>
      <w:pPr>
        <w:ind w:left="6640"/>
        <w:spacing w:after="0"/>
        <w:tabs>
          <w:tab w:leader="none" w:pos="7280" w:val="left"/>
        </w:tabs>
        <w:rPr>
          <w:sz w:val="20"/>
          <w:szCs w:val="20"/>
          <w:color w:val="auto"/>
        </w:rPr>
      </w:pPr>
      <w:r>
        <w:rPr>
          <w:rFonts w:ascii="Times New Roman" w:cs="Times New Roman" w:eastAsia="Times New Roman" w:hAnsi="Times New Roman"/>
          <w:sz w:val="18"/>
          <w:szCs w:val="18"/>
          <w:color w:val="auto"/>
        </w:rPr>
        <w:t>Title:</w:t>
        <w:tab/>
        <w:t>Senior Vice President, Chief Accounting</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Officer and Controller</w:t>
      </w:r>
    </w:p>
    <w:p>
      <w:pPr>
        <w:sectPr>
          <w:pgSz w:w="11900" w:h="16838" w:orient="portrait"/>
          <w:cols w:equalWidth="0" w:num="1">
            <w:col w:w="10740"/>
          </w:cols>
          <w:pgMar w:left="240" w:top="266" w:right="9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Comcast Cable Systems to be Contributed to Midwest Cable, Inc.</w:t>
      </w:r>
    </w:p>
    <w:p>
      <w:pPr>
        <w:spacing w:after="0" w:line="210" w:lineRule="exact"/>
        <w:rPr>
          <w:sz w:val="20"/>
          <w:szCs w:val="20"/>
          <w:color w:val="auto"/>
        </w:rPr>
      </w:pPr>
    </w:p>
    <w:p>
      <w:pPr>
        <w:ind w:right="5220"/>
        <w:spacing w:after="0" w:line="244" w:lineRule="auto"/>
        <w:rPr>
          <w:sz w:val="20"/>
          <w:szCs w:val="20"/>
          <w:color w:val="auto"/>
        </w:rPr>
      </w:pPr>
      <w:r>
        <w:rPr>
          <w:rFonts w:ascii="Times New Roman" w:cs="Times New Roman" w:eastAsia="Times New Roman" w:hAnsi="Times New Roman"/>
          <w:sz w:val="22"/>
          <w:szCs w:val="22"/>
          <w:color w:val="auto"/>
        </w:rPr>
        <w:t>Combined Financial Statements as of December 31, 2013 and 2012 and for each of the Three Years in the Period Ended December 31, 2013 (Including Independent Auditors’ Report)</w:t>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Cable Systems to be Contributed to Midwest Cable,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Combined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98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64"/>
        </w:trPr>
        <w:tc>
          <w:tcPr>
            <w:tcW w:w="109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Auditors’ Report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306"/>
        </w:trPr>
        <w:tc>
          <w:tcPr>
            <w:tcW w:w="10980" w:type="dxa"/>
            <w:vAlign w:val="bottom"/>
          </w:tcPr>
          <w:p>
            <w:pPr>
              <w:spacing w:after="0"/>
              <w:rPr>
                <w:sz w:val="20"/>
                <w:szCs w:val="20"/>
                <w:color w:val="auto"/>
              </w:rPr>
            </w:pPr>
            <w:r>
              <w:rPr>
                <w:rFonts w:ascii="Times New Roman" w:cs="Times New Roman" w:eastAsia="Times New Roman" w:hAnsi="Times New Roman"/>
                <w:sz w:val="18"/>
                <w:szCs w:val="18"/>
                <w:color w:val="auto"/>
              </w:rPr>
              <w:t>Combined Financial Statements:</w:t>
            </w:r>
          </w:p>
        </w:tc>
        <w:tc>
          <w:tcPr>
            <w:tcW w:w="340" w:type="dxa"/>
            <w:vAlign w:val="bottom"/>
          </w:tcPr>
          <w:p>
            <w:pPr>
              <w:spacing w:after="0"/>
              <w:rPr>
                <w:sz w:val="24"/>
                <w:szCs w:val="24"/>
                <w:color w:val="auto"/>
              </w:rPr>
            </w:pPr>
          </w:p>
        </w:tc>
      </w:tr>
      <w:tr>
        <w:trPr>
          <w:trHeight w:val="216"/>
        </w:trPr>
        <w:tc>
          <w:tcPr>
            <w:tcW w:w="10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Balance Sheet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Statement of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Statement of Cash Flows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10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Statement of Changes in Parent Company Net Investment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34"/>
        </w:trPr>
        <w:tc>
          <w:tcPr>
            <w:tcW w:w="10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to Combined Financial Statements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bl>
    <w:p>
      <w:pPr>
        <w:sectPr>
          <w:pgSz w:w="11900" w:h="16838" w:orient="portrait"/>
          <w:cols w:equalWidth="0" w:num="1">
            <w:col w:w="11320"/>
          </w:cols>
          <w:pgMar w:left="240" w:top="25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AUDITORS’ REPORT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Midwest Cable, Inc.</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combined financial statements of the Comcast Cable Systems to be Contributed to Midwest Cable, Inc. (the “Company”), which comprise the combined balance sheets as of December 31, 2013 and 2012, and the related combined statements of income, cash flows, and parent company net investment for each of the three years in the period ended December 31, 2013, and the related notes to the combined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the Combined Financial Statements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combined financial statements in accordance with accounting principles generally accepted in the United States of America; this includes the design, implementation, and maintenance of internal control relevant to the preparation and fair presentation of combined financial statements that are free from material misstatement, whether due to fraud or error.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responsibility is to express an opinion on these combined financial statements based on our audits. We conducted our audits in accordance with auditing standards generally accepted in the United States of America. Those standards require that we plan and perform the audit to obtain reasonable assurance about whether the combined financial statements are free of material misstatement.</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combined financial statements. The procedures selected depend on the auditor’s judgment, including the assessment of the risks of material misstatement of the combined financial statements, whether due to fraud or error. In making those risk assessments, the auditor considers internal control relevant to the company’s preparation and fair presentation of the combined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combined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audit evidence we have obtained is sufficient and appropriate to provide a basis for our audit opinion.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combined financial statements referred to above present fairly, in all material respects, the financial position of the Comcast Cable Systems to be Contributed to Midwest Cable, Inc. as of December 31, 2013 and 2012, and the results of their operations and their cash flows for each of the three years in the period ended December 31, 2013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Matter</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discussed in Note 1, the Company is an integrated business of Comcast Corporation and is not a stand-alone entity. The accompanying combined financial statements reflect the assets, liabilities, revenue, and expenses directly attributable to the Company, as well as allocations deemed reasonable by Comcast Corporation management, and do not necessarily reflect the combined financial position, results of operations, and cash flows that would have resulted had the Company been operated as a stand-alone entity during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2014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420"/>
          </w:cols>
          <w:pgMar w:left="240" w:top="26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Cable Systems to be Contributed to Midwest Cable,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Combined Balance Sheet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 (in millions)</w:t>
            </w:r>
          </w:p>
        </w:tc>
        <w:tc>
          <w:tcPr>
            <w:tcW w:w="18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2012</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doubtful accounts of $18 and $14, respectively)</w:t>
            </w:r>
          </w:p>
        </w:tc>
        <w:tc>
          <w:tcPr>
            <w:tcW w:w="1860" w:type="dxa"/>
            <w:vAlign w:val="bottom"/>
          </w:tcPr>
          <w:p>
            <w:pPr>
              <w:spacing w:after="0"/>
              <w:rPr>
                <w:sz w:val="18"/>
                <w:szCs w:val="18"/>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150</w:t>
            </w:r>
          </w:p>
        </w:tc>
        <w:tc>
          <w:tcPr>
            <w:tcW w:w="34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Programming receivables</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14</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9</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173</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60" w:type="dxa"/>
            <w:vAlign w:val="bottom"/>
          </w:tcPr>
          <w:p>
            <w:pPr>
              <w:spacing w:after="0"/>
              <w:rPr>
                <w:sz w:val="18"/>
                <w:szCs w:val="18"/>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1,944</w:t>
            </w:r>
          </w:p>
        </w:tc>
        <w:tc>
          <w:tcPr>
            <w:tcW w:w="34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1,945</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rights</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5,561</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5,561</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60" w:type="dxa"/>
            <w:vAlign w:val="bottom"/>
          </w:tcPr>
          <w:p>
            <w:pPr>
              <w:spacing w:after="0"/>
              <w:rPr>
                <w:sz w:val="18"/>
                <w:szCs w:val="18"/>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1,241</w:t>
            </w:r>
          </w:p>
        </w:tc>
        <w:tc>
          <w:tcPr>
            <w:tcW w:w="34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1,241</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78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7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8,999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8,992</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Parent Company net investment</w:t>
            </w:r>
          </w:p>
        </w:tc>
        <w:tc>
          <w:tcPr>
            <w:tcW w:w="1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283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41</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Subscriber advance payments</w:t>
            </w:r>
          </w:p>
        </w:tc>
        <w:tc>
          <w:tcPr>
            <w:tcW w:w="1860" w:type="dxa"/>
            <w:vAlign w:val="bottom"/>
          </w:tcPr>
          <w:p>
            <w:pPr>
              <w:spacing w:after="0"/>
              <w:rPr>
                <w:sz w:val="18"/>
                <w:szCs w:val="18"/>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18</w:t>
            </w:r>
          </w:p>
        </w:tc>
        <w:tc>
          <w:tcPr>
            <w:tcW w:w="34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37</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60" w:type="dxa"/>
            <w:vAlign w:val="bottom"/>
          </w:tcPr>
          <w:p>
            <w:pPr>
              <w:spacing w:after="0"/>
              <w:rPr>
                <w:sz w:val="18"/>
                <w:szCs w:val="18"/>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379</w:t>
            </w:r>
          </w:p>
        </w:tc>
        <w:tc>
          <w:tcPr>
            <w:tcW w:w="34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2,842</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2,835</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60" w:type="dxa"/>
            <w:vAlign w:val="bottom"/>
          </w:tcPr>
          <w:p>
            <w:pPr>
              <w:spacing w:after="0"/>
              <w:rPr>
                <w:sz w:val="18"/>
                <w:szCs w:val="18"/>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54</w:t>
            </w:r>
          </w:p>
        </w:tc>
        <w:tc>
          <w:tcPr>
            <w:tcW w:w="34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Parent Company net investment</w:t>
            </w:r>
          </w:p>
        </w:tc>
        <w:tc>
          <w:tcPr>
            <w:tcW w:w="1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5,724</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5,753</w:t>
            </w:r>
          </w:p>
        </w:tc>
      </w:tr>
      <w:tr>
        <w:trPr>
          <w:trHeight w:val="217"/>
        </w:trPr>
        <w:tc>
          <w:tcPr>
            <w:tcW w:w="7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Parent Company net investment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8,999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8,992</w:t>
            </w: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combined financial statements.</w:t>
            </w:r>
          </w:p>
        </w:tc>
        <w:tc>
          <w:tcPr>
            <w:tcW w:w="1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25"/>
        </w:trPr>
        <w:tc>
          <w:tcPr>
            <w:tcW w:w="78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F-2</w:t>
            </w:r>
          </w:p>
        </w:tc>
        <w:tc>
          <w:tcPr>
            <w:tcW w:w="1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Cable Systems to be Contributed to Midwest Cable,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Combined Statement of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4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2012</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2011</w:t>
            </w: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4,470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4,275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Programming</w:t>
            </w:r>
          </w:p>
        </w:tc>
        <w:tc>
          <w:tcPr>
            <w:tcW w:w="4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972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888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4260" w:type="dxa"/>
            <w:vAlign w:val="bottom"/>
          </w:tcPr>
          <w:p>
            <w:pPr>
              <w:spacing w:after="0"/>
              <w:rPr>
                <w:sz w:val="18"/>
                <w:szCs w:val="18"/>
                <w:color w:val="auto"/>
              </w:rPr>
            </w:pP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1,452</w:t>
            </w:r>
          </w:p>
        </w:tc>
        <w:tc>
          <w:tcPr>
            <w:tcW w:w="28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1,392</w:t>
            </w:r>
          </w:p>
        </w:tc>
        <w:tc>
          <w:tcPr>
            <w:tcW w:w="3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1,339</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4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338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asset usage charge</w:t>
            </w:r>
          </w:p>
        </w:tc>
        <w:tc>
          <w:tcPr>
            <w:tcW w:w="4260" w:type="dxa"/>
            <w:vAlign w:val="bottom"/>
          </w:tcPr>
          <w:p>
            <w:pPr>
              <w:spacing w:after="0"/>
              <w:rPr>
                <w:sz w:val="18"/>
                <w:szCs w:val="18"/>
                <w:color w:val="auto"/>
              </w:rPr>
            </w:pP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124</w:t>
            </w:r>
          </w:p>
        </w:tc>
        <w:tc>
          <w:tcPr>
            <w:tcW w:w="28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4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512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529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4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4500" w:type="dxa"/>
            <w:vAlign w:val="bottom"/>
            <w:tcBorders>
              <w:bottom w:val="single" w:sz="8" w:color="auto"/>
            </w:tcBorders>
            <w:shd w:val="clear" w:color="auto" w:fill="CCEEFF"/>
          </w:tcPr>
          <w:p>
            <w:pPr>
              <w:spacing w:after="0"/>
              <w:rPr>
                <w:sz w:val="18"/>
                <w:szCs w:val="18"/>
                <w:color w:val="auto"/>
              </w:rPr>
            </w:pPr>
          </w:p>
        </w:tc>
        <w:tc>
          <w:tcPr>
            <w:tcW w:w="4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3,428</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3,281</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3,158</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60" w:type="dxa"/>
            <w:vAlign w:val="bottom"/>
          </w:tcPr>
          <w:p>
            <w:pPr>
              <w:spacing w:after="0"/>
              <w:rPr>
                <w:sz w:val="18"/>
                <w:szCs w:val="18"/>
                <w:color w:val="auto"/>
              </w:rPr>
            </w:pP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1,042</w:t>
            </w:r>
          </w:p>
        </w:tc>
        <w:tc>
          <w:tcPr>
            <w:tcW w:w="28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994</w:t>
            </w:r>
          </w:p>
        </w:tc>
        <w:tc>
          <w:tcPr>
            <w:tcW w:w="3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60" w:type="dxa"/>
            <w:vAlign w:val="bottom"/>
          </w:tcPr>
          <w:p>
            <w:pPr>
              <w:spacing w:after="0"/>
              <w:rPr>
                <w:sz w:val="18"/>
                <w:szCs w:val="18"/>
                <w:color w:val="auto"/>
              </w:rPr>
            </w:pP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1,041</w:t>
            </w:r>
          </w:p>
        </w:tc>
        <w:tc>
          <w:tcPr>
            <w:tcW w:w="28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992</w:t>
            </w:r>
          </w:p>
        </w:tc>
        <w:tc>
          <w:tcPr>
            <w:tcW w:w="3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(409)</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(390)</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w:t>
            </w:r>
          </w:p>
        </w:tc>
      </w:tr>
      <w:tr>
        <w:trPr>
          <w:trHeight w:val="217"/>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632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602</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546</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combined financial statements.</w:t>
            </w:r>
          </w:p>
        </w:tc>
        <w:tc>
          <w:tcPr>
            <w:tcW w:w="4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25"/>
        </w:trPr>
        <w:tc>
          <w:tcPr>
            <w:tcW w:w="4500" w:type="dxa"/>
            <w:vAlign w:val="bottom"/>
          </w:tcPr>
          <w:p>
            <w:pPr>
              <w:spacing w:after="0"/>
              <w:rPr>
                <w:sz w:val="24"/>
                <w:szCs w:val="24"/>
                <w:color w:val="auto"/>
              </w:rPr>
            </w:pPr>
          </w:p>
        </w:tc>
        <w:tc>
          <w:tcPr>
            <w:tcW w:w="4260" w:type="dxa"/>
            <w:vAlign w:val="bottom"/>
          </w:tcPr>
          <w:p>
            <w:pPr>
              <w:jc w:val="right"/>
              <w:ind w:right="2830"/>
              <w:spacing w:after="0"/>
              <w:rPr>
                <w:sz w:val="20"/>
                <w:szCs w:val="20"/>
                <w:color w:val="auto"/>
              </w:rPr>
            </w:pPr>
            <w:r>
              <w:rPr>
                <w:rFonts w:ascii="Times New Roman" w:cs="Times New Roman" w:eastAsia="Times New Roman" w:hAnsi="Times New Roman"/>
                <w:sz w:val="18"/>
                <w:szCs w:val="18"/>
                <w:color w:val="auto"/>
              </w:rPr>
              <w:t>F-3</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Cable Systems to be Contributed to Midwest Cable,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Combined Statement of 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2012</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2011</w:t>
            </w: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632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542</w:t>
            </w:r>
          </w:p>
        </w:tc>
        <w:tc>
          <w:tcPr>
            <w:tcW w:w="32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571</w:t>
            </w:r>
          </w:p>
        </w:tc>
        <w:tc>
          <w:tcPr>
            <w:tcW w:w="3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Shared asset usage charge</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124</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w:t>
            </w:r>
          </w:p>
        </w:tc>
        <w:tc>
          <w:tcPr>
            <w:tcW w:w="32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receivables, net</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(16)</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accounts payable and accrued expenses related to trade creditors</w:t>
            </w:r>
          </w:p>
        </w:tc>
        <w:tc>
          <w:tcPr>
            <w:tcW w:w="150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other operating assets and liabilities</w:t>
            </w:r>
          </w:p>
        </w:tc>
        <w:tc>
          <w:tcPr>
            <w:tcW w:w="15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1,302</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1,218</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1,224</w:t>
            </w: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50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(466)</w:t>
            </w:r>
          </w:p>
        </w:tc>
        <w:tc>
          <w:tcPr>
            <w:tcW w:w="32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(411)</w:t>
            </w:r>
          </w:p>
        </w:tc>
        <w:tc>
          <w:tcPr>
            <w:tcW w:w="3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7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15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(14)</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(480)</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(422)</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(496)</w:t>
            </w: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in Parent Company net investment</w:t>
            </w:r>
          </w:p>
        </w:tc>
        <w:tc>
          <w:tcPr>
            <w:tcW w:w="1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(822)</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(796)</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(728)</w:t>
            </w:r>
          </w:p>
        </w:tc>
      </w:tr>
      <w:tr>
        <w:trPr>
          <w:trHeight w:val="210"/>
        </w:trPr>
        <w:tc>
          <w:tcPr>
            <w:tcW w:w="7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5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(822)</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(796)</w:t>
            </w: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(728)</w:t>
            </w: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50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5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188"/>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combined financial statements.</w:t>
            </w:r>
          </w:p>
        </w:tc>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25"/>
        </w:trPr>
        <w:tc>
          <w:tcPr>
            <w:tcW w:w="71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F-4</w:t>
            </w: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Cable Systems to be Contributed to Midwest Cable,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Combined Statement of Changes in Parent Company Net Investment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92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Parent Company</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auto"/>
            </w:tcBorders>
            <w:vMerge w:val="continue"/>
          </w:tcPr>
          <w:p>
            <w:pPr>
              <w:spacing w:after="0"/>
              <w:rPr>
                <w:sz w:val="14"/>
                <w:szCs w:val="14"/>
                <w:color w:val="auto"/>
              </w:rPr>
            </w:pPr>
          </w:p>
        </w:tc>
        <w:tc>
          <w:tcPr>
            <w:tcW w:w="6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Net Investment</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2011</w:t>
            </w:r>
          </w:p>
        </w:tc>
        <w:tc>
          <w:tcPr>
            <w:tcW w:w="692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$5,952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692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92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2011</w:t>
            </w:r>
          </w:p>
        </w:tc>
        <w:tc>
          <w:tcPr>
            <w:tcW w:w="692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5,833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692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6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2012</w:t>
            </w:r>
          </w:p>
        </w:tc>
        <w:tc>
          <w:tcPr>
            <w:tcW w:w="692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5,753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Parent Company, net</w:t>
            </w:r>
          </w:p>
        </w:tc>
        <w:tc>
          <w:tcPr>
            <w:tcW w:w="6920" w:type="dxa"/>
            <w:vAlign w:val="bottom"/>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(661)</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92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632</w:t>
            </w:r>
          </w:p>
        </w:tc>
        <w:tc>
          <w:tcPr>
            <w:tcW w:w="0" w:type="dxa"/>
            <w:vAlign w:val="bottom"/>
          </w:tcPr>
          <w:p>
            <w:pPr>
              <w:spacing w:after="0"/>
              <w:rPr>
                <w:sz w:val="1"/>
                <w:szCs w:val="1"/>
                <w:color w:val="auto"/>
              </w:rPr>
            </w:pPr>
          </w:p>
        </w:tc>
      </w:tr>
      <w:tr>
        <w:trPr>
          <w:trHeight w:val="217"/>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2013</w:t>
            </w:r>
          </w:p>
        </w:tc>
        <w:tc>
          <w:tcPr>
            <w:tcW w:w="6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$5,724</w:t>
            </w:r>
          </w:p>
        </w:tc>
        <w:tc>
          <w:tcPr>
            <w:tcW w:w="0" w:type="dxa"/>
            <w:vAlign w:val="bottom"/>
          </w:tcPr>
          <w:p>
            <w:pPr>
              <w:spacing w:after="0"/>
              <w:rPr>
                <w:sz w:val="1"/>
                <w:szCs w:val="1"/>
                <w:color w:val="auto"/>
              </w:rPr>
            </w:pP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combined financial statements.</w:t>
            </w:r>
          </w:p>
        </w:tc>
        <w:tc>
          <w:tcPr>
            <w:tcW w:w="6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4500" w:type="dxa"/>
            <w:vAlign w:val="bottom"/>
          </w:tcPr>
          <w:p>
            <w:pPr>
              <w:spacing w:after="0"/>
              <w:rPr>
                <w:sz w:val="24"/>
                <w:szCs w:val="24"/>
                <w:color w:val="auto"/>
              </w:rPr>
            </w:pPr>
          </w:p>
        </w:tc>
        <w:tc>
          <w:tcPr>
            <w:tcW w:w="6920" w:type="dxa"/>
            <w:vAlign w:val="bottom"/>
          </w:tcPr>
          <w:p>
            <w:pPr>
              <w:jc w:val="right"/>
              <w:ind w:right="5493"/>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Cable Systems to be Contributed to Midwest Cable,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 to Combined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April 25, 2014, Comcast Corporation (“Comcast”) entered into a transactions agreement with Charter Communications, Inc. (“Charter”) to satisfy its undertaking in the merger agreement with Time Warner Cable, Inc. (“TWC”) with respect to the divestiture of subscribers. Among other things, the transactions agreement contemplates a spin-off of cable systems serving approximately 2.5 million existing Comcast video subscribers into Midwest Cable, Inc., a newly formed entity and currently a wholly-owned subsidiary of Comcast (“Midwest Cable,” “SpinCo,” “we,” “us,” “our”). Midwest Cable, LLC was formed in the state of Delaware as a limited liability company in May 2014 and converted to Midwest Cable, Inc., a Delaware corporation, in September 2014.</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Following the closing date of the Comcast/TWC merger, Comcast will distribute all of the shares of our common stock on a pro rata basis to holders of Comcast Class A common stock, Class A Special common stock and Class B common stock (“Comcast common stock”) as of the record date (the “spin-off”). Immediately prior to the spin-off, Comcast will contribute to us systems currently owned by Comcast serving approximately 2.5 million video subscribers in the Midwestern and Southeastern United States (the “SpinCo systems”), together with the related subscribers, the assets and liabilities primarily related to the SpinCo systems and certain other assets and liabilities, including certain bank debt and/or term loans, a portion of the proceeds of which will have been distributed to Comcast prior to such contribution. In connection with such contribution and prior to the spin-off, we will issue notes and stock to Comcast. The consummation of the spin-off is subject to a number of closing conditions, including, among others, completion of the Comcast/TWC merger, the receipt of certain regulatory approvals, approval by Charter’s stockholders in connection with the SpinCo merger (as described below) and certain conditions relating to the financing for the spin-off.</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Following the spin-off, Charter will reorganize such that a new publicly-traded entity, New Charter, will become the parent of Charter. Another newly formed, wholly-owned subsidiary of New Charter will merge with and into us, with us being the surviving entity (the “SpinCo merger”). Upon consummation of the SpinCo merger, we expect to change our legal name to GreatLand Connections Inc. It is intended that the spin-off, together with the related transactions described in the preceding paragraph, will qualify as a tax-free reorganization and a tax-free distribution and that the SpinCo merger will qualify as a tax-free transaction. Following consummation of the SpinCo merger, holders of Comcast common stock (as of the record date) will own approximately 67% of our common stock, New Charter will own the remaining approximately 33% and Comcast will have no remaining interest in us.</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offer a variety of video, high-speed Internet and voice services (“cable services”) over our geographically-aligned cable distribution system to residential and commercial customers located in the Midwestern and Southeastern United States. As of December 31, 2013, we served 2.5 million video customers, 2.3 million high-speed Internet customers and 1.2 million voice customers.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currently part of Comcast’s Cable Communications (“Comcast Cable”) reportable segment, and our assets and liabilities consist of those that Comcast considers to be primarily related to the cable systems that comprise our operations. Comcast may also transfer certain other assets or liabilities in connection with the closing of the transactions that are not primarily related to our operations, which are not reflected in our combined balance sheet. Our operations are conducted by various indirect subsidiaries of Comcast. The accompanying combined financial statements have been derived from Comcast’s historical accounting records.</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combined statement of income includes all revenue and expenses directly attributable to our business. Expenses include costs for facilities, functions and services that we use at shared sites and costs for certain functions and services performed by centralized Comcast operations and directly charged to us based on usage. The combined statement of income also includes allocations of costs for administrative functions and services performed on our behalf by other centralized functions within Comcast. These costs were primarily allocated based on the relative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257" w:right="239" w:bottom="1440" w:gutter="0" w:footer="0" w:header="0"/>
        </w:sectPr>
      </w:pPr>
    </w:p>
    <w:bookmarkStart w:id="11" w:name="page12"/>
    <w:bookmarkEnd w:id="11"/>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proportion of our video customer relationships to total Comcast Cable video customer relationships. All of the allocations and estimates reflected in the combined financial statements are based on assumptions that management believes are reasonable. However, these allocations and estimates are not necessarily indicative of the costs and expenses that would have resulted if we had been operated as a separate entity. Following the spin-off, we will incur costs to replace Comcast support and to allow us to function as an independent, publicly-traded company. In particular, we will be required to obtain new programming arrangements, primarily through Charter, as well as through some direct relationships with programmers. See Note 3 for additional information on our allocations.</w:t>
      </w:r>
    </w:p>
    <w:p>
      <w:pPr>
        <w:spacing w:after="0" w:line="18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present our operations in one reportable business segment, as management has historically evaluated our performance and allocated resources on a combined basis as a part of Comcast Cable.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combined financial statements are prepared in accordance with generally accepted accounting principles in the United States (“GAAP”), which requires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All transactions, accounts and profits between individual cable systems that comprise us have been eliminated.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judgments and related estimates for the following item are critical in the preparation of the combined financial statements:</w:t>
      </w:r>
    </w:p>
    <w:p>
      <w:pPr>
        <w:spacing w:after="0" w:line="50" w:lineRule="exact"/>
        <w:rPr>
          <w:sz w:val="20"/>
          <w:szCs w:val="20"/>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impairment testing of cable franchise rights (see Note 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accounting policies are specific to the industry in which we operate:</w:t>
      </w:r>
    </w:p>
    <w:p>
      <w:pPr>
        <w:spacing w:after="0" w:line="131"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installation revenue (see Revenue Recognition below)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installation costs (see Note 4)</w:t>
      </w:r>
    </w:p>
    <w:p>
      <w:pPr>
        <w:spacing w:after="0" w:line="225"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7"/>
          <w:szCs w:val="17"/>
          <w:color w:val="auto"/>
        </w:rPr>
        <w:t>Information on other accounting policies or methods related to the combined financial statements is included, where applicable, in their respective footnotes that follow. Below is a discussion of accounting policies and methods used in the combined financial statements that are not presented within other footnotes.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subscriptions to cable services and from the sale of advertising. We recognize revenue from cable services as each service is provided. Customers are typically billed in advance on a monthly basis. We manage credit risk by screening applicants through the use of internal customer information, identification verification tools and credit bureau data. If a customer’s account is delinquent, various measures are used to collect outstanding amounts, including termination of the customer’s cable services. Since installation revenue obtained from the connection of customers to the cable systems is less than related direct selling costs, we recognize revenue as connections are completed.</w:t>
      </w:r>
    </w:p>
    <w:p>
      <w:pPr>
        <w:spacing w:after="0" w:line="1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part of Comcast’s distribution agreements with cable networks, we generally receive an allocation of scheduled advertising time that is sold to local, regional and national advertisers. We recognize advertising revenue when the advertising is aired. In most cases, the available advertising time is sold by Comcast’s sales force. In some cases, Comcast works with representation firms as an extension of its sales force to sell a portion of our allocated advertising time. Comcast also represents the advertising sales efforts of other multichannel video providers in some markets. Since Comcast is acting as the principal in these arrangements, we report the advertising that is sold as revenue and the fees paid to representation firms and multichannel video providers as other operating and administrative expenses.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earned from other sources is recognized when services are provided or events occur. Under the terms of our cable franchise agreements, we are generally required to pay to the franchising authority an amount based on gross video revenue. The fees are normally passed through to the cable customers, and we classify the fees as a component of revenue with the corresponding costs included in other operating and administrative expenses. The fees recognized in revenue for 2013, 2012 and 2011 were $139 million, $134 million and $125 million, respectively.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00"/>
          </w:cols>
          <w:pgMar w:left="240" w:top="270"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Programming Expenses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Programming expenses are the fees paid to license the programming that is distributed to video customers. Programming is acquired for distribution to our video customers, generally under multiyear agreements that Comcast has with distributors, with rates typically based on the number of customers that receive the programming, adjusted for channel positioning and the extent of distribution. From time to time, these contracts expire and programming continues to be provided under interim arrangements while the parties negotiate new contractual terms, sometimes with effective dates that affect prior periods. While payments are typically made under the prior contract’s terms, the amount of programming expenses recorded during these interim arrangements is based on estimates of the ultimate contractual terms expected to be negotiated. Differences between actual amounts determined upon resolution of negotiations and amounts recorded during these interim arrangements are recorded in the period of resolution.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Comcast uses a centralized approach to cash management and financing of its operations. Our cash is collected by Comcast daily, and Comcast funds our operating and investing activities as needed. Cash transfers to and from Comcast’s cash management process are reflected as a component of Parent Company net investment in the combined balance sheet. Accordingly, no cash and cash equivalents are reflected in the combined balance sheet for any of the periods presented.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assess the recoverability of our goodwill annually, or more frequently whenever events or substantive changes in circumstances indicate that the carrying amount of a reporting unit may exceed its fair value. We test goodwill for impairment at the reporting unit level.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if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any liabilities associated with such agreements. A remote possibility exists that franchise agreements could be terminated unexpectedly, which could result in us incurring significant expense in complying with restoration or removal provisions. The disposal obligations related to our properties are not material to the combined financial statements. We do not have any significant liabilities related to asset retirements recorded in the combined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 Company Net Investment</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Parent Company net investment in the combined balance sheet represents Comcast’s historical investment in our business, our accumulated net earnings after taxes, and the net effect of transactions with and allocations from Comcast. See Note 3 for additional information on our allocations.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financial instruments consist primarily of accounts receivable and accounts payable. The carrying values of accounts receivable and accounts payable approximate their respective fair values.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00"/>
          </w:cols>
          <w:pgMar w:left="240" w:top="266"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May 2014, the Financing Accounting Standards Board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The updated accounting guidance will be effective for us on January 1, 2017, and early adoption is not permitted. The updated accounting guidance allows for either a full retrospective adoption or modified retrospective adoption. We are currently in the process of determining the impact that the updated accounting guidance will have on the combined financial statements and our method of adoption.</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Shared Asset Usage Charge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share certain operating and administrative sites with Comcast, such as its national backbone. These shared assets are not included in the combined balance sheet; however, the shared asset usage charge represents the depreciation of these sites that has been allocated to us based on our relative usage of the respective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Shared Services and Other Allocated Costs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combined financial statements include transactions involving shared services (including expenses primarily related to personnel, logistics, advertising and marketing, other overhead functions, IT support, and network communications support) and certain corporate administrative services (including charges for services such as accounting matters, investor relations, tax, treasury and cash management, insurance, legal, and risk management) that were provided to us by Comcast. These allocated costs are included in other operating and administrative expenses and advertising, marketing and promotion costs in the combined statement of income, and are presented in the combined balance sheet as a reduction in Parent Company net investment. These costs were primarily allocated based on the relative proportion of our video customer relationships to those of Comcast Cable and represent management’s reasonable estimate of the costs incurred. However, these amounts are not necessarily representative of the costs required for us to operate as an independent, publicly-traded company.</w:t>
      </w:r>
    </w:p>
    <w:p>
      <w:pPr>
        <w:spacing w:after="0" w:line="18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Amounts recorded in other operating and administrative expenses for these services in 2013, 2012, and 2011 were $176 million, $168 million and $157 million, respectively. Amounts recorded in advertising, marketing and promotion costs for these services in 2013, 2012, and 2011 were $99 million, $92 million and $73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NBCUniversal and Other Affiliates</w:t>
      </w:r>
    </w:p>
    <w:p>
      <w:pPr>
        <w:spacing w:after="0" w:line="12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enter into transactions in the ordinary course of our operations, including purchases of programming and purchases and sales of advertising, with NBCUniversal Media, LLC (“NBCUniversal”), a consolidated subsidiary of Comcast, and other affiliates of Comcast. The following tables present transactions with NBCUniversal and its consolidated subsidiaries and other affiliates of Comcast that are included in the combined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Balance Sheet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December 31 (in millions)</w:t>
            </w:r>
          </w:p>
        </w:tc>
        <w:tc>
          <w:tcPr>
            <w:tcW w:w="55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color w:val="auto"/>
              </w:rPr>
              <w:t>2012</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55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  26</w:t>
            </w: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21</w:t>
            </w:r>
          </w:p>
        </w:tc>
      </w:tr>
      <w:tr>
        <w:trPr>
          <w:trHeight w:val="216"/>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55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25</w:t>
            </w:r>
          </w:p>
        </w:tc>
        <w:tc>
          <w:tcPr>
            <w:tcW w:w="7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24</w:t>
            </w:r>
          </w:p>
        </w:tc>
      </w:tr>
      <w:tr>
        <w:trPr>
          <w:trHeight w:val="358"/>
        </w:trPr>
        <w:tc>
          <w:tcPr>
            <w:tcW w:w="5140" w:type="dxa"/>
            <w:vAlign w:val="bottom"/>
          </w:tcPr>
          <w:p>
            <w:pPr>
              <w:spacing w:after="0"/>
              <w:rPr>
                <w:sz w:val="24"/>
                <w:szCs w:val="24"/>
                <w:color w:val="auto"/>
              </w:rPr>
            </w:pPr>
          </w:p>
        </w:tc>
        <w:tc>
          <w:tcPr>
            <w:tcW w:w="5580" w:type="dxa"/>
            <w:vAlign w:val="bottom"/>
          </w:tcPr>
          <w:p>
            <w:pPr>
              <w:jc w:val="right"/>
              <w:ind w:right="4794"/>
              <w:spacing w:after="0"/>
              <w:rPr>
                <w:sz w:val="20"/>
                <w:szCs w:val="20"/>
                <w:color w:val="auto"/>
              </w:rPr>
            </w:pPr>
            <w:r>
              <w:rPr>
                <w:rFonts w:ascii="Times New Roman" w:cs="Times New Roman" w:eastAsia="Times New Roman" w:hAnsi="Times New Roman"/>
                <w:sz w:val="18"/>
                <w:szCs w:val="18"/>
                <w:color w:val="auto"/>
              </w:rPr>
              <w:t>F-9</w:t>
            </w:r>
          </w:p>
        </w:tc>
        <w:tc>
          <w:tcPr>
            <w:tcW w:w="70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Combined Statement of Income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Year Ended December 31 (in millions)</w:t>
            </w:r>
          </w:p>
        </w:tc>
        <w:tc>
          <w:tcPr>
            <w:tcW w:w="28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4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color w:val="auto"/>
              </w:rPr>
              <w:t>2011</w:t>
            </w: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61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Programming</w:t>
            </w:r>
          </w:p>
        </w:tc>
        <w:tc>
          <w:tcPr>
            <w:tcW w:w="28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137</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146</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280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8</w:t>
            </w:r>
          </w:p>
        </w:tc>
        <w:tc>
          <w:tcPr>
            <w:tcW w:w="40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2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4</w:t>
            </w: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900" w:type="dxa"/>
            <w:vAlign w:val="bottom"/>
          </w:tcPr>
          <w:p>
            <w:pPr>
              <w:jc w:val="right"/>
              <w:ind w:right="177"/>
              <w:spacing w:after="0"/>
              <w:rPr>
                <w:sz w:val="20"/>
                <w:szCs w:val="20"/>
                <w:color w:val="auto"/>
              </w:rPr>
            </w:pPr>
            <w:r>
              <w:rPr>
                <w:rFonts w:ascii="Times New Roman" w:cs="Times New Roman" w:eastAsia="Times New Roman" w:hAnsi="Times New Roman"/>
                <w:sz w:val="14"/>
                <w:szCs w:val="14"/>
                <w:color w:val="auto"/>
              </w:rPr>
              <w:t>Weighted-Average</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5240" w:type="dxa"/>
            <w:vAlign w:val="bottom"/>
          </w:tcPr>
          <w:p>
            <w:pPr>
              <w:spacing w:after="0"/>
              <w:rPr>
                <w:sz w:val="12"/>
                <w:szCs w:val="12"/>
                <w:color w:val="auto"/>
              </w:rPr>
            </w:pPr>
          </w:p>
        </w:tc>
        <w:tc>
          <w:tcPr>
            <w:tcW w:w="3900" w:type="dxa"/>
            <w:vAlign w:val="bottom"/>
          </w:tcPr>
          <w:p>
            <w:pPr>
              <w:jc w:val="right"/>
              <w:ind w:right="57"/>
              <w:spacing w:after="0" w:line="149" w:lineRule="exact"/>
              <w:rPr>
                <w:sz w:val="20"/>
                <w:szCs w:val="20"/>
                <w:color w:val="auto"/>
              </w:rPr>
            </w:pPr>
            <w:r>
              <w:rPr>
                <w:rFonts w:ascii="Times New Roman" w:cs="Times New Roman" w:eastAsia="Times New Roman" w:hAnsi="Times New Roman"/>
                <w:sz w:val="14"/>
                <w:szCs w:val="14"/>
                <w:color w:val="auto"/>
              </w:rPr>
              <w:t>Original Useful Life as</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5"/>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39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color w:val="auto"/>
              </w:rPr>
              <w:t>of December 31, 2013</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2012</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Cable distribution system</w:t>
            </w:r>
          </w:p>
        </w:tc>
        <w:tc>
          <w:tcPr>
            <w:tcW w:w="3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12 years</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3,164</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Customer premise equipment</w:t>
            </w:r>
          </w:p>
        </w:tc>
        <w:tc>
          <w:tcPr>
            <w:tcW w:w="39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6 years</w:t>
            </w:r>
          </w:p>
        </w:tc>
        <w:tc>
          <w:tcPr>
            <w:tcW w:w="34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2,738</w:t>
            </w:r>
          </w:p>
        </w:tc>
        <w:tc>
          <w:tcPr>
            <w:tcW w:w="36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2,614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3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5 years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203</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9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18 years</w:t>
            </w:r>
          </w:p>
        </w:tc>
        <w:tc>
          <w:tcPr>
            <w:tcW w:w="34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154</w:t>
            </w:r>
          </w:p>
        </w:tc>
        <w:tc>
          <w:tcPr>
            <w:tcW w:w="36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90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16</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6,275</w:t>
            </w:r>
          </w:p>
        </w:tc>
        <w:tc>
          <w:tcPr>
            <w:tcW w:w="36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6,061</w:t>
            </w:r>
          </w:p>
        </w:tc>
      </w:tr>
      <w:tr>
        <w:trPr>
          <w:trHeight w:val="216"/>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(4,331)</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(4,116)</w:t>
            </w:r>
          </w:p>
        </w:tc>
      </w:tr>
      <w:tr>
        <w:trPr>
          <w:trHeight w:val="217"/>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1,944</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1,945</w:t>
            </w: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capitalize the costs associated with the construction of and improvements to our cable transmission and distribution facilities, costs associated with acquiring and deploying new customer premise equipment, and costs associated with installation of our services in accordance with accounting guidance related to cable television companies. Costs capitalized include all direct labor and materials, as well as various indirect costs. All costs incurred in connection with subsequent disconnects and reconnects are expensed as they are incurred. As a result of Comcast’s centralized operations, certain property and equipment, such as cable distribution system infrastructure, has been included in the combined financial statements based on allocations from Comcast using certain proportionate estimates, including plant miles.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 We have not recognized any impairment charges for 2013, 2012 and 2011.</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27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5: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760" w:type="dxa"/>
            <w:vAlign w:val="bottom"/>
            <w:vMerge w:val="restart"/>
          </w:tcPr>
          <w:p>
            <w:pPr>
              <w:jc w:val="center"/>
              <w:ind w:left="237"/>
              <w:spacing w:after="0"/>
              <w:rPr>
                <w:sz w:val="20"/>
                <w:szCs w:val="20"/>
                <w:color w:val="auto"/>
              </w:rPr>
            </w:pPr>
            <w:r>
              <w:rPr>
                <w:rFonts w:ascii="Times New Roman" w:cs="Times New Roman" w:eastAsia="Times New Roman" w:hAnsi="Times New Roman"/>
                <w:sz w:val="14"/>
                <w:szCs w:val="14"/>
                <w:color w:val="auto"/>
              </w:rPr>
              <w:t>Weighted-Average</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506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Gross Carrying</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47"/>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1760" w:type="dxa"/>
            <w:vAlign w:val="bottom"/>
          </w:tcPr>
          <w:p>
            <w:pPr>
              <w:jc w:val="center"/>
              <w:ind w:left="257"/>
              <w:spacing w:after="0" w:line="147" w:lineRule="exact"/>
              <w:rPr>
                <w:sz w:val="20"/>
                <w:szCs w:val="20"/>
                <w:color w:val="auto"/>
              </w:rPr>
            </w:pPr>
            <w:r>
              <w:rPr>
                <w:rFonts w:ascii="Times New Roman" w:cs="Times New Roman" w:eastAsia="Times New Roman" w:hAnsi="Times New Roman"/>
                <w:sz w:val="14"/>
                <w:szCs w:val="14"/>
                <w:color w:val="auto"/>
              </w:rPr>
              <w:t>Original Useful Life as</w:t>
            </w:r>
          </w:p>
        </w:tc>
        <w:tc>
          <w:tcPr>
            <w:tcW w:w="14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60" w:type="dxa"/>
            <w:vAlign w:val="bottom"/>
            <w:tcBorders>
              <w:bottom w:val="single" w:sz="8" w:color="auto"/>
            </w:tcBorders>
            <w:vMerge w:val="continue"/>
          </w:tcPr>
          <w:p>
            <w:pPr>
              <w:spacing w:after="0"/>
              <w:rPr>
                <w:sz w:val="15"/>
                <w:szCs w:val="15"/>
                <w:color w:val="auto"/>
              </w:rPr>
            </w:pPr>
          </w:p>
        </w:tc>
        <w:tc>
          <w:tcPr>
            <w:tcW w:w="176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4"/>
                <w:szCs w:val="14"/>
                <w:color w:val="auto"/>
              </w:rPr>
              <w:t>of December 31, 2013</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Amount</w:t>
            </w: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Amortization</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Franchise rights</w:t>
            </w:r>
          </w:p>
        </w:tc>
        <w:tc>
          <w:tcPr>
            <w:tcW w:w="176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5,561</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5,561</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Cable franchise renewal costs and contractual operating rights</w:t>
            </w:r>
          </w:p>
        </w:tc>
        <w:tc>
          <w:tcPr>
            <w:tcW w:w="176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10 years</w:t>
            </w:r>
          </w:p>
        </w:tc>
        <w:tc>
          <w:tcPr>
            <w:tcW w:w="360" w:type="dxa"/>
            <w:vAlign w:val="bottom"/>
          </w:tcPr>
          <w:p>
            <w:pPr>
              <w:spacing w:after="0"/>
              <w:rPr>
                <w:sz w:val="18"/>
                <w:szCs w:val="18"/>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197</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(124)</w:t>
            </w:r>
          </w:p>
        </w:tc>
        <w:tc>
          <w:tcPr>
            <w:tcW w:w="300" w:type="dxa"/>
            <w:vAlign w:val="bottom"/>
          </w:tcPr>
          <w:p>
            <w:pPr>
              <w:spacing w:after="0"/>
              <w:rPr>
                <w:sz w:val="18"/>
                <w:szCs w:val="18"/>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7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5 years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21</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76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7 years</w:t>
            </w:r>
          </w:p>
        </w:tc>
        <w:tc>
          <w:tcPr>
            <w:tcW w:w="360" w:type="dxa"/>
            <w:vAlign w:val="bottom"/>
          </w:tcPr>
          <w:p>
            <w:pPr>
              <w:spacing w:after="0"/>
              <w:rPr>
                <w:sz w:val="18"/>
                <w:szCs w:val="18"/>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Pr>
          <w:p>
            <w:pPr>
              <w:spacing w:after="0"/>
              <w:rPr>
                <w:sz w:val="18"/>
                <w:szCs w:val="18"/>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agreements and rights</w:t>
            </w:r>
          </w:p>
        </w:tc>
        <w:tc>
          <w:tcPr>
            <w:tcW w:w="176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10 years</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7"/>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5,787</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(148)</w:t>
            </w:r>
          </w:p>
        </w:tc>
        <w:tc>
          <w:tcPr>
            <w:tcW w:w="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5,952</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consist of our cable franchise rights.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that limit the period over which these rights will contribute to our cash flows. We reassess this determination periodically or whenever events or substantive changes in circumstances occur. Costs we incur in negotiating and renewing cable franchise agreements are included in other intangible assets and are generally amortized on a straight-line basis over the term of the franchise agreement.</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assess the recoverability of our cable franchise rights annually, or more frequently whenever events or substantive changes in circumstances indicate that the assets might be impaired.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 If the fair value of our cable franchise rights were less than the carrying amount, we would recognize an impairment charge for the difference between the estimated fair value and the carrying value of the assets. Unless presented separately, the impairment charge is included as a component of amortization expense. We have not recognized any impairment charges for 2013, 2012 and 2011.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Amortization Expense of Finite-Lived Intangibles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560" w:type="dxa"/>
            <w:vAlign w:val="bottom"/>
            <w:tcBorders>
              <w:top w:val="single" w:sz="8" w:color="auto"/>
            </w:tcBorders>
            <w:shd w:val="clear" w:color="auto" w:fill="CCEEFF"/>
          </w:tcPr>
          <w:p>
            <w:pPr>
              <w:jc w:val="right"/>
              <w:ind w:right="5110"/>
              <w:spacing w:after="0"/>
              <w:rPr>
                <w:sz w:val="20"/>
                <w:szCs w:val="20"/>
                <w:color w:val="auto"/>
              </w:rPr>
            </w:pPr>
            <w:r>
              <w:rPr>
                <w:rFonts w:ascii="Times New Roman" w:cs="Times New Roman" w:eastAsia="Times New Roman" w:hAnsi="Times New Roman"/>
                <w:sz w:val="18"/>
                <w:szCs w:val="18"/>
                <w:color w:val="auto"/>
                <w:w w:val="94"/>
              </w:rPr>
              <w:t>2014</w:t>
            </w:r>
          </w:p>
        </w:tc>
        <w:tc>
          <w:tcPr>
            <w:tcW w:w="54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560" w:type="dxa"/>
            <w:vAlign w:val="bottom"/>
          </w:tcPr>
          <w:p>
            <w:pPr>
              <w:jc w:val="right"/>
              <w:ind w:right="5110"/>
              <w:spacing w:after="0"/>
              <w:rPr>
                <w:sz w:val="20"/>
                <w:szCs w:val="20"/>
                <w:color w:val="auto"/>
              </w:rPr>
            </w:pPr>
            <w:r>
              <w:rPr>
                <w:rFonts w:ascii="Times New Roman" w:cs="Times New Roman" w:eastAsia="Times New Roman" w:hAnsi="Times New Roman"/>
                <w:sz w:val="18"/>
                <w:szCs w:val="18"/>
                <w:color w:val="auto"/>
                <w:w w:val="94"/>
              </w:rPr>
              <w:t>2015</w:t>
            </w:r>
          </w:p>
        </w:tc>
        <w:tc>
          <w:tcPr>
            <w:tcW w:w="5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560" w:type="dxa"/>
            <w:vAlign w:val="bottom"/>
            <w:shd w:val="clear" w:color="auto" w:fill="CCEEFF"/>
          </w:tcPr>
          <w:p>
            <w:pPr>
              <w:jc w:val="right"/>
              <w:ind w:right="5110"/>
              <w:spacing w:after="0"/>
              <w:rPr>
                <w:sz w:val="20"/>
                <w:szCs w:val="20"/>
                <w:color w:val="auto"/>
              </w:rPr>
            </w:pPr>
            <w:r>
              <w:rPr>
                <w:rFonts w:ascii="Times New Roman" w:cs="Times New Roman" w:eastAsia="Times New Roman" w:hAnsi="Times New Roman"/>
                <w:sz w:val="18"/>
                <w:szCs w:val="18"/>
                <w:color w:val="auto"/>
                <w:w w:val="94"/>
              </w:rPr>
              <w:t>2016</w:t>
            </w:r>
          </w:p>
        </w:tc>
        <w:tc>
          <w:tcPr>
            <w:tcW w:w="5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560" w:type="dxa"/>
            <w:vAlign w:val="bottom"/>
          </w:tcPr>
          <w:p>
            <w:pPr>
              <w:jc w:val="right"/>
              <w:ind w:right="5110"/>
              <w:spacing w:after="0"/>
              <w:rPr>
                <w:sz w:val="20"/>
                <w:szCs w:val="20"/>
                <w:color w:val="auto"/>
              </w:rPr>
            </w:pPr>
            <w:r>
              <w:rPr>
                <w:rFonts w:ascii="Times New Roman" w:cs="Times New Roman" w:eastAsia="Times New Roman" w:hAnsi="Times New Roman"/>
                <w:sz w:val="18"/>
                <w:szCs w:val="18"/>
                <w:color w:val="auto"/>
                <w:w w:val="94"/>
              </w:rPr>
              <w:t>2017</w:t>
            </w:r>
          </w:p>
        </w:tc>
        <w:tc>
          <w:tcPr>
            <w:tcW w:w="5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560" w:type="dxa"/>
            <w:vAlign w:val="bottom"/>
            <w:tcBorders>
              <w:bottom w:val="single" w:sz="8" w:color="auto"/>
            </w:tcBorders>
            <w:shd w:val="clear" w:color="auto" w:fill="CCEEFF"/>
          </w:tcPr>
          <w:p>
            <w:pPr>
              <w:jc w:val="right"/>
              <w:ind w:right="5110"/>
              <w:spacing w:after="0"/>
              <w:rPr>
                <w:sz w:val="20"/>
                <w:szCs w:val="20"/>
                <w:color w:val="auto"/>
              </w:rPr>
            </w:pPr>
            <w:r>
              <w:rPr>
                <w:rFonts w:ascii="Times New Roman" w:cs="Times New Roman" w:eastAsia="Times New Roman" w:hAnsi="Times New Roman"/>
                <w:sz w:val="18"/>
                <w:szCs w:val="18"/>
                <w:color w:val="auto"/>
                <w:w w:val="94"/>
              </w:rPr>
              <w:t>2018</w:t>
            </w:r>
          </w:p>
        </w:tc>
        <w:tc>
          <w:tcPr>
            <w:tcW w:w="5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subject to amortization and consist primarily of cable franchise renewal costs and software. Our finite-lived intangible assets are amortized primarily on a straight-line basis over their estimated useful life or the term of the respective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257" w:right="23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other intangible assets and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8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evaluate the recoverability of our intangible assets subject to amortization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 We have not recognized any impairment charges for 2013, 2012 and 2011.</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Employee Compensation and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Certain of our employees have historically participated in the Comcast Postretirement Healthcare Stipend Program (the “stipend plan”). The stipend plan is an unfunded postretirement plan that provides an annual stipend for reimbursement of healthcare costs to each eligible employee based on years of service. Under the stipend plan, we are not exposed to the increasing costs of healthcare because the benefits are fixed at a predetermined amount.</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expense reflected in the combined statement of income related to our employees’ participation in the stipend plan is actuarially determined using certain Comcast-directed assumptions, including the discount rate. For 2013, 2012 and 2011, we recorded expenses of $3 million each year.</w:t>
      </w:r>
    </w:p>
    <w:p>
      <w:pPr>
        <w:spacing w:after="0" w:line="162" w:lineRule="exact"/>
        <w:rPr>
          <w:sz w:val="20"/>
          <w:szCs w:val="20"/>
          <w:color w:val="auto"/>
        </w:rPr>
      </w:pPr>
    </w:p>
    <w:p>
      <w:pPr>
        <w:ind w:right="60"/>
        <w:spacing w:after="0" w:line="375" w:lineRule="auto"/>
        <w:rPr>
          <w:sz w:val="20"/>
          <w:szCs w:val="20"/>
          <w:color w:val="auto"/>
        </w:rPr>
      </w:pPr>
      <w:r>
        <w:rPr>
          <w:rFonts w:ascii="Times New Roman" w:cs="Times New Roman" w:eastAsia="Times New Roman" w:hAnsi="Times New Roman"/>
          <w:sz w:val="18"/>
          <w:szCs w:val="18"/>
          <w:color w:val="auto"/>
        </w:rPr>
        <w:t xml:space="preserve">As of December 31, 2013 and 2012, our share of Comcast’s unfunded liability associated with the stipend plan was $27 million and $30 million, respectively. </w:t>
      </w:r>
      <w:r>
        <w:rPr>
          <w:rFonts w:ascii="Times New Roman" w:cs="Times New Roman" w:eastAsia="Times New Roman" w:hAnsi="Times New Roman"/>
          <w:sz w:val="18"/>
          <w:szCs w:val="18"/>
          <w:b w:val="1"/>
          <w:bCs w:val="1"/>
          <w:color w:val="auto"/>
        </w:rPr>
        <w:t>Deferred Compensation Plans</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Comcast maintains unfunded, nonqualified deferred compensation plans for certain members of management (each, a “participant”). The amount of compensation deferred by each participant is based on participant elections. Participant accounts are credited with income primarily based on a fixed annual rate. The related expense was not material to the combined statement of income for all periods presented. Participants are eligible to receive distributions of the amounts credited to their account based on elected deferral periods that are consistent with the plans and applicable tax law.</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Certain of our employees have historically participated in the deferred compensation plans sponsored by Comcast. As of December 31, 2013 and 2012, our benefit obligation related to these plans was $2 million for both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Investment Plans</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Comcast sponsors several 401(k) defined contribution retirement plans that allow eligible employees to contribute a portion of their compensation through payroll deductions in accordance with specified plan guidelines. Comcast makes contributions to the plans that include matching a percentage of the employees’ contributions up to certain limits. Certain of our employees have historically participated in the plans. In 2013, 2012 and 2011, the combined statement of income included amounts charged for the defined contribution retirement plans totaling $15 million, $14 million and $14 million, respectively.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Comcast maintains various programs that allow for the grant of share-based compensation to Comcast’s officers, directors, and certain employees, including some of our employees. Comcast Class A common stock underlies all awards granted under these programs. Accordingly, the amounts presented are not necessarily indicative of our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270" w:right="239" w:bottom="1440" w:gutter="0" w:footer="0" w:header="0"/>
        </w:sectPr>
      </w:pPr>
    </w:p>
    <w:bookmarkStart w:id="17" w:name="page18"/>
    <w:bookmarkEnd w:id="17"/>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future performance and do not necessarily reflect the results that we would have experienced as an independent, publicly-traded company for the periods presented.</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expense reflected in the combined statement of income related to share-based compensation is based on the estimated fair value of our employees’ awards at the date of grant and is recognized over the period in which any related services are provided. Amounts recognized for share-based compensation for 2013, 2012 and 2011 totaled $6 million, $5 million and $5 million, respectively.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operations have historically been included in Comcast’s U.S. federal and certain state tax returns. Income taxes as presented are calculated as if we were a separate corporation that filed separate income tax returns. We believe the assumptions underlying the calculation of income taxes on a separate return basis are reasonable. However, income tax expense and liabilities as presented in these combined financial statements do not necessarily reflect the results that we would have reported as an independent, publicly-traded company for the periods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income tax expense is offset by a corresponding change in Parent Company net investment on the combined balance sheet.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Income Tax Expense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2012</w:t>
            </w:r>
          </w:p>
        </w:tc>
        <w:tc>
          <w:tcPr>
            <w:tcW w:w="4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w w:val="99"/>
              </w:rPr>
              <w:t>2011</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expense (benefit):</w:t>
            </w:r>
          </w:p>
        </w:tc>
        <w:tc>
          <w:tcPr>
            <w:tcW w:w="3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333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367</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5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69</w:t>
            </w: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76</w:t>
            </w:r>
          </w:p>
        </w:tc>
        <w:tc>
          <w:tcPr>
            <w:tcW w:w="4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r>
      <w:tr>
        <w:trPr>
          <w:trHeight w:val="210"/>
        </w:trPr>
        <w:tc>
          <w:tcPr>
            <w:tcW w:w="52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402</w:t>
            </w: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443</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341</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3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1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w:t>
            </w:r>
          </w:p>
        </w:tc>
        <w:tc>
          <w:tcPr>
            <w:tcW w:w="48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w:t>
            </w: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52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w:t>
            </w: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7"/>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409</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390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w:t>
            </w:r>
          </w:p>
        </w:tc>
      </w:tr>
    </w:tbl>
    <w:p>
      <w:pPr>
        <w:spacing w:after="0" w:line="19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effective income tax rates in 2013, 2012 and 2011 were 39.3%, 39.3% and 36.4%, respectively. In 2011, we recorded income tax benefits related to certain changes in state tax laws that impacted our effective tax rate by approximately 3%. Our effective tax rate differs from the federal statutory amount primarily due to the impact of state income taxes, net of federal benefits received.</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base our provision for income taxes on our current period income, changes in our deferred income tax assets and liabilities, income tax rates, and tax planning opportunities that would be available to us on a separate company basis in the jurisdictions in which we operate. We recognize deferred tax assets and liabilities when there are temporary differences between the financial reporting basis and tax basis of our assets and liabilities. When a change in the tax rate or tax law has an impact on deferred taxes, we apply the change based on the years in which the temporary differences are expected to reverse. We record the change in the combined financial statements in the period of enactment. As of December 31, 2013 and 2012, we had not recognized any loss carryforward or valuation allowances. The determination of the realization of future loss carryforwards would be dependent on our taxable income or loss, apportionment percentages, and state laws that can change from year to year and impact the amount of such carryforwards. We would recognize a valuation allowance if we were to determine it is more likely than not that some portion, or all, of a deferred tax asset will not be realized.</w:t>
      </w:r>
    </w:p>
    <w:p>
      <w:pPr>
        <w:spacing w:after="0" w:line="185"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7"/>
          <w:szCs w:val="17"/>
          <w:color w:val="auto"/>
        </w:rPr>
        <w:t>Our deferred tax assets were not material. We have assessed the nature of the deferred tax assets and have determined that no valuation allowance is necessary. Our net deferred tax liability is primarily attributable to differences between our book and tax basis of property and equipment and intangible assets. As of December 31, 2013 and 2012, our net deferred tax liability for both periods included $2.2 billion related to cable franchise rights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270" w:right="239" w:bottom="1440" w:gutter="0" w:footer="0" w:header="0"/>
        </w:sectPr>
      </w:pPr>
    </w:p>
    <w:bookmarkStart w:id="18" w:name="page19"/>
    <w:bookmarkEnd w:id="18"/>
    <w:p>
      <w:pPr>
        <w:ind w:right="5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will remain unchanged unless we recognize an impairment or dispose of a cable franchise, and approximately $600 million related to property and equipment.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not recorded any liabilities for uncertain tax positions. We determined that, after completion of the spin-off, Comcast would be considered the primary obligor of substantially all income tax deficiencies attributable to us for periods prior to the spin-off. In the event that, subsequent to the spin-off, an income tax deficiency is asserted against us attributable to a period prior to the spin-off, we would be indemnified under a tax sharing agreement between us and Comcast.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minimum annual rental commitments for office space and equipment under operating leases.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 2013 (in millions)</w:t>
            </w:r>
          </w:p>
        </w:tc>
        <w:tc>
          <w:tcPr>
            <w:tcW w:w="4580" w:type="dxa"/>
            <w:vAlign w:val="bottom"/>
            <w:tcBorders>
              <w:bottom w:val="single" w:sz="8" w:color="auto"/>
            </w:tcBorders>
            <w:gridSpan w:val="2"/>
          </w:tcPr>
          <w:p>
            <w:pPr>
              <w:ind w:left="3460"/>
              <w:spacing w:after="0"/>
              <w:rPr>
                <w:sz w:val="20"/>
                <w:szCs w:val="20"/>
                <w:color w:val="auto"/>
              </w:rPr>
            </w:pPr>
            <w:r>
              <w:rPr>
                <w:rFonts w:ascii="Times New Roman" w:cs="Times New Roman" w:eastAsia="Times New Roman" w:hAnsi="Times New Roman"/>
                <w:sz w:val="14"/>
                <w:szCs w:val="14"/>
                <w:color w:val="auto"/>
              </w:rPr>
              <w:t>Operating Leases</w:t>
            </w: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3980" w:type="dxa"/>
            <w:vAlign w:val="bottom"/>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398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3980" w:type="dxa"/>
            <w:vAlign w:val="bottom"/>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398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3980" w:type="dxa"/>
            <w:vAlign w:val="bottom"/>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80" w:type="dxa"/>
            <w:vAlign w:val="bottom"/>
            <w:tcBorders>
              <w:bottom w:val="single" w:sz="8" w:color="auto"/>
            </w:tcBorders>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rent expense charged to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38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color w:val="auto"/>
              </w:rPr>
              <w:t>2012</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2011</w:t>
            </w:r>
          </w:p>
        </w:tc>
      </w:tr>
      <w:tr>
        <w:trPr>
          <w:trHeight w:val="210"/>
        </w:trPr>
        <w:tc>
          <w:tcPr>
            <w:tcW w:w="5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388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  26</w:t>
            </w:r>
          </w:p>
        </w:tc>
        <w:tc>
          <w:tcPr>
            <w:tcW w:w="140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  27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June 2010, the City of Detroit (the “City”) initiated an action against us in the U.S. District Court for the Eastern District of Michigan in which the City sought a ruling that certain aspects of the Michigan Uniform Video Services Local Franchise Act were unlawful under the Federal Cable Communications Policy Act of 1984 and the Constitution of the State of Michigan. The City also sought declaratory relief as to our applicable cable franchise obligations and monetary relief for our alleged non-compliance. We appealed the U.S. District Court’s ruling on summary judgment in favor of the City to the U.S. Court of Appeals for the Sixth Circuit in July 2013, and in October 2014 we resolved this action through mediation with the City. The effect of the resolution of this action was not material to our combined financial position, results of operations or cash flows.</w:t>
      </w:r>
    </w:p>
    <w:p>
      <w:pPr>
        <w:spacing w:after="0" w:line="18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 consuming and injure our reputation.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270"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9: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2013, 2012 and 2011, our revenue was derived from the following sources: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2012</w:t>
            </w: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2011</w:t>
            </w: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3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Video</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2,203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2,137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2,081</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High-speed Internet</w:t>
            </w:r>
          </w:p>
        </w:tc>
        <w:tc>
          <w:tcPr>
            <w:tcW w:w="30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1,125</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1,052</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Voice</w:t>
            </w:r>
          </w:p>
        </w:tc>
        <w:tc>
          <w:tcPr>
            <w:tcW w:w="30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380</w:t>
            </w:r>
          </w:p>
        </w:tc>
        <w:tc>
          <w:tcPr>
            <w:tcW w:w="3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services</w:t>
            </w:r>
          </w:p>
        </w:tc>
        <w:tc>
          <w:tcPr>
            <w:tcW w:w="30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320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0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237</w:t>
            </w:r>
          </w:p>
        </w:tc>
        <w:tc>
          <w:tcPr>
            <w:tcW w:w="3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257</w:t>
            </w:r>
          </w:p>
        </w:tc>
        <w:tc>
          <w:tcPr>
            <w:tcW w:w="3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205</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189</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w:t>
            </w:r>
          </w:p>
        </w:tc>
      </w:tr>
      <w:tr>
        <w:trPr>
          <w:trHeight w:val="210"/>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4,470</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4,275</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4,018</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evaluated all subsequent event activity through October 24, 2014, which is the issue date of these combined financial statements, and concluded that no additional subsequent events have occurred that would require recognition in the combined financial statements or disclosure in the notes to the combined financial statements.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60"/>
          </w:cols>
          <w:pgMar w:left="240" w:top="257" w:right="29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Comcast Cable Systems to be Contributed to Midwest Cable,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Condensed Combined Financial Statements as of June 30, 2014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Six Months Ended June 30, 2014 and 2013</w:t>
      </w:r>
    </w:p>
    <w:p>
      <w:pPr>
        <w:spacing w:after="0"/>
        <w:rPr>
          <w:sz w:val="20"/>
          <w:szCs w:val="20"/>
          <w:color w:val="auto"/>
        </w:rPr>
      </w:pPr>
      <w:r>
        <w:rPr>
          <w:rFonts w:ascii="Times New Roman" w:cs="Times New Roman" w:eastAsia="Times New Roman" w:hAnsi="Times New Roman"/>
          <w:sz w:val="20"/>
          <w:szCs w:val="20"/>
          <w:color w:val="auto"/>
        </w:rPr>
        <w:t>(Unaudited)</w:t>
      </w:r>
    </w:p>
    <w:p>
      <w:pPr>
        <w:sectPr>
          <w:pgSz w:w="11900" w:h="16838" w:orient="portrait"/>
          <w:cols w:equalWidth="0" w:num="1">
            <w:col w:w="11420"/>
          </w:cols>
          <w:pgMar w:left="240" w:top="114" w:right="239" w:bottom="1440" w:gutter="0" w:footer="0" w:header="0"/>
        </w:sectPr>
      </w:pPr>
    </w:p>
    <w:bookmarkStart w:id="21" w:name="page22"/>
    <w:bookmarkEnd w:id="21"/>
    <w:p>
      <w:pPr>
        <w:ind w:right="5280"/>
        <w:spacing w:after="0" w:line="246"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Comcast Cable Systems to be Contributed to Midwest Cable, Inc. </w:t>
      </w:r>
      <w:r>
        <w:rPr>
          <w:rFonts w:ascii="Times New Roman" w:cs="Times New Roman" w:eastAsia="Times New Roman" w:hAnsi="Times New Roman"/>
          <w:sz w:val="22"/>
          <w:szCs w:val="22"/>
          <w:color w:val="auto"/>
        </w:rPr>
        <w:t>Index to Condensed Combined Financial Statements (Unaudited)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98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86"/>
        </w:trPr>
        <w:tc>
          <w:tcPr>
            <w:tcW w:w="10980" w:type="dxa"/>
            <w:vAlign w:val="bottom"/>
          </w:tcPr>
          <w:p>
            <w:pPr>
              <w:spacing w:after="0"/>
              <w:rPr>
                <w:sz w:val="20"/>
                <w:szCs w:val="20"/>
                <w:color w:val="auto"/>
              </w:rPr>
            </w:pPr>
            <w:r>
              <w:rPr>
                <w:rFonts w:ascii="Times New Roman" w:cs="Times New Roman" w:eastAsia="Times New Roman" w:hAnsi="Times New Roman"/>
                <w:sz w:val="18"/>
                <w:szCs w:val="18"/>
                <w:color w:val="auto"/>
              </w:rPr>
              <w:t>Condensed Combined Financial Statements:</w:t>
            </w:r>
          </w:p>
        </w:tc>
        <w:tc>
          <w:tcPr>
            <w:tcW w:w="340" w:type="dxa"/>
            <w:vAlign w:val="bottom"/>
          </w:tcPr>
          <w:p>
            <w:pPr>
              <w:spacing w:after="0"/>
              <w:rPr>
                <w:sz w:val="24"/>
                <w:szCs w:val="24"/>
                <w:color w:val="auto"/>
              </w:rPr>
            </w:pPr>
          </w:p>
        </w:tc>
      </w:tr>
      <w:tr>
        <w:trPr>
          <w:trHeight w:val="216"/>
        </w:trPr>
        <w:tc>
          <w:tcPr>
            <w:tcW w:w="10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Combined Balance Sheet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16"/>
        </w:trPr>
        <w:tc>
          <w:tcPr>
            <w:tcW w:w="10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Combined Statement of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Combined Statement of Cash Flows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Combined Statement of Changes in Parent Company Net Investment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34"/>
        </w:trPr>
        <w:tc>
          <w:tcPr>
            <w:tcW w:w="10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to Condensed Combined Financial Statements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bl>
    <w:p>
      <w:pPr>
        <w:sectPr>
          <w:pgSz w:w="11900" w:h="16838" w:orient="portrait"/>
          <w:cols w:equalWidth="0" w:num="1">
            <w:col w:w="11320"/>
          </w:cols>
          <w:pgMar w:left="240" w:top="257" w:right="339" w:bottom="1440" w:gutter="0" w:footer="0" w:header="0"/>
        </w:sectPr>
      </w:pPr>
    </w:p>
    <w:bookmarkStart w:id="22" w:name="page23"/>
    <w:bookmarkEnd w:id="22"/>
    <w:p>
      <w:pPr>
        <w:ind w:right="5380"/>
        <w:spacing w:after="0" w:line="248"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Comcast Cable Systems to be Contributed to Midwest Cable, Inc. </w:t>
      </w:r>
      <w:r>
        <w:rPr>
          <w:rFonts w:ascii="Times New Roman" w:cs="Times New Roman" w:eastAsia="Times New Roman" w:hAnsi="Times New Roman"/>
          <w:sz w:val="22"/>
          <w:szCs w:val="22"/>
          <w:color w:val="auto"/>
        </w:rPr>
        <w:t>Condensed Combined Balance Sheet (Unaudited)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020" w:type="dxa"/>
            <w:vAlign w:val="bottom"/>
            <w:gridSpan w:val="2"/>
          </w:tcPr>
          <w:p>
            <w:pPr>
              <w:ind w:left="4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3"/>
        </w:trPr>
        <w:tc>
          <w:tcPr>
            <w:tcW w:w="5240" w:type="dxa"/>
            <w:vAlign w:val="bottom"/>
            <w:tcBorders>
              <w:bottom w:val="single" w:sz="8" w:color="auto"/>
            </w:tcBorders>
            <w:vMerge w:val="continue"/>
          </w:tcPr>
          <w:p>
            <w:pPr>
              <w:spacing w:after="0"/>
              <w:rPr>
                <w:sz w:val="15"/>
                <w:szCs w:val="15"/>
                <w:color w:val="auto"/>
              </w:rPr>
            </w:pPr>
          </w:p>
        </w:tc>
        <w:tc>
          <w:tcPr>
            <w:tcW w:w="4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2013</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340" w:type="dxa"/>
            <w:vAlign w:val="bottom"/>
            <w:shd w:val="clear" w:color="auto" w:fill="CCEEFF"/>
          </w:tcPr>
          <w:p>
            <w:pPr>
              <w:ind w:left="4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434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148</w:t>
            </w:r>
          </w:p>
        </w:tc>
        <w:tc>
          <w:tcPr>
            <w:tcW w:w="4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Programming receivables</w:t>
            </w: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9</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11</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168</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34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93"/>
              </w:rPr>
              <w:t>1,926</w:t>
            </w:r>
          </w:p>
        </w:tc>
        <w:tc>
          <w:tcPr>
            <w:tcW w:w="4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rights</w:t>
            </w: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93"/>
              </w:rPr>
              <w:t>5,561</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34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93"/>
              </w:rPr>
              <w:t>1,241</w:t>
            </w:r>
          </w:p>
        </w:tc>
        <w:tc>
          <w:tcPr>
            <w:tcW w:w="4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75</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340" w:type="dxa"/>
            <w:vAlign w:val="bottom"/>
            <w:tcBorders>
              <w:bottom w:val="single" w:sz="8" w:color="auto"/>
            </w:tcBorders>
            <w:shd w:val="clear" w:color="auto" w:fill="CCEEFF"/>
          </w:tcPr>
          <w:p>
            <w:pPr>
              <w:ind w:left="4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93"/>
              </w:rPr>
              <w:t>8,973</w:t>
            </w:r>
          </w:p>
        </w:tc>
        <w:tc>
          <w:tcPr>
            <w:tcW w:w="4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Parent Company net investment</w:t>
            </w: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434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272</w:t>
            </w: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45</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Subscriber advance payments</w:t>
            </w:r>
          </w:p>
        </w:tc>
        <w:tc>
          <w:tcPr>
            <w:tcW w:w="434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18</w:t>
            </w:r>
          </w:p>
        </w:tc>
        <w:tc>
          <w:tcPr>
            <w:tcW w:w="4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44</w:t>
            </w:r>
          </w:p>
        </w:tc>
        <w:tc>
          <w:tcPr>
            <w:tcW w:w="4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34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379</w:t>
            </w:r>
          </w:p>
        </w:tc>
        <w:tc>
          <w:tcPr>
            <w:tcW w:w="4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93"/>
              </w:rPr>
              <w:t>2,836</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34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57</w:t>
            </w:r>
          </w:p>
        </w:tc>
        <w:tc>
          <w:tcPr>
            <w:tcW w:w="4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4)</w:t>
            </w:r>
          </w:p>
        </w:tc>
        <w:tc>
          <w:tcPr>
            <w:tcW w:w="4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Parent Company net investment</w:t>
            </w:r>
          </w:p>
        </w:tc>
        <w:tc>
          <w:tcPr>
            <w:tcW w:w="4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93"/>
              </w:rPr>
              <w:t>5,701</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5,724</w:t>
            </w:r>
          </w:p>
        </w:tc>
        <w:tc>
          <w:tcPr>
            <w:tcW w:w="0" w:type="dxa"/>
            <w:vAlign w:val="bottom"/>
          </w:tcPr>
          <w:p>
            <w:pPr>
              <w:spacing w:after="0"/>
              <w:rPr>
                <w:sz w:val="1"/>
                <w:szCs w:val="1"/>
                <w:color w:val="auto"/>
              </w:rPr>
            </w:pPr>
          </w:p>
        </w:tc>
      </w:tr>
      <w:tr>
        <w:trPr>
          <w:trHeight w:val="217"/>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Parent Company net investment</w:t>
            </w:r>
          </w:p>
        </w:tc>
        <w:tc>
          <w:tcPr>
            <w:tcW w:w="4340" w:type="dxa"/>
            <w:vAlign w:val="bottom"/>
            <w:tcBorders>
              <w:bottom w:val="single" w:sz="8" w:color="auto"/>
            </w:tcBorders>
            <w:shd w:val="clear" w:color="auto" w:fill="CCEEFF"/>
          </w:tcPr>
          <w:p>
            <w:pPr>
              <w:ind w:left="4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93"/>
              </w:rPr>
              <w:t>8,973</w:t>
            </w:r>
          </w:p>
        </w:tc>
        <w:tc>
          <w:tcPr>
            <w:tcW w:w="4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8,999</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condensed combined financial statements.</w:t>
            </w:r>
          </w:p>
        </w:tc>
        <w:tc>
          <w:tcPr>
            <w:tcW w:w="4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5240" w:type="dxa"/>
            <w:vAlign w:val="bottom"/>
          </w:tcPr>
          <w:p>
            <w:pPr>
              <w:spacing w:after="0"/>
              <w:rPr>
                <w:sz w:val="24"/>
                <w:szCs w:val="24"/>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F-1</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23" w:name="page24"/>
    <w:bookmarkEnd w:id="23"/>
    <w:p>
      <w:pPr>
        <w:ind w:right="5380"/>
        <w:spacing w:after="0" w:line="248"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Comcast Cable Systems to be Contributed to Midwest Cable, Inc. </w:t>
      </w:r>
      <w:r>
        <w:rPr>
          <w:rFonts w:ascii="Times New Roman" w:cs="Times New Roman" w:eastAsia="Times New Roman" w:hAnsi="Times New Roman"/>
          <w:sz w:val="22"/>
          <w:szCs w:val="22"/>
          <w:color w:val="auto"/>
        </w:rPr>
        <w:t>Condensed Combined Statement of Income (Unaudited)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Six months ended June 30 (in millions)</w:t>
            </w:r>
          </w:p>
        </w:tc>
        <w:tc>
          <w:tcPr>
            <w:tcW w:w="5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99"/>
              </w:rPr>
              <w:t>2013</w:t>
            </w: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8"/>
              </w:rPr>
              <w:t>2,299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3"/>
              </w:rPr>
              <w:t>2,224</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Programming</w:t>
            </w:r>
          </w:p>
        </w:tc>
        <w:tc>
          <w:tcPr>
            <w:tcW w:w="5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517</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5280" w:type="dxa"/>
            <w:vAlign w:val="bottom"/>
          </w:tcPr>
          <w:p>
            <w:pPr>
              <w:spacing w:after="0"/>
              <w:rPr>
                <w:sz w:val="18"/>
                <w:szCs w:val="18"/>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733</w:t>
            </w:r>
          </w:p>
        </w:tc>
        <w:tc>
          <w:tcPr>
            <w:tcW w:w="24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5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169</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asset usage charge</w:t>
            </w:r>
          </w:p>
        </w:tc>
        <w:tc>
          <w:tcPr>
            <w:tcW w:w="5280" w:type="dxa"/>
            <w:vAlign w:val="bottom"/>
          </w:tcPr>
          <w:p>
            <w:pPr>
              <w:spacing w:after="0"/>
              <w:rPr>
                <w:sz w:val="18"/>
                <w:szCs w:val="18"/>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63</w:t>
            </w:r>
          </w:p>
        </w:tc>
        <w:tc>
          <w:tcPr>
            <w:tcW w:w="24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5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258</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4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5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4820" w:type="dxa"/>
            <w:vAlign w:val="bottom"/>
            <w:tcBorders>
              <w:bottom w:val="single" w:sz="8" w:color="auto"/>
            </w:tcBorders>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8"/>
              </w:rPr>
              <w:t>1,750</w:t>
            </w: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3"/>
              </w:rPr>
              <w:t>1,701</w:t>
            </w: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280" w:type="dxa"/>
            <w:vAlign w:val="bottom"/>
          </w:tcPr>
          <w:p>
            <w:pPr>
              <w:spacing w:after="0"/>
              <w:rPr>
                <w:sz w:val="18"/>
                <w:szCs w:val="18"/>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549</w:t>
            </w:r>
          </w:p>
        </w:tc>
        <w:tc>
          <w:tcPr>
            <w:tcW w:w="24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4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(215)</w:t>
            </w: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7"/>
              </w:rPr>
              <w:t>(205)</w:t>
            </w:r>
          </w:p>
        </w:tc>
      </w:tr>
      <w:tr>
        <w:trPr>
          <w:trHeight w:val="210"/>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334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318</w:t>
            </w: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condensed combined financial statements.</w:t>
            </w:r>
          </w:p>
        </w:tc>
        <w:tc>
          <w:tcPr>
            <w:tcW w:w="5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25"/>
        </w:trPr>
        <w:tc>
          <w:tcPr>
            <w:tcW w:w="4820" w:type="dxa"/>
            <w:vAlign w:val="bottom"/>
          </w:tcPr>
          <w:p>
            <w:pPr>
              <w:spacing w:after="0"/>
              <w:rPr>
                <w:sz w:val="24"/>
                <w:szCs w:val="24"/>
                <w:color w:val="auto"/>
              </w:rPr>
            </w:pPr>
          </w:p>
        </w:tc>
        <w:tc>
          <w:tcPr>
            <w:tcW w:w="5280" w:type="dxa"/>
            <w:vAlign w:val="bottom"/>
          </w:tcPr>
          <w:p>
            <w:pPr>
              <w:jc w:val="right"/>
              <w:ind w:right="4170"/>
              <w:spacing w:after="0"/>
              <w:rPr>
                <w:sz w:val="20"/>
                <w:szCs w:val="20"/>
                <w:color w:val="auto"/>
              </w:rPr>
            </w:pPr>
            <w:r>
              <w:rPr>
                <w:rFonts w:ascii="Times New Roman" w:cs="Times New Roman" w:eastAsia="Times New Roman" w:hAnsi="Times New Roman"/>
                <w:sz w:val="18"/>
                <w:szCs w:val="18"/>
                <w:color w:val="auto"/>
              </w:rPr>
              <w:t>F-2</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24" w:name="page25"/>
    <w:bookmarkEnd w:id="24"/>
    <w:p>
      <w:pPr>
        <w:ind w:right="5380"/>
        <w:spacing w:after="0" w:line="248"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Comcast Cable Systems to be Contributed to Midwest Cable, Inc. </w:t>
      </w:r>
      <w:r>
        <w:rPr>
          <w:rFonts w:ascii="Times New Roman" w:cs="Times New Roman" w:eastAsia="Times New Roman" w:hAnsi="Times New Roman"/>
          <w:sz w:val="22"/>
          <w:szCs w:val="22"/>
          <w:color w:val="auto"/>
        </w:rPr>
        <w:t>Condensed Combined Statement of Cash Flows (Unaudited)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Six months ended June 30 (in millions)</w:t>
            </w:r>
          </w:p>
        </w:tc>
        <w:tc>
          <w:tcPr>
            <w:tcW w:w="2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92"/>
              </w:rPr>
              <w:t>2013</w:t>
            </w: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334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00" w:type="dxa"/>
            <w:vAlign w:val="bottom"/>
          </w:tcPr>
          <w:p>
            <w:pPr>
              <w:spacing w:after="0"/>
              <w:rPr>
                <w:sz w:val="18"/>
                <w:szCs w:val="18"/>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268</w:t>
            </w:r>
          </w:p>
        </w:tc>
        <w:tc>
          <w:tcPr>
            <w:tcW w:w="36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Shared asset usage charge</w:t>
            </w:r>
          </w:p>
        </w:tc>
        <w:tc>
          <w:tcPr>
            <w:tcW w:w="2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63</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100" w:type="dxa"/>
            <w:vAlign w:val="bottom"/>
          </w:tcPr>
          <w:p>
            <w:pPr>
              <w:spacing w:after="0"/>
              <w:rPr>
                <w:sz w:val="18"/>
                <w:szCs w:val="18"/>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3</w:t>
            </w:r>
          </w:p>
        </w:tc>
        <w:tc>
          <w:tcPr>
            <w:tcW w:w="36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(6)</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receivables, net</w:t>
            </w:r>
          </w:p>
        </w:tc>
        <w:tc>
          <w:tcPr>
            <w:tcW w:w="2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accounts payable and accrued expenses related to trade creditors</w:t>
            </w:r>
          </w:p>
        </w:tc>
        <w:tc>
          <w:tcPr>
            <w:tcW w:w="2100" w:type="dxa"/>
            <w:vAlign w:val="bottom"/>
          </w:tcPr>
          <w:p>
            <w:pPr>
              <w:spacing w:after="0"/>
              <w:rPr>
                <w:sz w:val="18"/>
                <w:szCs w:val="18"/>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(21)</w:t>
            </w:r>
          </w:p>
        </w:tc>
        <w:tc>
          <w:tcPr>
            <w:tcW w:w="36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other operating assets and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18</w:t>
            </w: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7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661</w:t>
            </w: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688</w:t>
            </w: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100" w:type="dxa"/>
            <w:vAlign w:val="bottom"/>
          </w:tcPr>
          <w:p>
            <w:pPr>
              <w:spacing w:after="0"/>
              <w:rPr>
                <w:sz w:val="18"/>
                <w:szCs w:val="18"/>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2"/>
              </w:rPr>
              <w:t>(221)</w:t>
            </w:r>
          </w:p>
        </w:tc>
        <w:tc>
          <w:tcPr>
            <w:tcW w:w="36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2"/>
              </w:rPr>
              <w:t>(204)</w:t>
            </w:r>
          </w:p>
        </w:tc>
      </w:tr>
      <w:tr>
        <w:trPr>
          <w:trHeight w:val="216"/>
        </w:trPr>
        <w:tc>
          <w:tcPr>
            <w:tcW w:w="7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2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(7)</w:t>
            </w: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7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2"/>
              </w:rPr>
              <w:t>(228)</w:t>
            </w: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2"/>
              </w:rPr>
              <w:t>(210)</w:t>
            </w: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7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in Parent Company net investment</w:t>
            </w:r>
          </w:p>
        </w:tc>
        <w:tc>
          <w:tcPr>
            <w:tcW w:w="2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2"/>
              </w:rPr>
              <w:t>(433)</w:t>
            </w: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2"/>
              </w:rPr>
              <w:t>(478)</w:t>
            </w:r>
          </w:p>
        </w:tc>
      </w:tr>
      <w:tr>
        <w:trPr>
          <w:trHeight w:val="210"/>
        </w:trPr>
        <w:tc>
          <w:tcPr>
            <w:tcW w:w="7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2"/>
              </w:rPr>
              <w:t>(433)</w:t>
            </w: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2"/>
              </w:rPr>
              <w:t>(478)</w:t>
            </w:r>
          </w:p>
        </w:tc>
      </w:tr>
      <w:tr>
        <w:trPr>
          <w:trHeight w:val="21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100" w:type="dxa"/>
            <w:vAlign w:val="bottom"/>
          </w:tcPr>
          <w:p>
            <w:pPr>
              <w:spacing w:after="0"/>
              <w:rPr>
                <w:sz w:val="18"/>
                <w:szCs w:val="18"/>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188"/>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condensed combined financial statements.</w:t>
            </w: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25"/>
        </w:trPr>
        <w:tc>
          <w:tcPr>
            <w:tcW w:w="78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F-3</w:t>
            </w: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25" w:name="page26"/>
    <w:bookmarkEnd w:id="25"/>
    <w:p>
      <w:pPr>
        <w:ind w:right="4440"/>
        <w:spacing w:after="0" w:line="246"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Comcast Cable Systems to be Contributed to Midwest Cable, Inc. </w:t>
      </w:r>
      <w:r>
        <w:rPr>
          <w:rFonts w:ascii="Times New Roman" w:cs="Times New Roman" w:eastAsia="Times New Roman" w:hAnsi="Times New Roman"/>
          <w:sz w:val="22"/>
          <w:szCs w:val="22"/>
          <w:color w:val="auto"/>
        </w:rPr>
        <w:t>Condensed Combined Statement of Changes in Parent Company Net Investment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600" w:type="dxa"/>
            <w:vAlign w:val="bottom"/>
            <w:gridSpan w:val="2"/>
          </w:tcPr>
          <w:p>
            <w:pPr>
              <w:ind w:left="5540"/>
              <w:spacing w:after="0"/>
              <w:rPr>
                <w:sz w:val="20"/>
                <w:szCs w:val="20"/>
                <w:color w:val="auto"/>
              </w:rPr>
            </w:pPr>
            <w:r>
              <w:rPr>
                <w:rFonts w:ascii="Times New Roman" w:cs="Times New Roman" w:eastAsia="Times New Roman" w:hAnsi="Times New Roman"/>
                <w:sz w:val="14"/>
                <w:szCs w:val="14"/>
                <w:color w:val="auto"/>
              </w:rPr>
              <w:t>Parent Company</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auto"/>
            </w:tcBorders>
            <w:vMerge w:val="continue"/>
          </w:tcPr>
          <w:p>
            <w:pPr>
              <w:spacing w:after="0"/>
              <w:rPr>
                <w:sz w:val="14"/>
                <w:szCs w:val="14"/>
                <w:color w:val="auto"/>
              </w:rPr>
            </w:pPr>
          </w:p>
        </w:tc>
        <w:tc>
          <w:tcPr>
            <w:tcW w:w="66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Net Investment</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5860" w:type="dxa"/>
            <w:vAlign w:val="bottom"/>
            <w:shd w:val="clear" w:color="auto" w:fill="CCEEFF"/>
          </w:tcPr>
          <w:p>
            <w:pPr>
              <w:ind w:left="5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58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7"/>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June 30, 2013</w:t>
            </w:r>
          </w:p>
        </w:tc>
        <w:tc>
          <w:tcPr>
            <w:tcW w:w="58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5,662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2014</w:t>
            </w:r>
          </w:p>
        </w:tc>
        <w:tc>
          <w:tcPr>
            <w:tcW w:w="5860" w:type="dxa"/>
            <w:vAlign w:val="bottom"/>
            <w:shd w:val="clear" w:color="auto" w:fill="CCEEFF"/>
          </w:tcPr>
          <w:p>
            <w:pPr>
              <w:ind w:left="5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Parent Company, net</w:t>
            </w:r>
          </w:p>
        </w:tc>
        <w:tc>
          <w:tcPr>
            <w:tcW w:w="58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(357)</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8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334</w:t>
            </w:r>
          </w:p>
        </w:tc>
        <w:tc>
          <w:tcPr>
            <w:tcW w:w="0" w:type="dxa"/>
            <w:vAlign w:val="bottom"/>
          </w:tcPr>
          <w:p>
            <w:pPr>
              <w:spacing w:after="0"/>
              <w:rPr>
                <w:sz w:val="1"/>
                <w:szCs w:val="1"/>
                <w:color w:val="auto"/>
              </w:rPr>
            </w:pPr>
          </w:p>
        </w:tc>
      </w:tr>
      <w:tr>
        <w:trPr>
          <w:trHeight w:val="217"/>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June 30, 2014</w:t>
            </w:r>
          </w:p>
        </w:tc>
        <w:tc>
          <w:tcPr>
            <w:tcW w:w="58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5,701</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condensed combined financial statements.</w:t>
            </w:r>
          </w:p>
        </w:tc>
        <w:tc>
          <w:tcPr>
            <w:tcW w:w="5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8"/>
        </w:trPr>
        <w:tc>
          <w:tcPr>
            <w:tcW w:w="4820" w:type="dxa"/>
            <w:vAlign w:val="bottom"/>
          </w:tcPr>
          <w:p>
            <w:pPr>
              <w:spacing w:after="0"/>
              <w:rPr>
                <w:sz w:val="24"/>
                <w:szCs w:val="24"/>
                <w:color w:val="auto"/>
              </w:rPr>
            </w:pPr>
          </w:p>
        </w:tc>
        <w:tc>
          <w:tcPr>
            <w:tcW w:w="5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26" w:name="page27"/>
    <w:bookmarkEnd w:id="26"/>
    <w:p>
      <w:pPr>
        <w:ind w:right="5380"/>
        <w:spacing w:after="0" w:line="246"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Comcast Cable Systems to be Contributed to Midwest Cable, Inc. </w:t>
      </w:r>
      <w:r>
        <w:rPr>
          <w:rFonts w:ascii="Times New Roman" w:cs="Times New Roman" w:eastAsia="Times New Roman" w:hAnsi="Times New Roman"/>
          <w:sz w:val="22"/>
          <w:szCs w:val="22"/>
          <w:color w:val="auto"/>
        </w:rPr>
        <w:t>Notes to Condensed Combined Financial Statements (Unaudited)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April 25, 2014, Comcast Corporation (“Comcast”) entered into a transactions agreement with Charter Communications, Inc. (“Charter”) to satisfy its undertaking in the merger agreement with Time Warner Cable, Inc. (“TWC”) with respect to the divestiture of subscribers. Among other things, the transactions agreement contemplates a spin-off of cable systems serving approximately 2.5 million existing Comcast video subscribers into Midwest Cable, Inc., a newly formed entity and currently a wholly-owned subsidiary of Comcast (“Midwest Cable,” “SpinCo,” “we,” “us,” “our”). Midwest Cable, LLC was formed in the state of Delaware as a limited liability company in May 2014 and converted to Midwest Cable, Inc., a Delaware corporation, in September 2014.</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Following the closing date of the Comcast/TWC merger, Comcast will distribute all of the shares of our common stock on a pro rata basis to holders of Comcast Class A common stock, Class A Special common stock and Class B common stock (“Comcast common stock”) as of the record date (the “spin-off”). Immediately prior to the spin-off, Comcast will contribute to us systems currently owned by Comcast serving approximately 2.5 million video subscribers in the Midwestern and Southeastern United States (the “SpinCo systems”), together with the related subscribers, the assets and liabilities primarily related to the SpinCo systems and certain other assets and liabilities, including certain bank debt and/or term loans, a portion of the proceeds of which will have been distributed to Comcast prior to such contribution. In connection with such contribution and prior to the spin-off, we will issue notes and stock to Comcast. The consummation of the spin-off is subject to a number of closing conditions, including, among others, completion of the Comcast/TWC merger, the receipt of certain regulatory approvals, approval by Charter’s stockholders in connection with the SpinCo merger (as described below) and certain conditions relating to the financing for the spin-off.</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Following the spin-off, Charter will reorganize such that a new publicly-traded entity, New Charter, will become the parent of Charter. Another newly formed, wholly-owned subsidiary of New Charter will merge with and into us, with us being the surviving entity (the “SpinCo merger”). Upon consummation of the SpinCo merger, we expect to change our legal name to GreatLand Connections Inc. It is intended that the spin-off, together with the related transactions described in the preceding paragraph, will qualify as a tax-free reorganization and a tax-free distribution and that the SpinCo merger will qualify as a tax-free transaction. Following consummation of the SpinCo merger, holders of Comcast common stock (as of the record date) will own approximately 67% of our common stock, New Charter will own the remaining approximately 33% and Comcast will have no remaining interest in us.</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offer a variety of video, high-speed Internet and voice services (“cable services”) over our geographically-aligned cable distribution system to residential and commercial customers located in the Midwestern and Southeastern United States. As of June 30, 2014, we served 2.5 million video customers, 2.3 million high-speed Internet customers and 1.2 million voice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currently part of Comcast’s Cable Communications (“Comcast Cable”) reportable segment, and our assets and liabilities consist of those that Comcast considers to be primarily related to the cable systems that comprise our operations. Comcast may also transfer certain other assets or liabilities in connection with the closing of the transactions that are not primarily related to our operations, which are not reflected in our condensed combined balance sheet. Our operations are conducted by various indirect subsidiaries of Comcast. The accompanying condensed combined financial statements have been derived from Comcast’s historical accounting records.</w:t>
      </w:r>
    </w:p>
    <w:p>
      <w:pPr>
        <w:spacing w:after="0" w:line="18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condensed combined statement of income includes all revenue and expenses directly attributable to our business. Expenses include costs for facilities, functions and services that we use at shared sites and costs for certain functions and services performed by centralized Comcast operations and directly charged to us based on usage. The condensed combined statement of income also includes allocations of costs for administrative functions and services performed on our behalf by other centralized functions within Comcast. These costs were primarily allocated based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257" w:right="239" w:bottom="1440" w:gutter="0" w:footer="0" w:header="0"/>
        </w:sectPr>
      </w:pPr>
    </w:p>
    <w:bookmarkStart w:id="27" w:name="page28"/>
    <w:bookmarkEnd w:id="2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relative proportion of our video customer relationships to total Comcast Cable video customer relationships. All of the allocations and estimates reflected in the condensed combined financial statements are based on assumptions that management believes are reasonable. However, these allocations and estimates are not necessarily indicative of the costs and expenses that would have resulted if we had been operated as a separate entity. Following the spin-off, we will incur costs to replace Comcast support and to allow us to function as an independent, publicly-traded company. In particular, we will be required to obtain new programming arrangements, primarily through Charter, as well as through some direct relationships with programmers. See Note 3 for additional information on our allocations.</w:t>
      </w:r>
    </w:p>
    <w:p>
      <w:pPr>
        <w:spacing w:after="0" w:line="18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present our operations in one reportable business segment, as management has historically evaluated our performance and allocated resources on a combined basis as a part of Comcast Cable.</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prepared the condensed combined financial statements based on Securities and Exchange Commission rules that permit reduced disclosure for interim periods. These financial statements include all adjustments that are necessary for a fair presentation of the combined results of operations, financial condition and cash flows for the periods shown, including normal, recurring accruals and other items. The combined results of operations for the interim periods presented are not necessarily indicative of results for the full year.</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year-end condensed combined balance sheet was derived from audited financial statements but does not include all disclosures required by generally accepted accounting principles in the United States of America (“GAAP”). For a more complete discussion of our accounting policies and certain other information, refer to our audited combined financial statements included elsewhere in this prospectus.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The updated accounting guidance will be effective for us on January 1, 2017, and early adoption is not permitted. The updated accounting guidance allows for either a full retrospective adoption or modified retrospective adoption. We are currently in the process of determining the impact that the updated accounting guidance will have on the combined financial statements and our method of adoption.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Shared Asset Usage Charge</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share certain operating and administrative sites with Comcast, such as its national backbone. These shared assets are not included in the condensed combined balance sheet; however, the shared asset usage charge represents the depreciation of these sites that has been allocated to us based on our relative usage of the respective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Shared Services and Other Allocated Costs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condensed combined financial statements include transactions involving shared services (including expenses primarily related to personnel, logistics, advertising and marketing, other overhead functions, IT support, and network communications support) and certain corporate administrative services (including charges for services such as accounting matters, investor relations, tax, treasury and cash management, insurance, legal, and risk management) that were provided to us by Comcast. These allocated costs are included in other operating and administrative expenses and advertising, marketing and promotion costs in the condensed combined statement of income, and are presented in the condensed combined balance sheet as a reduction in Parent Company net investment. These costs were primarily allocated based on the relative proportion of our video customer relationships to total Comcast Cable and represent management’s reasonable estimate of the costs incurred. However, these amounts are not necessarily representative of the costs required for us to operate as an independent, publicly-traded company.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00"/>
          </w:cols>
          <w:pgMar w:left="240" w:top="270" w:right="259" w:bottom="1440" w:gutter="0" w:footer="0" w:header="0"/>
        </w:sectPr>
      </w:pPr>
    </w:p>
    <w:bookmarkStart w:id="28" w:name="page29"/>
    <w:bookmarkEnd w:id="28"/>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recorded in other operating and administrative expenses for these services during the six months ended June 30, 2014 and 2013 were $102 million and $84 million, respectively. Amounts recorded in advertising, marketing and promotion costs for these services during the six months ended June 30, 2014 and 2013 were $53 million and $47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NBCUniversal and Other Affiliates</w:t>
      </w:r>
    </w:p>
    <w:p>
      <w:pPr>
        <w:spacing w:after="0" w:line="12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We enter into transactions in the ordinary course of our operations, including purchases of programming and purchases and sales of advertising, with NBCUniversal Media, LLC (“NBCUniversal”), a consolidated subsidiary of Comcast, and other affiliates of Comcast. The following tables present transactions with NBCUniversal and its consolidated subsidiaries and other affiliates of Comcast that are included in the condensed combined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Combined Balance Sheet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0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280" w:type="dxa"/>
            <w:vAlign w:val="bottom"/>
            <w:tcBorders>
              <w:top w:val="single" w:sz="8" w:color="auto"/>
            </w:tcBorders>
          </w:tcPr>
          <w:p>
            <w:pPr>
              <w:jc w:val="right"/>
              <w:ind w:right="337"/>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00" w:type="dxa"/>
            <w:vAlign w:val="bottom"/>
            <w:tcBorders>
              <w:top w:val="single" w:sz="8" w:color="auto"/>
            </w:tcBorders>
            <w:gridSpan w:val="2"/>
          </w:tcPr>
          <w:p>
            <w:pPr>
              <w:jc w:val="center"/>
              <w:ind w:left="22"/>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73"/>
        </w:trPr>
        <w:tc>
          <w:tcPr>
            <w:tcW w:w="7040" w:type="dxa"/>
            <w:vAlign w:val="bottom"/>
            <w:tcBorders>
              <w:bottom w:val="single" w:sz="8" w:color="auto"/>
            </w:tcBorders>
            <w:vMerge w:val="continue"/>
          </w:tcPr>
          <w:p>
            <w:pPr>
              <w:spacing w:after="0"/>
              <w:rPr>
                <w:sz w:val="15"/>
                <w:szCs w:val="15"/>
                <w:color w:val="auto"/>
              </w:rPr>
            </w:pPr>
          </w:p>
        </w:tc>
        <w:tc>
          <w:tcPr>
            <w:tcW w:w="32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780" w:type="dxa"/>
            <w:vAlign w:val="bottom"/>
            <w:tcBorders>
              <w:bottom w:val="single" w:sz="8" w:color="auto"/>
            </w:tcBorders>
          </w:tcPr>
          <w:p>
            <w:pPr>
              <w:jc w:val="center"/>
              <w:ind w:left="342"/>
              <w:spacing w:after="0"/>
              <w:rPr>
                <w:sz w:val="20"/>
                <w:szCs w:val="20"/>
                <w:color w:val="auto"/>
              </w:rPr>
            </w:pPr>
            <w:r>
              <w:rPr>
                <w:rFonts w:ascii="Times New Roman" w:cs="Times New Roman" w:eastAsia="Times New Roman" w:hAnsi="Times New Roman"/>
                <w:sz w:val="14"/>
                <w:szCs w:val="14"/>
                <w:color w:val="auto"/>
                <w:w w:val="99"/>
              </w:rPr>
              <w:t>2013</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328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   27</w:t>
            </w:r>
          </w:p>
        </w:tc>
        <w:tc>
          <w:tcPr>
            <w:tcW w:w="78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2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21</w:t>
            </w: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26"/>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Condensed Combined Statement of Income</w:t>
            </w:r>
          </w:p>
        </w:tc>
        <w:tc>
          <w:tcPr>
            <w:tcW w:w="3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0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Six months ended June 30 (in millions)</w:t>
            </w:r>
          </w:p>
        </w:tc>
        <w:tc>
          <w:tcPr>
            <w:tcW w:w="328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10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  35</w:t>
            </w:r>
          </w:p>
        </w:tc>
        <w:tc>
          <w:tcPr>
            <w:tcW w:w="780" w:type="dxa"/>
            <w:vAlign w:val="bottom"/>
            <w:shd w:val="clear" w:color="auto" w:fill="CCEEFF"/>
          </w:tcPr>
          <w:p>
            <w:pPr>
              <w:jc w:val="center"/>
              <w:ind w:left="32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Programming</w:t>
            </w:r>
          </w:p>
        </w:tc>
        <w:tc>
          <w:tcPr>
            <w:tcW w:w="3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65</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280" w:type="dxa"/>
            <w:vAlign w:val="bottom"/>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4</w:t>
            </w:r>
          </w:p>
        </w:tc>
        <w:tc>
          <w:tcPr>
            <w:tcW w:w="78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32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3</w:t>
            </w:r>
          </w:p>
        </w:tc>
        <w:tc>
          <w:tcPr>
            <w:tcW w:w="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June 2010, the City of Detroit (the “City”) initiated an action against us in the U.S. District Court for the Eastern District of Michigan in which the City sought a ruling that certain aspects of the Michigan Uniform Video Services Local Franchise Act were unlawful under the Federal Cable Communications Policy Act of 1984 and the Constitution of the State of Michigan. The City also sought declaratory relief as to our applicable cable franchise obligations and monetary relief for our alleged non-compliance. We appealed the U.S. District Court’s ruling on summary judgment in favor of the City to the U.S. Court of Appeals for the Sixth Circuit in July 2013, and in October 2014 we resolved this action through mediation with the City. The effect of the resolution of this action was not material to our combined financial position, results of operations or cash flows.</w:t>
      </w:r>
    </w:p>
    <w:p>
      <w:pPr>
        <w:spacing w:after="0" w:line="18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 consuming and injure our reputation.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270"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5: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evaluated all subsequent event activity through October 24, 2014, which is the issue date of these condensed combined financial statements, and concluded that no additional subsequent events have occurred that would require recognition in the condensed combined financial statements or disclosure in the notes to the condensed combined financial statements.</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sectPr>
      <w:pgSz w:w="11900" w:h="16838" w:orient="portrait"/>
      <w:cols w:equalWidth="0" w:num="1">
        <w:col w:w="11340"/>
      </w:cols>
      <w:pgMar w:left="240" w:top="25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2019-12-07T03:11:14Z</dcterms:created>
  <dcterms:modified xsi:type="dcterms:W3CDTF">2019-12-07T03:11:14Z</dcterms:modified>
</cp:coreProperties>
</file>