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30, 2020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881"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881"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2019, which was filed with the Securities and Exchange Commission on January 30, 2020.</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88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2020-01-31T13:30:05Z</dcterms:created>
  <dcterms:modified xsi:type="dcterms:W3CDTF">2020-01-31T13:30:05Z</dcterms:modified>
</cp:coreProperties>
</file>