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80"/>
        <w:spacing w:after="0"/>
        <w:rPr>
          <w:sz w:val="20"/>
          <w:szCs w:val="20"/>
          <w:color w:val="auto"/>
        </w:rPr>
      </w:pPr>
      <w:r>
        <w:rPr>
          <w:rFonts w:ascii="Arial" w:cs="Arial" w:eastAsia="Arial" w:hAnsi="Arial"/>
          <w:sz w:val="18"/>
          <w:szCs w:val="18"/>
          <w:color w:val="auto"/>
        </w:rPr>
        <w:t>SCHEDULE 14A INFORMATION</w:t>
      </w:r>
    </w:p>
    <w:p>
      <w:pPr>
        <w:spacing w:after="0" w:line="225" w:lineRule="exact"/>
        <w:rPr>
          <w:sz w:val="24"/>
          <w:szCs w:val="24"/>
          <w:color w:val="auto"/>
        </w:rPr>
      </w:pPr>
    </w:p>
    <w:p>
      <w:pPr>
        <w:ind w:left="1540"/>
        <w:spacing w:after="0"/>
        <w:rPr>
          <w:sz w:val="20"/>
          <w:szCs w:val="20"/>
          <w:color w:val="auto"/>
        </w:rPr>
      </w:pPr>
      <w:r>
        <w:rPr>
          <w:rFonts w:ascii="Arial" w:cs="Arial" w:eastAsia="Arial" w:hAnsi="Arial"/>
          <w:sz w:val="18"/>
          <w:szCs w:val="18"/>
          <w:color w:val="auto"/>
        </w:rPr>
        <w:t>Proxy Statement Pursuant to Section 14(a) of</w:t>
      </w:r>
    </w:p>
    <w:p>
      <w:pPr>
        <w:spacing w:after="0" w:line="15" w:lineRule="exact"/>
        <w:rPr>
          <w:sz w:val="24"/>
          <w:szCs w:val="24"/>
          <w:color w:val="auto"/>
        </w:rPr>
      </w:pPr>
    </w:p>
    <w:p>
      <w:pPr>
        <w:ind w:left="1760"/>
        <w:spacing w:after="0"/>
        <w:rPr>
          <w:sz w:val="20"/>
          <w:szCs w:val="20"/>
          <w:color w:val="auto"/>
        </w:rPr>
      </w:pPr>
      <w:r>
        <w:rPr>
          <w:rFonts w:ascii="Arial" w:cs="Arial" w:eastAsia="Arial" w:hAnsi="Arial"/>
          <w:sz w:val="18"/>
          <w:szCs w:val="18"/>
          <w:color w:val="auto"/>
        </w:rPr>
        <w:t>the Securities Exchange Act of 1934</w:t>
      </w:r>
    </w:p>
    <w:p>
      <w:pPr>
        <w:spacing w:after="0" w:line="219" w:lineRule="exact"/>
        <w:rPr>
          <w:sz w:val="24"/>
          <w:szCs w:val="24"/>
          <w:color w:val="auto"/>
        </w:rPr>
      </w:pPr>
    </w:p>
    <w:p>
      <w:pPr>
        <w:ind w:left="220"/>
        <w:spacing w:after="0"/>
        <w:rPr>
          <w:sz w:val="20"/>
          <w:szCs w:val="20"/>
          <w:color w:val="auto"/>
        </w:rPr>
      </w:pPr>
      <w:r>
        <w:rPr>
          <w:rFonts w:ascii="Arial" w:cs="Arial" w:eastAsia="Arial" w:hAnsi="Arial"/>
          <w:sz w:val="18"/>
          <w:szCs w:val="18"/>
          <w:color w:val="auto"/>
        </w:rPr>
        <w:t>Filed by the Registrant |_|</w:t>
      </w:r>
    </w:p>
    <w:p>
      <w:pPr>
        <w:spacing w:after="0" w:line="15" w:lineRule="exact"/>
        <w:rPr>
          <w:sz w:val="24"/>
          <w:szCs w:val="24"/>
          <w:color w:val="auto"/>
        </w:rPr>
      </w:pPr>
    </w:p>
    <w:p>
      <w:pPr>
        <w:ind w:left="220"/>
        <w:spacing w:after="0"/>
        <w:rPr>
          <w:sz w:val="20"/>
          <w:szCs w:val="20"/>
          <w:color w:val="auto"/>
        </w:rPr>
      </w:pPr>
      <w:r>
        <w:rPr>
          <w:rFonts w:ascii="Arial" w:cs="Arial" w:eastAsia="Arial" w:hAnsi="Arial"/>
          <w:sz w:val="18"/>
          <w:szCs w:val="18"/>
          <w:color w:val="auto"/>
        </w:rPr>
        <w:t>Filed by a Party other than the Registrant |X|</w:t>
      </w:r>
    </w:p>
    <w:p>
      <w:pPr>
        <w:spacing w:after="0" w:line="219" w:lineRule="exact"/>
        <w:rPr>
          <w:sz w:val="24"/>
          <w:szCs w:val="24"/>
          <w:color w:val="auto"/>
        </w:rPr>
      </w:pPr>
    </w:p>
    <w:p>
      <w:pPr>
        <w:ind w:left="220"/>
        <w:spacing w:after="0"/>
        <w:rPr>
          <w:sz w:val="20"/>
          <w:szCs w:val="20"/>
          <w:color w:val="auto"/>
        </w:rPr>
      </w:pPr>
      <w:r>
        <w:rPr>
          <w:rFonts w:ascii="Arial" w:cs="Arial" w:eastAsia="Arial" w:hAnsi="Arial"/>
          <w:sz w:val="18"/>
          <w:szCs w:val="18"/>
          <w:color w:val="auto"/>
        </w:rPr>
        <w:t>Check the appropriate box:</w:t>
      </w:r>
    </w:p>
    <w:p>
      <w:pPr>
        <w:spacing w:after="0" w:line="15" w:lineRule="exact"/>
        <w:rPr>
          <w:sz w:val="24"/>
          <w:szCs w:val="24"/>
          <w:color w:val="auto"/>
        </w:rPr>
      </w:pPr>
    </w:p>
    <w:p>
      <w:pPr>
        <w:ind w:left="3120" w:right="3279" w:hanging="2896"/>
        <w:spacing w:after="0" w:line="250" w:lineRule="auto"/>
        <w:tabs>
          <w:tab w:leader="none" w:pos="3100" w:val="left"/>
        </w:tabs>
        <w:rPr>
          <w:sz w:val="20"/>
          <w:szCs w:val="20"/>
          <w:color w:val="auto"/>
        </w:rPr>
      </w:pPr>
      <w:r>
        <w:rPr>
          <w:rFonts w:ascii="Arial" w:cs="Arial" w:eastAsia="Arial" w:hAnsi="Arial"/>
          <w:sz w:val="18"/>
          <w:szCs w:val="18"/>
          <w:color w:val="auto"/>
        </w:rPr>
        <w:t>|_| Preliminary Proxy Statement</w:t>
      </w:r>
      <w:r>
        <w:rPr>
          <w:sz w:val="20"/>
          <w:szCs w:val="20"/>
          <w:color w:val="auto"/>
        </w:rPr>
        <w:tab/>
      </w:r>
      <w:r>
        <w:rPr>
          <w:rFonts w:ascii="Arial" w:cs="Arial" w:eastAsia="Arial" w:hAnsi="Arial"/>
          <w:sz w:val="18"/>
          <w:szCs w:val="18"/>
          <w:color w:val="auto"/>
        </w:rPr>
        <w:t>|_| Confidential, For Use of the Commission Only (as permitted by Rule 14a-6(e)(2))</w:t>
      </w:r>
    </w:p>
    <w:p>
      <w:pPr>
        <w:spacing w:after="0" w:line="1" w:lineRule="exact"/>
        <w:rPr>
          <w:sz w:val="24"/>
          <w:szCs w:val="24"/>
          <w:color w:val="auto"/>
        </w:rPr>
      </w:pPr>
    </w:p>
    <w:p>
      <w:pPr>
        <w:ind w:left="220"/>
        <w:spacing w:after="0"/>
        <w:rPr>
          <w:sz w:val="20"/>
          <w:szCs w:val="20"/>
          <w:color w:val="auto"/>
        </w:rPr>
      </w:pPr>
      <w:r>
        <w:rPr>
          <w:rFonts w:ascii="Arial" w:cs="Arial" w:eastAsia="Arial" w:hAnsi="Arial"/>
          <w:sz w:val="18"/>
          <w:szCs w:val="18"/>
          <w:color w:val="auto"/>
        </w:rPr>
        <w:t>|_| Definitive Proxy Statement</w:t>
      </w:r>
    </w:p>
    <w:p>
      <w:pPr>
        <w:spacing w:after="0" w:line="9" w:lineRule="exact"/>
        <w:rPr>
          <w:sz w:val="24"/>
          <w:szCs w:val="24"/>
          <w:color w:val="auto"/>
        </w:rPr>
      </w:pPr>
    </w:p>
    <w:p>
      <w:pPr>
        <w:ind w:left="220"/>
        <w:spacing w:after="0"/>
        <w:rPr>
          <w:sz w:val="20"/>
          <w:szCs w:val="20"/>
          <w:color w:val="auto"/>
        </w:rPr>
      </w:pPr>
      <w:r>
        <w:rPr>
          <w:rFonts w:ascii="Arial" w:cs="Arial" w:eastAsia="Arial" w:hAnsi="Arial"/>
          <w:sz w:val="18"/>
          <w:szCs w:val="18"/>
          <w:color w:val="auto"/>
        </w:rPr>
        <w:t>|_| Definitive Additional Materials</w:t>
      </w:r>
    </w:p>
    <w:p>
      <w:pPr>
        <w:spacing w:after="0" w:line="9" w:lineRule="exact"/>
        <w:rPr>
          <w:sz w:val="24"/>
          <w:szCs w:val="24"/>
          <w:color w:val="auto"/>
        </w:rPr>
      </w:pPr>
    </w:p>
    <w:p>
      <w:pPr>
        <w:ind w:left="220"/>
        <w:spacing w:after="0"/>
        <w:rPr>
          <w:sz w:val="20"/>
          <w:szCs w:val="20"/>
          <w:color w:val="auto"/>
        </w:rPr>
      </w:pPr>
      <w:r>
        <w:rPr>
          <w:rFonts w:ascii="Arial" w:cs="Arial" w:eastAsia="Arial" w:hAnsi="Arial"/>
          <w:sz w:val="18"/>
          <w:szCs w:val="18"/>
          <w:color w:val="auto"/>
        </w:rPr>
        <w:t>|X| Soliciting Material Under Rule 14a-12</w:t>
      </w:r>
    </w:p>
    <w:p>
      <w:pPr>
        <w:spacing w:after="0" w:line="219" w:lineRule="exact"/>
        <w:rPr>
          <w:sz w:val="24"/>
          <w:szCs w:val="24"/>
          <w:color w:val="auto"/>
        </w:rPr>
      </w:pPr>
    </w:p>
    <w:p>
      <w:pPr>
        <w:ind w:left="2300"/>
        <w:spacing w:after="0"/>
        <w:rPr>
          <w:sz w:val="20"/>
          <w:szCs w:val="20"/>
          <w:color w:val="auto"/>
        </w:rPr>
      </w:pPr>
      <w:r>
        <w:rPr>
          <w:rFonts w:ascii="Arial" w:cs="Arial" w:eastAsia="Arial" w:hAnsi="Arial"/>
          <w:sz w:val="18"/>
          <w:szCs w:val="18"/>
          <w:color w:val="auto"/>
        </w:rPr>
        <w:t>AT&amp;T Corp.</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19" w:lineRule="exact"/>
        <w:rPr>
          <w:sz w:val="24"/>
          <w:szCs w:val="24"/>
          <w:color w:val="auto"/>
        </w:rPr>
      </w:pPr>
    </w:p>
    <w:p>
      <w:pPr>
        <w:ind w:left="1460"/>
        <w:spacing w:after="0"/>
        <w:rPr>
          <w:sz w:val="20"/>
          <w:szCs w:val="20"/>
          <w:color w:val="auto"/>
        </w:rPr>
      </w:pPr>
      <w:r>
        <w:rPr>
          <w:rFonts w:ascii="Arial" w:cs="Arial" w:eastAsia="Arial" w:hAnsi="Arial"/>
          <w:sz w:val="18"/>
          <w:szCs w:val="18"/>
          <w:color w:val="auto"/>
        </w:rPr>
        <w:t>(Name of Registrant as Specified In Its Charter)</w:t>
      </w:r>
    </w:p>
    <w:p>
      <w:pPr>
        <w:spacing w:after="0" w:line="225" w:lineRule="exact"/>
        <w:rPr>
          <w:sz w:val="24"/>
          <w:szCs w:val="24"/>
          <w:color w:val="auto"/>
        </w:rPr>
      </w:pPr>
    </w:p>
    <w:p>
      <w:pPr>
        <w:ind w:left="2120"/>
        <w:spacing w:after="0"/>
        <w:rPr>
          <w:sz w:val="20"/>
          <w:szCs w:val="20"/>
          <w:color w:val="auto"/>
        </w:rPr>
      </w:pPr>
      <w:r>
        <w:rPr>
          <w:rFonts w:ascii="Arial" w:cs="Arial" w:eastAsia="Arial" w:hAnsi="Arial"/>
          <w:sz w:val="18"/>
          <w:szCs w:val="18"/>
          <w:color w:val="auto"/>
        </w:rPr>
        <w:t>Comcast Corporation</w:t>
      </w:r>
    </w:p>
    <w:p>
      <w:pPr>
        <w:spacing w:after="0" w:line="15"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p>
    <w:p>
      <w:pPr>
        <w:spacing w:after="0" w:line="218"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5" w:lineRule="exact"/>
        <w:rPr>
          <w:sz w:val="24"/>
          <w:szCs w:val="24"/>
          <w:color w:val="auto"/>
        </w:rPr>
      </w:pPr>
    </w:p>
    <w:p>
      <w:pPr>
        <w:ind w:left="220"/>
        <w:spacing w:after="0"/>
        <w:rPr>
          <w:sz w:val="20"/>
          <w:szCs w:val="20"/>
          <w:color w:val="auto"/>
        </w:rPr>
      </w:pPr>
      <w:r>
        <w:rPr>
          <w:rFonts w:ascii="Arial" w:cs="Arial" w:eastAsia="Arial" w:hAnsi="Arial"/>
          <w:sz w:val="18"/>
          <w:szCs w:val="18"/>
          <w:color w:val="auto"/>
        </w:rPr>
        <w:t>|X| No fee required.</w:t>
      </w:r>
    </w:p>
    <w:p>
      <w:pPr>
        <w:spacing w:after="0" w:line="9" w:lineRule="exact"/>
        <w:rPr>
          <w:sz w:val="24"/>
          <w:szCs w:val="24"/>
          <w:color w:val="auto"/>
        </w:rPr>
      </w:pPr>
    </w:p>
    <w:p>
      <w:pPr>
        <w:ind w:left="220"/>
        <w:spacing w:after="0"/>
        <w:rPr>
          <w:sz w:val="20"/>
          <w:szCs w:val="20"/>
          <w:color w:val="auto"/>
        </w:rPr>
      </w:pPr>
      <w:r>
        <w:rPr>
          <w:rFonts w:ascii="Arial" w:cs="Arial" w:eastAsia="Arial" w:hAnsi="Arial"/>
          <w:sz w:val="18"/>
          <w:szCs w:val="18"/>
          <w:color w:val="auto"/>
        </w:rPr>
        <w:t>|_| Fee computed on table below per Exchange Act Rules 14a-6(i)(1) and 0-11.</w:t>
      </w:r>
    </w:p>
    <w:p>
      <w:pPr>
        <w:spacing w:after="0" w:line="9" w:lineRule="exact"/>
        <w:rPr>
          <w:sz w:val="24"/>
          <w:szCs w:val="24"/>
          <w:color w:val="auto"/>
        </w:rPr>
      </w:pPr>
    </w:p>
    <w:p>
      <w:pPr>
        <w:ind w:left="480" w:hanging="252"/>
        <w:spacing w:after="0"/>
        <w:tabs>
          <w:tab w:leader="none" w:pos="4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18" w:lineRule="exact"/>
        <w:rPr>
          <w:rFonts w:ascii="Arial" w:cs="Arial" w:eastAsia="Arial" w:hAnsi="Arial"/>
          <w:sz w:val="18"/>
          <w:szCs w:val="18"/>
          <w:color w:val="auto"/>
        </w:rPr>
      </w:pPr>
    </w:p>
    <w:p>
      <w:pPr>
        <w:ind w:left="120" w:hanging="112"/>
        <w:spacing w:after="0"/>
        <w:tabs>
          <w:tab w:leader="none" w:pos="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80" w:hanging="252"/>
        <w:spacing w:after="0"/>
        <w:tabs>
          <w:tab w:leader="none" w:pos="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339" w:firstLine="228"/>
        <w:spacing w:after="0" w:line="332" w:lineRule="auto"/>
        <w:tabs>
          <w:tab w:leader="none" w:pos="468" w:val="left"/>
        </w:tabs>
        <w:numPr>
          <w:ilvl w:val="1"/>
          <w:numId w:val="4"/>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139" w:lineRule="exact"/>
        <w:rPr>
          <w:rFonts w:ascii="Arial" w:cs="Arial" w:eastAsia="Arial" w:hAnsi="Arial"/>
          <w:sz w:val="16"/>
          <w:szCs w:val="16"/>
          <w:color w:val="auto"/>
        </w:rPr>
      </w:pPr>
    </w:p>
    <w:p>
      <w:pPr>
        <w:ind w:left="120" w:hanging="112"/>
        <w:spacing w:after="0"/>
        <w:tabs>
          <w:tab w:leader="none" w:pos="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80" w:hanging="252"/>
        <w:spacing w:after="0"/>
        <w:tabs>
          <w:tab w:leader="none" w:pos="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80" w:hanging="252"/>
        <w:spacing w:after="0"/>
        <w:tabs>
          <w:tab w:leader="none" w:pos="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4"/>
          <w:szCs w:val="24"/>
          <w:color w:val="auto"/>
        </w:rPr>
      </w:pPr>
    </w:p>
    <w:p>
      <w:pPr>
        <w:ind w:left="220"/>
        <w:spacing w:after="0"/>
        <w:rPr>
          <w:sz w:val="20"/>
          <w:szCs w:val="20"/>
          <w:color w:val="auto"/>
        </w:rPr>
      </w:pPr>
      <w:r>
        <w:rPr>
          <w:rFonts w:ascii="Arial" w:cs="Arial" w:eastAsia="Arial" w:hAnsi="Arial"/>
          <w:sz w:val="18"/>
          <w:szCs w:val="18"/>
          <w:color w:val="auto"/>
        </w:rPr>
        <w:t>|_| Fee paid previously with preliminary materials.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25" w:lineRule="exact"/>
        <w:rPr>
          <w:sz w:val="24"/>
          <w:szCs w:val="24"/>
          <w:color w:val="auto"/>
        </w:rPr>
      </w:pPr>
    </w:p>
    <w:p>
      <w:pPr>
        <w:ind w:left="220"/>
        <w:spacing w:after="0"/>
        <w:rPr>
          <w:sz w:val="20"/>
          <w:szCs w:val="20"/>
          <w:color w:val="auto"/>
        </w:rPr>
      </w:pPr>
      <w:r>
        <w:rPr>
          <w:rFonts w:ascii="Arial" w:cs="Arial" w:eastAsia="Arial" w:hAnsi="Arial"/>
          <w:sz w:val="16"/>
          <w:szCs w:val="16"/>
          <w:color w:val="auto"/>
        </w:rPr>
        <w:t>|_| Check box if any part of the fee is offset as provided by Exchange Act Rule 0-11(a)(2) and identify the</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filing for which the offsetting fee was paid previously. Identify the previous filing by registration statement number,</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or the form or schedule and the date of its filing.</w:t>
      </w:r>
    </w:p>
    <w:p>
      <w:pPr>
        <w:spacing w:after="0" w:line="219" w:lineRule="exact"/>
        <w:rPr>
          <w:sz w:val="24"/>
          <w:szCs w:val="24"/>
          <w:color w:val="auto"/>
        </w:rPr>
      </w:pPr>
    </w:p>
    <w:p>
      <w:pPr>
        <w:ind w:left="480" w:hanging="252"/>
        <w:spacing w:after="0"/>
        <w:tabs>
          <w:tab w:leader="none" w:pos="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80" w:hanging="252"/>
        <w:spacing w:after="0"/>
        <w:tabs>
          <w:tab w:leader="none" w:pos="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80" w:hanging="252"/>
        <w:spacing w:after="0"/>
        <w:tabs>
          <w:tab w:leader="none" w:pos="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80" w:hanging="252"/>
        <w:spacing w:after="0"/>
        <w:tabs>
          <w:tab w:leader="none" w:pos="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p>
    <w:p>
      <w:pPr>
        <w:sectPr>
          <w:pgSz w:w="11900" w:h="16838" w:orient="portrait"/>
          <w:cols w:equalWidth="0" w:num="1">
            <w:col w:w="10219"/>
          </w:cols>
          <w:pgMar w:left="240" w:top="455" w:right="1440" w:bottom="269"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The following presentation was used by Comcast at its quarterly conference call with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780415</wp:posOffset>
            </wp:positionV>
            <wp:extent cx="6174740" cy="46310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ectPr>
          <w:pgSz w:w="11900" w:h="16838" w:orient="portrait"/>
          <w:cols w:equalWidth="0" w:num="1">
            <w:col w:w="9819"/>
          </w:cols>
          <w:pgMar w:left="640" w:top="833" w:right="1440" w:bottom="144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174740" cy="9262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9262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174740" cy="9262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4740" cy="9262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174740" cy="9262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4740" cy="9262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174740" cy="9262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4740" cy="9262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174740" cy="9262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4740" cy="9262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174740" cy="92621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4740" cy="9262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174740" cy="92621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4740" cy="9262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174740" cy="92621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4740" cy="9262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174740" cy="92621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4740" cy="9262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Note: The following notice is included to meet certain legal requirements: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ADDITIONAL INFORMATION</w:t>
      </w:r>
    </w:p>
    <w:p>
      <w:pPr>
        <w:spacing w:after="0" w:line="219" w:lineRule="exact"/>
        <w:rPr>
          <w:sz w:val="20"/>
          <w:szCs w:val="20"/>
          <w:color w:val="auto"/>
        </w:rPr>
      </w:pPr>
    </w:p>
    <w:p>
      <w:pPr>
        <w:jc w:val="both"/>
        <w:ind w:firstLine="351"/>
        <w:spacing w:after="0" w:line="335" w:lineRule="auto"/>
        <w:rPr>
          <w:sz w:val="20"/>
          <w:szCs w:val="20"/>
          <w:color w:val="auto"/>
        </w:rPr>
      </w:pPr>
      <w:r>
        <w:rPr>
          <w:rFonts w:ascii="Arial" w:cs="Arial" w:eastAsia="Arial" w:hAnsi="Arial"/>
          <w:sz w:val="15"/>
          <w:szCs w:val="15"/>
          <w:color w:val="auto"/>
        </w:rPr>
        <w:t>Subject to future developments, Comcast may file with the Commission (i) a preliminary proxy statement for solicitation of proxies from the shareholders of AT&amp;T Corp. (“</w:t>
      </w:r>
      <w:r>
        <w:rPr>
          <w:rFonts w:ascii="Arial" w:cs="Arial" w:eastAsia="Arial" w:hAnsi="Arial"/>
          <w:sz w:val="15"/>
          <w:szCs w:val="15"/>
          <w:b w:val="1"/>
          <w:bCs w:val="1"/>
          <w:color w:val="auto"/>
        </w:rPr>
        <w:t>AT&amp;T</w:t>
      </w:r>
      <w:r>
        <w:rPr>
          <w:rFonts w:ascii="Arial" w:cs="Arial" w:eastAsia="Arial" w:hAnsi="Arial"/>
          <w:sz w:val="15"/>
          <w:szCs w:val="15"/>
          <w:color w:val="auto"/>
        </w:rPr>
        <w:t>”) in connection with AT&amp;T’s broadband tracking stock proposal and (ii) a registration statement to register the Comcast shares to be issued in the proposed transaction. Investors and security holders are urged to read the proxy statement and registration statement (when and if available) and any other</w:t>
      </w:r>
    </w:p>
    <w:p>
      <w:pPr>
        <w:sectPr>
          <w:pgSz w:w="11900" w:h="16838" w:orient="portrait"/>
          <w:cols w:equalWidth="0" w:num="1">
            <w:col w:w="11420"/>
          </w:cols>
          <w:pgMar w:left="240" w:top="1440" w:right="239" w:bottom="0" w:gutter="0" w:footer="0" w:header="0"/>
        </w:sectPr>
      </w:pPr>
    </w:p>
    <w:bookmarkStart w:id="12" w:name="page13"/>
    <w:bookmarkEnd w:id="12"/>
    <w:p>
      <w:pPr>
        <w:spacing w:after="0" w:line="255" w:lineRule="auto"/>
        <w:rPr>
          <w:sz w:val="20"/>
          <w:szCs w:val="20"/>
          <w:color w:val="auto"/>
        </w:rPr>
      </w:pPr>
      <w:r>
        <w:rPr>
          <w:rFonts w:ascii="Arial" w:cs="Arial" w:eastAsia="Arial" w:hAnsi="Arial"/>
          <w:sz w:val="18"/>
          <w:szCs w:val="18"/>
          <w:color w:val="auto"/>
        </w:rPr>
        <w:t>relevant documents filed with the Commission, as well as any amendments or supplements to those documents, because they will contain important information. Investors and security holders may obtain a free copy of the proxy statement and the registration statement (when and if available) and other relevant documents at the Commission’s Internet web site at www.sec.gov. The proxy statement and registration statement (when and if available) and such other documents may also be obtained free of charge from Comcast by directing such request to: Comcast Corporation, 1500 Market Street, Philadelphia, Pennsylvania 19102-2148, Attention: General Counsel.</w:t>
      </w:r>
    </w:p>
    <w:sectPr>
      <w:pgSz w:w="11900" w:h="16838" w:orient="portrait"/>
      <w:cols w:equalWidth="0" w:num="1">
        <w:col w:w="11400"/>
      </w:cols>
      <w:pgMar w:left="240" w:top="13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lvl w:ilvl="1">
      <w:lvlJc w:val="left"/>
      <w:lvlText w:val="(%2)"/>
      <w:numFmt w:val="decimal"/>
      <w:start w:val="1"/>
    </w:lvl>
  </w:abstractNum>
  <w:abstractNum w:abstractNumId="2">
    <w:nsid w:val="2EB141F2"/>
    <w:multiLevelType w:val="hybridMultilevel"/>
    <w:lvl w:ilvl="0">
      <w:lvlJc w:val="left"/>
      <w:lvlText w:val="-"/>
      <w:numFmt w:val="bullet"/>
      <w:start w:val="1"/>
    </w:lvl>
    <w:lvl w:ilvl="1">
      <w:lvlJc w:val="left"/>
      <w:lvlText w:val="(%2)"/>
      <w:numFmt w:val="decimal"/>
      <w:start w:val="2"/>
    </w:lvl>
  </w:abstractNum>
  <w:abstractNum w:abstractNumId="3">
    <w:nsid w:val="41B71EFB"/>
    <w:multiLevelType w:val="hybridMultilevel"/>
    <w:lvl w:ilvl="0">
      <w:lvlJc w:val="left"/>
      <w:lvlText w:val="-"/>
      <w:numFmt w:val="bullet"/>
      <w:start w:val="1"/>
    </w:lvl>
    <w:lvl w:ilvl="1">
      <w:lvlJc w:val="left"/>
      <w:lvlText w:val="(%2)"/>
      <w:numFmt w:val="decimal"/>
      <w:start w:val="3"/>
    </w:lvl>
  </w:abstractNum>
  <w:abstractNum w:abstractNumId="4">
    <w:nsid w:val="79E2A9E3"/>
    <w:multiLevelType w:val="hybridMultilevel"/>
    <w:lvl w:ilvl="0">
      <w:lvlJc w:val="left"/>
      <w:lvlText w:val="-"/>
      <w:numFmt w:val="bullet"/>
      <w:start w:val="1"/>
    </w:lvl>
    <w:lvl w:ilvl="1">
      <w:lvlJc w:val="left"/>
      <w:lvlText w:val="(%2)"/>
      <w:numFmt w:val="decimal"/>
      <w:start w:val="4"/>
    </w:lvl>
  </w:abstractNum>
  <w:abstractNum w:abstractNumId="5">
    <w:nsid w:val="7545E146"/>
    <w:multiLevelType w:val="hybridMultilevel"/>
    <w:lvl w:ilvl="0">
      <w:lvlJc w:val="left"/>
      <w:lvlText w:val="-"/>
      <w:numFmt w:val="bullet"/>
      <w:start w:val="1"/>
    </w:lvl>
    <w:lvl w:ilvl="1">
      <w:lvlJc w:val="left"/>
      <w:lvlText w:val="(%2)"/>
      <w:numFmt w:val="decimal"/>
      <w:start w:val="5"/>
    </w:lvl>
  </w:abstractNum>
  <w:abstractNum w:abstractNumId="6">
    <w:nsid w:val="515F007C"/>
    <w:multiLevelType w:val="hybridMultilevel"/>
    <w:lvl w:ilvl="0">
      <w:lvlJc w:val="left"/>
      <w:lvlText w:val="-"/>
      <w:numFmt w:val="bullet"/>
      <w:start w:val="1"/>
    </w:lvl>
    <w:lvl w:ilvl="1">
      <w:lvlJc w:val="left"/>
      <w:lvlText w:val="(%2)"/>
      <w:numFmt w:val="decimal"/>
      <w:start w:val="1"/>
    </w:lvl>
  </w:abstractNum>
  <w:abstractNum w:abstractNumId="7">
    <w:nsid w:val="5BD062C2"/>
    <w:multiLevelType w:val="hybridMultilevel"/>
    <w:lvl w:ilvl="0">
      <w:lvlJc w:val="left"/>
      <w:lvlText w:val="-"/>
      <w:numFmt w:val="bullet"/>
      <w:start w:val="1"/>
    </w:lvl>
    <w:lvl w:ilvl="1">
      <w:lvlJc w:val="left"/>
      <w:lvlText w:val="(%2)"/>
      <w:numFmt w:val="decimal"/>
      <w:start w:val="2"/>
    </w:lvl>
  </w:abstractNum>
  <w:abstractNum w:abstractNumId="8">
    <w:nsid w:val="12200854"/>
    <w:multiLevelType w:val="hybridMultilevel"/>
    <w:lvl w:ilvl="0">
      <w:lvlJc w:val="left"/>
      <w:lvlText w:val="-"/>
      <w:numFmt w:val="bullet"/>
      <w:start w:val="1"/>
    </w:lvl>
    <w:lvl w:ilvl="1">
      <w:lvlJc w:val="left"/>
      <w:lvlText w:val="(%2)"/>
      <w:numFmt w:val="decimal"/>
      <w:start w:val="3"/>
    </w:lvl>
  </w:abstractNum>
  <w:abstractNum w:abstractNumId="9">
    <w:nsid w:val="4DB127F8"/>
    <w:multiLevelType w:val="hybridMultilevel"/>
    <w:lvl w:ilvl="0">
      <w:lvlJc w:val="left"/>
      <w:lvlText w:val="-"/>
      <w:numFmt w:val="bullet"/>
      <w:start w:val="1"/>
    </w:lvl>
    <w:lvl w:ilvl="1">
      <w:lvlJc w:val="left"/>
      <w:lvlText w:val="(%2)"/>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2019-12-16T11:23:49Z</dcterms:created>
  <dcterms:modified xsi:type="dcterms:W3CDTF">2019-12-16T11:23:49Z</dcterms:modified>
</cp:coreProperties>
</file>