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ind w:left="4200"/>
        <w:spacing w:after="0"/>
        <w:rPr>
          <w:sz w:val="20"/>
          <w:szCs w:val="20"/>
          <w:color w:val="auto"/>
        </w:rPr>
      </w:pPr>
      <w:r>
        <w:rPr>
          <w:rFonts w:ascii="Arial" w:cs="Arial" w:eastAsia="Arial" w:hAnsi="Arial"/>
          <w:sz w:val="32"/>
          <w:szCs w:val="32"/>
          <w:b w:val="1"/>
          <w:bCs w:val="1"/>
          <w:color w:val="auto"/>
        </w:rPr>
        <w:t>CURRENT REPORT</w:t>
      </w:r>
    </w:p>
    <w:p>
      <w:pPr>
        <w:spacing w:after="0" w:line="29"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Pursuant to Section 13 or 15(d) of</w:t>
      </w:r>
    </w:p>
    <w:p>
      <w:pPr>
        <w:jc w:val="center"/>
        <w:ind w:right="-679"/>
        <w:spacing w:after="0"/>
        <w:rPr>
          <w:sz w:val="20"/>
          <w:szCs w:val="20"/>
          <w:color w:val="auto"/>
        </w:rPr>
      </w:pPr>
      <w:r>
        <w:rPr>
          <w:rFonts w:ascii="Arial" w:cs="Arial" w:eastAsia="Arial" w:hAnsi="Arial"/>
          <w:sz w:val="32"/>
          <w:szCs w:val="32"/>
          <w:b w:val="1"/>
          <w:bCs w:val="1"/>
          <w:color w:val="auto"/>
        </w:rPr>
        <w:t>The Securities Exchange Act of 1934</w:t>
      </w:r>
    </w:p>
    <w:p>
      <w:pPr>
        <w:spacing w:after="0" w:line="150"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Date of report (Date of earliest event reported): June 15, 2009</w:t>
      </w:r>
    </w:p>
    <w:p>
      <w:pPr>
        <w:spacing w:after="0" w:line="223"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ind w:left="4240"/>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56"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3380" w:type="dxa"/>
            <w:vAlign w:val="bottom"/>
          </w:tcPr>
          <w:p>
            <w:pPr>
              <w:jc w:val="right"/>
              <w:ind w:right="2120"/>
              <w:spacing w:after="0"/>
              <w:rPr>
                <w:sz w:val="20"/>
                <w:szCs w:val="20"/>
                <w:color w:val="auto"/>
              </w:rPr>
            </w:pPr>
            <w:r>
              <w:rPr>
                <w:rFonts w:ascii="Arial" w:cs="Arial" w:eastAsia="Arial" w:hAnsi="Arial"/>
                <w:sz w:val="18"/>
                <w:szCs w:val="18"/>
                <w:b w:val="1"/>
                <w:bCs w:val="1"/>
                <w:color w:val="auto"/>
              </w:rPr>
              <w:t>001-32871</w:t>
            </w:r>
          </w:p>
        </w:tc>
        <w:tc>
          <w:tcPr>
            <w:tcW w:w="2860" w:type="dxa"/>
            <w:vAlign w:val="bottom"/>
          </w:tcPr>
          <w:p>
            <w:pPr>
              <w:jc w:val="center"/>
              <w:ind w:right="186"/>
              <w:spacing w:after="0"/>
              <w:rPr>
                <w:sz w:val="20"/>
                <w:szCs w:val="20"/>
                <w:color w:val="auto"/>
              </w:rPr>
            </w:pPr>
            <w:r>
              <w:rPr>
                <w:rFonts w:ascii="Arial" w:cs="Arial" w:eastAsia="Arial" w:hAnsi="Arial"/>
                <w:sz w:val="18"/>
                <w:szCs w:val="18"/>
                <w:b w:val="1"/>
                <w:bCs w:val="1"/>
                <w:color w:val="auto"/>
                <w:w w:val="86"/>
              </w:rPr>
              <w:t>Pennsylvania</w:t>
            </w:r>
          </w:p>
        </w:tc>
        <w:tc>
          <w:tcPr>
            <w:tcW w:w="2720" w:type="dxa"/>
            <w:vAlign w:val="bottom"/>
          </w:tcPr>
          <w:p>
            <w:pPr>
              <w:jc w:val="center"/>
              <w:ind w:left="1604"/>
              <w:spacing w:after="0"/>
              <w:rPr>
                <w:sz w:val="20"/>
                <w:szCs w:val="20"/>
                <w:color w:val="auto"/>
              </w:rPr>
            </w:pPr>
            <w:r>
              <w:rPr>
                <w:rFonts w:ascii="Arial" w:cs="Arial" w:eastAsia="Arial" w:hAnsi="Arial"/>
                <w:sz w:val="18"/>
                <w:szCs w:val="18"/>
                <w:b w:val="1"/>
                <w:bCs w:val="1"/>
                <w:color w:val="auto"/>
                <w:w w:val="87"/>
              </w:rPr>
              <w:t>27-0000798</w:t>
            </w:r>
          </w:p>
        </w:tc>
      </w:tr>
      <w:tr>
        <w:trPr>
          <w:trHeight w:val="149"/>
        </w:trPr>
        <w:tc>
          <w:tcPr>
            <w:tcW w:w="3380" w:type="dxa"/>
            <w:vAlign w:val="bottom"/>
          </w:tcPr>
          <w:p>
            <w:pPr>
              <w:jc w:val="center"/>
              <w:ind w:right="1720"/>
              <w:spacing w:after="0" w:line="149" w:lineRule="exact"/>
              <w:rPr>
                <w:sz w:val="20"/>
                <w:szCs w:val="20"/>
                <w:color w:val="auto"/>
              </w:rPr>
            </w:pPr>
            <w:r>
              <w:rPr>
                <w:rFonts w:ascii="Arial" w:cs="Arial" w:eastAsia="Arial" w:hAnsi="Arial"/>
                <w:sz w:val="14"/>
                <w:szCs w:val="14"/>
                <w:b w:val="1"/>
                <w:bCs w:val="1"/>
                <w:color w:val="auto"/>
                <w:w w:val="88"/>
              </w:rPr>
              <w:t>(Commission File Number)</w:t>
            </w:r>
          </w:p>
        </w:tc>
        <w:tc>
          <w:tcPr>
            <w:tcW w:w="2860" w:type="dxa"/>
            <w:vAlign w:val="bottom"/>
          </w:tcPr>
          <w:p>
            <w:pPr>
              <w:jc w:val="center"/>
              <w:ind w:right="16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720" w:type="dxa"/>
            <w:vAlign w:val="bottom"/>
          </w:tcPr>
          <w:p>
            <w:pPr>
              <w:jc w:val="center"/>
              <w:ind w:left="16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380" w:type="dxa"/>
            <w:vAlign w:val="bottom"/>
          </w:tcPr>
          <w:p>
            <w:pPr>
              <w:spacing w:after="0"/>
              <w:rPr>
                <w:sz w:val="15"/>
                <w:szCs w:val="15"/>
                <w:color w:val="auto"/>
              </w:rPr>
            </w:pPr>
          </w:p>
        </w:tc>
        <w:tc>
          <w:tcPr>
            <w:tcW w:w="2860" w:type="dxa"/>
            <w:vAlign w:val="bottom"/>
          </w:tcPr>
          <w:p>
            <w:pPr>
              <w:jc w:val="center"/>
              <w:ind w:right="186"/>
              <w:spacing w:after="0"/>
              <w:rPr>
                <w:sz w:val="20"/>
                <w:szCs w:val="20"/>
                <w:color w:val="auto"/>
              </w:rPr>
            </w:pPr>
            <w:r>
              <w:rPr>
                <w:rFonts w:ascii="Arial" w:cs="Arial" w:eastAsia="Arial" w:hAnsi="Arial"/>
                <w:sz w:val="14"/>
                <w:szCs w:val="14"/>
                <w:b w:val="1"/>
                <w:bCs w:val="1"/>
                <w:color w:val="auto"/>
                <w:w w:val="89"/>
              </w:rPr>
              <w:t>of incorporation)</w:t>
            </w:r>
          </w:p>
        </w:tc>
        <w:tc>
          <w:tcPr>
            <w:tcW w:w="2720" w:type="dxa"/>
            <w:vAlign w:val="bottom"/>
          </w:tcPr>
          <w:p>
            <w:pPr>
              <w:jc w:val="center"/>
              <w:ind w:left="158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7"/>
              </w:rPr>
              <w:t>One Comcast Center</w:t>
            </w:r>
          </w:p>
        </w:tc>
        <w:tc>
          <w:tcPr>
            <w:tcW w:w="28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31"/>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9"/>
              </w:rPr>
              <w:t>Philadelphia, PA</w:t>
            </w:r>
          </w:p>
        </w:tc>
        <w:tc>
          <w:tcPr>
            <w:tcW w:w="2860" w:type="dxa"/>
            <w:vAlign w:val="bottom"/>
          </w:tcPr>
          <w:p>
            <w:pPr>
              <w:spacing w:after="0"/>
              <w:rPr>
                <w:sz w:val="20"/>
                <w:szCs w:val="20"/>
                <w:color w:val="auto"/>
              </w:rPr>
            </w:pPr>
          </w:p>
        </w:tc>
        <w:tc>
          <w:tcPr>
            <w:tcW w:w="2720" w:type="dxa"/>
            <w:vAlign w:val="bottom"/>
          </w:tcPr>
          <w:p>
            <w:pPr>
              <w:jc w:val="right"/>
              <w:ind w:right="1004"/>
              <w:spacing w:after="0"/>
              <w:rPr>
                <w:sz w:val="20"/>
                <w:szCs w:val="20"/>
                <w:color w:val="auto"/>
              </w:rPr>
            </w:pPr>
            <w:r>
              <w:rPr>
                <w:rFonts w:ascii="Arial" w:cs="Arial" w:eastAsia="Arial" w:hAnsi="Arial"/>
                <w:sz w:val="18"/>
                <w:szCs w:val="18"/>
                <w:b w:val="1"/>
                <w:bCs w:val="1"/>
                <w:color w:val="auto"/>
              </w:rPr>
              <w:t>19103-2838</w:t>
            </w:r>
          </w:p>
        </w:tc>
      </w:tr>
      <w:tr>
        <w:trPr>
          <w:trHeight w:val="174"/>
        </w:trPr>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860" w:type="dxa"/>
            <w:vAlign w:val="bottom"/>
          </w:tcPr>
          <w:p>
            <w:pPr>
              <w:spacing w:after="0"/>
              <w:rPr>
                <w:sz w:val="15"/>
                <w:szCs w:val="15"/>
                <w:color w:val="auto"/>
              </w:rPr>
            </w:pPr>
          </w:p>
        </w:tc>
        <w:tc>
          <w:tcPr>
            <w:tcW w:w="2720" w:type="dxa"/>
            <w:vAlign w:val="bottom"/>
          </w:tcPr>
          <w:p>
            <w:pPr>
              <w:jc w:val="center"/>
              <w:ind w:right="18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173"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240030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449" w:right="89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June 18, 2009, Comcast Corporation (“Comcast”) expects to consummate the issuance and sale of $700,000,000 principal amount of its 5.70% Notes due 2019 and $800,000,000 principal amount of its 6.55% Notes due 2039 (collectively, the “Notes”), pursuant to an underwriting agreement dated June 15, 2009 among Comcast, the Cable Guarantors (defined below) and Banc of America Securities LLC, Barclays Capital Inc., BNP Paribas Securities Corp. and Wachovia Capital Markets, LLC, as representatives of the several underwriters named therein. The Notes will be issued pursuant to an Indenture dated as of January 7, 2003 (the “Indenture”) among Comcast, the Cable Guarantors (other than Comcast MO of Delaware, LLC) and The Bank of New York Mellon (formerly known as The Bank of New York), as trustee (the “Trustee”), as amended by the First Supplemental Indenture dated as of March 25, 2003 by and among the Company, the Cable Guarantors and the Trustee, and an officers’ certificate issued pursuant thereto. The Notes are guaranteed on an unsecured and unsubordinated basis by Comcast Cable Communications, LLC, Comcast Cable Communications Holdings, Inc., Comcast Cable Holdings, LLC, Comcast MO Group, Inc. and Comcast MO of Delaware, LLC (the “Cable Guarantors”).</w:t>
      </w:r>
    </w:p>
    <w:p>
      <w:pPr>
        <w:spacing w:after="0" w:line="12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Notes are being offered pursuant to Comcast’s Registration Statement on Form S-3 filed on April 27, 2009 (Reg. No. 333-158816), including the prospectus contained therein, and a related prospectus supplement dated June 15, 2009.</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material terms and conditions of the Notes are set forth in the Form of Officers’ Certificate filed herewith as Exhibit 4.1 and incorporated by reference herein and in the Indenture filed as Exhibit 4.4 and the First Supplemental Indenture filed as Exhibit 4.5 to Comcast’s Annual Report on Form 10-K for the year ended December 31, 2008.</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9.01(d)</w:t>
            </w:r>
          </w:p>
        </w:tc>
        <w:tc>
          <w:tcPr>
            <w:tcW w:w="10340" w:type="dxa"/>
            <w:vAlign w:val="bottom"/>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3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8"/>
                <w:szCs w:val="18"/>
                <w:color w:val="auto"/>
              </w:rPr>
            </w:pPr>
          </w:p>
        </w:tc>
        <w:tc>
          <w:tcPr>
            <w:tcW w:w="10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Underwriting Agreement dated as of June 15, 2009</w:t>
            </w:r>
          </w:p>
        </w:tc>
        <w:tc>
          <w:tcPr>
            <w:tcW w:w="0" w:type="dxa"/>
            <w:vAlign w:val="bottom"/>
          </w:tcPr>
          <w:p>
            <w:pPr>
              <w:spacing w:after="0"/>
              <w:rPr>
                <w:sz w:val="1"/>
                <w:szCs w:val="1"/>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of Officers’ Certificate setting forth the terms of the Notes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Opinion of Arthur R. Block, Esq.</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Opinion of Davis Polk &amp; Wardwell</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Consent of Arthur R. Block, Esq. (contained in Exhibit 5.1)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Consent of Davis Polk &amp; Wardwell (contained in Exhibit 5.2)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COMCAST CORPORATION</w:t>
      </w:r>
    </w:p>
    <w:p>
      <w:pPr>
        <w:spacing w:after="0" w:line="33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June 17, 2009</w:t>
      </w:r>
      <w:r>
        <w:rPr>
          <w:sz w:val="20"/>
          <w:szCs w:val="20"/>
          <w:color w:val="auto"/>
        </w:rPr>
        <w:tab/>
      </w:r>
      <w:r>
        <w:rPr>
          <w:rFonts w:ascii="Arial" w:cs="Arial" w:eastAsia="Arial" w:hAnsi="Arial"/>
          <w:sz w:val="16"/>
          <w:szCs w:val="16"/>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Senior Vice President,</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15,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(the “</w:t>
      </w:r>
      <w:r>
        <w:rPr>
          <w:rFonts w:ascii="Arial" w:cs="Arial" w:eastAsia="Arial" w:hAnsi="Arial"/>
          <w:sz w:val="16"/>
          <w:szCs w:val="16"/>
          <w:b w:val="1"/>
          <w:bCs w:val="1"/>
          <w:color w:val="auto"/>
        </w:rPr>
        <w:t>Managers</w:t>
      </w:r>
      <w:r>
        <w:rPr>
          <w:rFonts w:ascii="Arial" w:cs="Arial" w:eastAsia="Arial" w:hAnsi="Arial"/>
          <w:sz w:val="16"/>
          <w:szCs w:val="16"/>
          <w:color w:val="auto"/>
        </w:rPr>
        <w:t>”) are acting on behalf of the underwriter or underwriters (including ourselves) named below (such underwriter or underwriters being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herein called the “</w:t>
      </w:r>
      <w:r>
        <w:rPr>
          <w:rFonts w:ascii="Arial" w:cs="Arial" w:eastAsia="Arial" w:hAnsi="Arial"/>
          <w:sz w:val="16"/>
          <w:szCs w:val="16"/>
          <w:b w:val="1"/>
          <w:bCs w:val="1"/>
          <w:color w:val="auto"/>
        </w:rPr>
        <w:t>Underwriters</w:t>
      </w:r>
      <w:r>
        <w:rPr>
          <w:rFonts w:ascii="Arial" w:cs="Arial" w:eastAsia="Arial" w:hAnsi="Arial"/>
          <w:sz w:val="16"/>
          <w:szCs w:val="16"/>
          <w:color w:val="auto"/>
        </w:rPr>
        <w:t>”), and we understand that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$700,000,000 aggregate principal amount of 5.70% Notes Due 2019 (the “</w:t>
      </w:r>
      <w:r>
        <w:rPr>
          <w:rFonts w:ascii="Arial" w:cs="Arial" w:eastAsia="Arial" w:hAnsi="Arial"/>
          <w:sz w:val="16"/>
          <w:szCs w:val="16"/>
          <w:b w:val="1"/>
          <w:bCs w:val="1"/>
          <w:color w:val="auto"/>
        </w:rPr>
        <w:t>2019 Notes</w:t>
      </w:r>
      <w:r>
        <w:rPr>
          <w:rFonts w:ascii="Arial" w:cs="Arial" w:eastAsia="Arial" w:hAnsi="Arial"/>
          <w:sz w:val="16"/>
          <w:szCs w:val="16"/>
          <w:color w:val="auto"/>
        </w:rPr>
        <w:t>”) and $800,000,000 aggregate principal amount of 6.55% Notes Due 2039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2039 Notes</w:t>
      </w:r>
      <w:r>
        <w:rPr>
          <w:rFonts w:ascii="Arial" w:cs="Arial" w:eastAsia="Arial" w:hAnsi="Arial"/>
          <w:sz w:val="16"/>
          <w:szCs w:val="16"/>
          <w:color w:val="auto"/>
        </w:rPr>
        <w:t>” and together with the 2019 Notes, the “</w:t>
      </w:r>
      <w:r>
        <w:rPr>
          <w:rFonts w:ascii="Arial" w:cs="Arial" w:eastAsia="Arial" w:hAnsi="Arial"/>
          <w:sz w:val="16"/>
          <w:szCs w:val="16"/>
          <w:b w:val="1"/>
          <w:bCs w:val="1"/>
          <w:color w:val="auto"/>
        </w:rPr>
        <w:t>Offered Securities</w:t>
      </w:r>
      <w:r>
        <w:rPr>
          <w:rFonts w:ascii="Arial" w:cs="Arial" w:eastAsia="Arial" w:hAnsi="Arial"/>
          <w:sz w:val="16"/>
          <w:szCs w:val="16"/>
          <w:color w:val="auto"/>
        </w:rPr>
        <w:t>”). The Offered Securities are to be issued pursuant to the provisions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Indenture, dated as of January 7, 2003 by and among the Company, the Cable Guarantors (defined below) (other than Comcast MO of Delaware, LLC)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by the First Supplemental Indenture dated as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March 25, 2003 by and among the Company, the Cable Guarantors and the Trustee, and guaranteed on an unsecured and unsubordinated basis by Comcast Cable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Communications, LLC, Comcast Cable Communications Holdings, Inc., Comcast Cable Holdings, LLC, Comcast MO Group, Inc. and Comcast MO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 LLC (the “</w:t>
      </w:r>
      <w:r>
        <w:rPr>
          <w:rFonts w:ascii="Arial" w:cs="Arial" w:eastAsia="Arial" w:hAnsi="Arial"/>
          <w:sz w:val="18"/>
          <w:szCs w:val="18"/>
          <w:b w:val="1"/>
          <w:bCs w:val="1"/>
          <w:color w:val="auto"/>
        </w:rPr>
        <w:t>Cable Guarantors</w:t>
      </w:r>
      <w:r>
        <w:rPr>
          <w:rFonts w:ascii="Arial" w:cs="Arial" w:eastAsia="Arial" w:hAnsi="Arial"/>
          <w:sz w:val="18"/>
          <w:szCs w:val="18"/>
          <w:color w:val="auto"/>
        </w:rPr>
        <w:t>”).</w:t>
      </w:r>
    </w:p>
    <w:p>
      <w:pPr>
        <w:spacing w:after="0" w:line="165"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Subject to the terms and conditions set forth or incorporated by reference herein, the Company hereby agrees to sell and the Underwriters agree to purchase, severally and not jointly, the aggregate principal amount of the 2019 Notes set forth below opposite their names at a purchase price of 99.313% plus accrued interest, if any, from June 18, 2009 to the date of payment and delivery and the aggregate principal amount of the 2039 Notes set forth below opposite their names at a purchase price of 98.627% plus accrued interest, if any, from June 18, 2009 to the date of payment and delivery (in each case, the “</w:t>
      </w:r>
      <w:r>
        <w:rPr>
          <w:rFonts w:ascii="Arial" w:cs="Arial" w:eastAsia="Arial" w:hAnsi="Arial"/>
          <w:sz w:val="18"/>
          <w:szCs w:val="18"/>
          <w:b w:val="1"/>
          <w:b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Amount</w:t>
            </w:r>
          </w:p>
        </w:tc>
        <w:tc>
          <w:tcPr>
            <w:tcW w:w="340" w:type="dxa"/>
            <w:vAlign w:val="bottom"/>
          </w:tcPr>
          <w:p>
            <w:pPr>
              <w:spacing w:after="0"/>
              <w:rPr>
                <w:sz w:val="14"/>
                <w:szCs w:val="1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Principal 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2019 Notes</w:t>
            </w:r>
          </w:p>
        </w:tc>
        <w:tc>
          <w:tcPr>
            <w:tcW w:w="340" w:type="dxa"/>
            <w:vAlign w:val="bottom"/>
          </w:tcPr>
          <w:p>
            <w:pPr>
              <w:spacing w:after="0"/>
              <w:rPr>
                <w:sz w:val="12"/>
                <w:szCs w:val="12"/>
                <w:color w:val="auto"/>
              </w:rPr>
            </w:pPr>
          </w:p>
        </w:tc>
        <w:tc>
          <w:tcPr>
            <w:tcW w:w="10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of 2039 Notes</w:t>
            </w:r>
          </w:p>
        </w:tc>
        <w:tc>
          <w:tcPr>
            <w:tcW w:w="0" w:type="dxa"/>
            <w:vAlign w:val="bottom"/>
          </w:tcPr>
          <w:p>
            <w:pPr>
              <w:spacing w:after="0"/>
              <w:rPr>
                <w:sz w:val="1"/>
                <w:szCs w:val="1"/>
                <w:color w:val="auto"/>
              </w:rPr>
            </w:pPr>
          </w:p>
        </w:tc>
      </w:tr>
      <w:tr>
        <w:trPr>
          <w:trHeight w:val="161"/>
        </w:trPr>
        <w:tc>
          <w:tcPr>
            <w:tcW w:w="900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3"/>
              </w:rPr>
              <w:t>To Be Purchased</w:t>
            </w:r>
          </w:p>
        </w:tc>
        <w:tc>
          <w:tcPr>
            <w:tcW w:w="340" w:type="dxa"/>
            <w:vAlign w:val="bottom"/>
          </w:tcPr>
          <w:p>
            <w:pPr>
              <w:spacing w:after="0"/>
              <w:rPr>
                <w:sz w:val="14"/>
                <w:szCs w:val="1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To Be Purchased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$ 140,000,000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$ 160,000,000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040" w:type="dxa"/>
            <w:vAlign w:val="bottom"/>
          </w:tcPr>
          <w:p>
            <w:pPr>
              <w:jc w:val="right"/>
              <w:spacing w:after="0"/>
              <w:rPr>
                <w:sz w:val="20"/>
                <w:szCs w:val="20"/>
                <w:color w:val="auto"/>
              </w:rPr>
            </w:pPr>
            <w:r>
              <w:rPr>
                <w:rFonts w:ascii="Arial" w:cs="Arial" w:eastAsia="Arial" w:hAnsi="Arial"/>
                <w:sz w:val="18"/>
                <w:szCs w:val="18"/>
                <w:color w:val="auto"/>
              </w:rPr>
              <w:t>140,000,000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Wachovia Capital Markets, LLC</w:t>
            </w:r>
          </w:p>
        </w:tc>
        <w:tc>
          <w:tcPr>
            <w:tcW w:w="1040" w:type="dxa"/>
            <w:vAlign w:val="bottom"/>
          </w:tcPr>
          <w:p>
            <w:pPr>
              <w:jc w:val="right"/>
              <w:spacing w:after="0"/>
              <w:rPr>
                <w:sz w:val="20"/>
                <w:szCs w:val="20"/>
                <w:color w:val="auto"/>
              </w:rPr>
            </w:pPr>
            <w:r>
              <w:rPr>
                <w:rFonts w:ascii="Arial" w:cs="Arial" w:eastAsia="Arial" w:hAnsi="Arial"/>
                <w:sz w:val="18"/>
                <w:szCs w:val="18"/>
                <w:color w:val="auto"/>
              </w:rPr>
              <w:t>140,000,000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Daiwa Securities America Inc.</w:t>
            </w:r>
          </w:p>
        </w:tc>
        <w:tc>
          <w:tcPr>
            <w:tcW w:w="1040" w:type="dxa"/>
            <w:vAlign w:val="bottom"/>
          </w:tcPr>
          <w:p>
            <w:pPr>
              <w:jc w:val="right"/>
              <w:spacing w:after="0"/>
              <w:rPr>
                <w:sz w:val="20"/>
                <w:szCs w:val="20"/>
                <w:color w:val="auto"/>
              </w:rPr>
            </w:pPr>
            <w:r>
              <w:rPr>
                <w:rFonts w:ascii="Arial" w:cs="Arial" w:eastAsia="Arial" w:hAnsi="Arial"/>
                <w:sz w:val="18"/>
                <w:szCs w:val="18"/>
                <w:color w:val="auto"/>
              </w:rPr>
              <w:t>12,250,000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1040" w:type="dxa"/>
            <w:vAlign w:val="bottom"/>
          </w:tcPr>
          <w:p>
            <w:pPr>
              <w:jc w:val="right"/>
              <w:spacing w:after="0"/>
              <w:rPr>
                <w:sz w:val="20"/>
                <w:szCs w:val="20"/>
                <w:color w:val="auto"/>
              </w:rPr>
            </w:pPr>
            <w:r>
              <w:rPr>
                <w:rFonts w:ascii="Arial" w:cs="Arial" w:eastAsia="Arial" w:hAnsi="Arial"/>
                <w:sz w:val="18"/>
                <w:szCs w:val="18"/>
                <w:color w:val="auto"/>
              </w:rPr>
              <w:t>12,250,000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Inc.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Mitsubishi UFJ Securities (USA), Inc.</w:t>
            </w:r>
          </w:p>
        </w:tc>
        <w:tc>
          <w:tcPr>
            <w:tcW w:w="1040" w:type="dxa"/>
            <w:vAlign w:val="bottom"/>
          </w:tcPr>
          <w:p>
            <w:pPr>
              <w:jc w:val="right"/>
              <w:spacing w:after="0"/>
              <w:rPr>
                <w:sz w:val="20"/>
                <w:szCs w:val="20"/>
                <w:color w:val="auto"/>
              </w:rPr>
            </w:pPr>
            <w:r>
              <w:rPr>
                <w:rFonts w:ascii="Arial" w:cs="Arial" w:eastAsia="Arial" w:hAnsi="Arial"/>
                <w:sz w:val="18"/>
                <w:szCs w:val="18"/>
                <w:color w:val="auto"/>
              </w:rPr>
              <w:t>12,250,000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RBS Securities Inc.</w:t>
            </w:r>
          </w:p>
        </w:tc>
        <w:tc>
          <w:tcPr>
            <w:tcW w:w="1040" w:type="dxa"/>
            <w:vAlign w:val="bottom"/>
          </w:tcPr>
          <w:p>
            <w:pPr>
              <w:jc w:val="right"/>
              <w:spacing w:after="0"/>
              <w:rPr>
                <w:sz w:val="20"/>
                <w:szCs w:val="20"/>
                <w:color w:val="auto"/>
              </w:rPr>
            </w:pPr>
            <w:r>
              <w:rPr>
                <w:rFonts w:ascii="Arial" w:cs="Arial" w:eastAsia="Arial" w:hAnsi="Arial"/>
                <w:sz w:val="18"/>
                <w:szCs w:val="18"/>
                <w:color w:val="auto"/>
              </w:rPr>
              <w:t>12,250,000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1040" w:type="dxa"/>
            <w:vAlign w:val="bottom"/>
          </w:tcPr>
          <w:p>
            <w:pPr>
              <w:jc w:val="right"/>
              <w:spacing w:after="0"/>
              <w:rPr>
                <w:sz w:val="20"/>
                <w:szCs w:val="20"/>
                <w:color w:val="auto"/>
              </w:rPr>
            </w:pPr>
            <w:r>
              <w:rPr>
                <w:rFonts w:ascii="Arial" w:cs="Arial" w:eastAsia="Arial" w:hAnsi="Arial"/>
                <w:sz w:val="18"/>
                <w:szCs w:val="18"/>
                <w:color w:val="auto"/>
              </w:rPr>
              <w:t>5,250,000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Lloyds TSB Bank plc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1040" w:type="dxa"/>
            <w:vAlign w:val="bottom"/>
          </w:tcPr>
          <w:p>
            <w:pPr>
              <w:jc w:val="right"/>
              <w:spacing w:after="0"/>
              <w:rPr>
                <w:sz w:val="20"/>
                <w:szCs w:val="20"/>
                <w:color w:val="auto"/>
              </w:rPr>
            </w:pPr>
            <w:r>
              <w:rPr>
                <w:rFonts w:ascii="Arial" w:cs="Arial" w:eastAsia="Arial" w:hAnsi="Arial"/>
                <w:sz w:val="18"/>
                <w:szCs w:val="18"/>
                <w:color w:val="auto"/>
              </w:rPr>
              <w:t>4,200,000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BNY Mellon Capital Markets, LLC</w:t>
            </w:r>
          </w:p>
        </w:tc>
        <w:tc>
          <w:tcPr>
            <w:tcW w:w="1040" w:type="dxa"/>
            <w:vAlign w:val="bottom"/>
          </w:tcPr>
          <w:p>
            <w:pPr>
              <w:jc w:val="right"/>
              <w:spacing w:after="0"/>
              <w:rPr>
                <w:sz w:val="20"/>
                <w:szCs w:val="20"/>
                <w:color w:val="auto"/>
              </w:rPr>
            </w:pPr>
            <w:r>
              <w:rPr>
                <w:rFonts w:ascii="Arial" w:cs="Arial" w:eastAsia="Arial" w:hAnsi="Arial"/>
                <w:sz w:val="18"/>
                <w:szCs w:val="18"/>
                <w:color w:val="auto"/>
              </w:rPr>
              <w:t>3,500,000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The Williams Capital Group, L.P.</w:t>
            </w:r>
          </w:p>
        </w:tc>
        <w:tc>
          <w:tcPr>
            <w:tcW w:w="1040" w:type="dxa"/>
            <w:vAlign w:val="bottom"/>
          </w:tcPr>
          <w:p>
            <w:pPr>
              <w:jc w:val="right"/>
              <w:spacing w:after="0"/>
              <w:rPr>
                <w:sz w:val="20"/>
                <w:szCs w:val="20"/>
                <w:color w:val="auto"/>
              </w:rPr>
            </w:pPr>
            <w:r>
              <w:rPr>
                <w:rFonts w:ascii="Arial" w:cs="Arial" w:eastAsia="Arial" w:hAnsi="Arial"/>
                <w:sz w:val="18"/>
                <w:szCs w:val="18"/>
                <w:color w:val="auto"/>
              </w:rPr>
              <w:t>1,400,000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Blaylock Robert Van, LLC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Cabrera Capital Markets, LLC</w:t>
            </w:r>
          </w:p>
        </w:tc>
        <w:tc>
          <w:tcPr>
            <w:tcW w:w="1040" w:type="dxa"/>
            <w:vAlign w:val="bottom"/>
          </w:tcPr>
          <w:p>
            <w:pPr>
              <w:jc w:val="right"/>
              <w:spacing w:after="0"/>
              <w:rPr>
                <w:sz w:val="20"/>
                <w:szCs w:val="20"/>
                <w:color w:val="auto"/>
              </w:rPr>
            </w:pPr>
            <w:r>
              <w:rPr>
                <w:rFonts w:ascii="Arial" w:cs="Arial" w:eastAsia="Arial" w:hAnsi="Arial"/>
                <w:sz w:val="18"/>
                <w:szCs w:val="18"/>
                <w:color w:val="auto"/>
              </w:rPr>
              <w:t>700,000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Doley Securities, LLC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Guzman &amp; Company</w:t>
            </w:r>
          </w:p>
        </w:tc>
        <w:tc>
          <w:tcPr>
            <w:tcW w:w="1040" w:type="dxa"/>
            <w:vAlign w:val="bottom"/>
          </w:tcPr>
          <w:p>
            <w:pPr>
              <w:jc w:val="right"/>
              <w:spacing w:after="0"/>
              <w:rPr>
                <w:sz w:val="20"/>
                <w:szCs w:val="20"/>
                <w:color w:val="auto"/>
              </w:rPr>
            </w:pPr>
            <w:r>
              <w:rPr>
                <w:rFonts w:ascii="Arial" w:cs="Arial" w:eastAsia="Arial" w:hAnsi="Arial"/>
                <w:sz w:val="18"/>
                <w:szCs w:val="18"/>
                <w:color w:val="auto"/>
              </w:rPr>
              <w:t>700,000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Beal &amp; Company</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Muriel Siebert &amp; Co., Inc.</w:t>
            </w:r>
          </w:p>
        </w:tc>
        <w:tc>
          <w:tcPr>
            <w:tcW w:w="1040" w:type="dxa"/>
            <w:vAlign w:val="bottom"/>
          </w:tcPr>
          <w:p>
            <w:pPr>
              <w:jc w:val="right"/>
              <w:spacing w:after="0"/>
              <w:rPr>
                <w:sz w:val="20"/>
                <w:szCs w:val="20"/>
                <w:color w:val="auto"/>
              </w:rPr>
            </w:pPr>
            <w:r>
              <w:rPr>
                <w:rFonts w:ascii="Arial" w:cs="Arial" w:eastAsia="Arial" w:hAnsi="Arial"/>
                <w:sz w:val="18"/>
                <w:szCs w:val="18"/>
                <w:color w:val="auto"/>
              </w:rPr>
              <w:t>700,000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A. Ramirez &amp; Co., Inc.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Utendahl Capital Group, LLC</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700,000</w:t>
            </w:r>
          </w:p>
        </w:tc>
        <w:tc>
          <w:tcPr>
            <w:tcW w:w="3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$ 700,000,000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240" w:firstLine="456"/>
        <w:spacing w:after="0" w:line="335" w:lineRule="auto"/>
        <w:rPr>
          <w:sz w:val="20"/>
          <w:szCs w:val="20"/>
          <w:color w:val="auto"/>
        </w:rPr>
      </w:pPr>
      <w:r>
        <w:rPr>
          <w:rFonts w:ascii="Arial" w:cs="Arial" w:eastAsia="Arial" w:hAnsi="Arial"/>
          <w:sz w:val="15"/>
          <w:szCs w:val="15"/>
          <w:color w:val="auto"/>
        </w:rPr>
        <w:t>The Underwriters will pay for the Offered Securities upon delivery thereof at the offices of Davis Polk &amp; Wardwell, 1600 El Camino Real, Menlo Park, California at 10:00 a.m. (New York time) on June 18, 2009, or at such other time, not later than 5:00 p.m. (New York time) on June 25, 2009 as shall be designated in writing by the Underwriters and the Company. The time and date of such payment and delivery are hereinafter referred to as the “</w:t>
      </w:r>
      <w:r>
        <w:rPr>
          <w:rFonts w:ascii="Arial" w:cs="Arial" w:eastAsia="Arial" w:hAnsi="Arial"/>
          <w:sz w:val="15"/>
          <w:szCs w:val="15"/>
          <w:b w:val="1"/>
          <w:bCs w:val="1"/>
          <w:color w:val="auto"/>
        </w:rPr>
        <w:t>Closing Date</w:t>
      </w:r>
      <w:r>
        <w:rPr>
          <w:rFonts w:ascii="Arial" w:cs="Arial" w:eastAsia="Arial" w:hAnsi="Arial"/>
          <w:sz w:val="15"/>
          <w:szCs w:val="15"/>
          <w:color w:val="auto"/>
        </w:rPr>
        <w:t>.”</w:t>
      </w:r>
    </w:p>
    <w:p>
      <w:pPr>
        <w:spacing w:after="0" w:line="8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Offered Securities shall have the terms set forth in the Prospectus dated April 27, 2009 and the Prospectus Supplement dated June 15, 2009, including the following: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3" w:right="239"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Terms of Offered Securities:</w:t>
      </w:r>
    </w:p>
    <w:p>
      <w:pPr>
        <w:spacing w:after="0" w:line="15" w:lineRule="exact"/>
        <w:rPr>
          <w:sz w:val="20"/>
          <w:szCs w:val="20"/>
          <w:color w:val="auto"/>
        </w:rPr>
      </w:pPr>
    </w:p>
    <w:p>
      <w:pPr>
        <w:ind w:left="720"/>
        <w:spacing w:after="0"/>
        <w:tabs>
          <w:tab w:leader="none" w:pos="2480" w:val="left"/>
        </w:tabs>
        <w:rPr>
          <w:sz w:val="20"/>
          <w:szCs w:val="20"/>
          <w:color w:val="auto"/>
        </w:rPr>
      </w:pPr>
      <w:r>
        <w:rPr>
          <w:rFonts w:ascii="Arial" w:cs="Arial" w:eastAsia="Arial" w:hAnsi="Arial"/>
          <w:sz w:val="18"/>
          <w:szCs w:val="18"/>
          <w:color w:val="auto"/>
        </w:rPr>
        <w:t>Maturity Date:</w:t>
      </w:r>
      <w:r>
        <w:rPr>
          <w:sz w:val="20"/>
          <w:szCs w:val="20"/>
          <w:color w:val="auto"/>
        </w:rPr>
        <w:tab/>
      </w:r>
      <w:r>
        <w:rPr>
          <w:rFonts w:ascii="Arial" w:cs="Arial" w:eastAsia="Arial" w:hAnsi="Arial"/>
          <w:sz w:val="15"/>
          <w:szCs w:val="15"/>
          <w:color w:val="auto"/>
        </w:rPr>
        <w:t>2019 Notes – July 1, 2019</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2039 Notes – July 1, 2039</w:t>
      </w:r>
    </w:p>
    <w:p>
      <w:pPr>
        <w:sectPr>
          <w:pgSz w:w="11900" w:h="16838" w:orient="portrait"/>
          <w:cols w:equalWidth="0" w:num="1">
            <w:col w:w="11360"/>
          </w:cols>
          <w:pgMar w:left="240" w:top="280" w:right="299" w:bottom="1440" w:gutter="0" w:footer="0" w:header="0"/>
        </w:sectPr>
      </w:pPr>
    </w:p>
    <w:p>
      <w:pPr>
        <w:spacing w:after="0" w:line="199" w:lineRule="exact"/>
        <w:rPr>
          <w:sz w:val="20"/>
          <w:szCs w:val="20"/>
          <w:color w:val="auto"/>
        </w:rPr>
      </w:pPr>
    </w:p>
    <w:p>
      <w:pPr>
        <w:ind w:left="720"/>
        <w:spacing w:after="0"/>
        <w:rPr>
          <w:sz w:val="20"/>
          <w:szCs w:val="20"/>
          <w:color w:val="auto"/>
        </w:rPr>
      </w:pPr>
      <w:r>
        <w:rPr>
          <w:rFonts w:ascii="Arial" w:cs="Arial" w:eastAsia="Arial" w:hAnsi="Arial"/>
          <w:sz w:val="15"/>
          <w:szCs w:val="15"/>
          <w:color w:val="auto"/>
        </w:rPr>
        <w:t>Interest Rate: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2019 Notes – 5.70%</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5"/>
          <w:szCs w:val="15"/>
          <w:color w:val="auto"/>
        </w:rPr>
        <w:t>2039 Notes – 6.55%</w:t>
      </w:r>
    </w:p>
    <w:p>
      <w:pPr>
        <w:spacing w:after="0" w:line="199" w:lineRule="exact"/>
        <w:rPr>
          <w:sz w:val="20"/>
          <w:szCs w:val="20"/>
          <w:color w:val="auto"/>
        </w:rPr>
      </w:pPr>
    </w:p>
    <w:p>
      <w:pPr>
        <w:sectPr>
          <w:pgSz w:w="11900" w:h="16838" w:orient="portrait"/>
          <w:cols w:equalWidth="0" w:num="2">
            <w:col w:w="1760" w:space="720"/>
            <w:col w:w="8880"/>
          </w:cols>
          <w:pgMar w:left="240" w:top="280" w:right="299" w:bottom="1440" w:gutter="0" w:footer="0" w:header="0"/>
          <w:type w:val="continuous"/>
        </w:sectPr>
      </w:pPr>
    </w:p>
    <w:p>
      <w:pPr>
        <w:ind w:left="920"/>
        <w:spacing w:after="0" w:line="312" w:lineRule="auto"/>
        <w:rPr>
          <w:sz w:val="20"/>
          <w:szCs w:val="20"/>
          <w:color w:val="auto"/>
        </w:rPr>
      </w:pPr>
      <w:r>
        <w:rPr>
          <w:rFonts w:ascii="Arial" w:cs="Arial" w:eastAsia="Arial" w:hAnsi="Arial"/>
          <w:sz w:val="15"/>
          <w:szCs w:val="15"/>
          <w:color w:val="auto"/>
        </w:rPr>
        <w:t>Redemption Provisions: The Company may at its option redeem the Offered Securities in whole or in part, at any time or from time to time prior to their maturity, on at least 30 days, but not more than 60 days, prior notice mailed to the registered address of each holder of the applicable series of Offered Securities, at a redemption price equal to the greater of (i) 100% of the principal amount of such Offered Securities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35 basis points for the 2019 Notes (the “</w:t>
      </w:r>
      <w:r>
        <w:rPr>
          <w:rFonts w:ascii="Arial" w:cs="Arial" w:eastAsia="Arial" w:hAnsi="Arial"/>
          <w:sz w:val="15"/>
          <w:szCs w:val="15"/>
          <w:b w:val="1"/>
          <w:bCs w:val="1"/>
          <w:color w:val="auto"/>
        </w:rPr>
        <w:t>2019 Make-Whole Amount</w:t>
      </w:r>
      <w:r>
        <w:rPr>
          <w:rFonts w:ascii="Arial" w:cs="Arial" w:eastAsia="Arial" w:hAnsi="Arial"/>
          <w:sz w:val="15"/>
          <w:szCs w:val="15"/>
          <w:color w:val="auto"/>
        </w:rPr>
        <w:t>”) and 35 basis points for the 2039 Notes (the “</w:t>
      </w:r>
      <w:r>
        <w:rPr>
          <w:rFonts w:ascii="Arial" w:cs="Arial" w:eastAsia="Arial" w:hAnsi="Arial"/>
          <w:sz w:val="15"/>
          <w:szCs w:val="15"/>
          <w:b w:val="1"/>
          <w:bCs w:val="1"/>
          <w:color w:val="auto"/>
        </w:rPr>
        <w:t>2039 Make-Whole Amount</w:t>
      </w:r>
      <w:r>
        <w:rPr>
          <w:rFonts w:ascii="Arial" w:cs="Arial" w:eastAsia="Arial" w:hAnsi="Arial"/>
          <w:sz w:val="15"/>
          <w:szCs w:val="15"/>
          <w:color w:val="auto"/>
        </w:rPr>
        <w:t>”), plus, in each case, accrued interest thereon to the date of redemption; and as further described in the Prospectus Supplement dated June 15, 2009.</w:t>
      </w:r>
    </w:p>
    <w:p>
      <w:pPr>
        <w:spacing w:after="0" w:line="105" w:lineRule="exact"/>
        <w:rPr>
          <w:sz w:val="20"/>
          <w:szCs w:val="20"/>
          <w:color w:val="auto"/>
        </w:rPr>
      </w:pPr>
    </w:p>
    <w:p>
      <w:pPr>
        <w:ind w:left="720"/>
        <w:spacing w:after="0"/>
        <w:tabs>
          <w:tab w:leader="none" w:pos="2540" w:val="left"/>
        </w:tabs>
        <w:rPr>
          <w:sz w:val="20"/>
          <w:szCs w:val="20"/>
          <w:color w:val="auto"/>
        </w:rPr>
      </w:pPr>
      <w:r>
        <w:rPr>
          <w:rFonts w:ascii="Arial" w:cs="Arial" w:eastAsia="Arial" w:hAnsi="Arial"/>
          <w:sz w:val="18"/>
          <w:szCs w:val="18"/>
          <w:color w:val="auto"/>
        </w:rPr>
        <w:t>Interest Payment Dates:</w:t>
      </w:r>
      <w:r>
        <w:rPr>
          <w:sz w:val="20"/>
          <w:szCs w:val="20"/>
          <w:color w:val="auto"/>
        </w:rPr>
        <w:tab/>
      </w:r>
      <w:r>
        <w:rPr>
          <w:rFonts w:ascii="Arial" w:cs="Arial" w:eastAsia="Arial" w:hAnsi="Arial"/>
          <w:sz w:val="15"/>
          <w:szCs w:val="15"/>
          <w:color w:val="auto"/>
        </w:rPr>
        <w:t>2019 Notes – January 1 and July 1</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commencing January 1, 2010.</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(Interest accrues from June 18, 2009)</w:t>
      </w:r>
    </w:p>
    <w:p>
      <w:pPr>
        <w:spacing w:after="0" w:line="16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2039 Notes – January 1 and July 1</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commencing January 1, 2010.</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(Interest accrues from June 18, 2009)</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Form and Denomination: Global; $2,000 denominations and in multiples of $1,000 in excess thereof.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Ranking: Senior unsecured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Other Terms: As set forth in the Prospectus Supplement.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Capitalized terms used above and not defined herein shall have the meanings set forth in the Prospectus and Prospectus Supplement referred to above.</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communications hereunder shall be in writing and effective only upon receipt and (a) if to the Underwriters, shall be delivered, mailed or sent via facsimile in care of (i) Banc of America Securities LLC, One Bryant Park, NY1-100-18-03, New York, NY 10036; facsimile number (646) 855-5958; Attention: High Grade Transaction Management/Legal, (ii) Barclays Capital Inc., 745 Seventh Avenue, New York, NY 10019; facsimile number (646) 834-8133; Attention: Syndicate Registration, (iii) BNP Paribas Securities Corp., 787 7th Avenue New York, NY 10019; facsimile number (212) 841-3930; Attention: Syndicate Desk, (iv) Wachovia Capital Markets, LLC, One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type w:val="continuous"/>
        </w:sectPr>
      </w:pPr>
    </w:p>
    <w:bookmarkStart w:id="6" w:name="page7"/>
    <w:bookmarkEnd w:id="6"/>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Wachovia Center, 301 S. College Street, Charlotte, NC 28288-0613; facsimile number (704) 383-9165; Attention: Transaction Management Department; or (b) if to the Company shall be delivered, mailed or sent via facsimile to One Comcast Center, Philadelphia, Pennsylvania 19103, facsimile number (215) 286-7744, attention: Arthur R. Block and William E. Dordelman.</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acknowledges and agrees that each of the Underwriters is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their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as set forth below, all provisions contained in the document entitled Comcast Corporation Underwriting Agreement Standard Provisions (Debt Securities)) dated April 27, 2009, (the “</w:t>
      </w:r>
      <w:r>
        <w:rPr>
          <w:rFonts w:ascii="Arial" w:cs="Arial" w:eastAsia="Arial" w:hAnsi="Arial"/>
          <w:sz w:val="16"/>
          <w:szCs w:val="16"/>
          <w:b w:val="1"/>
          <w:bCs w:val="1"/>
          <w:color w:val="auto"/>
        </w:rPr>
        <w:t>Standard Provisions</w:t>
      </w:r>
      <w:r>
        <w:rPr>
          <w:rFonts w:ascii="Arial" w:cs="Arial" w:eastAsia="Arial" w:hAnsi="Arial"/>
          <w:sz w:val="16"/>
          <w:szCs w:val="16"/>
          <w:color w:val="auto"/>
        </w:rPr>
        <w:t>”),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confirm your agreement by having an authorized officer sign a copy of this Agreement in the space set forth below.</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Banc of America Securities LLC</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Wachovia Capital Markets, LLC</w:t>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On behalf of themselves and the other</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Underwriters named herein</w:t>
      </w:r>
    </w:p>
    <w:p>
      <w:pPr>
        <w:spacing w:after="0" w:line="232" w:lineRule="exact"/>
        <w:rPr>
          <w:sz w:val="20"/>
          <w:szCs w:val="20"/>
          <w:color w:val="auto"/>
        </w:rPr>
      </w:pPr>
    </w:p>
    <w:p>
      <w:pPr>
        <w:ind w:left="6400"/>
        <w:spacing w:after="0"/>
        <w:tabs>
          <w:tab w:leader="none" w:pos="6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Banc of America Securities LLC</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/s/ Keith Harman</w:t>
            </w:r>
          </w:p>
        </w:tc>
      </w:tr>
      <w:tr>
        <w:trPr>
          <w:trHeight w:val="202"/>
        </w:trPr>
        <w:tc>
          <w:tcPr>
            <w:tcW w:w="320" w:type="dxa"/>
            <w:vAlign w:val="bottom"/>
          </w:tcPr>
          <w:p>
            <w:pPr>
              <w:spacing w:after="0"/>
              <w:rPr>
                <w:sz w:val="17"/>
                <w:szCs w:val="17"/>
                <w:color w:val="auto"/>
              </w:rPr>
            </w:pPr>
          </w:p>
        </w:tc>
        <w:tc>
          <w:tcPr>
            <w:tcW w:w="42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Keith Harman</w:t>
            </w:r>
          </w:p>
        </w:tc>
      </w:tr>
      <w:tr>
        <w:trPr>
          <w:trHeight w:val="222"/>
        </w:trPr>
        <w:tc>
          <w:tcPr>
            <w:tcW w:w="320" w:type="dxa"/>
            <w:vAlign w:val="bottom"/>
          </w:tcPr>
          <w:p>
            <w:pPr>
              <w:spacing w:after="0"/>
              <w:rPr>
                <w:sz w:val="19"/>
                <w:szCs w:val="19"/>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Title:</w:t>
            </w:r>
          </w:p>
        </w:tc>
        <w:tc>
          <w:tcPr>
            <w:tcW w:w="3620" w:type="dxa"/>
            <w:vAlign w:val="bottom"/>
          </w:tcPr>
          <w:p>
            <w:pPr>
              <w:ind w:left="60"/>
              <w:spacing w:after="0"/>
              <w:rPr>
                <w:sz w:val="20"/>
                <w:szCs w:val="20"/>
                <w:color w:val="auto"/>
              </w:rPr>
            </w:pPr>
            <w:r>
              <w:rPr>
                <w:rFonts w:ascii="Arial" w:cs="Arial" w:eastAsia="Arial" w:hAnsi="Arial"/>
                <w:sz w:val="18"/>
                <w:szCs w:val="18"/>
                <w:color w:val="auto"/>
              </w:rPr>
              <w:t>Managing Director</w:t>
            </w:r>
          </w:p>
        </w:tc>
      </w:tr>
      <w:tr>
        <w:trPr>
          <w:trHeight w:val="446"/>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gridSpan w:val="2"/>
          </w:tcPr>
          <w:p>
            <w:pPr>
              <w:ind w:left="100"/>
              <w:spacing w:after="0"/>
              <w:rPr>
                <w:sz w:val="20"/>
                <w:szCs w:val="20"/>
                <w:color w:val="auto"/>
              </w:rPr>
            </w:pPr>
            <w:r>
              <w:rPr>
                <w:rFonts w:ascii="Arial" w:cs="Arial" w:eastAsia="Arial" w:hAnsi="Arial"/>
                <w:sz w:val="18"/>
                <w:szCs w:val="18"/>
                <w:color w:val="auto"/>
              </w:rPr>
              <w:t>Barclays Capital Inc.</w:t>
            </w:r>
          </w:p>
        </w:tc>
      </w:tr>
      <w:tr>
        <w:trPr>
          <w:trHeight w:val="43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/s/ Pamela Kendall</w:t>
            </w:r>
          </w:p>
        </w:tc>
      </w:tr>
      <w:tr>
        <w:trPr>
          <w:trHeight w:val="202"/>
        </w:trPr>
        <w:tc>
          <w:tcPr>
            <w:tcW w:w="320" w:type="dxa"/>
            <w:vAlign w:val="bottom"/>
          </w:tcPr>
          <w:p>
            <w:pPr>
              <w:spacing w:after="0"/>
              <w:rPr>
                <w:sz w:val="17"/>
                <w:szCs w:val="17"/>
                <w:color w:val="auto"/>
              </w:rPr>
            </w:pPr>
          </w:p>
        </w:tc>
        <w:tc>
          <w:tcPr>
            <w:tcW w:w="620" w:type="dxa"/>
            <w:vAlign w:val="bottom"/>
          </w:tcPr>
          <w:p>
            <w:pPr>
              <w:ind w:left="100"/>
              <w:spacing w:after="0" w:line="202" w:lineRule="exact"/>
              <w:rPr>
                <w:sz w:val="20"/>
                <w:szCs w:val="20"/>
                <w:color w:val="auto"/>
              </w:rPr>
            </w:pPr>
            <w:r>
              <w:rPr>
                <w:rFonts w:ascii="Arial" w:cs="Arial" w:eastAsia="Arial" w:hAnsi="Arial"/>
                <w:sz w:val="18"/>
                <w:szCs w:val="18"/>
                <w:color w:val="auto"/>
                <w:w w:val="94"/>
              </w:rPr>
              <w:t>Name:</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Pamela Kendall</w:t>
            </w:r>
          </w:p>
        </w:tc>
      </w:tr>
      <w:tr>
        <w:trPr>
          <w:trHeight w:val="222"/>
        </w:trPr>
        <w:tc>
          <w:tcPr>
            <w:tcW w:w="320" w:type="dxa"/>
            <w:vAlign w:val="bottom"/>
          </w:tcPr>
          <w:p>
            <w:pPr>
              <w:spacing w:after="0"/>
              <w:rPr>
                <w:sz w:val="19"/>
                <w:szCs w:val="19"/>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Title:</w:t>
            </w:r>
          </w:p>
        </w:tc>
        <w:tc>
          <w:tcPr>
            <w:tcW w:w="362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446"/>
        </w:trPr>
        <w:tc>
          <w:tcPr>
            <w:tcW w:w="4560" w:type="dxa"/>
            <w:vAlign w:val="bottom"/>
            <w:gridSpan w:val="3"/>
          </w:tcPr>
          <w:p>
            <w:pPr>
              <w:spacing w:after="0"/>
              <w:rPr>
                <w:sz w:val="20"/>
                <w:szCs w:val="20"/>
                <w:color w:val="auto"/>
              </w:rPr>
            </w:pPr>
            <w:r>
              <w:rPr>
                <w:rFonts w:ascii="Arial" w:cs="Arial" w:eastAsia="Arial" w:hAnsi="Arial"/>
                <w:sz w:val="18"/>
                <w:szCs w:val="18"/>
                <w:color w:val="auto"/>
              </w:rPr>
              <w:t>By:  BNP Paribas Securities Corp.</w:t>
            </w:r>
          </w:p>
        </w:tc>
      </w:tr>
      <w:tr>
        <w:trPr>
          <w:trHeight w:val="43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/s/ Jim Turner</w:t>
            </w:r>
          </w:p>
        </w:tc>
      </w:tr>
      <w:tr>
        <w:trPr>
          <w:trHeight w:val="202"/>
        </w:trPr>
        <w:tc>
          <w:tcPr>
            <w:tcW w:w="320" w:type="dxa"/>
            <w:vAlign w:val="bottom"/>
          </w:tcPr>
          <w:p>
            <w:pPr>
              <w:spacing w:after="0"/>
              <w:rPr>
                <w:sz w:val="17"/>
                <w:szCs w:val="17"/>
                <w:color w:val="auto"/>
              </w:rPr>
            </w:pPr>
          </w:p>
        </w:tc>
        <w:tc>
          <w:tcPr>
            <w:tcW w:w="620" w:type="dxa"/>
            <w:vAlign w:val="bottom"/>
          </w:tcPr>
          <w:p>
            <w:pPr>
              <w:ind w:left="100"/>
              <w:spacing w:after="0" w:line="202" w:lineRule="exact"/>
              <w:rPr>
                <w:sz w:val="20"/>
                <w:szCs w:val="20"/>
                <w:color w:val="auto"/>
              </w:rPr>
            </w:pPr>
            <w:r>
              <w:rPr>
                <w:rFonts w:ascii="Arial" w:cs="Arial" w:eastAsia="Arial" w:hAnsi="Arial"/>
                <w:sz w:val="18"/>
                <w:szCs w:val="18"/>
                <w:color w:val="auto"/>
                <w:w w:val="94"/>
              </w:rPr>
              <w:t>Name:</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Jim Turner</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Title:</w:t>
            </w:r>
          </w:p>
        </w:tc>
        <w:tc>
          <w:tcPr>
            <w:tcW w:w="3620" w:type="dxa"/>
            <w:vAlign w:val="bottom"/>
          </w:tcPr>
          <w:p>
            <w:pPr>
              <w:ind w:left="60"/>
              <w:spacing w:after="0"/>
              <w:rPr>
                <w:sz w:val="20"/>
                <w:szCs w:val="20"/>
                <w:color w:val="auto"/>
              </w:rPr>
            </w:pPr>
            <w:r>
              <w:rPr>
                <w:rFonts w:ascii="Arial" w:cs="Arial" w:eastAsia="Arial" w:hAnsi="Arial"/>
                <w:sz w:val="18"/>
                <w:szCs w:val="18"/>
                <w:color w:val="auto"/>
              </w:rPr>
              <w:t>Managing Director</w:t>
            </w:r>
          </w:p>
        </w:tc>
      </w:tr>
      <w:tr>
        <w:trPr>
          <w:trHeight w:val="222"/>
        </w:trPr>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Head of Debt Capital Markets</w:t>
            </w:r>
          </w:p>
        </w:tc>
      </w:tr>
      <w:tr>
        <w:trPr>
          <w:trHeight w:val="446"/>
        </w:trPr>
        <w:tc>
          <w:tcPr>
            <w:tcW w:w="4560" w:type="dxa"/>
            <w:vAlign w:val="bottom"/>
            <w:gridSpan w:val="3"/>
          </w:tcPr>
          <w:p>
            <w:pPr>
              <w:spacing w:after="0"/>
              <w:rPr>
                <w:sz w:val="20"/>
                <w:szCs w:val="20"/>
                <w:color w:val="auto"/>
              </w:rPr>
            </w:pPr>
            <w:r>
              <w:rPr>
                <w:rFonts w:ascii="Arial" w:cs="Arial" w:eastAsia="Arial" w:hAnsi="Arial"/>
                <w:sz w:val="18"/>
                <w:szCs w:val="18"/>
                <w:color w:val="auto"/>
              </w:rPr>
              <w:t>By:  Wachovia Capital Markets, LLC</w:t>
            </w:r>
          </w:p>
        </w:tc>
      </w:tr>
      <w:tr>
        <w:trPr>
          <w:trHeight w:val="43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/s/ Jim Stenson</w:t>
            </w:r>
          </w:p>
        </w:tc>
      </w:tr>
      <w:tr>
        <w:trPr>
          <w:trHeight w:val="202"/>
        </w:trPr>
        <w:tc>
          <w:tcPr>
            <w:tcW w:w="320" w:type="dxa"/>
            <w:vAlign w:val="bottom"/>
          </w:tcPr>
          <w:p>
            <w:pPr>
              <w:spacing w:after="0"/>
              <w:rPr>
                <w:sz w:val="17"/>
                <w:szCs w:val="17"/>
                <w:color w:val="auto"/>
              </w:rPr>
            </w:pPr>
          </w:p>
        </w:tc>
        <w:tc>
          <w:tcPr>
            <w:tcW w:w="620" w:type="dxa"/>
            <w:vAlign w:val="bottom"/>
          </w:tcPr>
          <w:p>
            <w:pPr>
              <w:ind w:left="100"/>
              <w:spacing w:after="0" w:line="202" w:lineRule="exact"/>
              <w:rPr>
                <w:sz w:val="20"/>
                <w:szCs w:val="20"/>
                <w:color w:val="auto"/>
              </w:rPr>
            </w:pPr>
            <w:r>
              <w:rPr>
                <w:rFonts w:ascii="Arial" w:cs="Arial" w:eastAsia="Arial" w:hAnsi="Arial"/>
                <w:sz w:val="18"/>
                <w:szCs w:val="18"/>
                <w:color w:val="auto"/>
                <w:w w:val="94"/>
              </w:rPr>
              <w:t>Name:</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Jim Stenson</w:t>
            </w:r>
          </w:p>
        </w:tc>
      </w:tr>
      <w:tr>
        <w:trPr>
          <w:trHeight w:val="222"/>
        </w:trPr>
        <w:tc>
          <w:tcPr>
            <w:tcW w:w="320" w:type="dxa"/>
            <w:vAlign w:val="bottom"/>
          </w:tcPr>
          <w:p>
            <w:pPr>
              <w:spacing w:after="0"/>
              <w:rPr>
                <w:sz w:val="19"/>
                <w:szCs w:val="19"/>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Title:</w:t>
            </w:r>
          </w:p>
        </w:tc>
        <w:tc>
          <w:tcPr>
            <w:tcW w:w="3620" w:type="dxa"/>
            <w:vAlign w:val="bottom"/>
          </w:tcPr>
          <w:p>
            <w:pPr>
              <w:ind w:left="60"/>
              <w:spacing w:after="0"/>
              <w:rPr>
                <w:sz w:val="20"/>
                <w:szCs w:val="20"/>
                <w:color w:val="auto"/>
              </w:rPr>
            </w:pPr>
            <w:r>
              <w:rPr>
                <w:rFonts w:ascii="Arial" w:cs="Arial" w:eastAsia="Arial" w:hAnsi="Arial"/>
                <w:sz w:val="18"/>
                <w:szCs w:val="18"/>
                <w:color w:val="auto"/>
              </w:rPr>
              <w:t>Managing Director</w:t>
            </w:r>
          </w:p>
        </w:tc>
      </w:tr>
    </w:tbl>
    <w:p>
      <w:pPr>
        <w:sectPr>
          <w:pgSz w:w="11900" w:h="16838" w:orient="portrait"/>
          <w:cols w:equalWidth="0" w:num="1">
            <w:col w:w="10960"/>
          </w:cols>
          <w:pgMar w:left="700" w:top="280" w:right="239" w:bottom="1440" w:gutter="0" w:footer="0" w:header="0"/>
        </w:sectPr>
      </w:pPr>
    </w:p>
    <w:bookmarkStart w:id="8" w:name="page9"/>
    <w:bookmarkEnd w:id="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Accepted:</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William E. Dordelman</w:t>
            </w:r>
          </w:p>
        </w:tc>
      </w:tr>
      <w:tr>
        <w:trPr>
          <w:trHeight w:val="202"/>
        </w:trPr>
        <w:tc>
          <w:tcPr>
            <w:tcW w:w="320" w:type="dxa"/>
            <w:vAlign w:val="bottom"/>
          </w:tcPr>
          <w:p>
            <w:pPr>
              <w:spacing w:after="0"/>
              <w:rPr>
                <w:sz w:val="17"/>
                <w:szCs w:val="17"/>
                <w:color w:val="auto"/>
              </w:rPr>
            </w:pPr>
          </w:p>
        </w:tc>
        <w:tc>
          <w:tcPr>
            <w:tcW w:w="4240" w:type="dxa"/>
            <w:vAlign w:val="bottom"/>
          </w:tcPr>
          <w:p>
            <w:pPr>
              <w:ind w:left="100"/>
              <w:spacing w:after="0" w:line="202" w:lineRule="exact"/>
              <w:rPr>
                <w:sz w:val="20"/>
                <w:szCs w:val="20"/>
                <w:color w:val="auto"/>
              </w:rPr>
            </w:pPr>
            <w:r>
              <w:rPr>
                <w:rFonts w:ascii="Arial" w:cs="Arial" w:eastAsia="Arial" w:hAnsi="Arial"/>
                <w:sz w:val="18"/>
                <w:szCs w:val="18"/>
                <w:color w:val="auto"/>
              </w:rPr>
              <w:t>Name:  William E. Dordelman</w:t>
            </w:r>
          </w:p>
        </w:tc>
      </w:tr>
      <w:tr>
        <w:trPr>
          <w:trHeight w:val="222"/>
        </w:trPr>
        <w:tc>
          <w:tcPr>
            <w:tcW w:w="320" w:type="dxa"/>
            <w:vAlign w:val="bottom"/>
          </w:tcPr>
          <w:p>
            <w:pPr>
              <w:spacing w:after="0"/>
              <w:rPr>
                <w:sz w:val="19"/>
                <w:szCs w:val="19"/>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Title:   Vice President, Treasurer</w:t>
            </w:r>
          </w:p>
        </w:tc>
      </w:tr>
    </w:tbl>
    <w:p>
      <w:pPr>
        <w:spacing w:after="0" w:line="2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William E. Dordelman</w:t>
            </w:r>
          </w:p>
        </w:tc>
      </w:tr>
      <w:tr>
        <w:trPr>
          <w:trHeight w:val="202"/>
        </w:trPr>
        <w:tc>
          <w:tcPr>
            <w:tcW w:w="320" w:type="dxa"/>
            <w:vAlign w:val="bottom"/>
          </w:tcPr>
          <w:p>
            <w:pPr>
              <w:spacing w:after="0"/>
              <w:rPr>
                <w:sz w:val="17"/>
                <w:szCs w:val="17"/>
                <w:color w:val="auto"/>
              </w:rPr>
            </w:pPr>
          </w:p>
        </w:tc>
        <w:tc>
          <w:tcPr>
            <w:tcW w:w="4240" w:type="dxa"/>
            <w:vAlign w:val="bottom"/>
          </w:tcPr>
          <w:p>
            <w:pPr>
              <w:ind w:left="100"/>
              <w:spacing w:after="0" w:line="202" w:lineRule="exact"/>
              <w:rPr>
                <w:sz w:val="20"/>
                <w:szCs w:val="20"/>
                <w:color w:val="auto"/>
              </w:rPr>
            </w:pPr>
            <w:r>
              <w:rPr>
                <w:rFonts w:ascii="Arial" w:cs="Arial" w:eastAsia="Arial" w:hAnsi="Arial"/>
                <w:sz w:val="18"/>
                <w:szCs w:val="18"/>
                <w:color w:val="auto"/>
              </w:rPr>
              <w:t>Name:  William E. Dordelman</w:t>
            </w:r>
          </w:p>
        </w:tc>
      </w:tr>
      <w:tr>
        <w:trPr>
          <w:trHeight w:val="222"/>
        </w:trPr>
        <w:tc>
          <w:tcPr>
            <w:tcW w:w="320" w:type="dxa"/>
            <w:vAlign w:val="bottom"/>
          </w:tcPr>
          <w:p>
            <w:pPr>
              <w:spacing w:after="0"/>
              <w:rPr>
                <w:sz w:val="19"/>
                <w:szCs w:val="19"/>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Title:   Vice President, Treasurer</w:t>
            </w:r>
          </w:p>
        </w:tc>
      </w:tr>
    </w:tbl>
    <w:p>
      <w:pPr>
        <w:spacing w:after="0" w:line="2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COMCAST CABLE COMMUNICATIONS HOLDINGS, INC.</w:t>
      </w:r>
    </w:p>
    <w:p>
      <w:pPr>
        <w:spacing w:after="0" w:line="248"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William E. Dordelman</w:t>
            </w:r>
          </w:p>
        </w:tc>
      </w:tr>
      <w:tr>
        <w:trPr>
          <w:trHeight w:val="202"/>
        </w:trPr>
        <w:tc>
          <w:tcPr>
            <w:tcW w:w="320" w:type="dxa"/>
            <w:vAlign w:val="bottom"/>
          </w:tcPr>
          <w:p>
            <w:pPr>
              <w:spacing w:after="0"/>
              <w:rPr>
                <w:sz w:val="17"/>
                <w:szCs w:val="17"/>
                <w:color w:val="auto"/>
              </w:rPr>
            </w:pPr>
          </w:p>
        </w:tc>
        <w:tc>
          <w:tcPr>
            <w:tcW w:w="4240" w:type="dxa"/>
            <w:vAlign w:val="bottom"/>
          </w:tcPr>
          <w:p>
            <w:pPr>
              <w:ind w:left="100"/>
              <w:spacing w:after="0" w:line="202" w:lineRule="exact"/>
              <w:rPr>
                <w:sz w:val="20"/>
                <w:szCs w:val="20"/>
                <w:color w:val="auto"/>
              </w:rPr>
            </w:pPr>
            <w:r>
              <w:rPr>
                <w:rFonts w:ascii="Arial" w:cs="Arial" w:eastAsia="Arial" w:hAnsi="Arial"/>
                <w:sz w:val="18"/>
                <w:szCs w:val="18"/>
                <w:color w:val="auto"/>
              </w:rPr>
              <w:t>Name:  William E. Dordelman</w:t>
            </w:r>
          </w:p>
        </w:tc>
      </w:tr>
      <w:tr>
        <w:trPr>
          <w:trHeight w:val="222"/>
        </w:trPr>
        <w:tc>
          <w:tcPr>
            <w:tcW w:w="320" w:type="dxa"/>
            <w:vAlign w:val="bottom"/>
          </w:tcPr>
          <w:p>
            <w:pPr>
              <w:spacing w:after="0"/>
              <w:rPr>
                <w:sz w:val="19"/>
                <w:szCs w:val="19"/>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Title:   Vice President, Treasurer</w:t>
            </w:r>
          </w:p>
        </w:tc>
      </w:tr>
    </w:tbl>
    <w:p>
      <w:pPr>
        <w:spacing w:after="0" w:line="2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COMCAST CABLE HOLDINGS, LLC</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/s/ William E. Dordelman</w:t>
            </w:r>
          </w:p>
        </w:tc>
      </w:tr>
      <w:tr>
        <w:trPr>
          <w:trHeight w:val="202"/>
        </w:trPr>
        <w:tc>
          <w:tcPr>
            <w:tcW w:w="320" w:type="dxa"/>
            <w:vAlign w:val="bottom"/>
          </w:tcPr>
          <w:p>
            <w:pPr>
              <w:spacing w:after="0"/>
              <w:rPr>
                <w:sz w:val="17"/>
                <w:szCs w:val="17"/>
                <w:color w:val="auto"/>
              </w:rPr>
            </w:pPr>
          </w:p>
        </w:tc>
        <w:tc>
          <w:tcPr>
            <w:tcW w:w="42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William E. Dordelman</w:t>
            </w:r>
          </w:p>
        </w:tc>
      </w:tr>
      <w:tr>
        <w:trPr>
          <w:trHeight w:val="222"/>
        </w:trPr>
        <w:tc>
          <w:tcPr>
            <w:tcW w:w="320" w:type="dxa"/>
            <w:vAlign w:val="bottom"/>
          </w:tcPr>
          <w:p>
            <w:pPr>
              <w:spacing w:after="0"/>
              <w:rPr>
                <w:sz w:val="19"/>
                <w:szCs w:val="19"/>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Title:</w:t>
            </w:r>
          </w:p>
        </w:tc>
        <w:tc>
          <w:tcPr>
            <w:tcW w:w="3660" w:type="dxa"/>
            <w:vAlign w:val="bottom"/>
          </w:tcPr>
          <w:p>
            <w:pPr>
              <w:ind w:left="100"/>
              <w:spacing w:after="0"/>
              <w:rPr>
                <w:sz w:val="20"/>
                <w:szCs w:val="20"/>
                <w:color w:val="auto"/>
              </w:rPr>
            </w:pPr>
            <w:r>
              <w:rPr>
                <w:rFonts w:ascii="Arial" w:cs="Arial" w:eastAsia="Arial" w:hAnsi="Arial"/>
                <w:sz w:val="18"/>
                <w:szCs w:val="18"/>
                <w:color w:val="auto"/>
              </w:rPr>
              <w:t>Vice President, Treasurer</w:t>
            </w:r>
          </w:p>
        </w:tc>
      </w:tr>
      <w:tr>
        <w:trPr>
          <w:trHeight w:val="446"/>
        </w:trPr>
        <w:tc>
          <w:tcPr>
            <w:tcW w:w="4560" w:type="dxa"/>
            <w:vAlign w:val="bottom"/>
            <w:gridSpan w:val="3"/>
          </w:tcPr>
          <w:p>
            <w:pPr>
              <w:spacing w:after="0"/>
              <w:rPr>
                <w:sz w:val="20"/>
                <w:szCs w:val="20"/>
                <w:color w:val="auto"/>
              </w:rPr>
            </w:pPr>
            <w:r>
              <w:rPr>
                <w:rFonts w:ascii="Arial" w:cs="Arial" w:eastAsia="Arial" w:hAnsi="Arial"/>
                <w:sz w:val="18"/>
                <w:szCs w:val="18"/>
                <w:color w:val="auto"/>
              </w:rPr>
              <w:t>COMCAST MO GROUP, INC.</w:t>
            </w:r>
          </w:p>
        </w:tc>
      </w:tr>
      <w:tr>
        <w:trPr>
          <w:trHeight w:val="43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/s/ William E. Dordelman</w:t>
            </w:r>
          </w:p>
        </w:tc>
      </w:tr>
      <w:tr>
        <w:trPr>
          <w:trHeight w:val="202"/>
        </w:trPr>
        <w:tc>
          <w:tcPr>
            <w:tcW w:w="320" w:type="dxa"/>
            <w:vAlign w:val="bottom"/>
          </w:tcPr>
          <w:p>
            <w:pPr>
              <w:spacing w:after="0"/>
              <w:rPr>
                <w:sz w:val="17"/>
                <w:szCs w:val="17"/>
                <w:color w:val="auto"/>
              </w:rPr>
            </w:pPr>
          </w:p>
        </w:tc>
        <w:tc>
          <w:tcPr>
            <w:tcW w:w="42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William E. Dordelman</w:t>
            </w:r>
          </w:p>
        </w:tc>
      </w:tr>
      <w:tr>
        <w:trPr>
          <w:trHeight w:val="222"/>
        </w:trPr>
        <w:tc>
          <w:tcPr>
            <w:tcW w:w="320" w:type="dxa"/>
            <w:vAlign w:val="bottom"/>
          </w:tcPr>
          <w:p>
            <w:pPr>
              <w:spacing w:after="0"/>
              <w:rPr>
                <w:sz w:val="19"/>
                <w:szCs w:val="19"/>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Title:</w:t>
            </w:r>
          </w:p>
        </w:tc>
        <w:tc>
          <w:tcPr>
            <w:tcW w:w="3660" w:type="dxa"/>
            <w:vAlign w:val="bottom"/>
          </w:tcPr>
          <w:p>
            <w:pPr>
              <w:ind w:left="100"/>
              <w:spacing w:after="0"/>
              <w:rPr>
                <w:sz w:val="20"/>
                <w:szCs w:val="20"/>
                <w:color w:val="auto"/>
              </w:rPr>
            </w:pPr>
            <w:r>
              <w:rPr>
                <w:rFonts w:ascii="Arial" w:cs="Arial" w:eastAsia="Arial" w:hAnsi="Arial"/>
                <w:sz w:val="18"/>
                <w:szCs w:val="18"/>
                <w:color w:val="auto"/>
              </w:rPr>
              <w:t>Vice President, Treasurer</w:t>
            </w:r>
          </w:p>
        </w:tc>
      </w:tr>
    </w:tbl>
    <w:p>
      <w:pPr>
        <w:spacing w:after="0" w:line="2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COMCAST MO OF DELAWARE, LLC</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William E. Dordelman</w:t>
            </w:r>
          </w:p>
        </w:tc>
      </w:tr>
      <w:tr>
        <w:trPr>
          <w:trHeight w:val="202"/>
        </w:trPr>
        <w:tc>
          <w:tcPr>
            <w:tcW w:w="320" w:type="dxa"/>
            <w:vAlign w:val="bottom"/>
          </w:tcPr>
          <w:p>
            <w:pPr>
              <w:spacing w:after="0"/>
              <w:rPr>
                <w:sz w:val="17"/>
                <w:szCs w:val="17"/>
                <w:color w:val="auto"/>
              </w:rPr>
            </w:pPr>
          </w:p>
        </w:tc>
        <w:tc>
          <w:tcPr>
            <w:tcW w:w="4240" w:type="dxa"/>
            <w:vAlign w:val="bottom"/>
          </w:tcPr>
          <w:p>
            <w:pPr>
              <w:ind w:left="100"/>
              <w:spacing w:after="0" w:line="202" w:lineRule="exact"/>
              <w:rPr>
                <w:sz w:val="20"/>
                <w:szCs w:val="20"/>
                <w:color w:val="auto"/>
              </w:rPr>
            </w:pPr>
            <w:r>
              <w:rPr>
                <w:rFonts w:ascii="Arial" w:cs="Arial" w:eastAsia="Arial" w:hAnsi="Arial"/>
                <w:sz w:val="18"/>
                <w:szCs w:val="18"/>
                <w:color w:val="auto"/>
              </w:rPr>
              <w:t>Name:  William E. Dordelman</w:t>
            </w:r>
          </w:p>
        </w:tc>
      </w:tr>
      <w:tr>
        <w:trPr>
          <w:trHeight w:val="222"/>
        </w:trPr>
        <w:tc>
          <w:tcPr>
            <w:tcW w:w="320" w:type="dxa"/>
            <w:vAlign w:val="bottom"/>
          </w:tcPr>
          <w:p>
            <w:pPr>
              <w:spacing w:after="0"/>
              <w:rPr>
                <w:sz w:val="19"/>
                <w:szCs w:val="19"/>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Title:   Vice President, Treasurer</w:t>
            </w:r>
          </w:p>
        </w:tc>
      </w:tr>
    </w:tbl>
    <w:p>
      <w:pPr>
        <w:sectPr>
          <w:pgSz w:w="11900" w:h="16838" w:orient="portrait"/>
          <w:cols w:equalWidth="0" w:num="1">
            <w:col w:w="10220"/>
          </w:cols>
          <w:pgMar w:left="1440" w:top="280"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TIME OF SALE PROSPECTUS</w:t>
      </w:r>
    </w:p>
    <w:p>
      <w:pPr>
        <w:spacing w:after="0" w:line="171"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 Prospectus dated April 27, 2009 relating to the Offered Securities and included in the Registration Statement (File No. 333-158816)</w:t>
      </w:r>
    </w:p>
    <w:p>
      <w:pPr>
        <w:spacing w:after="0" w:line="171" w:lineRule="exact"/>
        <w:rPr>
          <w:rFonts w:ascii="Arial" w:cs="Arial" w:eastAsia="Arial" w:hAnsi="Arial"/>
          <w:sz w:val="18"/>
          <w:szCs w:val="18"/>
          <w:color w:val="auto"/>
        </w:rPr>
      </w:pPr>
    </w:p>
    <w:p>
      <w:pPr>
        <w:ind w:left="5620" w:right="820" w:hanging="5612"/>
        <w:spacing w:after="0" w:line="440" w:lineRule="auto"/>
        <w:tabs>
          <w:tab w:leader="none" w:pos="192"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Final term sheet containing the final terms of the Offered Securities as set forth in Schedule II hereto and filed with the Commission under Rule 433 I-1</w:t>
      </w:r>
    </w:p>
    <w:p>
      <w:pPr>
        <w:sectPr>
          <w:pgSz w:w="11900" w:h="16838" w:orient="portrait"/>
          <w:cols w:equalWidth="0" w:num="1">
            <w:col w:w="11420"/>
          </w:cols>
          <w:pgMar w:left="240" w:top="280"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FINAL TERM SHEET</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0220"/>
          </w:cols>
          <w:pgMar w:left="1440" w:top="280"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Filed Pursuant to Rule 433</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333-158816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June 15th, 2009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$700,000,000 5.70% NOTES DUE 2019</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$800,000,000 6.55% NOTES DUE 2039</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1420"/>
          </w:cols>
          <w:pgMar w:left="240" w:top="274"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Guarantors: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Comcast Cable Communications Holdings,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Comcast Cable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of Delaware, LLC</w:t>
      </w:r>
    </w:p>
    <w:p>
      <w:pPr>
        <w:spacing w:after="0" w:line="199"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Issue of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5.70% Notes due 2019</w:t>
      </w:r>
    </w:p>
    <w:p>
      <w:pPr>
        <w:spacing w:after="0" w:line="138"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ind w:left="4340"/>
        <w:spacing w:after="0"/>
        <w:rPr>
          <w:sz w:val="20"/>
          <w:szCs w:val="20"/>
          <w:color w:val="auto"/>
        </w:rPr>
      </w:pPr>
      <w:r>
        <w:rPr>
          <w:rFonts w:ascii="Arial" w:cs="Arial" w:eastAsia="Arial" w:hAnsi="Arial"/>
          <w:sz w:val="15"/>
          <w:szCs w:val="15"/>
          <w:color w:val="auto"/>
        </w:rPr>
        <w:t>6.55% Notes due 2039</w:t>
      </w:r>
    </w:p>
    <w:p>
      <w:pPr>
        <w:sectPr>
          <w:pgSz w:w="11900" w:h="16838" w:orient="portrait"/>
          <w:cols w:equalWidth="0" w:num="1">
            <w:col w:w="11420"/>
          </w:cols>
          <w:pgMar w:left="240" w:top="274" w:right="239" w:bottom="1440" w:gutter="0" w:footer="0" w:header="0"/>
          <w:type w:val="continuous"/>
        </w:sect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Denomination: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$2,000 and multiples of $1,000 in excess thereof</w:t>
      </w:r>
    </w:p>
    <w:p>
      <w:pPr>
        <w:spacing w:after="0" w:line="205"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intends to use the proceeds from this offering, after deducting fees and expenses, for repayment of outstanding borrowings under its revolving credit facility, repurchases of outstanding debt in public or privately negotiated transactions, and for working capital and general corporate purposes. As of June 11, 2009, the Company had a balance of $1,000,000,000 outstanding under its revolving credit facility at an interest rate of 0.66875% and for which the loan commitment maturity is January 30, 2013.</w:t>
      </w:r>
    </w:p>
    <w:p>
      <w:pPr>
        <w:spacing w:after="0" w:line="179"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Indenture:</w:t>
      </w:r>
    </w:p>
    <w:p>
      <w:pPr>
        <w:spacing w:after="0" w:line="20" w:lineRule="exact"/>
        <w:rPr>
          <w:sz w:val="20"/>
          <w:szCs w:val="20"/>
          <w:color w:val="auto"/>
        </w:rPr>
      </w:pPr>
      <w:r>
        <w:rPr>
          <w:sz w:val="20"/>
          <w:szCs w:val="20"/>
          <w:color w:val="auto"/>
        </w:rPr>
        <w:br w:type="column"/>
      </w:r>
    </w:p>
    <w:p>
      <w:pPr>
        <w:jc w:val="both"/>
        <w:ind w:right="40"/>
        <w:spacing w:after="0" w:line="298" w:lineRule="auto"/>
        <w:rPr>
          <w:sz w:val="20"/>
          <w:szCs w:val="20"/>
          <w:color w:val="auto"/>
        </w:rPr>
      </w:pPr>
      <w:r>
        <w:rPr>
          <w:rFonts w:ascii="Arial" w:cs="Arial" w:eastAsia="Arial" w:hAnsi="Arial"/>
          <w:sz w:val="16"/>
          <w:szCs w:val="16"/>
          <w:color w:val="auto"/>
        </w:rPr>
        <w:t>Indenture dated as of January 7, 2003 by and among the Company, the Cable Guarantors (other than Comcast MO of Delaware, LLC)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by the First Supplemental Indenture dated as of March 25, 2003 by and among the Company, the Cable Guarantors and the Trustee</w:t>
      </w:r>
    </w:p>
    <w:p>
      <w:pPr>
        <w:sectPr>
          <w:pgSz w:w="11900" w:h="16838" w:orient="portrait"/>
          <w:cols w:equalWidth="0" w:num="2">
            <w:col w:w="3620" w:space="720"/>
            <w:col w:w="7080"/>
          </w:cols>
          <w:pgMar w:left="240" w:top="274"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Trustee:</w:t>
      </w:r>
    </w:p>
    <w:p>
      <w:pPr>
        <w:spacing w:after="0" w:line="20" w:lineRule="exact"/>
        <w:rPr>
          <w:sz w:val="20"/>
          <w:szCs w:val="20"/>
          <w:color w:val="auto"/>
        </w:rPr>
      </w:pPr>
      <w:r>
        <w:rPr>
          <w:sz w:val="20"/>
          <w:szCs w:val="20"/>
          <w:color w:val="auto"/>
        </w:rPr>
        <w:br w:type="column"/>
      </w:r>
    </w:p>
    <w:p>
      <w:pPr>
        <w:jc w:val="center"/>
        <w:ind w:right="3679"/>
        <w:spacing w:after="0"/>
        <w:rPr>
          <w:sz w:val="20"/>
          <w:szCs w:val="20"/>
          <w:color w:val="auto"/>
        </w:rPr>
      </w:pPr>
      <w:r>
        <w:rPr>
          <w:rFonts w:ascii="Arial" w:cs="Arial" w:eastAsia="Arial" w:hAnsi="Arial"/>
          <w:sz w:val="16"/>
          <w:szCs w:val="16"/>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-2752090</wp:posOffset>
            </wp:positionH>
            <wp:positionV relativeFrom="paragraph">
              <wp:posOffset>-205105</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720"/>
            <w:col w:w="5879"/>
          </w:cols>
          <w:pgMar w:left="240" w:top="274" w:right="1440" w:bottom="1440" w:gutter="0" w:footer="0" w:header="0"/>
        </w:sectPr>
      </w:pP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Expected Ratings: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2739"/>
        <w:spacing w:after="0"/>
        <w:rPr>
          <w:sz w:val="20"/>
          <w:szCs w:val="20"/>
          <w:color w:val="auto"/>
        </w:rPr>
      </w:pPr>
      <w:r>
        <w:rPr>
          <w:rFonts w:ascii="Arial" w:cs="Arial" w:eastAsia="Arial" w:hAnsi="Arial"/>
          <w:sz w:val="16"/>
          <w:szCs w:val="16"/>
          <w:color w:val="auto"/>
        </w:rPr>
        <w:t xml:space="preserve">Moody’s: Baa1; S&amp;P: BBB+; Fitch: BBB+ </w:t>
      </w:r>
      <w:r>
        <w:rPr>
          <w:rFonts w:ascii="Arial" w:cs="Arial" w:eastAsia="Arial" w:hAnsi="Arial"/>
          <w:sz w:val="10"/>
          <w:szCs w:val="10"/>
          <w:color w:val="auto"/>
        </w:rPr>
        <w:t>1</w:t>
      </w:r>
    </w:p>
    <w:p>
      <w:pPr>
        <w:spacing w:after="0" w:line="200" w:lineRule="exact"/>
        <w:rPr>
          <w:sz w:val="20"/>
          <w:szCs w:val="20"/>
          <w:color w:val="auto"/>
        </w:rPr>
      </w:pPr>
    </w:p>
    <w:p>
      <w:pPr>
        <w:sectPr>
          <w:pgSz w:w="11900" w:h="16838" w:orient="portrait"/>
          <w:cols w:equalWidth="0" w:num="2">
            <w:col w:w="3620" w:space="720"/>
            <w:col w:w="5879"/>
          </w:cols>
          <w:pgMar w:left="240" w:top="274"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Banc of America Securities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BNP Paribas Securities Corp.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Wachovia Capital Markets, LLC</w:t>
      </w:r>
    </w:p>
    <w:p>
      <w:pPr>
        <w:spacing w:after="0" w:line="200" w:lineRule="exact"/>
        <w:rPr>
          <w:sz w:val="20"/>
          <w:szCs w:val="20"/>
          <w:color w:val="auto"/>
        </w:rPr>
      </w:pPr>
    </w:p>
    <w:p>
      <w:pPr>
        <w:sectPr>
          <w:pgSz w:w="11900" w:h="16838" w:orient="portrait"/>
          <w:cols w:equalWidth="0" w:num="2">
            <w:col w:w="3620" w:space="720"/>
            <w:col w:w="5879"/>
          </w:cols>
          <w:pgMar w:left="240" w:top="274" w:right="1440"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Daiwa Securities America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Mitsubishi UFJ Securities (USA)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&amp; Co. Incorporated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RBS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Lloyds TSB Bank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BNY Mellon Capital Markets, LLC</w:t>
      </w:r>
    </w:p>
    <w:p>
      <w:pPr>
        <w:spacing w:after="0" w:line="200" w:lineRule="exact"/>
        <w:rPr>
          <w:sz w:val="20"/>
          <w:szCs w:val="20"/>
          <w:color w:val="auto"/>
        </w:rPr>
      </w:pPr>
    </w:p>
    <w:p>
      <w:pPr>
        <w:sectPr>
          <w:pgSz w:w="11900" w:h="16838" w:orient="portrait"/>
          <w:cols w:equalWidth="0" w:num="2">
            <w:col w:w="3620" w:space="720"/>
            <w:col w:w="5879"/>
          </w:cols>
          <w:pgMar w:left="240" w:top="274" w:right="1440"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Junior Co-Managers: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Loop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Williams Capital Group, L.P.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Blaylock Robert Van,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Cabrera Capital Markets,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Doley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Guzman &amp;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Beal &amp; Company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Samuel A. Ramirez &amp; Co.,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Muriel Siebert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Utendahl Capital Group, LLC</w:t>
      </w:r>
    </w:p>
    <w:p>
      <w:pPr>
        <w:spacing w:after="0" w:line="199" w:lineRule="exact"/>
        <w:rPr>
          <w:sz w:val="20"/>
          <w:szCs w:val="20"/>
          <w:color w:val="auto"/>
        </w:rPr>
      </w:pPr>
    </w:p>
    <w:p>
      <w:pPr>
        <w:sectPr>
          <w:pgSz w:w="11900" w:h="16838" w:orient="portrait"/>
          <w:cols w:equalWidth="0" w:num="2">
            <w:col w:w="3620" w:space="720"/>
            <w:col w:w="587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June 15, 2009</w:t>
      </w:r>
    </w:p>
    <w:p>
      <w:pPr>
        <w:spacing w:after="0" w:line="205" w:lineRule="exact"/>
        <w:rPr>
          <w:sz w:val="20"/>
          <w:szCs w:val="20"/>
          <w:color w:val="auto"/>
        </w:rPr>
      </w:pPr>
    </w:p>
    <w:p>
      <w:pPr>
        <w:sectPr>
          <w:pgSz w:w="11900" w:h="16838" w:orient="portrait"/>
          <w:cols w:equalWidth="0" w:num="2">
            <w:col w:w="3620" w:space="720"/>
            <w:col w:w="587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Settlement Date: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June 18, 2009 (T+3)</w:t>
      </w:r>
    </w:p>
    <w:p>
      <w:pPr>
        <w:spacing w:after="0" w:line="200" w:lineRule="exact"/>
        <w:rPr>
          <w:sz w:val="20"/>
          <w:szCs w:val="20"/>
          <w:color w:val="auto"/>
        </w:rPr>
      </w:pPr>
    </w:p>
    <w:p>
      <w:pPr>
        <w:sectPr>
          <w:pgSz w:w="11900" w:h="16838" w:orient="portrait"/>
          <w:cols w:equalWidth="0" w:num="2">
            <w:col w:w="3620" w:space="720"/>
            <w:col w:w="5879"/>
          </w:cols>
          <w:pgMar w:left="240" w:top="2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5680" w:right="119" w:hanging="5226"/>
        <w:spacing w:after="0" w:line="387" w:lineRule="auto"/>
        <w:tabs>
          <w:tab w:leader="none" w:pos="909"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A securities rating is not a recommendation to buy, sell or hold securities and may be subject to revision or withdrawal at any time.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-490855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5.70% Notes Due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Benchmark: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UST Spot (Yield):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Makewhole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Spread:</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$700,000,000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-2752090</wp:posOffset>
            </wp:positionH>
            <wp:positionV relativeFrom="paragraph">
              <wp:posOffset>-485775</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July 1, 2019</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5.70% per annum, accruing from June 18, 2009 (calculated on the basis of a 360-day year consisting of twelve 30-day months)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January 1 and July 1 commencing January 1,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UST 3.125% due May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95-00+ (3.731%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+200 bps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5.731%</w:t>
      </w:r>
    </w:p>
    <w:p>
      <w:pPr>
        <w:spacing w:after="0" w:line="225"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The 5.70% Notes due 2019 are redeemable at the option of the Company at any time, in whole or in part, at a redemption price equal to the greater of (i) 100% of the principal amount of such notes and</w:t>
      </w:r>
    </w:p>
    <w:p>
      <w:pPr>
        <w:ind w:left="260" w:hanging="257"/>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sum of the present values of remaining scheduled payments of principal and interest</w:t>
      </w:r>
    </w:p>
    <w:p>
      <w:pPr>
        <w:spacing w:after="0" w:line="32"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(exclusive of interest accrued to the date of redemption) discounted to the redemption date on a semiannual basis at the Treasury Rate plus 35 basis points, plus in each case accrued interest thereon to the date of redemption.</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 unlimited amount of additional 5.70% Notes due 2019 may be issued. The 5.70% Notes due 2019 and any additional 5.70% Notes due 2019 that may be issued may be treated as a single series for all purposes under the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20030NAZ4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99.763% plus accrued interest, if any, from June 18,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0.450%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99.313% per $1,000 principal amount of Notes due 2019; $695,191,000 total</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620" w:space="720"/>
            <w:col w:w="708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6.55 % Notes Due 2039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Benchmark: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UST Spot (Yield):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Makewhole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Spread:</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$800,000,000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-2752090</wp:posOffset>
            </wp:positionH>
            <wp:positionV relativeFrom="paragraph">
              <wp:posOffset>-485775</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July 1, 2039</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6.55% per annum, accruing from June 18, 2009 (calculated on the basis of a 360-day year consisting of twelve 30-day months)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January 1 and July 1 commencing January 1,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UST 3.50% due February 2039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82-14+ (4.588%)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+200 bps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6.588%</w:t>
      </w:r>
    </w:p>
    <w:p>
      <w:pPr>
        <w:spacing w:after="0" w:line="225"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The 6.55% Notes due 2039 are redeemable at the option of the Company at any time, in whole or in part, at a redemption price equal to the greater of (i) 100% of the principal amount of such notes and</w:t>
      </w:r>
    </w:p>
    <w:p>
      <w:pPr>
        <w:ind w:left="260" w:hanging="257"/>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sum of the present values of remaining scheduled payments of principal and interest</w:t>
      </w:r>
    </w:p>
    <w:p>
      <w:pPr>
        <w:spacing w:after="0" w:line="32"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(exclusive of interest accrued to the date of redemption) discounted to the redemption date on a semiannual basis at the Treasury Rate plus 35 basis points, plus in each case accrued interest thereon to the date of redemption.</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 unlimited amount of additional 6.55% Notes due 2039 may be issued. The 6.55% Notes due 2039 and any additional 6.55% Notes due 2039 that may be issued may be treated as a single series for all purposes under the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20030NAY7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99.502% plus accrued interest, if any, from June 18,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0.875%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98.627% per $1,000 principal amount of Notes due 2039; $789,016,000 total</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3620" w:space="720"/>
            <w:col w:w="7080"/>
          </w:cols>
          <w:pgMar w:left="240" w:top="274" w:right="239" w:bottom="1440" w:gutter="0" w:footer="0" w:header="0"/>
        </w:sectPr>
      </w:pPr>
    </w:p>
    <w:bookmarkStart w:id="15" w:name="page16"/>
    <w:bookmarkEnd w:id="1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Alternatively, the issuer, any underwriter or any dealer participating in the offering will arrange to send you the prospectus if you request it by calling Banc of America Securities LLC toll-free at 800-294-1322, Barclays Capital Inc. toll-free at 888-603-5847, BNP Paribas Securities Corp. toll-free at 800-854-5674 or Wachovia Capital Markets, LLC toll-free at 800-326-5897.</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u w:val="single" w:color="auto"/>
          <w:color w:val="auto"/>
        </w:rPr>
        <w:t>EXHIBIT 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Pursuant to Section 2.03 of the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 the Cable Guarantors (as defined below) (other than Comcast MO of Delaware, LLC)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by the First Supplemental Indenture dated as of March 25, 2003 by and among the Company, the Cable Guarantors and the Trustee, and guaranteed on an unsecured and unsubordinated basis by Comcast Cable Communications, LLC (formerly known as Comcast Cable Communications, Inc.), Comcast Cable Communications Holdings, Inc., Comcast Cable Holdings, LLC, Comcast MO Group, Inc., and Comcast MO of Delaware, LLC (formerly known as Comcast MO of Delaware, Inc.) (the “</w:t>
      </w:r>
      <w:r>
        <w:rPr>
          <w:rFonts w:ascii="Arial" w:cs="Arial" w:eastAsia="Arial" w:hAnsi="Arial"/>
          <w:sz w:val="16"/>
          <w:szCs w:val="16"/>
          <w:b w:val="1"/>
          <w:bCs w:val="1"/>
          <w:color w:val="auto"/>
        </w:rPr>
        <w:t>Cable Guarantors</w:t>
      </w:r>
      <w:r>
        <w:rPr>
          <w:rFonts w:ascii="Arial" w:cs="Arial" w:eastAsia="Arial" w:hAnsi="Arial"/>
          <w:sz w:val="16"/>
          <w:szCs w:val="16"/>
          <w:color w:val="auto"/>
        </w:rPr>
        <w:t>”), the undersigned officers of the Company do hereby certify, in connection with the issuance of the Company’s $700,000,000 aggregate principal amount of 5.70% Notes Due 2019 (the “</w:t>
      </w:r>
      <w:r>
        <w:rPr>
          <w:rFonts w:ascii="Arial" w:cs="Arial" w:eastAsia="Arial" w:hAnsi="Arial"/>
          <w:sz w:val="16"/>
          <w:szCs w:val="16"/>
          <w:b w:val="1"/>
          <w:bCs w:val="1"/>
          <w:color w:val="auto"/>
        </w:rPr>
        <w:t>2019 Notes</w:t>
      </w:r>
      <w:r>
        <w:rPr>
          <w:rFonts w:ascii="Arial" w:cs="Arial" w:eastAsia="Arial" w:hAnsi="Arial"/>
          <w:sz w:val="16"/>
          <w:szCs w:val="16"/>
          <w:color w:val="auto"/>
        </w:rPr>
        <w:t>”) and $800,000,000 aggregate principal amount of 6.55% Notes Due 2039 (the “</w:t>
      </w:r>
      <w:r>
        <w:rPr>
          <w:rFonts w:ascii="Arial" w:cs="Arial" w:eastAsia="Arial" w:hAnsi="Arial"/>
          <w:sz w:val="16"/>
          <w:szCs w:val="16"/>
          <w:b w:val="1"/>
          <w:bCs w:val="1"/>
          <w:color w:val="auto"/>
        </w:rPr>
        <w:t>2039</w:t>
      </w:r>
      <w:r>
        <w:rPr>
          <w:rFonts w:ascii="Arial" w:cs="Arial" w:eastAsia="Arial" w:hAnsi="Arial"/>
          <w:sz w:val="16"/>
          <w:szCs w:val="16"/>
          <w:color w:val="auto"/>
        </w:rPr>
        <w:t xml:space="preserve"> </w:t>
      </w:r>
      <w:r>
        <w:rPr>
          <w:rFonts w:ascii="Arial" w:cs="Arial" w:eastAsia="Arial" w:hAnsi="Arial"/>
          <w:sz w:val="16"/>
          <w:szCs w:val="16"/>
          <w:b w:val="1"/>
          <w:bCs w:val="1"/>
          <w:color w:val="auto"/>
        </w:rPr>
        <w:t>Notes</w:t>
      </w:r>
      <w:r>
        <w:rPr>
          <w:rFonts w:ascii="Arial" w:cs="Arial" w:eastAsia="Arial" w:hAnsi="Arial"/>
          <w:sz w:val="16"/>
          <w:szCs w:val="16"/>
          <w:color w:val="auto"/>
        </w:rPr>
        <w:t>” and together with the 2019 Notes, the “</w:t>
      </w:r>
      <w:r>
        <w:rPr>
          <w:rFonts w:ascii="Arial" w:cs="Arial" w:eastAsia="Arial" w:hAnsi="Arial"/>
          <w:sz w:val="16"/>
          <w:szCs w:val="16"/>
          <w:b w:val="1"/>
          <w:bCs w:val="1"/>
          <w:color w:val="auto"/>
        </w:rPr>
        <w:t>Notes</w:t>
      </w:r>
      <w:r>
        <w:rPr>
          <w:rFonts w:ascii="Arial" w:cs="Arial" w:eastAsia="Arial" w:hAnsi="Arial"/>
          <w:sz w:val="16"/>
          <w:szCs w:val="16"/>
          <w:color w:val="auto"/>
        </w:rPr>
        <w:t>”), that the terms of the Notes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5.</w:t>
            </w:r>
            <w:r>
              <w:rPr>
                <w:rFonts w:ascii="Arial" w:cs="Arial" w:eastAsia="Arial" w:hAnsi="Arial"/>
                <w:sz w:val="18"/>
                <w:szCs w:val="18"/>
                <w:b w:val="1"/>
                <w:bCs w:val="1"/>
                <w:u w:val="single" w:color="auto"/>
                <w:color w:val="auto"/>
                <w:w w:val="87"/>
              </w:rPr>
              <w:t>70%</w:t>
            </w:r>
            <w:r>
              <w:rPr>
                <w:rFonts w:ascii="Arial" w:cs="Arial" w:eastAsia="Arial" w:hAnsi="Arial"/>
                <w:sz w:val="18"/>
                <w:szCs w:val="18"/>
                <w:b w:val="1"/>
                <w:bCs w:val="1"/>
                <w:color w:val="auto"/>
                <w:w w:val="87"/>
              </w:rPr>
              <w:t xml:space="preserve"> Notes Due 2019</w:t>
            </w:r>
          </w:p>
        </w:tc>
        <w:tc>
          <w:tcPr>
            <w:tcW w:w="4820" w:type="dxa"/>
            <w:vAlign w:val="bottom"/>
          </w:tcPr>
          <w:p>
            <w:pPr>
              <w:spacing w:after="0"/>
              <w:rPr>
                <w:sz w:val="17"/>
                <w:szCs w:val="17"/>
                <w:color w:val="auto"/>
              </w:rPr>
            </w:pPr>
          </w:p>
        </w:tc>
      </w:tr>
      <w:tr>
        <w:trPr>
          <w:trHeight w:val="437"/>
        </w:trPr>
        <w:tc>
          <w:tcPr>
            <w:tcW w:w="364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740" w:type="dxa"/>
            <w:vAlign w:val="bottom"/>
            <w:gridSpan w:val="3"/>
          </w:tcPr>
          <w:p>
            <w:pPr>
              <w:ind w:left="700"/>
              <w:spacing w:after="0"/>
              <w:rPr>
                <w:sz w:val="20"/>
                <w:szCs w:val="20"/>
                <w:color w:val="auto"/>
              </w:rPr>
            </w:pPr>
            <w:r>
              <w:rPr>
                <w:rFonts w:ascii="Arial" w:cs="Arial" w:eastAsia="Arial" w:hAnsi="Arial"/>
                <w:sz w:val="18"/>
                <w:szCs w:val="18"/>
                <w:color w:val="auto"/>
              </w:rPr>
              <w:t>5.70% Notes Due 2019</w:t>
            </w:r>
          </w:p>
        </w:tc>
      </w:tr>
      <w:tr>
        <w:trPr>
          <w:trHeight w:val="432"/>
        </w:trPr>
        <w:tc>
          <w:tcPr>
            <w:tcW w:w="364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920" w:type="dxa"/>
            <w:vAlign w:val="bottom"/>
            <w:gridSpan w:val="2"/>
          </w:tcPr>
          <w:p>
            <w:pPr>
              <w:ind w:left="700"/>
              <w:spacing w:after="0"/>
              <w:rPr>
                <w:sz w:val="20"/>
                <w:szCs w:val="20"/>
                <w:color w:val="auto"/>
              </w:rPr>
            </w:pPr>
            <w:r>
              <w:rPr>
                <w:rFonts w:ascii="Arial" w:cs="Arial" w:eastAsia="Arial" w:hAnsi="Arial"/>
                <w:sz w:val="18"/>
                <w:szCs w:val="18"/>
                <w:color w:val="auto"/>
              </w:rPr>
              <w:t>$700,000,000</w:t>
            </w:r>
          </w:p>
        </w:tc>
        <w:tc>
          <w:tcPr>
            <w:tcW w:w="4820" w:type="dxa"/>
            <w:vAlign w:val="bottom"/>
          </w:tcPr>
          <w:p>
            <w:pPr>
              <w:spacing w:after="0"/>
              <w:rPr>
                <w:sz w:val="24"/>
                <w:szCs w:val="24"/>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740" w:type="dxa"/>
            <w:vAlign w:val="bottom"/>
            <w:gridSpan w:val="3"/>
          </w:tcPr>
          <w:p>
            <w:pPr>
              <w:ind w:left="700"/>
              <w:spacing w:after="0"/>
              <w:rPr>
                <w:sz w:val="20"/>
                <w:szCs w:val="20"/>
                <w:color w:val="auto"/>
              </w:rPr>
            </w:pPr>
            <w:r>
              <w:rPr>
                <w:rFonts w:ascii="Arial" w:cs="Arial" w:eastAsia="Arial" w:hAnsi="Arial"/>
                <w:sz w:val="18"/>
                <w:szCs w:val="18"/>
                <w:color w:val="auto"/>
              </w:rPr>
              <w:t>July 1, 2019</w:t>
            </w:r>
          </w:p>
        </w:tc>
      </w:tr>
      <w:tr>
        <w:trPr>
          <w:trHeight w:val="432"/>
        </w:trPr>
        <w:tc>
          <w:tcPr>
            <w:tcW w:w="364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1240" w:type="dxa"/>
            <w:vAlign w:val="bottom"/>
          </w:tcPr>
          <w:p>
            <w:pPr>
              <w:ind w:left="700"/>
              <w:spacing w:after="0"/>
              <w:rPr>
                <w:sz w:val="20"/>
                <w:szCs w:val="20"/>
                <w:color w:val="auto"/>
              </w:rPr>
            </w:pPr>
            <w:r>
              <w:rPr>
                <w:rFonts w:ascii="Arial" w:cs="Arial" w:eastAsia="Arial" w:hAnsi="Arial"/>
                <w:sz w:val="18"/>
                <w:szCs w:val="18"/>
                <w:color w:val="auto"/>
              </w:rPr>
              <w:t>5.70%</w:t>
            </w:r>
          </w:p>
        </w:tc>
        <w:tc>
          <w:tcPr>
            <w:tcW w:w="168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426"/>
        </w:trPr>
        <w:tc>
          <w:tcPr>
            <w:tcW w:w="364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740" w:type="dxa"/>
            <w:vAlign w:val="bottom"/>
            <w:gridSpan w:val="3"/>
          </w:tcPr>
          <w:p>
            <w:pPr>
              <w:ind w:left="700"/>
              <w:spacing w:after="0"/>
              <w:rPr>
                <w:sz w:val="20"/>
                <w:szCs w:val="20"/>
                <w:color w:val="auto"/>
              </w:rPr>
            </w:pPr>
            <w:r>
              <w:rPr>
                <w:rFonts w:ascii="Arial" w:cs="Arial" w:eastAsia="Arial" w:hAnsi="Arial"/>
                <w:sz w:val="18"/>
                <w:szCs w:val="18"/>
                <w:color w:val="auto"/>
                <w:w w:val="89"/>
              </w:rPr>
              <w:t>The Company may at its option redeem the 2019 Notes in whole or in part, at any time or from time</w:t>
            </w:r>
          </w:p>
        </w:tc>
      </w:tr>
      <w:tr>
        <w:trPr>
          <w:trHeight w:val="216"/>
        </w:trPr>
        <w:tc>
          <w:tcPr>
            <w:tcW w:w="3640" w:type="dxa"/>
            <w:vAlign w:val="bottom"/>
          </w:tcPr>
          <w:p>
            <w:pPr>
              <w:spacing w:after="0"/>
              <w:rPr>
                <w:sz w:val="18"/>
                <w:szCs w:val="18"/>
                <w:color w:val="auto"/>
              </w:rPr>
            </w:pPr>
          </w:p>
        </w:tc>
        <w:tc>
          <w:tcPr>
            <w:tcW w:w="7740" w:type="dxa"/>
            <w:vAlign w:val="bottom"/>
            <w:gridSpan w:val="3"/>
          </w:tcPr>
          <w:p>
            <w:pPr>
              <w:ind w:left="700"/>
              <w:spacing w:after="0"/>
              <w:rPr>
                <w:sz w:val="20"/>
                <w:szCs w:val="20"/>
                <w:color w:val="auto"/>
              </w:rPr>
            </w:pPr>
            <w:r>
              <w:rPr>
                <w:rFonts w:ascii="Arial" w:cs="Arial" w:eastAsia="Arial" w:hAnsi="Arial"/>
                <w:sz w:val="18"/>
                <w:szCs w:val="18"/>
                <w:color w:val="auto"/>
                <w:w w:val="89"/>
              </w:rPr>
              <w:t>to time prior to their maturity, on at least 30 days, but not more than 60 days, prior notice mailed to</w:t>
            </w:r>
          </w:p>
        </w:tc>
      </w:tr>
      <w:tr>
        <w:trPr>
          <w:trHeight w:val="216"/>
        </w:trPr>
        <w:tc>
          <w:tcPr>
            <w:tcW w:w="3640" w:type="dxa"/>
            <w:vAlign w:val="bottom"/>
          </w:tcPr>
          <w:p>
            <w:pPr>
              <w:spacing w:after="0"/>
              <w:rPr>
                <w:sz w:val="18"/>
                <w:szCs w:val="18"/>
                <w:color w:val="auto"/>
              </w:rPr>
            </w:pPr>
          </w:p>
        </w:tc>
        <w:tc>
          <w:tcPr>
            <w:tcW w:w="7740" w:type="dxa"/>
            <w:vAlign w:val="bottom"/>
            <w:gridSpan w:val="3"/>
          </w:tcPr>
          <w:p>
            <w:pPr>
              <w:ind w:left="700"/>
              <w:spacing w:after="0"/>
              <w:rPr>
                <w:sz w:val="20"/>
                <w:szCs w:val="20"/>
                <w:color w:val="auto"/>
              </w:rPr>
            </w:pPr>
            <w:r>
              <w:rPr>
                <w:rFonts w:ascii="Arial" w:cs="Arial" w:eastAsia="Arial" w:hAnsi="Arial"/>
                <w:sz w:val="18"/>
                <w:szCs w:val="18"/>
                <w:color w:val="auto"/>
                <w:w w:val="87"/>
              </w:rPr>
              <w:t>the registered address of each holder of the 2019 Notes, at a redemption price equal to the greater of</w:t>
            </w:r>
          </w:p>
        </w:tc>
      </w:tr>
      <w:tr>
        <w:trPr>
          <w:trHeight w:val="216"/>
        </w:trPr>
        <w:tc>
          <w:tcPr>
            <w:tcW w:w="3640" w:type="dxa"/>
            <w:vAlign w:val="bottom"/>
          </w:tcPr>
          <w:p>
            <w:pPr>
              <w:spacing w:after="0"/>
              <w:rPr>
                <w:sz w:val="18"/>
                <w:szCs w:val="18"/>
                <w:color w:val="auto"/>
              </w:rPr>
            </w:pPr>
          </w:p>
        </w:tc>
        <w:tc>
          <w:tcPr>
            <w:tcW w:w="7740" w:type="dxa"/>
            <w:vAlign w:val="bottom"/>
            <w:gridSpan w:val="3"/>
          </w:tcPr>
          <w:p>
            <w:pPr>
              <w:ind w:left="700"/>
              <w:spacing w:after="0"/>
              <w:rPr>
                <w:sz w:val="20"/>
                <w:szCs w:val="20"/>
                <w:color w:val="auto"/>
              </w:rPr>
            </w:pPr>
            <w:r>
              <w:rPr>
                <w:rFonts w:ascii="Arial" w:cs="Arial" w:eastAsia="Arial" w:hAnsi="Arial"/>
                <w:sz w:val="18"/>
                <w:szCs w:val="18"/>
                <w:color w:val="auto"/>
                <w:w w:val="93"/>
              </w:rPr>
              <w:t>(i) 100% of the principal amount of the 2019 Notes and (ii) the sum of the present values of the</w:t>
            </w:r>
          </w:p>
        </w:tc>
      </w:tr>
      <w:tr>
        <w:trPr>
          <w:trHeight w:val="222"/>
        </w:trPr>
        <w:tc>
          <w:tcPr>
            <w:tcW w:w="3640" w:type="dxa"/>
            <w:vAlign w:val="bottom"/>
          </w:tcPr>
          <w:p>
            <w:pPr>
              <w:spacing w:after="0"/>
              <w:rPr>
                <w:sz w:val="19"/>
                <w:szCs w:val="19"/>
                <w:color w:val="auto"/>
              </w:rPr>
            </w:pPr>
          </w:p>
        </w:tc>
        <w:tc>
          <w:tcPr>
            <w:tcW w:w="7740" w:type="dxa"/>
            <w:vAlign w:val="bottom"/>
            <w:gridSpan w:val="3"/>
          </w:tcPr>
          <w:p>
            <w:pPr>
              <w:ind w:left="700"/>
              <w:spacing w:after="0"/>
              <w:rPr>
                <w:sz w:val="20"/>
                <w:szCs w:val="20"/>
                <w:color w:val="auto"/>
              </w:rPr>
            </w:pPr>
            <w:r>
              <w:rPr>
                <w:rFonts w:ascii="Arial" w:cs="Arial" w:eastAsia="Arial" w:hAnsi="Arial"/>
                <w:sz w:val="18"/>
                <w:szCs w:val="18"/>
                <w:color w:val="auto"/>
              </w:rPr>
              <w:t>remaining scheduled</w:t>
            </w: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7760" w:type="dxa"/>
            <w:vAlign w:val="bottom"/>
            <w:gridSpan w:val="5"/>
          </w:tcPr>
          <w:p>
            <w:pPr>
              <w:ind w:left="700"/>
              <w:spacing w:after="0"/>
              <w:rPr>
                <w:sz w:val="20"/>
                <w:szCs w:val="20"/>
                <w:color w:val="auto"/>
              </w:rPr>
            </w:pPr>
            <w:r>
              <w:rPr>
                <w:rFonts w:ascii="Arial" w:cs="Arial" w:eastAsia="Arial" w:hAnsi="Arial"/>
                <w:sz w:val="18"/>
                <w:szCs w:val="18"/>
                <w:color w:val="auto"/>
                <w:w w:val="89"/>
              </w:rPr>
              <w:t>payments of principal and interest thereon (exclusive of interest accrued to the date of redemption)</w:t>
            </w:r>
          </w:p>
        </w:tc>
      </w:tr>
      <w:tr>
        <w:trPr>
          <w:trHeight w:val="216"/>
        </w:trPr>
        <w:tc>
          <w:tcPr>
            <w:tcW w:w="3640" w:type="dxa"/>
            <w:vAlign w:val="bottom"/>
          </w:tcPr>
          <w:p>
            <w:pPr>
              <w:spacing w:after="0"/>
              <w:rPr>
                <w:sz w:val="18"/>
                <w:szCs w:val="18"/>
                <w:color w:val="auto"/>
              </w:rPr>
            </w:pPr>
          </w:p>
        </w:tc>
        <w:tc>
          <w:tcPr>
            <w:tcW w:w="7760" w:type="dxa"/>
            <w:vAlign w:val="bottom"/>
            <w:gridSpan w:val="5"/>
          </w:tcPr>
          <w:p>
            <w:pPr>
              <w:ind w:left="700"/>
              <w:spacing w:after="0"/>
              <w:rPr>
                <w:sz w:val="20"/>
                <w:szCs w:val="20"/>
                <w:color w:val="auto"/>
              </w:rPr>
            </w:pPr>
            <w:r>
              <w:rPr>
                <w:rFonts w:ascii="Arial" w:cs="Arial" w:eastAsia="Arial" w:hAnsi="Arial"/>
                <w:sz w:val="18"/>
                <w:szCs w:val="18"/>
                <w:color w:val="auto"/>
                <w:w w:val="90"/>
              </w:rPr>
              <w:t>discounted to the redemption date on a semiannual basis (assuming a 360-day year consisting of</w:t>
            </w:r>
          </w:p>
        </w:tc>
      </w:tr>
      <w:tr>
        <w:trPr>
          <w:trHeight w:val="216"/>
        </w:trPr>
        <w:tc>
          <w:tcPr>
            <w:tcW w:w="3640" w:type="dxa"/>
            <w:vAlign w:val="bottom"/>
          </w:tcPr>
          <w:p>
            <w:pPr>
              <w:spacing w:after="0"/>
              <w:rPr>
                <w:sz w:val="18"/>
                <w:szCs w:val="18"/>
                <w:color w:val="auto"/>
              </w:rPr>
            </w:pPr>
          </w:p>
        </w:tc>
        <w:tc>
          <w:tcPr>
            <w:tcW w:w="7760" w:type="dxa"/>
            <w:vAlign w:val="bottom"/>
            <w:gridSpan w:val="5"/>
          </w:tcPr>
          <w:p>
            <w:pPr>
              <w:ind w:left="700"/>
              <w:spacing w:after="0"/>
              <w:rPr>
                <w:sz w:val="20"/>
                <w:szCs w:val="20"/>
                <w:color w:val="auto"/>
              </w:rPr>
            </w:pPr>
            <w:r>
              <w:rPr>
                <w:rFonts w:ascii="Arial" w:cs="Arial" w:eastAsia="Arial" w:hAnsi="Arial"/>
                <w:sz w:val="18"/>
                <w:szCs w:val="18"/>
                <w:color w:val="auto"/>
                <w:w w:val="92"/>
              </w:rPr>
              <w:t>twelve 30-day months) at the Treasury Rate (as defined in the 2019 Notes) plus 35 basis points,</w:t>
            </w:r>
          </w:p>
        </w:tc>
      </w:tr>
      <w:tr>
        <w:trPr>
          <w:trHeight w:val="216"/>
        </w:trPr>
        <w:tc>
          <w:tcPr>
            <w:tcW w:w="3640" w:type="dxa"/>
            <w:vAlign w:val="bottom"/>
          </w:tcPr>
          <w:p>
            <w:pPr>
              <w:spacing w:after="0"/>
              <w:rPr>
                <w:sz w:val="18"/>
                <w:szCs w:val="18"/>
                <w:color w:val="auto"/>
              </w:rPr>
            </w:pPr>
          </w:p>
        </w:tc>
        <w:tc>
          <w:tcPr>
            <w:tcW w:w="7760" w:type="dxa"/>
            <w:vAlign w:val="bottom"/>
            <w:gridSpan w:val="5"/>
          </w:tcPr>
          <w:p>
            <w:pPr>
              <w:ind w:left="700"/>
              <w:spacing w:after="0"/>
              <w:rPr>
                <w:sz w:val="20"/>
                <w:szCs w:val="20"/>
                <w:color w:val="auto"/>
              </w:rPr>
            </w:pPr>
            <w:r>
              <w:rPr>
                <w:rFonts w:ascii="Arial" w:cs="Arial" w:eastAsia="Arial" w:hAnsi="Arial"/>
                <w:sz w:val="18"/>
                <w:szCs w:val="18"/>
                <w:color w:val="auto"/>
                <w:w w:val="91"/>
              </w:rPr>
              <w:t>plus, in each case, accrued and unpaid interest thereon to the date of redemption, and as further</w:t>
            </w:r>
          </w:p>
        </w:tc>
      </w:tr>
      <w:tr>
        <w:trPr>
          <w:trHeight w:val="222"/>
        </w:trPr>
        <w:tc>
          <w:tcPr>
            <w:tcW w:w="3640" w:type="dxa"/>
            <w:vAlign w:val="bottom"/>
          </w:tcPr>
          <w:p>
            <w:pPr>
              <w:spacing w:after="0"/>
              <w:rPr>
                <w:sz w:val="19"/>
                <w:szCs w:val="19"/>
                <w:color w:val="auto"/>
              </w:rPr>
            </w:pPr>
          </w:p>
        </w:tc>
        <w:tc>
          <w:tcPr>
            <w:tcW w:w="7760" w:type="dxa"/>
            <w:vAlign w:val="bottom"/>
            <w:gridSpan w:val="5"/>
          </w:tcPr>
          <w:p>
            <w:pPr>
              <w:ind w:left="700"/>
              <w:spacing w:after="0"/>
              <w:rPr>
                <w:sz w:val="20"/>
                <w:szCs w:val="20"/>
                <w:color w:val="auto"/>
              </w:rPr>
            </w:pPr>
            <w:r>
              <w:rPr>
                <w:rFonts w:ascii="Arial" w:cs="Arial" w:eastAsia="Arial" w:hAnsi="Arial"/>
                <w:sz w:val="18"/>
                <w:szCs w:val="18"/>
                <w:color w:val="auto"/>
              </w:rPr>
              <w:t>described in the Prospectus Supplement dated June 15, 2009.</w:t>
            </w:r>
          </w:p>
        </w:tc>
      </w:tr>
      <w:tr>
        <w:trPr>
          <w:trHeight w:val="412"/>
        </w:trPr>
        <w:tc>
          <w:tcPr>
            <w:tcW w:w="364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760" w:type="dxa"/>
            <w:vAlign w:val="bottom"/>
            <w:gridSpan w:val="5"/>
          </w:tcPr>
          <w:p>
            <w:pPr>
              <w:ind w:left="700"/>
              <w:spacing w:after="0"/>
              <w:rPr>
                <w:sz w:val="20"/>
                <w:szCs w:val="20"/>
                <w:color w:val="auto"/>
              </w:rPr>
            </w:pPr>
            <w:r>
              <w:rPr>
                <w:rFonts w:ascii="Arial" w:cs="Arial" w:eastAsia="Arial" w:hAnsi="Arial"/>
                <w:sz w:val="18"/>
                <w:szCs w:val="18"/>
                <w:color w:val="auto"/>
                <w:w w:val="87"/>
              </w:rPr>
              <w:t>The 2019 Notes need not be issued at the same time and the series may be reopened for issuance of</w:t>
            </w:r>
          </w:p>
        </w:tc>
      </w:tr>
      <w:tr>
        <w:trPr>
          <w:trHeight w:val="216"/>
        </w:trPr>
        <w:tc>
          <w:tcPr>
            <w:tcW w:w="3640" w:type="dxa"/>
            <w:vAlign w:val="bottom"/>
          </w:tcPr>
          <w:p>
            <w:pPr>
              <w:spacing w:after="0"/>
              <w:rPr>
                <w:sz w:val="18"/>
                <w:szCs w:val="18"/>
                <w:color w:val="auto"/>
              </w:rPr>
            </w:pPr>
          </w:p>
        </w:tc>
        <w:tc>
          <w:tcPr>
            <w:tcW w:w="7760" w:type="dxa"/>
            <w:vAlign w:val="bottom"/>
            <w:gridSpan w:val="5"/>
          </w:tcPr>
          <w:p>
            <w:pPr>
              <w:ind w:left="700"/>
              <w:spacing w:after="0"/>
              <w:rPr>
                <w:sz w:val="20"/>
                <w:szCs w:val="20"/>
                <w:color w:val="auto"/>
              </w:rPr>
            </w:pPr>
            <w:r>
              <w:rPr>
                <w:rFonts w:ascii="Arial" w:cs="Arial" w:eastAsia="Arial" w:hAnsi="Arial"/>
                <w:sz w:val="18"/>
                <w:szCs w:val="18"/>
                <w:color w:val="auto"/>
                <w:w w:val="90"/>
              </w:rPr>
              <w:t>an unlimited principal amount of additional 2019 Notes under this series. Additional 2019 Notes of</w:t>
            </w:r>
          </w:p>
        </w:tc>
      </w:tr>
      <w:tr>
        <w:trPr>
          <w:trHeight w:val="216"/>
        </w:trPr>
        <w:tc>
          <w:tcPr>
            <w:tcW w:w="3640" w:type="dxa"/>
            <w:vAlign w:val="bottom"/>
          </w:tcPr>
          <w:p>
            <w:pPr>
              <w:spacing w:after="0"/>
              <w:rPr>
                <w:sz w:val="18"/>
                <w:szCs w:val="18"/>
                <w:color w:val="auto"/>
              </w:rPr>
            </w:pPr>
          </w:p>
        </w:tc>
        <w:tc>
          <w:tcPr>
            <w:tcW w:w="7760" w:type="dxa"/>
            <w:vAlign w:val="bottom"/>
            <w:gridSpan w:val="5"/>
          </w:tcPr>
          <w:p>
            <w:pPr>
              <w:ind w:left="700"/>
              <w:spacing w:after="0"/>
              <w:rPr>
                <w:sz w:val="20"/>
                <w:szCs w:val="20"/>
                <w:color w:val="auto"/>
              </w:rPr>
            </w:pPr>
            <w:r>
              <w:rPr>
                <w:rFonts w:ascii="Arial" w:cs="Arial" w:eastAsia="Arial" w:hAnsi="Arial"/>
                <w:sz w:val="18"/>
                <w:szCs w:val="18"/>
                <w:color w:val="auto"/>
                <w:w w:val="92"/>
              </w:rPr>
              <w:t>this series will be consolidated with, and form a single series with, 2019 Notes then outstanding,</w:t>
            </w:r>
          </w:p>
        </w:tc>
      </w:tr>
      <w:tr>
        <w:trPr>
          <w:trHeight w:val="216"/>
        </w:trPr>
        <w:tc>
          <w:tcPr>
            <w:tcW w:w="3640" w:type="dxa"/>
            <w:vAlign w:val="bottom"/>
          </w:tcPr>
          <w:p>
            <w:pPr>
              <w:spacing w:after="0"/>
              <w:rPr>
                <w:sz w:val="18"/>
                <w:szCs w:val="18"/>
                <w:color w:val="auto"/>
              </w:rPr>
            </w:pPr>
          </w:p>
        </w:tc>
        <w:tc>
          <w:tcPr>
            <w:tcW w:w="7760" w:type="dxa"/>
            <w:vAlign w:val="bottom"/>
            <w:gridSpan w:val="5"/>
          </w:tcPr>
          <w:p>
            <w:pPr>
              <w:ind w:left="700"/>
              <w:spacing w:after="0"/>
              <w:rPr>
                <w:sz w:val="20"/>
                <w:szCs w:val="20"/>
                <w:color w:val="auto"/>
              </w:rPr>
            </w:pPr>
            <w:r>
              <w:rPr>
                <w:rFonts w:ascii="Arial" w:cs="Arial" w:eastAsia="Arial" w:hAnsi="Arial"/>
                <w:sz w:val="18"/>
                <w:szCs w:val="18"/>
                <w:color w:val="auto"/>
                <w:w w:val="89"/>
              </w:rPr>
              <w:t>including for purposes of determining whether the required percentage of the holders of record has</w:t>
            </w:r>
          </w:p>
        </w:tc>
      </w:tr>
      <w:tr>
        <w:trPr>
          <w:trHeight w:val="216"/>
        </w:trPr>
        <w:tc>
          <w:tcPr>
            <w:tcW w:w="3640" w:type="dxa"/>
            <w:vAlign w:val="bottom"/>
          </w:tcPr>
          <w:p>
            <w:pPr>
              <w:spacing w:after="0"/>
              <w:rPr>
                <w:sz w:val="18"/>
                <w:szCs w:val="18"/>
                <w:color w:val="auto"/>
              </w:rPr>
            </w:pPr>
          </w:p>
        </w:tc>
        <w:tc>
          <w:tcPr>
            <w:tcW w:w="7760" w:type="dxa"/>
            <w:vAlign w:val="bottom"/>
            <w:gridSpan w:val="5"/>
          </w:tcPr>
          <w:p>
            <w:pPr>
              <w:ind w:left="700"/>
              <w:spacing w:after="0"/>
              <w:rPr>
                <w:sz w:val="20"/>
                <w:szCs w:val="20"/>
                <w:color w:val="auto"/>
              </w:rPr>
            </w:pPr>
            <w:r>
              <w:rPr>
                <w:rFonts w:ascii="Arial" w:cs="Arial" w:eastAsia="Arial" w:hAnsi="Arial"/>
                <w:sz w:val="18"/>
                <w:szCs w:val="18"/>
                <w:color w:val="auto"/>
                <w:w w:val="93"/>
              </w:rPr>
              <w:t>given approval or consent to an amendment or waiver or joined in directing the Trustee to take</w:t>
            </w:r>
          </w:p>
        </w:tc>
      </w:tr>
      <w:tr>
        <w:trPr>
          <w:trHeight w:val="222"/>
        </w:trPr>
        <w:tc>
          <w:tcPr>
            <w:tcW w:w="3640" w:type="dxa"/>
            <w:vAlign w:val="bottom"/>
          </w:tcPr>
          <w:p>
            <w:pPr>
              <w:spacing w:after="0"/>
              <w:rPr>
                <w:sz w:val="19"/>
                <w:szCs w:val="19"/>
                <w:color w:val="auto"/>
              </w:rPr>
            </w:pPr>
          </w:p>
        </w:tc>
        <w:tc>
          <w:tcPr>
            <w:tcW w:w="7760" w:type="dxa"/>
            <w:vAlign w:val="bottom"/>
            <w:gridSpan w:val="5"/>
          </w:tcPr>
          <w:p>
            <w:pPr>
              <w:ind w:left="700"/>
              <w:spacing w:after="0"/>
              <w:rPr>
                <w:sz w:val="20"/>
                <w:szCs w:val="20"/>
                <w:color w:val="auto"/>
              </w:rPr>
            </w:pPr>
            <w:r>
              <w:rPr>
                <w:rFonts w:ascii="Arial" w:cs="Arial" w:eastAsia="Arial" w:hAnsi="Arial"/>
                <w:sz w:val="18"/>
                <w:szCs w:val="18"/>
                <w:color w:val="auto"/>
              </w:rPr>
              <w:t>certain actions on behalf of all holders.</w:t>
            </w:r>
          </w:p>
        </w:tc>
      </w:tr>
      <w:tr>
        <w:trPr>
          <w:trHeight w:val="419"/>
        </w:trPr>
        <w:tc>
          <w:tcPr>
            <w:tcW w:w="364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760" w:type="dxa"/>
            <w:vAlign w:val="bottom"/>
            <w:gridSpan w:val="5"/>
          </w:tcPr>
          <w:p>
            <w:pPr>
              <w:ind w:left="700"/>
              <w:spacing w:after="0"/>
              <w:rPr>
                <w:sz w:val="20"/>
                <w:szCs w:val="20"/>
                <w:color w:val="auto"/>
              </w:rPr>
            </w:pPr>
            <w:r>
              <w:rPr>
                <w:rFonts w:ascii="Arial" w:cs="Arial" w:eastAsia="Arial" w:hAnsi="Arial"/>
                <w:sz w:val="18"/>
                <w:szCs w:val="18"/>
                <w:color w:val="auto"/>
              </w:rPr>
              <w:t>None</w:t>
            </w:r>
          </w:p>
        </w:tc>
      </w:tr>
      <w:tr>
        <w:trPr>
          <w:trHeight w:val="432"/>
        </w:trPr>
        <w:tc>
          <w:tcPr>
            <w:tcW w:w="364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760" w:type="dxa"/>
            <w:vAlign w:val="bottom"/>
            <w:gridSpan w:val="5"/>
          </w:tcPr>
          <w:p>
            <w:pPr>
              <w:ind w:left="700"/>
              <w:spacing w:after="0"/>
              <w:rPr>
                <w:sz w:val="20"/>
                <w:szCs w:val="20"/>
                <w:color w:val="auto"/>
              </w:rPr>
            </w:pPr>
            <w:r>
              <w:rPr>
                <w:rFonts w:ascii="Arial" w:cs="Arial" w:eastAsia="Arial" w:hAnsi="Arial"/>
                <w:sz w:val="18"/>
                <w:szCs w:val="18"/>
                <w:color w:val="auto"/>
              </w:rPr>
              <w:t>None</w:t>
            </w:r>
          </w:p>
        </w:tc>
      </w:tr>
      <w:tr>
        <w:trPr>
          <w:trHeight w:val="420"/>
        </w:trPr>
        <w:tc>
          <w:tcPr>
            <w:tcW w:w="364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760" w:type="dxa"/>
            <w:vAlign w:val="bottom"/>
            <w:gridSpan w:val="5"/>
          </w:tcPr>
          <w:p>
            <w:pPr>
              <w:ind w:left="700"/>
              <w:spacing w:after="0"/>
              <w:rPr>
                <w:sz w:val="20"/>
                <w:szCs w:val="20"/>
                <w:color w:val="auto"/>
              </w:rPr>
            </w:pPr>
            <w:r>
              <w:rPr>
                <w:rFonts w:ascii="Arial" w:cs="Arial" w:eastAsia="Arial" w:hAnsi="Arial"/>
                <w:sz w:val="18"/>
                <w:szCs w:val="18"/>
                <w:color w:val="auto"/>
                <w:w w:val="87"/>
              </w:rPr>
              <w:t>The terms of the 2019 Notes shall include such other terms as are set forth in the Form of Notes Due</w:t>
            </w:r>
          </w:p>
        </w:tc>
      </w:tr>
      <w:tr>
        <w:trPr>
          <w:trHeight w:val="190"/>
        </w:trPr>
        <w:tc>
          <w:tcPr>
            <w:tcW w:w="3640" w:type="dxa"/>
            <w:vAlign w:val="bottom"/>
          </w:tcPr>
          <w:p>
            <w:pPr>
              <w:spacing w:after="0"/>
              <w:rPr>
                <w:sz w:val="16"/>
                <w:szCs w:val="16"/>
                <w:color w:val="auto"/>
              </w:rPr>
            </w:pPr>
          </w:p>
        </w:tc>
        <w:tc>
          <w:tcPr>
            <w:tcW w:w="7760" w:type="dxa"/>
            <w:vAlign w:val="bottom"/>
            <w:gridSpan w:val="5"/>
          </w:tcPr>
          <w:p>
            <w:pPr>
              <w:ind w:left="700"/>
              <w:spacing w:after="0" w:line="190" w:lineRule="exact"/>
              <w:rPr>
                <w:sz w:val="20"/>
                <w:szCs w:val="20"/>
                <w:color w:val="auto"/>
              </w:rPr>
            </w:pPr>
            <w:r>
              <w:rPr>
                <w:rFonts w:ascii="Arial" w:cs="Arial" w:eastAsia="Arial" w:hAnsi="Arial"/>
                <w:sz w:val="18"/>
                <w:szCs w:val="18"/>
                <w:color w:val="auto"/>
              </w:rPr>
              <w:t xml:space="preserve">2019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20"/>
        </w:trPr>
        <w:tc>
          <w:tcPr>
            <w:tcW w:w="3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520"/>
        </w:trPr>
        <w:tc>
          <w:tcPr>
            <w:tcW w:w="3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6.</w:t>
            </w:r>
            <w:r>
              <w:rPr>
                <w:rFonts w:ascii="Arial" w:cs="Arial" w:eastAsia="Arial" w:hAnsi="Arial"/>
                <w:sz w:val="18"/>
                <w:szCs w:val="18"/>
                <w:b w:val="1"/>
                <w:bCs w:val="1"/>
                <w:u w:val="single" w:color="auto"/>
                <w:color w:val="auto"/>
                <w:w w:val="87"/>
              </w:rPr>
              <w:t>55%</w:t>
            </w:r>
            <w:r>
              <w:rPr>
                <w:rFonts w:ascii="Arial" w:cs="Arial" w:eastAsia="Arial" w:hAnsi="Arial"/>
                <w:sz w:val="18"/>
                <w:szCs w:val="18"/>
                <w:b w:val="1"/>
                <w:bCs w:val="1"/>
                <w:color w:val="auto"/>
                <w:w w:val="87"/>
              </w:rPr>
              <w:t xml:space="preserve"> Notes Due 2039</w:t>
            </w:r>
          </w:p>
        </w:tc>
        <w:tc>
          <w:tcPr>
            <w:tcW w:w="4840" w:type="dxa"/>
            <w:vAlign w:val="bottom"/>
            <w:gridSpan w:val="2"/>
          </w:tcPr>
          <w:p>
            <w:pPr>
              <w:spacing w:after="0"/>
              <w:rPr>
                <w:sz w:val="24"/>
                <w:szCs w:val="24"/>
                <w:color w:val="auto"/>
              </w:rPr>
            </w:pPr>
          </w:p>
        </w:tc>
      </w:tr>
      <w:tr>
        <w:trPr>
          <w:trHeight w:val="437"/>
        </w:trPr>
        <w:tc>
          <w:tcPr>
            <w:tcW w:w="364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760" w:type="dxa"/>
            <w:vAlign w:val="bottom"/>
            <w:gridSpan w:val="5"/>
          </w:tcPr>
          <w:p>
            <w:pPr>
              <w:ind w:left="700"/>
              <w:spacing w:after="0"/>
              <w:rPr>
                <w:sz w:val="20"/>
                <w:szCs w:val="20"/>
                <w:color w:val="auto"/>
              </w:rPr>
            </w:pPr>
            <w:r>
              <w:rPr>
                <w:rFonts w:ascii="Arial" w:cs="Arial" w:eastAsia="Arial" w:hAnsi="Arial"/>
                <w:sz w:val="18"/>
                <w:szCs w:val="18"/>
                <w:color w:val="auto"/>
              </w:rPr>
              <w:t>6.55% Notes Due 2039</w:t>
            </w:r>
          </w:p>
        </w:tc>
      </w:tr>
      <w:tr>
        <w:trPr>
          <w:trHeight w:val="432"/>
        </w:trPr>
        <w:tc>
          <w:tcPr>
            <w:tcW w:w="364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400" w:type="dxa"/>
            <w:vAlign w:val="bottom"/>
            <w:gridSpan w:val="2"/>
          </w:tcPr>
          <w:p>
            <w:pPr>
              <w:ind w:left="700"/>
              <w:spacing w:after="0"/>
              <w:rPr>
                <w:sz w:val="20"/>
                <w:szCs w:val="20"/>
                <w:color w:val="auto"/>
              </w:rPr>
            </w:pPr>
            <w:r>
              <w:rPr>
                <w:rFonts w:ascii="Arial" w:cs="Arial" w:eastAsia="Arial" w:hAnsi="Arial"/>
                <w:sz w:val="18"/>
                <w:szCs w:val="18"/>
                <w:color w:val="auto"/>
              </w:rPr>
              <w:t>$800,000,000</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635"/>
        </w:trPr>
        <w:tc>
          <w:tcPr>
            <w:tcW w:w="364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760" w:type="dxa"/>
            <w:vAlign w:val="bottom"/>
            <w:gridSpan w:val="5"/>
          </w:tcPr>
          <w:p>
            <w:pPr>
              <w:ind w:left="700"/>
              <w:spacing w:after="0"/>
              <w:rPr>
                <w:sz w:val="20"/>
                <w:szCs w:val="20"/>
                <w:color w:val="auto"/>
              </w:rPr>
            </w:pPr>
            <w:r>
              <w:rPr>
                <w:rFonts w:ascii="Arial" w:cs="Arial" w:eastAsia="Arial" w:hAnsi="Arial"/>
                <w:sz w:val="18"/>
                <w:szCs w:val="18"/>
                <w:color w:val="auto"/>
              </w:rPr>
              <w:t>July 1, 2039</w:t>
            </w:r>
          </w:p>
        </w:tc>
      </w:tr>
      <w:tr>
        <w:trPr>
          <w:trHeight w:val="378"/>
        </w:trPr>
        <w:tc>
          <w:tcPr>
            <w:tcW w:w="3640" w:type="dxa"/>
            <w:vAlign w:val="bottom"/>
          </w:tcPr>
          <w:p>
            <w:pPr>
              <w:spacing w:after="0"/>
              <w:rPr>
                <w:sz w:val="24"/>
                <w:szCs w:val="24"/>
                <w:color w:val="auto"/>
              </w:rPr>
            </w:pPr>
          </w:p>
        </w:tc>
        <w:tc>
          <w:tcPr>
            <w:tcW w:w="2400" w:type="dxa"/>
            <w:vAlign w:val="bottom"/>
            <w:gridSpan w:val="2"/>
          </w:tcPr>
          <w:p>
            <w:pPr>
              <w:ind w:left="204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94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3100" w:type="dxa"/>
            <w:vAlign w:val="bottom"/>
          </w:tcPr>
          <w:p>
            <w:pPr>
              <w:ind w:left="1400"/>
              <w:spacing w:after="0"/>
              <w:rPr>
                <w:sz w:val="20"/>
                <w:szCs w:val="20"/>
                <w:color w:val="auto"/>
              </w:rPr>
            </w:pPr>
            <w:r>
              <w:rPr>
                <w:rFonts w:ascii="Arial" w:cs="Arial" w:eastAsia="Arial" w:hAnsi="Arial"/>
                <w:sz w:val="18"/>
                <w:szCs w:val="18"/>
                <w:color w:val="auto"/>
              </w:rPr>
              <w:t>6.55%</w:t>
            </w:r>
          </w:p>
        </w:tc>
        <w:tc>
          <w:tcPr>
            <w:tcW w:w="720" w:type="dxa"/>
            <w:vAlign w:val="bottom"/>
          </w:tcPr>
          <w:p>
            <w:pPr>
              <w:spacing w:after="0"/>
              <w:rPr>
                <w:sz w:val="19"/>
                <w:szCs w:val="19"/>
                <w:color w:val="auto"/>
              </w:rPr>
            </w:pPr>
          </w:p>
        </w:tc>
        <w:tc>
          <w:tcPr>
            <w:tcW w:w="4640" w:type="dxa"/>
            <w:vAlign w:val="bottom"/>
          </w:tcPr>
          <w:p>
            <w:pPr>
              <w:spacing w:after="0"/>
              <w:rPr>
                <w:sz w:val="19"/>
                <w:szCs w:val="19"/>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8460" w:type="dxa"/>
            <w:vAlign w:val="bottom"/>
            <w:gridSpan w:val="3"/>
          </w:tcPr>
          <w:p>
            <w:pPr>
              <w:ind w:left="1400"/>
              <w:spacing w:after="0"/>
              <w:rPr>
                <w:sz w:val="20"/>
                <w:szCs w:val="20"/>
                <w:color w:val="auto"/>
              </w:rPr>
            </w:pPr>
            <w:r>
              <w:rPr>
                <w:rFonts w:ascii="Arial" w:cs="Arial" w:eastAsia="Arial" w:hAnsi="Arial"/>
                <w:sz w:val="18"/>
                <w:szCs w:val="18"/>
                <w:color w:val="auto"/>
                <w:w w:val="89"/>
              </w:rPr>
              <w:t>The Company may at its option redeem the 2039 Notes in whole or in part, at any time or from time</w:t>
            </w:r>
          </w:p>
        </w:tc>
      </w:tr>
      <w:tr>
        <w:trPr>
          <w:trHeight w:val="216"/>
        </w:trPr>
        <w:tc>
          <w:tcPr>
            <w:tcW w:w="2940" w:type="dxa"/>
            <w:vAlign w:val="bottom"/>
          </w:tcPr>
          <w:p>
            <w:pPr>
              <w:spacing w:after="0"/>
              <w:rPr>
                <w:sz w:val="18"/>
                <w:szCs w:val="18"/>
                <w:color w:val="auto"/>
              </w:rPr>
            </w:pPr>
          </w:p>
        </w:tc>
        <w:tc>
          <w:tcPr>
            <w:tcW w:w="8460" w:type="dxa"/>
            <w:vAlign w:val="bottom"/>
            <w:gridSpan w:val="3"/>
          </w:tcPr>
          <w:p>
            <w:pPr>
              <w:ind w:left="1400"/>
              <w:spacing w:after="0"/>
              <w:rPr>
                <w:sz w:val="20"/>
                <w:szCs w:val="20"/>
                <w:color w:val="auto"/>
              </w:rPr>
            </w:pPr>
            <w:r>
              <w:rPr>
                <w:rFonts w:ascii="Arial" w:cs="Arial" w:eastAsia="Arial" w:hAnsi="Arial"/>
                <w:sz w:val="18"/>
                <w:szCs w:val="18"/>
                <w:color w:val="auto"/>
                <w:w w:val="90"/>
              </w:rPr>
              <w:t>to time prior to their maturity, on at least 30 days, but not more than 60 days, prior notice mailed to</w:t>
            </w:r>
          </w:p>
        </w:tc>
      </w:tr>
      <w:tr>
        <w:trPr>
          <w:trHeight w:val="216"/>
        </w:trPr>
        <w:tc>
          <w:tcPr>
            <w:tcW w:w="2940" w:type="dxa"/>
            <w:vAlign w:val="bottom"/>
          </w:tcPr>
          <w:p>
            <w:pPr>
              <w:spacing w:after="0"/>
              <w:rPr>
                <w:sz w:val="18"/>
                <w:szCs w:val="18"/>
                <w:color w:val="auto"/>
              </w:rPr>
            </w:pPr>
          </w:p>
        </w:tc>
        <w:tc>
          <w:tcPr>
            <w:tcW w:w="8460" w:type="dxa"/>
            <w:vAlign w:val="bottom"/>
            <w:gridSpan w:val="3"/>
          </w:tcPr>
          <w:p>
            <w:pPr>
              <w:ind w:left="1400"/>
              <w:spacing w:after="0"/>
              <w:rPr>
                <w:sz w:val="20"/>
                <w:szCs w:val="20"/>
                <w:color w:val="auto"/>
              </w:rPr>
            </w:pPr>
            <w:r>
              <w:rPr>
                <w:rFonts w:ascii="Arial" w:cs="Arial" w:eastAsia="Arial" w:hAnsi="Arial"/>
                <w:sz w:val="18"/>
                <w:szCs w:val="18"/>
                <w:color w:val="auto"/>
                <w:w w:val="87"/>
              </w:rPr>
              <w:t>the registered address of each holder of the 2039 Notes, at a redemption price equal to the greater of</w:t>
            </w:r>
          </w:p>
        </w:tc>
      </w:tr>
      <w:tr>
        <w:trPr>
          <w:trHeight w:val="216"/>
        </w:trPr>
        <w:tc>
          <w:tcPr>
            <w:tcW w:w="2940" w:type="dxa"/>
            <w:vAlign w:val="bottom"/>
          </w:tcPr>
          <w:p>
            <w:pPr>
              <w:spacing w:after="0"/>
              <w:rPr>
                <w:sz w:val="18"/>
                <w:szCs w:val="18"/>
                <w:color w:val="auto"/>
              </w:rPr>
            </w:pPr>
          </w:p>
        </w:tc>
        <w:tc>
          <w:tcPr>
            <w:tcW w:w="8460" w:type="dxa"/>
            <w:vAlign w:val="bottom"/>
            <w:gridSpan w:val="3"/>
          </w:tcPr>
          <w:p>
            <w:pPr>
              <w:ind w:left="1400"/>
              <w:spacing w:after="0"/>
              <w:rPr>
                <w:sz w:val="20"/>
                <w:szCs w:val="20"/>
                <w:color w:val="auto"/>
              </w:rPr>
            </w:pPr>
            <w:r>
              <w:rPr>
                <w:rFonts w:ascii="Arial" w:cs="Arial" w:eastAsia="Arial" w:hAnsi="Arial"/>
                <w:sz w:val="18"/>
                <w:szCs w:val="18"/>
                <w:color w:val="auto"/>
                <w:w w:val="93"/>
              </w:rPr>
              <w:t>(i) 100% of the principal amount of the 2039 Notes and (ii) the sum of the present values of the</w:t>
            </w:r>
          </w:p>
        </w:tc>
      </w:tr>
      <w:tr>
        <w:trPr>
          <w:trHeight w:val="216"/>
        </w:trPr>
        <w:tc>
          <w:tcPr>
            <w:tcW w:w="2940" w:type="dxa"/>
            <w:vAlign w:val="bottom"/>
          </w:tcPr>
          <w:p>
            <w:pPr>
              <w:spacing w:after="0"/>
              <w:rPr>
                <w:sz w:val="18"/>
                <w:szCs w:val="18"/>
                <w:color w:val="auto"/>
              </w:rPr>
            </w:pPr>
          </w:p>
        </w:tc>
        <w:tc>
          <w:tcPr>
            <w:tcW w:w="8460" w:type="dxa"/>
            <w:vAlign w:val="bottom"/>
            <w:gridSpan w:val="3"/>
          </w:tcPr>
          <w:p>
            <w:pPr>
              <w:ind w:left="1400"/>
              <w:spacing w:after="0"/>
              <w:rPr>
                <w:sz w:val="20"/>
                <w:szCs w:val="20"/>
                <w:color w:val="auto"/>
              </w:rPr>
            </w:pPr>
            <w:r>
              <w:rPr>
                <w:rFonts w:ascii="Arial" w:cs="Arial" w:eastAsia="Arial" w:hAnsi="Arial"/>
                <w:sz w:val="18"/>
                <w:szCs w:val="18"/>
                <w:color w:val="auto"/>
                <w:w w:val="88"/>
              </w:rPr>
              <w:t>remaining scheduled payments of principal and interest thereon (exclusive of interest accrued to the</w:t>
            </w:r>
          </w:p>
        </w:tc>
      </w:tr>
      <w:tr>
        <w:trPr>
          <w:trHeight w:val="216"/>
        </w:trPr>
        <w:tc>
          <w:tcPr>
            <w:tcW w:w="2940" w:type="dxa"/>
            <w:vAlign w:val="bottom"/>
          </w:tcPr>
          <w:p>
            <w:pPr>
              <w:spacing w:after="0"/>
              <w:rPr>
                <w:sz w:val="18"/>
                <w:szCs w:val="18"/>
                <w:color w:val="auto"/>
              </w:rPr>
            </w:pPr>
          </w:p>
        </w:tc>
        <w:tc>
          <w:tcPr>
            <w:tcW w:w="8460" w:type="dxa"/>
            <w:vAlign w:val="bottom"/>
            <w:gridSpan w:val="3"/>
          </w:tcPr>
          <w:p>
            <w:pPr>
              <w:ind w:left="1400"/>
              <w:spacing w:after="0"/>
              <w:rPr>
                <w:sz w:val="20"/>
                <w:szCs w:val="20"/>
                <w:color w:val="auto"/>
              </w:rPr>
            </w:pPr>
            <w:r>
              <w:rPr>
                <w:rFonts w:ascii="Arial" w:cs="Arial" w:eastAsia="Arial" w:hAnsi="Arial"/>
                <w:sz w:val="18"/>
                <w:szCs w:val="18"/>
                <w:color w:val="auto"/>
                <w:w w:val="89"/>
              </w:rPr>
              <w:t>date of redemption) discounted to the redemption date on a semiannual basis (assuming a 360-day</w:t>
            </w:r>
          </w:p>
        </w:tc>
      </w:tr>
      <w:tr>
        <w:trPr>
          <w:trHeight w:val="216"/>
        </w:trPr>
        <w:tc>
          <w:tcPr>
            <w:tcW w:w="2940" w:type="dxa"/>
            <w:vAlign w:val="bottom"/>
          </w:tcPr>
          <w:p>
            <w:pPr>
              <w:spacing w:after="0"/>
              <w:rPr>
                <w:sz w:val="18"/>
                <w:szCs w:val="18"/>
                <w:color w:val="auto"/>
              </w:rPr>
            </w:pPr>
          </w:p>
        </w:tc>
        <w:tc>
          <w:tcPr>
            <w:tcW w:w="8460" w:type="dxa"/>
            <w:vAlign w:val="bottom"/>
            <w:gridSpan w:val="3"/>
          </w:tcPr>
          <w:p>
            <w:pPr>
              <w:ind w:left="1400"/>
              <w:spacing w:after="0"/>
              <w:rPr>
                <w:sz w:val="20"/>
                <w:szCs w:val="20"/>
                <w:color w:val="auto"/>
              </w:rPr>
            </w:pPr>
            <w:r>
              <w:rPr>
                <w:rFonts w:ascii="Arial" w:cs="Arial" w:eastAsia="Arial" w:hAnsi="Arial"/>
                <w:sz w:val="18"/>
                <w:szCs w:val="18"/>
                <w:color w:val="auto"/>
                <w:w w:val="90"/>
              </w:rPr>
              <w:t>year consisting of twelve 30-day months) at the Treasury Rate (as defined in the 2039 Notes) plus</w:t>
            </w:r>
          </w:p>
        </w:tc>
      </w:tr>
      <w:tr>
        <w:trPr>
          <w:trHeight w:val="216"/>
        </w:trPr>
        <w:tc>
          <w:tcPr>
            <w:tcW w:w="2940" w:type="dxa"/>
            <w:vAlign w:val="bottom"/>
          </w:tcPr>
          <w:p>
            <w:pPr>
              <w:spacing w:after="0"/>
              <w:rPr>
                <w:sz w:val="18"/>
                <w:szCs w:val="18"/>
                <w:color w:val="auto"/>
              </w:rPr>
            </w:pPr>
          </w:p>
        </w:tc>
        <w:tc>
          <w:tcPr>
            <w:tcW w:w="8460" w:type="dxa"/>
            <w:vAlign w:val="bottom"/>
            <w:gridSpan w:val="3"/>
          </w:tcPr>
          <w:p>
            <w:pPr>
              <w:ind w:left="1400"/>
              <w:spacing w:after="0"/>
              <w:rPr>
                <w:sz w:val="20"/>
                <w:szCs w:val="20"/>
                <w:color w:val="auto"/>
              </w:rPr>
            </w:pPr>
            <w:r>
              <w:rPr>
                <w:rFonts w:ascii="Arial" w:cs="Arial" w:eastAsia="Arial" w:hAnsi="Arial"/>
                <w:sz w:val="18"/>
                <w:szCs w:val="18"/>
                <w:color w:val="auto"/>
                <w:w w:val="89"/>
              </w:rPr>
              <w:t>35 basis points, plus, in each case, accrued and unpaid interest thereon to the date of redemption,</w:t>
            </w:r>
          </w:p>
        </w:tc>
      </w:tr>
      <w:tr>
        <w:trPr>
          <w:trHeight w:val="222"/>
        </w:trPr>
        <w:tc>
          <w:tcPr>
            <w:tcW w:w="2940" w:type="dxa"/>
            <w:vAlign w:val="bottom"/>
          </w:tcPr>
          <w:p>
            <w:pPr>
              <w:spacing w:after="0"/>
              <w:rPr>
                <w:sz w:val="19"/>
                <w:szCs w:val="19"/>
                <w:color w:val="auto"/>
              </w:rPr>
            </w:pPr>
          </w:p>
        </w:tc>
        <w:tc>
          <w:tcPr>
            <w:tcW w:w="8460" w:type="dxa"/>
            <w:vAlign w:val="bottom"/>
            <w:gridSpan w:val="3"/>
          </w:tcPr>
          <w:p>
            <w:pPr>
              <w:ind w:left="1400"/>
              <w:spacing w:after="0"/>
              <w:rPr>
                <w:sz w:val="20"/>
                <w:szCs w:val="20"/>
                <w:color w:val="auto"/>
              </w:rPr>
            </w:pPr>
            <w:r>
              <w:rPr>
                <w:rFonts w:ascii="Arial" w:cs="Arial" w:eastAsia="Arial" w:hAnsi="Arial"/>
                <w:sz w:val="18"/>
                <w:szCs w:val="18"/>
                <w:color w:val="auto"/>
              </w:rPr>
              <w:t>and as further described in the Prospectus Supplement dated June 15, 2009.</w:t>
            </w:r>
          </w:p>
        </w:tc>
      </w:tr>
      <w:tr>
        <w:trPr>
          <w:trHeight w:val="412"/>
        </w:trPr>
        <w:tc>
          <w:tcPr>
            <w:tcW w:w="294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460" w:type="dxa"/>
            <w:vAlign w:val="bottom"/>
            <w:gridSpan w:val="3"/>
          </w:tcPr>
          <w:p>
            <w:pPr>
              <w:ind w:left="1400"/>
              <w:spacing w:after="0"/>
              <w:rPr>
                <w:sz w:val="20"/>
                <w:szCs w:val="20"/>
                <w:color w:val="auto"/>
              </w:rPr>
            </w:pPr>
            <w:r>
              <w:rPr>
                <w:rFonts w:ascii="Arial" w:cs="Arial" w:eastAsia="Arial" w:hAnsi="Arial"/>
                <w:sz w:val="18"/>
                <w:szCs w:val="18"/>
                <w:color w:val="auto"/>
                <w:w w:val="87"/>
              </w:rPr>
              <w:t>The 2039 Notes need not be issued at the same time and the series may be reopened for issuance of</w:t>
            </w:r>
          </w:p>
        </w:tc>
      </w:tr>
      <w:tr>
        <w:trPr>
          <w:trHeight w:val="216"/>
        </w:trPr>
        <w:tc>
          <w:tcPr>
            <w:tcW w:w="2940" w:type="dxa"/>
            <w:vAlign w:val="bottom"/>
          </w:tcPr>
          <w:p>
            <w:pPr>
              <w:spacing w:after="0"/>
              <w:rPr>
                <w:sz w:val="18"/>
                <w:szCs w:val="18"/>
                <w:color w:val="auto"/>
              </w:rPr>
            </w:pPr>
          </w:p>
        </w:tc>
        <w:tc>
          <w:tcPr>
            <w:tcW w:w="8460" w:type="dxa"/>
            <w:vAlign w:val="bottom"/>
            <w:gridSpan w:val="3"/>
          </w:tcPr>
          <w:p>
            <w:pPr>
              <w:ind w:left="1400"/>
              <w:spacing w:after="0"/>
              <w:rPr>
                <w:sz w:val="20"/>
                <w:szCs w:val="20"/>
                <w:color w:val="auto"/>
              </w:rPr>
            </w:pPr>
            <w:r>
              <w:rPr>
                <w:rFonts w:ascii="Arial" w:cs="Arial" w:eastAsia="Arial" w:hAnsi="Arial"/>
                <w:sz w:val="18"/>
                <w:szCs w:val="18"/>
                <w:color w:val="auto"/>
                <w:w w:val="90"/>
              </w:rPr>
              <w:t>an unlimited principal amount of additional 2039 Notes under this series. Additional 2039 Notes of</w:t>
            </w:r>
          </w:p>
        </w:tc>
      </w:tr>
      <w:tr>
        <w:trPr>
          <w:trHeight w:val="216"/>
        </w:trPr>
        <w:tc>
          <w:tcPr>
            <w:tcW w:w="2940" w:type="dxa"/>
            <w:vAlign w:val="bottom"/>
          </w:tcPr>
          <w:p>
            <w:pPr>
              <w:spacing w:after="0"/>
              <w:rPr>
                <w:sz w:val="18"/>
                <w:szCs w:val="18"/>
                <w:color w:val="auto"/>
              </w:rPr>
            </w:pPr>
          </w:p>
        </w:tc>
        <w:tc>
          <w:tcPr>
            <w:tcW w:w="8460" w:type="dxa"/>
            <w:vAlign w:val="bottom"/>
            <w:gridSpan w:val="3"/>
          </w:tcPr>
          <w:p>
            <w:pPr>
              <w:ind w:left="1400"/>
              <w:spacing w:after="0"/>
              <w:rPr>
                <w:sz w:val="20"/>
                <w:szCs w:val="20"/>
                <w:color w:val="auto"/>
              </w:rPr>
            </w:pPr>
            <w:r>
              <w:rPr>
                <w:rFonts w:ascii="Arial" w:cs="Arial" w:eastAsia="Arial" w:hAnsi="Arial"/>
                <w:sz w:val="18"/>
                <w:szCs w:val="18"/>
                <w:color w:val="auto"/>
                <w:w w:val="92"/>
              </w:rPr>
              <w:t>this series will be consolidated with, and form a single series with, 2039 Notes then outstanding,</w:t>
            </w:r>
          </w:p>
        </w:tc>
      </w:tr>
      <w:tr>
        <w:trPr>
          <w:trHeight w:val="216"/>
        </w:trPr>
        <w:tc>
          <w:tcPr>
            <w:tcW w:w="2940" w:type="dxa"/>
            <w:vAlign w:val="bottom"/>
          </w:tcPr>
          <w:p>
            <w:pPr>
              <w:spacing w:after="0"/>
              <w:rPr>
                <w:sz w:val="18"/>
                <w:szCs w:val="18"/>
                <w:color w:val="auto"/>
              </w:rPr>
            </w:pPr>
          </w:p>
        </w:tc>
        <w:tc>
          <w:tcPr>
            <w:tcW w:w="8460" w:type="dxa"/>
            <w:vAlign w:val="bottom"/>
            <w:gridSpan w:val="3"/>
          </w:tcPr>
          <w:p>
            <w:pPr>
              <w:ind w:left="1400"/>
              <w:spacing w:after="0"/>
              <w:rPr>
                <w:sz w:val="20"/>
                <w:szCs w:val="20"/>
                <w:color w:val="auto"/>
              </w:rPr>
            </w:pPr>
            <w:r>
              <w:rPr>
                <w:rFonts w:ascii="Arial" w:cs="Arial" w:eastAsia="Arial" w:hAnsi="Arial"/>
                <w:sz w:val="18"/>
                <w:szCs w:val="18"/>
                <w:color w:val="auto"/>
                <w:w w:val="89"/>
              </w:rPr>
              <w:t>including for purposes of determining whether the required percentage of the holders of record has</w:t>
            </w:r>
          </w:p>
        </w:tc>
      </w:tr>
      <w:tr>
        <w:trPr>
          <w:trHeight w:val="216"/>
        </w:trPr>
        <w:tc>
          <w:tcPr>
            <w:tcW w:w="2940" w:type="dxa"/>
            <w:vAlign w:val="bottom"/>
          </w:tcPr>
          <w:p>
            <w:pPr>
              <w:spacing w:after="0"/>
              <w:rPr>
                <w:sz w:val="18"/>
                <w:szCs w:val="18"/>
                <w:color w:val="auto"/>
              </w:rPr>
            </w:pPr>
          </w:p>
        </w:tc>
        <w:tc>
          <w:tcPr>
            <w:tcW w:w="8460" w:type="dxa"/>
            <w:vAlign w:val="bottom"/>
            <w:gridSpan w:val="3"/>
          </w:tcPr>
          <w:p>
            <w:pPr>
              <w:ind w:left="1400"/>
              <w:spacing w:after="0"/>
              <w:rPr>
                <w:sz w:val="20"/>
                <w:szCs w:val="20"/>
                <w:color w:val="auto"/>
              </w:rPr>
            </w:pPr>
            <w:r>
              <w:rPr>
                <w:rFonts w:ascii="Arial" w:cs="Arial" w:eastAsia="Arial" w:hAnsi="Arial"/>
                <w:sz w:val="18"/>
                <w:szCs w:val="18"/>
                <w:color w:val="auto"/>
                <w:w w:val="93"/>
              </w:rPr>
              <w:t>given approval or consent to an amendment or waiver or joined in directing the Trustee to take</w:t>
            </w:r>
          </w:p>
        </w:tc>
      </w:tr>
      <w:tr>
        <w:trPr>
          <w:trHeight w:val="222"/>
        </w:trPr>
        <w:tc>
          <w:tcPr>
            <w:tcW w:w="2940" w:type="dxa"/>
            <w:vAlign w:val="bottom"/>
          </w:tcPr>
          <w:p>
            <w:pPr>
              <w:spacing w:after="0"/>
              <w:rPr>
                <w:sz w:val="19"/>
                <w:szCs w:val="19"/>
                <w:color w:val="auto"/>
              </w:rPr>
            </w:pPr>
          </w:p>
        </w:tc>
        <w:tc>
          <w:tcPr>
            <w:tcW w:w="8460" w:type="dxa"/>
            <w:vAlign w:val="bottom"/>
            <w:gridSpan w:val="3"/>
          </w:tcPr>
          <w:p>
            <w:pPr>
              <w:ind w:left="1400"/>
              <w:spacing w:after="0"/>
              <w:rPr>
                <w:sz w:val="20"/>
                <w:szCs w:val="20"/>
                <w:color w:val="auto"/>
              </w:rPr>
            </w:pPr>
            <w:r>
              <w:rPr>
                <w:rFonts w:ascii="Arial" w:cs="Arial" w:eastAsia="Arial" w:hAnsi="Arial"/>
                <w:sz w:val="18"/>
                <w:szCs w:val="18"/>
                <w:color w:val="auto"/>
              </w:rPr>
              <w:t>certain actions on behalf of all holders.</w:t>
            </w:r>
          </w:p>
        </w:tc>
      </w:tr>
      <w:tr>
        <w:trPr>
          <w:trHeight w:val="419"/>
        </w:trPr>
        <w:tc>
          <w:tcPr>
            <w:tcW w:w="294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460" w:type="dxa"/>
            <w:vAlign w:val="bottom"/>
            <w:gridSpan w:val="3"/>
          </w:tcPr>
          <w:p>
            <w:pPr>
              <w:ind w:left="1400"/>
              <w:spacing w:after="0"/>
              <w:rPr>
                <w:sz w:val="20"/>
                <w:szCs w:val="20"/>
                <w:color w:val="auto"/>
              </w:rPr>
            </w:pPr>
            <w:r>
              <w:rPr>
                <w:rFonts w:ascii="Arial" w:cs="Arial" w:eastAsia="Arial" w:hAnsi="Arial"/>
                <w:sz w:val="18"/>
                <w:szCs w:val="18"/>
                <w:color w:val="auto"/>
              </w:rPr>
              <w:t>None</w:t>
            </w:r>
          </w:p>
        </w:tc>
      </w:tr>
      <w:tr>
        <w:trPr>
          <w:trHeight w:val="432"/>
        </w:trPr>
        <w:tc>
          <w:tcPr>
            <w:tcW w:w="294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460" w:type="dxa"/>
            <w:vAlign w:val="bottom"/>
            <w:gridSpan w:val="3"/>
          </w:tcPr>
          <w:p>
            <w:pPr>
              <w:ind w:left="1400"/>
              <w:spacing w:after="0"/>
              <w:rPr>
                <w:sz w:val="20"/>
                <w:szCs w:val="20"/>
                <w:color w:val="auto"/>
              </w:rPr>
            </w:pPr>
            <w:r>
              <w:rPr>
                <w:rFonts w:ascii="Arial" w:cs="Arial" w:eastAsia="Arial" w:hAnsi="Arial"/>
                <w:sz w:val="18"/>
                <w:szCs w:val="18"/>
                <w:color w:val="auto"/>
              </w:rPr>
              <w:t>None</w:t>
            </w:r>
          </w:p>
        </w:tc>
      </w:tr>
      <w:tr>
        <w:trPr>
          <w:trHeight w:val="420"/>
        </w:trPr>
        <w:tc>
          <w:tcPr>
            <w:tcW w:w="294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460" w:type="dxa"/>
            <w:vAlign w:val="bottom"/>
            <w:gridSpan w:val="3"/>
          </w:tcPr>
          <w:p>
            <w:pPr>
              <w:ind w:left="1400"/>
              <w:spacing w:after="0"/>
              <w:rPr>
                <w:sz w:val="20"/>
                <w:szCs w:val="20"/>
                <w:color w:val="auto"/>
              </w:rPr>
            </w:pPr>
            <w:r>
              <w:rPr>
                <w:rFonts w:ascii="Arial" w:cs="Arial" w:eastAsia="Arial" w:hAnsi="Arial"/>
                <w:sz w:val="18"/>
                <w:szCs w:val="18"/>
                <w:color w:val="auto"/>
                <w:w w:val="87"/>
              </w:rPr>
              <w:t>The terms of the 2039 Notes shall include such other terms as are set forth in the Form of Notes Due</w:t>
            </w:r>
          </w:p>
        </w:tc>
      </w:tr>
      <w:tr>
        <w:trPr>
          <w:trHeight w:val="190"/>
        </w:trPr>
        <w:tc>
          <w:tcPr>
            <w:tcW w:w="2940" w:type="dxa"/>
            <w:vAlign w:val="bottom"/>
          </w:tcPr>
          <w:p>
            <w:pPr>
              <w:spacing w:after="0"/>
              <w:rPr>
                <w:sz w:val="16"/>
                <w:szCs w:val="16"/>
                <w:color w:val="auto"/>
              </w:rPr>
            </w:pPr>
          </w:p>
        </w:tc>
        <w:tc>
          <w:tcPr>
            <w:tcW w:w="8460" w:type="dxa"/>
            <w:vAlign w:val="bottom"/>
            <w:gridSpan w:val="3"/>
          </w:tcPr>
          <w:p>
            <w:pPr>
              <w:ind w:left="1400"/>
              <w:spacing w:after="0" w:line="190" w:lineRule="exact"/>
              <w:rPr>
                <w:sz w:val="20"/>
                <w:szCs w:val="20"/>
                <w:color w:val="auto"/>
              </w:rPr>
            </w:pPr>
            <w:r>
              <w:rPr>
                <w:rFonts w:ascii="Arial" w:cs="Arial" w:eastAsia="Arial" w:hAnsi="Arial"/>
                <w:sz w:val="18"/>
                <w:szCs w:val="18"/>
                <w:color w:val="auto"/>
              </w:rPr>
              <w:t xml:space="preserve">2039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451"/>
        </w:trPr>
        <w:tc>
          <w:tcPr>
            <w:tcW w:w="2940" w:type="dxa"/>
            <w:vAlign w:val="bottom"/>
          </w:tcPr>
          <w:p>
            <w:pPr>
              <w:spacing w:after="0"/>
              <w:rPr>
                <w:sz w:val="24"/>
                <w:szCs w:val="24"/>
                <w:color w:val="auto"/>
              </w:rPr>
            </w:pPr>
          </w:p>
        </w:tc>
        <w:tc>
          <w:tcPr>
            <w:tcW w:w="3100" w:type="dxa"/>
            <w:vAlign w:val="bottom"/>
          </w:tcPr>
          <w:p>
            <w:pPr>
              <w:ind w:left="2740"/>
              <w:spacing w:after="0"/>
              <w:rPr>
                <w:sz w:val="20"/>
                <w:szCs w:val="20"/>
                <w:color w:val="auto"/>
              </w:rPr>
            </w:pPr>
            <w:r>
              <w:rPr>
                <w:rFonts w:ascii="Arial" w:cs="Arial" w:eastAsia="Arial" w:hAnsi="Arial"/>
                <w:sz w:val="18"/>
                <w:szCs w:val="18"/>
                <w:color w:val="auto"/>
              </w:rPr>
              <w:t>3</w:t>
            </w:r>
          </w:p>
        </w:tc>
        <w:tc>
          <w:tcPr>
            <w:tcW w:w="720" w:type="dxa"/>
            <w:vAlign w:val="bottom"/>
            <w:tcBorders>
              <w:top w:val="single" w:sz="8" w:color="auto"/>
            </w:tcBorders>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sectPr>
      </w:pPr>
    </w:p>
    <w:bookmarkStart w:id="19" w:name="page20"/>
    <w:bookmarkEnd w:id="19"/>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80" w:right="359" w:bottom="1440" w:gutter="0" w:footer="0" w:header="0"/>
        </w:sectPr>
      </w:pPr>
    </w:p>
    <w:bookmarkStart w:id="20" w:name="page21"/>
    <w:bookmarkEnd w:id="20"/>
    <w:p>
      <w:pPr>
        <w:spacing w:after="0"/>
        <w:tabs>
          <w:tab w:leader="none" w:pos="82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officers of the Company have duly executed this certificate as of June</w:t>
      </w:r>
      <w:r>
        <w:rPr>
          <w:sz w:val="20"/>
          <w:szCs w:val="20"/>
          <w:color w:val="auto"/>
        </w:rPr>
        <w:tab/>
      </w:r>
      <w:r>
        <w:rPr>
          <w:rFonts w:ascii="Arial" w:cs="Arial" w:eastAsia="Arial" w:hAnsi="Arial"/>
          <w:sz w:val="15"/>
          <w:szCs w:val="15"/>
          <w:color w:val="auto"/>
        </w:rPr>
        <w:t>,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27940</wp:posOffset>
            </wp:positionV>
            <wp:extent cx="27184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678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27940</wp:posOffset>
            </wp:positionV>
            <wp:extent cx="27184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jc w:val="right"/>
        <w:ind w:right="279"/>
        <w:spacing w:after="0"/>
        <w:tabs>
          <w:tab w:leader="none" w:pos="2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 General</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Counsel and Secretary</w:t>
      </w:r>
    </w:p>
    <w:p>
      <w:pPr>
        <w:spacing w:after="0" w:line="15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759"/>
          </w:cols>
          <w:pgMar w:left="700" w:top="280"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2019]</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5.70% Note Due 2019</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CUSIP No.: 20030N AZ4</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US20030NAZ42</w:t>
      </w:r>
    </w:p>
    <w:p>
      <w:pPr>
        <w:spacing w:after="0" w:line="38"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9" w:lineRule="exact"/>
        <w:rPr>
          <w:sz w:val="20"/>
          <w:szCs w:val="20"/>
          <w:color w:val="auto"/>
        </w:rPr>
      </w:pPr>
    </w:p>
    <w:p>
      <w:pPr>
        <w:sectPr>
          <w:pgSz w:w="11900" w:h="16838" w:orient="portrait"/>
          <w:cols w:equalWidth="0" w:num="3">
            <w:col w:w="360" w:space="180"/>
            <w:col w:w="8220" w:space="720"/>
            <w:col w:w="1940"/>
          </w:cols>
          <w:pgMar w:left="240" w:top="274" w:right="239" w:bottom="1440" w:gutter="0" w:footer="0" w:header="0"/>
          <w:type w:val="continuous"/>
        </w:sectPr>
      </w:pPr>
    </w:p>
    <w:p>
      <w:pPr>
        <w:ind w:right="200" w:firstLine="456"/>
        <w:spacing w:after="0" w:line="275"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July 1, 2019.</w:t>
      </w:r>
    </w:p>
    <w:p>
      <w:pPr>
        <w:sectPr>
          <w:pgSz w:w="11900" w:h="16838" w:orient="portrait"/>
          <w:cols w:equalWidth="0" w:num="1">
            <w:col w:w="11420"/>
          </w:cols>
          <w:pgMar w:left="240" w:top="274" w:right="239" w:bottom="1440" w:gutter="0" w:footer="0" w:header="0"/>
          <w:type w:val="continuous"/>
        </w:sectPr>
      </w:pP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January 1 and July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January 1, 2010.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December 15 and June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Reference is made to the further provisions of this Security contained herein, which will for all purposes have the same effect as if set forth at this place.</w:t>
      </w:r>
    </w:p>
    <w:p>
      <w:pPr>
        <w:sectPr>
          <w:pgSz w:w="11900" w:h="16838" w:orient="portrait"/>
          <w:cols w:equalWidth="0" w:num="1">
            <w:col w:w="11420"/>
          </w:cols>
          <w:pgMar w:left="240" w:top="274" w:right="239" w:bottom="1440" w:gutter="0" w:footer="0" w:header="0"/>
          <w:type w:val="continuous"/>
        </w:sectPr>
      </w:pPr>
    </w:p>
    <w:bookmarkStart w:id="22" w:name="page23"/>
    <w:bookmarkEnd w:id="2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2540</wp:posOffset>
            </wp:positionV>
            <wp:extent cx="27184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Name: William E. Dordelman</w:t>
      </w:r>
    </w:p>
    <w:p>
      <w:pPr>
        <w:spacing w:after="0" w:line="9" w:lineRule="exact"/>
        <w:rPr>
          <w:sz w:val="20"/>
          <w:szCs w:val="20"/>
          <w:color w:val="auto"/>
        </w:rPr>
      </w:pPr>
    </w:p>
    <w:p>
      <w:pPr>
        <w:ind w:left="724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Treasurer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 Arthur R. Block</w:t>
      </w:r>
    </w:p>
    <w:p>
      <w:pPr>
        <w:spacing w:after="0" w:line="9" w:lineRule="exact"/>
        <w:rPr>
          <w:sz w:val="20"/>
          <w:szCs w:val="20"/>
          <w:color w:val="auto"/>
        </w:rPr>
      </w:pPr>
    </w:p>
    <w:p>
      <w:pPr>
        <w:ind w:left="380"/>
        <w:spacing w:after="0"/>
        <w:tabs>
          <w:tab w:leader="none" w:pos="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General Counsel and Secretary</w:t>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is one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June 18,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BANK OF NEW YORK MELLON,</w:t>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2540</wp:posOffset>
            </wp:positionV>
            <wp:extent cx="27184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Authorized Signatory</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80" w:right="1440" w:bottom="1440" w:gutter="0" w:footer="0" w:header="0"/>
        </w:sectPr>
      </w:pPr>
    </w:p>
    <w:bookmarkStart w:id="24" w:name="page25"/>
    <w:bookmarkEnd w:id="24"/>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(REVERSE OF SECURITY)</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COMCAST CORPORATION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5.70% Note Due 2019</w:t>
      </w:r>
    </w:p>
    <w:p>
      <w:pPr>
        <w:spacing w:after="0" w:line="212"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w:t>
      </w:r>
    </w:p>
    <w:p>
      <w:pPr>
        <w:spacing w:after="0" w:line="165"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June 18, 2009. The Issuer will pay interest semi-annually in arrears on each Interest Payment Date, commencing January 1, 2010. Interest will be computed on the basis of a 360-day year of twelve 30-day months.</w:t>
      </w:r>
    </w:p>
    <w:p>
      <w:pPr>
        <w:spacing w:after="0" w:line="14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7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63"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65" w:lineRule="exact"/>
        <w:rPr>
          <w:sz w:val="20"/>
          <w:szCs w:val="20"/>
          <w:color w:val="auto"/>
        </w:rPr>
      </w:pPr>
    </w:p>
    <w:p>
      <w:pPr>
        <w:jc w:val="center"/>
        <w:ind w:left="700"/>
        <w:spacing w:after="0" w:line="447" w:lineRule="auto"/>
        <w:rPr>
          <w:sz w:val="20"/>
          <w:szCs w:val="20"/>
          <w:color w:val="auto"/>
        </w:rPr>
      </w:pPr>
      <w:r>
        <w:rPr>
          <w:rFonts w:ascii="Arial" w:cs="Arial" w:eastAsia="Arial" w:hAnsi="Arial"/>
          <w:sz w:val="18"/>
          <w:szCs w:val="18"/>
          <w:color w:val="auto"/>
        </w:rPr>
        <w:t>Initially, The Bank of New York Mellon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 4</w:t>
      </w:r>
    </w:p>
    <w:p>
      <w:pPr>
        <w:sectPr>
          <w:pgSz w:w="11900" w:h="16838" w:orient="portrait"/>
          <w:cols w:equalWidth="0" w:num="1">
            <w:col w:w="11340"/>
          </w:cols>
          <w:pgMar w:left="240" w:top="280" w:right="319" w:bottom="1440" w:gutter="0" w:footer="0" w:header="0"/>
        </w:sectPr>
      </w:pPr>
    </w:p>
    <w:bookmarkStart w:id="25" w:name="page26"/>
    <w:bookmarkEnd w:id="25"/>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Indenture.</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Issuer issued the Securities under an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Issuer, the Cable Guarantors other than Comcast MO of Delaware, LLC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by the First Supplemental Indenture dated as of March 25, 2003 by and among the Issuer, the Cable Guarantors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159"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Cable Guarantees.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Each Cable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7"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7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15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12"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that, all liability of the Trustee and such Paying Agent with respect to such funds shall cease.</w:t>
      </w:r>
    </w:p>
    <w:p>
      <w:pPr>
        <w:spacing w:after="0" w:line="212"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171"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Issuer and the Cable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47"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7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8"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Cable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47"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a redemption price equal to the greater of (i) 100% of the principal amount of such Securities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in each case, 35 basis points plus accrued interest thereon to the date of redemption.</w:t>
      </w:r>
    </w:p>
    <w:p>
      <w:pPr>
        <w:spacing w:after="0" w:line="11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7" w:name="page28"/>
    <w:bookmarkEnd w:id="27"/>
    <w:p>
      <w:pPr>
        <w:ind w:right="8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Comparable Treasury Issue, assuming a price for the Comparable Treasury Issue (expressed as a percentage of its principal amount) equal to the Comparable Treasury Price for such redemption date.</w:t>
      </w:r>
    </w:p>
    <w:p>
      <w:pPr>
        <w:spacing w:after="0" w:line="126" w:lineRule="exact"/>
        <w:rPr>
          <w:sz w:val="20"/>
          <w:szCs w:val="20"/>
          <w:color w:val="auto"/>
        </w:rPr>
      </w:pPr>
    </w:p>
    <w:p>
      <w:pPr>
        <w:jc w:val="both"/>
        <w:ind w:right="10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Comparable Treasury Issue</w:t>
      </w:r>
      <w:r>
        <w:rPr>
          <w:rFonts w:ascii="Arial" w:cs="Arial" w:eastAsia="Arial" w:hAnsi="Arial"/>
          <w:sz w:val="15"/>
          <w:szCs w:val="15"/>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171"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Trustee obtains fewer than four such Reference Treasury Dealer Quotations, the average of all such quotations.</w:t>
      </w:r>
    </w:p>
    <w:p>
      <w:pPr>
        <w:spacing w:after="0" w:line="132"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w:t>
      </w:r>
      <w:r>
        <w:rPr>
          <w:rFonts w:ascii="Arial" w:cs="Arial" w:eastAsia="Arial" w:hAnsi="Arial"/>
          <w:sz w:val="16"/>
          <w:szCs w:val="16"/>
          <w:color w:val="auto"/>
        </w:rPr>
        <w:t xml:space="preserve">” means each of Banc of America Securities LLC, Barclays Capital Inc., BNP Paribas Securities Corp. and a Primary Treasury Dealer (as defined below) selected by Wachovia Capital Markets, LLC or their affiliates which are primary United States Government Securities dealers, and their respective successors;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of the foregoing shall cease to be a primary United States government securities dealer in the United States (a “</w:t>
      </w:r>
      <w:r>
        <w:rPr>
          <w:rFonts w:ascii="Arial" w:cs="Arial" w:eastAsia="Arial" w:hAnsi="Arial"/>
          <w:sz w:val="16"/>
          <w:szCs w:val="16"/>
          <w:b w:val="1"/>
          <w:bCs w:val="1"/>
          <w:color w:val="auto"/>
        </w:rPr>
        <w:t>Primary Treasury Dealer</w:t>
      </w:r>
      <w:r>
        <w:rPr>
          <w:rFonts w:ascii="Arial" w:cs="Arial" w:eastAsia="Arial" w:hAnsi="Arial"/>
          <w:sz w:val="16"/>
          <w:szCs w:val="16"/>
          <w:color w:val="auto"/>
        </w:rPr>
        <w:t>”), the Issuer will substitute therefor another Primary Treasury Dealer.</w:t>
      </w:r>
    </w:p>
    <w:p>
      <w:pPr>
        <w:spacing w:after="0" w:line="103"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 Quotation</w:t>
      </w:r>
      <w:r>
        <w:rPr>
          <w:rFonts w:ascii="Arial" w:cs="Arial" w:eastAsia="Arial" w:hAnsi="Arial"/>
          <w:sz w:val="16"/>
          <w:szCs w:val="16"/>
          <w:color w:val="auto"/>
        </w:rPr>
        <w:t>” means, with respect to each Reference Treasury Dealer and any redemption date, the average, as determined by the Trustee, of the bid and asked prices for the Comparable Treasury Issue (expressed in case as a percentage of its principal amount) quoted in writing to the Trustee by such Reference Treasury Dealer at 3:30 pm New York time on the third business day preceding such redemption date.</w:t>
      </w:r>
    </w:p>
    <w:p>
      <w:pPr>
        <w:spacing w:after="0" w:line="10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w:t>
      </w:r>
    </w:p>
    <w:p>
      <w:pPr>
        <w:spacing w:after="0" w:line="183"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an Event of Default (other than certain bankruptcy Events of Default with respect to the Issuer or any of the Cable Guarantors) occurs and is continuing, the Trustee or the Holders of at least 25% in aggregate principal amount of Securities then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8" w:name="page29"/>
    <w:bookmarkEnd w:id="28"/>
    <w:p>
      <w:pPr>
        <w:ind w:right="1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may declare all of the Securities to be due and payable immediately in the manner and with the effect provided in the Indenture. If a bankruptcy Event of Default with respect to the Issuer or any of the Cable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Cable Guarantees except as provided in the Indenture. The Trustee is not obligated to enforce the Indenture, the Securities or the Cable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6"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2"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 stockholder, director, officer, employee or incorporator, as such, of the Issuer, any Cable Guarantor or any successor Person thereof shall have any liability for any obligation under the Securities, the Cable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4"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12"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71"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Customary abbreviations may be used in the name of a Holder of a Security or an assignee, such as: TEN COM (= tenants in common), TEN ENT</w:t>
      </w:r>
    </w:p>
    <w:p>
      <w:pPr>
        <w:spacing w:after="0" w:line="3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tenants by the entireties), JT TEN (= joint tenants with right of survivorship and not as tenants in common), CUST (= Custodian), and U/G/M/A (= Uniform Gifts to Minors Act).</w:t>
      </w:r>
    </w:p>
    <w:p>
      <w:pPr>
        <w:spacing w:after="0" w:line="178"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29" w:name="page30"/>
    <w:bookmarkEnd w:id="29"/>
    <w:p>
      <w:pPr>
        <w:ind w:left="446" w:hanging="446"/>
        <w:spacing w:after="0"/>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laws of the State of New York shall govern the Indenture and this Security thereof.</w:t>
      </w:r>
    </w:p>
    <w:p>
      <w:pPr>
        <w:spacing w:after="0" w:line="181" w:lineRule="exact"/>
        <w:rPr>
          <w:sz w:val="20"/>
          <w:szCs w:val="20"/>
          <w:color w:val="auto"/>
        </w:rPr>
      </w:pPr>
    </w:p>
    <w:p>
      <w:pPr>
        <w:ind w:left="522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765"/>
          </w:cols>
          <w:pgMar w:left="694" w:top="280" w:right="1440" w:bottom="1440" w:gutter="0" w:footer="0" w:header="0"/>
        </w:sectPr>
      </w:pPr>
    </w:p>
    <w:bookmarkStart w:id="30" w:name="page31"/>
    <w:bookmarkEnd w:id="30"/>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Arial" w:cs="Arial" w:eastAsia="Arial" w:hAnsi="Arial"/>
                <w:sz w:val="18"/>
                <w:szCs w:val="18"/>
                <w:color w:val="auto"/>
                <w:w w:val="91"/>
              </w:rPr>
              <w:t>and irrevocably appoint</w:t>
            </w:r>
          </w:p>
        </w:tc>
        <w:tc>
          <w:tcPr>
            <w:tcW w:w="3940" w:type="dxa"/>
            <w:vAlign w:val="bottom"/>
            <w:tcBorders>
              <w:bottom w:val="single" w:sz="8" w:color="auto"/>
            </w:tcBorders>
          </w:tcPr>
          <w:p>
            <w:pPr>
              <w:spacing w:after="0"/>
              <w:rPr>
                <w:sz w:val="17"/>
                <w:szCs w:val="17"/>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w w:val="87"/>
              </w:rPr>
              <w:t>agent to transfer this Security on the books of the Issuer. The agent may</w:t>
            </w:r>
          </w:p>
        </w:tc>
      </w:tr>
      <w:tr>
        <w:trPr>
          <w:trHeight w:val="235"/>
        </w:trPr>
        <w:tc>
          <w:tcPr>
            <w:tcW w:w="5660" w:type="dxa"/>
            <w:vAlign w:val="bottom"/>
            <w:gridSpan w:val="2"/>
          </w:tcPr>
          <w:p>
            <w:pPr>
              <w:spacing w:after="0"/>
              <w:rPr>
                <w:sz w:val="20"/>
                <w:szCs w:val="20"/>
                <w:color w:val="auto"/>
              </w:rPr>
            </w:pPr>
            <w:r>
              <w:rPr>
                <w:rFonts w:ascii="Arial" w:cs="Arial" w:eastAsia="Arial" w:hAnsi="Arial"/>
                <w:sz w:val="18"/>
                <w:szCs w:val="18"/>
                <w:color w:val="auto"/>
              </w:rPr>
              <w:t>substitute another to act for him.</w:t>
            </w:r>
          </w:p>
        </w:tc>
        <w:tc>
          <w:tcPr>
            <w:tcW w:w="5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2540</wp:posOffset>
            </wp:positionV>
            <wp:extent cx="31813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-13970</wp:posOffset>
            </wp:positionV>
            <wp:extent cx="2842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42895" cy="8890"/>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5"/>
          <w:szCs w:val="15"/>
          <w:color w:val="auto"/>
        </w:rPr>
        <w:t>(Signed exactly as name appears on the other side of this Security)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2540</wp:posOffset>
            </wp:positionV>
            <wp:extent cx="40563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ind w:left="5160"/>
        <w:spacing w:after="0" w:line="261" w:lineRule="auto"/>
        <w:rPr>
          <w:sz w:val="20"/>
          <w:szCs w:val="20"/>
          <w:color w:val="auto"/>
        </w:rPr>
      </w:pPr>
      <w:r>
        <w:rPr>
          <w:rFonts w:ascii="Arial" w:cs="Arial" w:eastAsia="Arial" w:hAnsi="Arial"/>
          <w:sz w:val="18"/>
          <w:szCs w:val="18"/>
          <w:color w:val="auto"/>
        </w:rPr>
        <w:t>Participant in a recognized Signature Guarantee Medallion Program (or other signature guarantor program reasonably acceptable to the Trustee)</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280" w:right="3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2039]</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6.55% Note Due 2039</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CUSIP No.: 20030N AY7</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ISN No.: US20030NAY76</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9" w:lineRule="exact"/>
        <w:rPr>
          <w:sz w:val="20"/>
          <w:szCs w:val="20"/>
          <w:color w:val="auto"/>
        </w:rPr>
      </w:pPr>
    </w:p>
    <w:p>
      <w:pPr>
        <w:sectPr>
          <w:pgSz w:w="11900" w:h="16838" w:orient="portrait"/>
          <w:cols w:equalWidth="0" w:num="3">
            <w:col w:w="360" w:space="180"/>
            <w:col w:w="8280" w:space="720"/>
            <w:col w:w="1880"/>
          </w:cols>
          <w:pgMar w:left="240" w:top="274" w:right="239" w:bottom="1440" w:gutter="0" w:footer="0" w:header="0"/>
          <w:type w:val="continuous"/>
        </w:sectPr>
      </w:pPr>
    </w:p>
    <w:p>
      <w:pPr>
        <w:ind w:right="200" w:firstLine="456"/>
        <w:spacing w:after="0" w:line="275"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July 1, 2039.</w:t>
      </w:r>
    </w:p>
    <w:p>
      <w:pPr>
        <w:sectPr>
          <w:pgSz w:w="11900" w:h="16838" w:orient="portrait"/>
          <w:cols w:equalWidth="0" w:num="1">
            <w:col w:w="11420"/>
          </w:cols>
          <w:pgMar w:left="240" w:top="274" w:right="239" w:bottom="1440" w:gutter="0" w:footer="0" w:header="0"/>
          <w:type w:val="continuous"/>
        </w:sectPr>
      </w:pP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January 1 and July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January 1, 2010.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December 15 and June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Reference is made to the further provisions of this Security contained herein, which will for all purposes have the same effect as if set forth at this place.</w:t>
      </w:r>
    </w:p>
    <w:p>
      <w:pPr>
        <w:sectPr>
          <w:pgSz w:w="11900" w:h="16838" w:orient="portrait"/>
          <w:cols w:equalWidth="0" w:num="1">
            <w:col w:w="11420"/>
          </w:cols>
          <w:pgMar w:left="240" w:top="274" w:right="239" w:bottom="1440" w:gutter="0" w:footer="0" w:header="0"/>
          <w:type w:val="continuous"/>
        </w:sectPr>
      </w:pPr>
    </w:p>
    <w:bookmarkStart w:id="32" w:name="page33"/>
    <w:bookmarkEnd w:id="3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80"/>
        <w:spacing w:after="0"/>
        <w:rPr>
          <w:sz w:val="20"/>
          <w:szCs w:val="20"/>
          <w:color w:val="auto"/>
        </w:rPr>
      </w:pPr>
      <w:r>
        <w:rPr>
          <w:rFonts w:ascii="Arial" w:cs="Arial" w:eastAsia="Arial" w:hAnsi="Arial"/>
          <w:sz w:val="18"/>
          <w:szCs w:val="18"/>
          <w:color w:val="auto"/>
        </w:rPr>
        <w:t>Name:  William E. Dordelman</w:t>
      </w:r>
    </w:p>
    <w:p>
      <w:pPr>
        <w:spacing w:after="0" w:line="9" w:lineRule="exact"/>
        <w:rPr>
          <w:sz w:val="20"/>
          <w:szCs w:val="20"/>
          <w:color w:val="auto"/>
        </w:rPr>
      </w:pPr>
    </w:p>
    <w:p>
      <w:pPr>
        <w:ind w:left="7280"/>
        <w:spacing w:after="0"/>
        <w:tabs>
          <w:tab w:leader="none" w:pos="7840" w:val="left"/>
        </w:tabs>
        <w:rPr>
          <w:sz w:val="20"/>
          <w:szCs w:val="20"/>
          <w:color w:val="auto"/>
        </w:rPr>
      </w:pPr>
      <w:r>
        <w:rPr>
          <w:rFonts w:ascii="Arial" w:cs="Arial" w:eastAsia="Arial" w:hAnsi="Arial"/>
          <w:sz w:val="18"/>
          <w:szCs w:val="18"/>
          <w:color w:val="auto"/>
        </w:rPr>
        <w:t>Title:</w:t>
        <w:tab/>
        <w:t>Vice President, Treasurer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2540</wp:posOffset>
            </wp:positionV>
            <wp:extent cx="26587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Name:  Arthur R. Block</w:t>
      </w:r>
    </w:p>
    <w:p>
      <w:pPr>
        <w:spacing w:after="0" w:line="9" w:lineRule="exact"/>
        <w:rPr>
          <w:sz w:val="20"/>
          <w:szCs w:val="20"/>
          <w:color w:val="auto"/>
        </w:rPr>
      </w:pPr>
    </w:p>
    <w:p>
      <w:pPr>
        <w:ind w:left="420"/>
        <w:spacing w:after="0"/>
        <w:tabs>
          <w:tab w:leader="none" w:pos="1000" w:val="left"/>
        </w:tabs>
        <w:rPr>
          <w:sz w:val="20"/>
          <w:szCs w:val="20"/>
          <w:color w:val="auto"/>
        </w:rPr>
      </w:pPr>
      <w:r>
        <w:rPr>
          <w:rFonts w:ascii="Arial" w:cs="Arial" w:eastAsia="Arial" w:hAnsi="Arial"/>
          <w:sz w:val="18"/>
          <w:szCs w:val="18"/>
          <w:color w:val="auto"/>
        </w:rPr>
        <w:t>Title:</w:t>
        <w:tab/>
        <w:t>Senior Vice President,</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General Counsel and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is one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June 18,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BANK OF NEW YORK MELLON,</w:t>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as Trustee</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80"/>
        <w:spacing w:after="0"/>
        <w:rPr>
          <w:sz w:val="20"/>
          <w:szCs w:val="20"/>
          <w:color w:val="auto"/>
        </w:rPr>
      </w:pPr>
      <w:r>
        <w:rPr>
          <w:rFonts w:ascii="Arial" w:cs="Arial" w:eastAsia="Arial" w:hAnsi="Arial"/>
          <w:sz w:val="18"/>
          <w:szCs w:val="18"/>
          <w:color w:val="auto"/>
        </w:rPr>
        <w:t>Authorized Signatory</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80" w:right="1440" w:bottom="1440" w:gutter="0" w:footer="0" w:header="0"/>
        </w:sectPr>
      </w:pPr>
    </w:p>
    <w:bookmarkStart w:id="34" w:name="page35"/>
    <w:bookmarkEnd w:id="34"/>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(REVERSE OF SECURITY)</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COMCAST CORPORATION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6.55% Note Due 2039</w:t>
      </w:r>
    </w:p>
    <w:p>
      <w:pPr>
        <w:spacing w:after="0" w:line="212"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w:t>
      </w:r>
    </w:p>
    <w:p>
      <w:pPr>
        <w:spacing w:after="0" w:line="165"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June 18, 2009. The Issuer will pay interest semi-annually in arrears on each Interest Payment Date, commencing January 1, 2010. Interest will be computed on the basis of a 360-day year of twelve 30-day months.</w:t>
      </w:r>
    </w:p>
    <w:p>
      <w:pPr>
        <w:spacing w:after="0" w:line="14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2"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7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63"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65" w:lineRule="exact"/>
        <w:rPr>
          <w:sz w:val="20"/>
          <w:szCs w:val="20"/>
          <w:color w:val="auto"/>
        </w:rPr>
      </w:pPr>
    </w:p>
    <w:p>
      <w:pPr>
        <w:jc w:val="center"/>
        <w:ind w:left="700"/>
        <w:spacing w:after="0" w:line="447" w:lineRule="auto"/>
        <w:rPr>
          <w:sz w:val="20"/>
          <w:szCs w:val="20"/>
          <w:color w:val="auto"/>
        </w:rPr>
      </w:pPr>
      <w:r>
        <w:rPr>
          <w:rFonts w:ascii="Arial" w:cs="Arial" w:eastAsia="Arial" w:hAnsi="Arial"/>
          <w:sz w:val="18"/>
          <w:szCs w:val="18"/>
          <w:color w:val="auto"/>
        </w:rPr>
        <w:t>Initially, The Bank of New York Mellon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 4</w:t>
      </w:r>
    </w:p>
    <w:p>
      <w:pPr>
        <w:sectPr>
          <w:pgSz w:w="11900" w:h="16838" w:orient="portrait"/>
          <w:cols w:equalWidth="0" w:num="1">
            <w:col w:w="11340"/>
          </w:cols>
          <w:pgMar w:left="240" w:top="280" w:right="319" w:bottom="1440" w:gutter="0" w:footer="0" w:header="0"/>
        </w:sectPr>
      </w:pPr>
    </w:p>
    <w:bookmarkStart w:id="35" w:name="page36"/>
    <w:bookmarkEnd w:id="35"/>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Indenture.</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Issuer issued the Securities under an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Issuer, the Cable Guarantors other than Comcast MO of Delaware, LLC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by the First Supplemental Indenture dated as of March 25, 2003 by and among the Issuer, the Cable Guarantors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159"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Cable Guarantees.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Each Cable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7"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7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15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12"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that, all liability of the Trustee and such Paying Agent with respect to such funds shall cease.</w:t>
      </w:r>
    </w:p>
    <w:p>
      <w:pPr>
        <w:spacing w:after="0" w:line="212"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171"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Issuer and the Cable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47"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7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8"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Cable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47"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a redemption price equal to the greater of (i) 100% of the principal amount of such Securities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in each case, 35 basis points plus accrued interest thereon to the date of redemption.</w:t>
      </w:r>
    </w:p>
    <w:p>
      <w:pPr>
        <w:spacing w:after="0" w:line="11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37" w:name="page38"/>
    <w:bookmarkEnd w:id="37"/>
    <w:p>
      <w:pPr>
        <w:ind w:right="8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Comparable Treasury Issue, assuming a price for the Comparable Treasury Issue (expressed as a percentage of its principal amount) equal to the Comparable Treasury Price for such redemption date.</w:t>
      </w:r>
    </w:p>
    <w:p>
      <w:pPr>
        <w:spacing w:after="0" w:line="126" w:lineRule="exact"/>
        <w:rPr>
          <w:sz w:val="20"/>
          <w:szCs w:val="20"/>
          <w:color w:val="auto"/>
        </w:rPr>
      </w:pPr>
    </w:p>
    <w:p>
      <w:pPr>
        <w:jc w:val="both"/>
        <w:ind w:right="10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Comparable Treasury Issue</w:t>
      </w:r>
      <w:r>
        <w:rPr>
          <w:rFonts w:ascii="Arial" w:cs="Arial" w:eastAsia="Arial" w:hAnsi="Arial"/>
          <w:sz w:val="15"/>
          <w:szCs w:val="15"/>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171"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Trustee obtains fewer than four such Reference Treasury Dealer Quotations, the average of all such quotations.</w:t>
      </w:r>
    </w:p>
    <w:p>
      <w:pPr>
        <w:spacing w:after="0" w:line="132"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w:t>
      </w:r>
      <w:r>
        <w:rPr>
          <w:rFonts w:ascii="Arial" w:cs="Arial" w:eastAsia="Arial" w:hAnsi="Arial"/>
          <w:sz w:val="16"/>
          <w:szCs w:val="16"/>
          <w:color w:val="auto"/>
        </w:rPr>
        <w:t xml:space="preserve">” means each of Banc of America Securities LLC, Barclays Capital Inc., BNP Paribas Securities Corp. and a Primary Treasury Dealer (as defined below) selected by Wachovia Capital Markets, LLC or their affiliates which are primary United States Government Securities dealers, and their respective successors;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of the foregoing shall cease to be a primary United States government securities dealer in the United States (a “</w:t>
      </w:r>
      <w:r>
        <w:rPr>
          <w:rFonts w:ascii="Arial" w:cs="Arial" w:eastAsia="Arial" w:hAnsi="Arial"/>
          <w:sz w:val="16"/>
          <w:szCs w:val="16"/>
          <w:b w:val="1"/>
          <w:bCs w:val="1"/>
          <w:color w:val="auto"/>
        </w:rPr>
        <w:t>Primary Treasury Dealer</w:t>
      </w:r>
      <w:r>
        <w:rPr>
          <w:rFonts w:ascii="Arial" w:cs="Arial" w:eastAsia="Arial" w:hAnsi="Arial"/>
          <w:sz w:val="16"/>
          <w:szCs w:val="16"/>
          <w:color w:val="auto"/>
        </w:rPr>
        <w:t>”), the Issuer will substitute therefor another Primary Treasury Dealer.</w:t>
      </w:r>
    </w:p>
    <w:p>
      <w:pPr>
        <w:spacing w:after="0" w:line="103"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 Quotation</w:t>
      </w:r>
      <w:r>
        <w:rPr>
          <w:rFonts w:ascii="Arial" w:cs="Arial" w:eastAsia="Arial" w:hAnsi="Arial"/>
          <w:sz w:val="16"/>
          <w:szCs w:val="16"/>
          <w:color w:val="auto"/>
        </w:rPr>
        <w:t>” means, with respect to each Reference Treasury Dealer and any redemption date, the average, as determined by the Trustee, of the bid and asked prices for the Comparable Treasury Issue (expressed in case as a percentage of its principal amount) quoted in writing to the Trustee by such Reference Treasury Dealer at 3:30 pm New York time on the third business day preceding such redemption date.</w:t>
      </w:r>
    </w:p>
    <w:p>
      <w:pPr>
        <w:spacing w:after="0" w:line="10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w:t>
      </w:r>
    </w:p>
    <w:p>
      <w:pPr>
        <w:spacing w:after="0" w:line="183"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an Event of Default (other than certain bankruptcy Events of Default with respect to the Issuer or any of the Cable Guarantors) occurs and is continuing, the Trustee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8" w:name="page39"/>
    <w:bookmarkEnd w:id="3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Cable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Cable Guarantees except as provided in the Indenture. The Trustee is not obligated to enforce the Indenture, the Securities or the Cable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59"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2"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 stockholder, director, officer, employee or incorporator, as such, of the Issuer, any Cable Guarantor or any successor Person thereof shall have any liability for any obligation under the Securities, the Cable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4"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12"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71"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Customary abbreviations may be used in the name of a Holder of a Security or an assignee, such as: TEN COM (= tenants in common), TEN ENT</w:t>
      </w:r>
    </w:p>
    <w:p>
      <w:pPr>
        <w:spacing w:after="0" w:line="3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tenants by the entireties), JT TEN (= joint tenants with right of survivorship and not as tenants in common), CUST (= Custodian), and U/G/M/A (= Uniform Gifts to Minors Act).</w:t>
      </w:r>
    </w:p>
    <w:p>
      <w:pPr>
        <w:spacing w:after="0" w:line="178"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39" w:name="page40"/>
    <w:bookmarkEnd w:id="3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made as to the accuracy of such numbers as printed on the Securities and reliance may be placed only on the other identification numbers printed hereon.</w:t>
      </w:r>
    </w:p>
    <w:p>
      <w:pPr>
        <w:sectPr>
          <w:pgSz w:w="11900" w:h="16838" w:orient="portrait"/>
          <w:cols w:equalWidth="0" w:num="1">
            <w:col w:w="10760"/>
          </w:cols>
          <w:pgMar w:left="240" w:top="280" w:right="899" w:bottom="1440" w:gutter="0" w:footer="0" w:header="0"/>
        </w:sectPr>
      </w:pPr>
    </w:p>
    <w:p>
      <w:pPr>
        <w:spacing w:after="0" w:line="246"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laws of the State of New York shall govern the Indenture and this Security thereof.</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60"/>
          </w:cols>
          <w:pgMar w:left="240" w:top="280" w:right="899" w:bottom="1440" w:gutter="0" w:footer="0" w:header="0"/>
          <w:type w:val="continuous"/>
        </w:sectPr>
      </w:pPr>
    </w:p>
    <w:bookmarkStart w:id="40" w:name="page41"/>
    <w:bookmarkEnd w:id="40"/>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80" w:type="dxa"/>
            <w:vAlign w:val="bottom"/>
            <w:gridSpan w:val="5"/>
          </w:tcPr>
          <w:p>
            <w:pPr>
              <w:jc w:val="center"/>
              <w:ind w:right="1500"/>
              <w:spacing w:after="0"/>
              <w:rPr>
                <w:sz w:val="20"/>
                <w:szCs w:val="20"/>
                <w:color w:val="auto"/>
              </w:rPr>
            </w:pPr>
            <w:r>
              <w:rPr>
                <w:rFonts w:ascii="Arial" w:cs="Arial" w:eastAsia="Arial" w:hAnsi="Arial"/>
                <w:sz w:val="18"/>
                <w:szCs w:val="18"/>
                <w:color w:val="auto"/>
                <w:w w:val="89"/>
              </w:rPr>
              <w:t>(Insert Social Security or other identifying number of assignee or transferee)</w:t>
            </w:r>
          </w:p>
        </w:tc>
      </w:tr>
      <w:tr>
        <w:trPr>
          <w:trHeight w:val="340"/>
        </w:trPr>
        <w:tc>
          <w:tcPr>
            <w:tcW w:w="1720" w:type="dxa"/>
            <w:vAlign w:val="bottom"/>
            <w:gridSpan w:val="2"/>
          </w:tcPr>
          <w:p>
            <w:pPr>
              <w:spacing w:after="0"/>
              <w:rPr>
                <w:sz w:val="20"/>
                <w:szCs w:val="20"/>
                <w:color w:val="auto"/>
              </w:rPr>
            </w:pPr>
            <w:r>
              <w:rPr>
                <w:rFonts w:ascii="Arial" w:cs="Arial" w:eastAsia="Arial" w:hAnsi="Arial"/>
                <w:sz w:val="18"/>
                <w:szCs w:val="18"/>
                <w:color w:val="auto"/>
                <w:w w:val="91"/>
              </w:rPr>
              <w:t>and irrevocably appoint</w:t>
            </w:r>
          </w:p>
        </w:tc>
        <w:tc>
          <w:tcPr>
            <w:tcW w:w="2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0" w:type="dxa"/>
            <w:vAlign w:val="bottom"/>
            <w:gridSpan w:val="3"/>
          </w:tcPr>
          <w:p>
            <w:pPr>
              <w:ind w:left="40"/>
              <w:spacing w:after="0"/>
              <w:rPr>
                <w:sz w:val="20"/>
                <w:szCs w:val="20"/>
                <w:color w:val="auto"/>
              </w:rPr>
            </w:pPr>
            <w:r>
              <w:rPr>
                <w:rFonts w:ascii="Arial" w:cs="Arial" w:eastAsia="Arial" w:hAnsi="Arial"/>
                <w:sz w:val="18"/>
                <w:szCs w:val="18"/>
                <w:color w:val="auto"/>
                <w:w w:val="87"/>
              </w:rPr>
              <w:t>agent to transfer this Security on the books of the Issuer. The agent may substitute another to act</w:t>
            </w:r>
          </w:p>
        </w:tc>
      </w:tr>
      <w:tr>
        <w:trPr>
          <w:trHeight w:val="235"/>
        </w:trPr>
        <w:tc>
          <w:tcPr>
            <w:tcW w:w="1720" w:type="dxa"/>
            <w:vAlign w:val="bottom"/>
            <w:gridSpan w:val="2"/>
          </w:tcPr>
          <w:p>
            <w:pPr>
              <w:spacing w:after="0"/>
              <w:rPr>
                <w:sz w:val="20"/>
                <w:szCs w:val="20"/>
                <w:color w:val="auto"/>
              </w:rPr>
            </w:pPr>
            <w:r>
              <w:rPr>
                <w:rFonts w:ascii="Arial" w:cs="Arial" w:eastAsia="Arial" w:hAnsi="Arial"/>
                <w:sz w:val="18"/>
                <w:szCs w:val="18"/>
                <w:color w:val="auto"/>
              </w:rPr>
              <w:t>for him.</w:t>
            </w:r>
          </w:p>
        </w:tc>
        <w:tc>
          <w:tcPr>
            <w:tcW w:w="2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80"/>
        </w:trPr>
        <w:tc>
          <w:tcPr>
            <w:tcW w:w="520" w:type="dxa"/>
            <w:vAlign w:val="bottom"/>
          </w:tcPr>
          <w:p>
            <w:pPr>
              <w:spacing w:after="0"/>
              <w:rPr>
                <w:sz w:val="20"/>
                <w:szCs w:val="20"/>
                <w:color w:val="auto"/>
              </w:rPr>
            </w:pPr>
            <w:r>
              <w:rPr>
                <w:rFonts w:ascii="Arial" w:cs="Arial" w:eastAsia="Arial" w:hAnsi="Arial"/>
                <w:sz w:val="18"/>
                <w:szCs w:val="18"/>
                <w:color w:val="auto"/>
                <w:w w:val="94"/>
              </w:rPr>
              <w:t>Dated:</w:t>
            </w:r>
          </w:p>
        </w:tc>
        <w:tc>
          <w:tcPr>
            <w:tcW w:w="12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tcPr>
          <w:p>
            <w:pPr>
              <w:ind w:left="1880"/>
              <w:spacing w:after="0"/>
              <w:rPr>
                <w:sz w:val="20"/>
                <w:szCs w:val="20"/>
                <w:color w:val="auto"/>
              </w:rPr>
            </w:pPr>
            <w:r>
              <w:rPr>
                <w:rFonts w:ascii="Arial" w:cs="Arial" w:eastAsia="Arial" w:hAnsi="Arial"/>
                <w:sz w:val="18"/>
                <w:szCs w:val="18"/>
                <w:color w:val="auto"/>
                <w:w w:val="91"/>
              </w:rPr>
              <w:t>Signed:</w:t>
            </w:r>
          </w:p>
        </w:tc>
        <w:tc>
          <w:tcPr>
            <w:tcW w:w="356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r>
      <w:tr>
        <w:trPr>
          <w:trHeight w:val="228"/>
        </w:trPr>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340" w:type="dxa"/>
            <w:vAlign w:val="bottom"/>
            <w:gridSpan w:val="2"/>
          </w:tcPr>
          <w:p>
            <w:pPr>
              <w:ind w:left="80"/>
              <w:spacing w:after="0"/>
              <w:rPr>
                <w:sz w:val="20"/>
                <w:szCs w:val="20"/>
                <w:color w:val="auto"/>
              </w:rPr>
            </w:pPr>
            <w:r>
              <w:rPr>
                <w:rFonts w:ascii="Arial" w:cs="Arial" w:eastAsia="Arial" w:hAnsi="Arial"/>
                <w:sz w:val="18"/>
                <w:szCs w:val="18"/>
                <w:color w:val="auto"/>
              </w:rPr>
              <w:t>(Signed exactly as name appears on the</w:t>
            </w:r>
          </w:p>
        </w:tc>
      </w:tr>
      <w:tr>
        <w:trPr>
          <w:trHeight w:val="222"/>
        </w:trPr>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340" w:type="dxa"/>
            <w:vAlign w:val="bottom"/>
            <w:gridSpan w:val="2"/>
          </w:tcPr>
          <w:p>
            <w:pPr>
              <w:ind w:left="80"/>
              <w:spacing w:after="0"/>
              <w:rPr>
                <w:sz w:val="20"/>
                <w:szCs w:val="20"/>
                <w:color w:val="auto"/>
              </w:rPr>
            </w:pPr>
            <w:r>
              <w:rPr>
                <w:rFonts w:ascii="Arial" w:cs="Arial" w:eastAsia="Arial" w:hAnsi="Arial"/>
                <w:sz w:val="18"/>
                <w:szCs w:val="18"/>
                <w:color w:val="auto"/>
              </w:rPr>
              <w:t>other side of this Security)</w:t>
            </w:r>
          </w:p>
        </w:tc>
      </w:tr>
      <w:tr>
        <w:trPr>
          <w:trHeight w:val="817"/>
        </w:trPr>
        <w:tc>
          <w:tcPr>
            <w:tcW w:w="1720" w:type="dxa"/>
            <w:vAlign w:val="bottom"/>
            <w:gridSpan w:val="2"/>
          </w:tcPr>
          <w:p>
            <w:pPr>
              <w:spacing w:after="0"/>
              <w:rPr>
                <w:sz w:val="20"/>
                <w:szCs w:val="20"/>
                <w:color w:val="auto"/>
              </w:rPr>
            </w:pPr>
            <w:r>
              <w:rPr>
                <w:rFonts w:ascii="Arial" w:cs="Arial" w:eastAsia="Arial" w:hAnsi="Arial"/>
                <w:sz w:val="18"/>
                <w:szCs w:val="18"/>
                <w:color w:val="auto"/>
                <w:w w:val="98"/>
              </w:rPr>
              <w:t>Signature Guarantee:</w:t>
            </w:r>
          </w:p>
        </w:tc>
        <w:tc>
          <w:tcPr>
            <w:tcW w:w="8700" w:type="dxa"/>
            <w:vAlign w:val="bottom"/>
            <w:gridSpan w:val="4"/>
          </w:tcPr>
          <w:p>
            <w:pPr>
              <w:ind w:left="1020"/>
              <w:spacing w:after="0"/>
              <w:rPr>
                <w:sz w:val="20"/>
                <w:szCs w:val="20"/>
                <w:color w:val="auto"/>
              </w:rPr>
            </w:pPr>
            <w:r>
              <w:rPr>
                <w:rFonts w:ascii="Arial" w:cs="Arial" w:eastAsia="Arial" w:hAnsi="Arial"/>
                <w:sz w:val="18"/>
                <w:szCs w:val="18"/>
                <w:color w:val="auto"/>
              </w:rPr>
              <w:t>____________________________________________________________________________</w:t>
            </w:r>
          </w:p>
        </w:tc>
        <w:tc>
          <w:tcPr>
            <w:tcW w:w="78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80" w:type="dxa"/>
            <w:vAlign w:val="bottom"/>
            <w:gridSpan w:val="5"/>
          </w:tcPr>
          <w:p>
            <w:pPr>
              <w:ind w:left="1020"/>
              <w:spacing w:after="0"/>
              <w:rPr>
                <w:sz w:val="20"/>
                <w:szCs w:val="20"/>
                <w:color w:val="auto"/>
              </w:rPr>
            </w:pPr>
            <w:r>
              <w:rPr>
                <w:rFonts w:ascii="Arial" w:cs="Arial" w:eastAsia="Arial" w:hAnsi="Arial"/>
                <w:sz w:val="18"/>
                <w:szCs w:val="18"/>
                <w:color w:val="auto"/>
                <w:w w:val="89"/>
              </w:rPr>
              <w:t>Participant in a recognized Signature Guarantee Medallion Program (or other signature guarantor program reasonably</w:t>
            </w:r>
          </w:p>
        </w:tc>
      </w:tr>
      <w:tr>
        <w:trPr>
          <w:trHeight w:val="222"/>
        </w:trPr>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80" w:type="dxa"/>
            <w:vAlign w:val="bottom"/>
            <w:gridSpan w:val="5"/>
          </w:tcPr>
          <w:p>
            <w:pPr>
              <w:ind w:left="1020"/>
              <w:spacing w:after="0"/>
              <w:rPr>
                <w:sz w:val="20"/>
                <w:szCs w:val="20"/>
                <w:color w:val="auto"/>
              </w:rPr>
            </w:pPr>
            <w:r>
              <w:rPr>
                <w:rFonts w:ascii="Arial" w:cs="Arial" w:eastAsia="Arial" w:hAnsi="Arial"/>
                <w:sz w:val="18"/>
                <w:szCs w:val="18"/>
                <w:color w:val="auto"/>
              </w:rPr>
              <w:t>acceptable to the Trustee)</w:t>
            </w:r>
          </w:p>
        </w:tc>
      </w:tr>
      <w:tr>
        <w:trPr>
          <w:trHeight w:val="378"/>
        </w:trPr>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140" w:type="dxa"/>
            <w:vAlign w:val="bottom"/>
            <w:gridSpan w:val="3"/>
          </w:tcPr>
          <w:p>
            <w:pPr>
              <w:jc w:val="right"/>
              <w:ind w:right="972"/>
              <w:spacing w:after="0"/>
              <w:rPr>
                <w:sz w:val="20"/>
                <w:szCs w:val="20"/>
                <w:color w:val="auto"/>
              </w:rPr>
            </w:pPr>
            <w:r>
              <w:rPr>
                <w:rFonts w:ascii="Arial" w:cs="Arial" w:eastAsia="Arial" w:hAnsi="Arial"/>
                <w:sz w:val="18"/>
                <w:szCs w:val="18"/>
                <w:color w:val="auto"/>
              </w:rPr>
              <w:t>10</w:t>
            </w:r>
          </w:p>
        </w:tc>
        <w:tc>
          <w:tcPr>
            <w:tcW w:w="35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200"/>
          </w:cols>
          <w:pgMar w:left="240" w:top="280" w:right="4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5.1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2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June 17,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 am Senior Vice President, General Counsel and Secretary of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have acted for the Company in connection with the issuance by the Company, pursuant to the Underwriting Agreement dated June 15, 2009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the Cable Guarantors (as defined below) and Banc of America Securities LLC, Barclays Capital Inc., BNP Paribas Securities Corp. and Wachovia Capital Markets, LLC, as representatives of the several underwriters named therein (the “</w:t>
      </w:r>
      <w:r>
        <w:rPr>
          <w:rFonts w:ascii="Arial" w:cs="Arial" w:eastAsia="Arial" w:hAnsi="Arial"/>
          <w:sz w:val="16"/>
          <w:szCs w:val="16"/>
          <w:b w:val="1"/>
          <w:bCs w:val="1"/>
          <w:color w:val="auto"/>
        </w:rPr>
        <w:t>Underwriters</w:t>
      </w:r>
      <w:r>
        <w:rPr>
          <w:rFonts w:ascii="Arial" w:cs="Arial" w:eastAsia="Arial" w:hAnsi="Arial"/>
          <w:sz w:val="16"/>
          <w:szCs w:val="16"/>
          <w:color w:val="auto"/>
        </w:rPr>
        <w:t>”), of $700,000,000 aggregate principal amount of its 5.70% Notes Due 2019 and $800,000,000 aggregate principal amount of its 6.55% Notes Due 2039 (collectively,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 of the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Company, the Cable Guarantors (other than Comcast MO of Delaware, LLC)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by the First Supplemental Indenture dated as of March 25, 2003 by and among the Company, the Cable Guarantors and the Trustee, and guaranteed (the “</w:t>
      </w:r>
      <w:r>
        <w:rPr>
          <w:rFonts w:ascii="Arial" w:cs="Arial" w:eastAsia="Arial" w:hAnsi="Arial"/>
          <w:sz w:val="16"/>
          <w:szCs w:val="16"/>
          <w:b w:val="1"/>
          <w:bCs w:val="1"/>
          <w:color w:val="auto"/>
        </w:rPr>
        <w:t>Cable</w:t>
      </w:r>
      <w:r>
        <w:rPr>
          <w:rFonts w:ascii="Arial" w:cs="Arial" w:eastAsia="Arial" w:hAnsi="Arial"/>
          <w:sz w:val="16"/>
          <w:szCs w:val="16"/>
          <w:color w:val="auto"/>
        </w:rPr>
        <w:t xml:space="preserve"> </w:t>
      </w:r>
      <w:r>
        <w:rPr>
          <w:rFonts w:ascii="Arial" w:cs="Arial" w:eastAsia="Arial" w:hAnsi="Arial"/>
          <w:sz w:val="16"/>
          <w:szCs w:val="16"/>
          <w:b w:val="1"/>
          <w:bCs w:val="1"/>
          <w:color w:val="auto"/>
        </w:rPr>
        <w:t>Guarantees</w:t>
      </w:r>
      <w:r>
        <w:rPr>
          <w:rFonts w:ascii="Arial" w:cs="Arial" w:eastAsia="Arial" w:hAnsi="Arial"/>
          <w:sz w:val="16"/>
          <w:szCs w:val="16"/>
          <w:color w:val="auto"/>
        </w:rPr>
        <w:t>”) on an unsecured and unsubordinated basis by Comcast Cable Communications, LLC (formerly known as Comcast Cable Communications, Inc.),</w:t>
      </w:r>
      <w:r>
        <w:rPr>
          <w:rFonts w:ascii="Arial" w:cs="Arial" w:eastAsia="Arial" w:hAnsi="Arial"/>
          <w:sz w:val="16"/>
          <w:szCs w:val="16"/>
          <w:b w:val="1"/>
          <w:bCs w:val="1"/>
          <w:color w:val="auto"/>
        </w:rPr>
        <w:t xml:space="preserve"> </w:t>
      </w:r>
      <w:r>
        <w:rPr>
          <w:rFonts w:ascii="Arial" w:cs="Arial" w:eastAsia="Arial" w:hAnsi="Arial"/>
          <w:sz w:val="16"/>
          <w:szCs w:val="16"/>
          <w:color w:val="auto"/>
        </w:rPr>
        <w:t>Comcast Cable Communications Holdings, Inc., Comcast Cable Holdings, LLC, Comcast MO Group, Inc., and Comcast MO of Delaware, LLC (formerly known as Comcast MO of Delaware, Inc.) (the “</w:t>
      </w:r>
      <w:r>
        <w:rPr>
          <w:rFonts w:ascii="Arial" w:cs="Arial" w:eastAsia="Arial" w:hAnsi="Arial"/>
          <w:sz w:val="16"/>
          <w:szCs w:val="16"/>
          <w:b w:val="1"/>
          <w:bCs w:val="1"/>
          <w:color w:val="auto"/>
        </w:rPr>
        <w:t>Cable Guarantors</w:t>
      </w:r>
      <w:r>
        <w:rPr>
          <w:rFonts w:ascii="Arial" w:cs="Arial" w:eastAsia="Arial" w:hAnsi="Arial"/>
          <w:sz w:val="16"/>
          <w:szCs w:val="16"/>
          <w:color w:val="auto"/>
        </w:rPr>
        <w:t>”).</w:t>
      </w:r>
    </w:p>
    <w:p>
      <w:pPr>
        <w:sectPr>
          <w:pgSz w:w="11900" w:h="16838" w:orient="portrait"/>
          <w:cols w:equalWidth="0" w:num="1">
            <w:col w:w="11420"/>
          </w:cols>
          <w:pgMar w:left="240" w:top="125" w:right="239" w:bottom="1440" w:gutter="0" w:footer="0" w:header="0"/>
        </w:sectPr>
      </w:pPr>
    </w:p>
    <w:bookmarkStart w:id="42" w:name="page43"/>
    <w:bookmarkEnd w:id="42"/>
    <w:p>
      <w:pPr>
        <w:spacing w:after="0"/>
        <w:tabs>
          <w:tab w:leader="none" w:pos="5780" w:val="left"/>
          <w:tab w:leader="none" w:pos="10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June 17, 2009</w:t>
      </w:r>
    </w:p>
    <w:p>
      <w:pPr>
        <w:spacing w:after="0" w:line="15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I am of the opinion that:</w:t>
      </w:r>
    </w:p>
    <w:p>
      <w:pPr>
        <w:spacing w:after="0" w:line="171" w:lineRule="exact"/>
        <w:rPr>
          <w:sz w:val="20"/>
          <w:szCs w:val="20"/>
          <w:color w:val="auto"/>
        </w:rPr>
      </w:pPr>
    </w:p>
    <w:p>
      <w:pPr>
        <w:ind w:left="640" w:hanging="17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 hereby consent to the filing of this opinion as an exhibit to a report on Form 8-K filed by the Company on the date hereof and its incorporation by reference into the Company’s registration statement on Form S-3 (File No. 333-158816).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This opinion is rendered solely to you in connection with the above matter. This opinion may not be relied upon by you for any other purpose or relied upon by or furnished to any other person without my prior written consent.</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Arthur R. Block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R. Block</w:t>
      </w:r>
    </w:p>
    <w:p>
      <w:pPr>
        <w:sectPr>
          <w:pgSz w:w="11900" w:h="16838" w:orient="portrait"/>
          <w:cols w:equalWidth="0" w:num="1">
            <w:col w:w="11420"/>
          </w:cols>
          <w:pgMar w:left="240" w:top="2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5.2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DAVIS POLK &amp; WARDWELL]</w:t>
      </w:r>
    </w:p>
    <w:p>
      <w:pPr>
        <w:spacing w:after="0" w:line="165"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June 17, 2009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acted as counsel to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issuance by the Company, pursuant to the Underwriting Agreement dated June 15, 2009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the Cable Guarantors (as defined below) and Banc of America Securities LLC, Barclays Capital Inc., BNP Paribas Securities Corp. and Wachovia Capital Markets, LLC, as representatives of the several underwriters named therein (the “</w:t>
      </w:r>
      <w:r>
        <w:rPr>
          <w:rFonts w:ascii="Arial" w:cs="Arial" w:eastAsia="Arial" w:hAnsi="Arial"/>
          <w:sz w:val="16"/>
          <w:szCs w:val="16"/>
          <w:b w:val="1"/>
          <w:bCs w:val="1"/>
          <w:color w:val="auto"/>
        </w:rPr>
        <w:t>Underwriters</w:t>
      </w:r>
      <w:r>
        <w:rPr>
          <w:rFonts w:ascii="Arial" w:cs="Arial" w:eastAsia="Arial" w:hAnsi="Arial"/>
          <w:sz w:val="16"/>
          <w:szCs w:val="16"/>
          <w:color w:val="auto"/>
        </w:rPr>
        <w:t>”), of $700,000,000 aggregate principal amount of its 5.70% Notes Due 2019 and $800,000,000 aggregate principal amount of its 6.55% Notes Due 2039 (collectively,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 of the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Company, the Cable Guarantors (other than Comcast MO of Delaware, LLC)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by the First Supplemental Indenture dated as of March 25, 2003 by and among the Company, the Cable Guarantors and the Trustee, and guaranteed (the “</w:t>
      </w:r>
      <w:r>
        <w:rPr>
          <w:rFonts w:ascii="Arial" w:cs="Arial" w:eastAsia="Arial" w:hAnsi="Arial"/>
          <w:sz w:val="16"/>
          <w:szCs w:val="16"/>
          <w:b w:val="1"/>
          <w:bCs w:val="1"/>
          <w:color w:val="auto"/>
        </w:rPr>
        <w:t>Cable Guarantees</w:t>
      </w:r>
      <w:r>
        <w:rPr>
          <w:rFonts w:ascii="Arial" w:cs="Arial" w:eastAsia="Arial" w:hAnsi="Arial"/>
          <w:sz w:val="16"/>
          <w:szCs w:val="16"/>
          <w:color w:val="auto"/>
        </w:rPr>
        <w:t>”) on an unsecured and unsubordinated basis by Comcast Cable Communications, LLC (formerly known as Comcast Cable Communications, Inc.), Comcast Cable Communications Holdings, Inc., Comcast Cable Holdings, LLC,</w:t>
      </w:r>
    </w:p>
    <w:p>
      <w:pPr>
        <w:sectPr>
          <w:pgSz w:w="11900" w:h="16838" w:orient="portrait"/>
          <w:cols w:equalWidth="0" w:num="1">
            <w:col w:w="11420"/>
          </w:cols>
          <w:pgMar w:left="240" w:top="125" w:right="239" w:bottom="1440" w:gutter="0" w:footer="0" w:header="0"/>
        </w:sectPr>
      </w:pPr>
    </w:p>
    <w:bookmarkStart w:id="44" w:name="page45"/>
    <w:bookmarkEnd w:id="44"/>
    <w:p>
      <w:pPr>
        <w:ind w:left="5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Comcast MO Group, Inc., and Comcast MO of Delaware, LLC (formerly known as Comcast MO of Delaware, Inc.) (the “</w:t>
      </w:r>
      <w:r>
        <w:rPr>
          <w:rFonts w:ascii="Arial" w:cs="Arial" w:eastAsia="Arial" w:hAnsi="Arial"/>
          <w:sz w:val="18"/>
          <w:szCs w:val="18"/>
          <w:b w:val="1"/>
          <w:bCs w:val="1"/>
          <w:color w:val="auto"/>
        </w:rPr>
        <w:t>Cable Guarantors</w:t>
      </w:r>
      <w:r>
        <w:rPr>
          <w:rFonts w:ascii="Arial" w:cs="Arial" w:eastAsia="Arial" w:hAnsi="Arial"/>
          <w:sz w:val="18"/>
          <w:szCs w:val="18"/>
          <w:color w:val="auto"/>
        </w:rPr>
        <w:t>”).</w:t>
      </w:r>
    </w:p>
    <w:p>
      <w:pPr>
        <w:spacing w:after="0" w:line="177"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We, as your counsel, have examined originals or copies, certified or otherwise identified to our satisfaction, of such documents, corporate records, certificates of public officials and other instruments as we have deemed necessary or advisable for the purpose of rendering this opinion.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we are of the opinion that:</w:t>
      </w:r>
    </w:p>
    <w:p>
      <w:pPr>
        <w:spacing w:after="0" w:line="90" w:lineRule="exact"/>
        <w:rPr>
          <w:sz w:val="20"/>
          <w:szCs w:val="20"/>
          <w:color w:val="auto"/>
        </w:rPr>
      </w:pPr>
    </w:p>
    <w:p>
      <w:pPr>
        <w:ind w:right="300" w:firstLine="464"/>
        <w:spacing w:after="0" w:line="294" w:lineRule="auto"/>
        <w:tabs>
          <w:tab w:leader="none" w:pos="705" w:val="left"/>
        </w:tabs>
        <w:numPr>
          <w:ilvl w:val="0"/>
          <w:numId w:val="45"/>
        </w:numPr>
        <w:rPr>
          <w:rFonts w:ascii="Arial" w:cs="Arial" w:eastAsia="Arial" w:hAnsi="Arial"/>
          <w:sz w:val="16"/>
          <w:szCs w:val="16"/>
          <w:color w:val="auto"/>
        </w:rPr>
      </w:pPr>
      <w:r>
        <w:rPr>
          <w:rFonts w:ascii="Arial" w:cs="Arial" w:eastAsia="Arial" w:hAnsi="Arial"/>
          <w:sz w:val="16"/>
          <w:szCs w:val="16"/>
          <w:color w:val="auto"/>
        </w:rPr>
        <w:t>Assuming the Indenture has been duly authorized, executed and delivered by the Trustee and the Company, the Indenture is a valid and binding agreement of the Company and the Cable Guarantors, enforceable against the Company and the Cable Guarantors in accordance with its terms, subject to applicable bankruptcy, insolvency and similar laws affecting creditors’ rights generally, concepts of reasonableness and equitable principles of general applicability, provided that we express no opinion as to the validity, legally binding effect or enforceability of any provision that permits holders to collect any portion of stated principal amount upon acceleration of the Notes to the extent determined to constitute unearned interest.</w:t>
      </w:r>
    </w:p>
    <w:p>
      <w:pPr>
        <w:spacing w:after="0" w:line="115" w:lineRule="exact"/>
        <w:rPr>
          <w:rFonts w:ascii="Arial" w:cs="Arial" w:eastAsia="Arial" w:hAnsi="Arial"/>
          <w:sz w:val="16"/>
          <w:szCs w:val="16"/>
          <w:color w:val="auto"/>
        </w:rPr>
      </w:pPr>
    </w:p>
    <w:p>
      <w:pPr>
        <w:ind w:firstLine="464"/>
        <w:spacing w:after="0" w:line="290" w:lineRule="auto"/>
        <w:tabs>
          <w:tab w:leader="none" w:pos="70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Cable Guarantees have been duly authorized, and, assuming the Notes have been duly authorized by the Company, when the Notes have been duly executed and authenticated in accordance with the provisions of the Indenture and delivered to and paid for by the Underwriters in accordance with the terms of the Underwriting Agreement, the Notes will be valid and binding obligations of the Company and the Cable Guarantees will be valid and binding obligations of the Cable Guarantors, in each case enforceable against the Cable Guarantors in accordance with their terms, subject to applicable bankruptcy, insolvency and similar laws affecting creditors’ rights generally, concepts of reasonableness and equitable principles of general applicability, and will be entitled to the benefits of the Indenture, provided that we express no opinion as to the validity, legally binding effect or enforceability of any provision that permits holders to collect any portion of stated principal amount upon acceleration of the Notes to the extent determined to constitute unearned interest.</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the federal laws of the United States of America and the General Corporation Law of the State of Delaware.</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hereby consent to the filing of this opinion as an exhibit to a report on Form 8-K filed by the Company on the date hereof and its incorporation by reference into the Company’s registration statement on Form S-3 (File No. 333-158816). In addition, we consent to the reference to our name under the caption “Legal Matters” in the prospectus, which is a part of the registration statement. In giving this consent, we do not admit that we are in the category of persons whose consent is required under Section 7 of the Securities Act of 1933, as amended.</w:t>
      </w:r>
    </w:p>
    <w:p>
      <w:pPr>
        <w:sectPr>
          <w:pgSz w:w="11900" w:h="16838" w:orient="portrait"/>
          <w:cols w:equalWidth="0" w:num="1">
            <w:col w:w="11420"/>
          </w:cols>
          <w:pgMar w:left="240" w:top="280" w:right="239" w:bottom="1440" w:gutter="0" w:footer="0" w:header="0"/>
        </w:sectPr>
      </w:pPr>
    </w:p>
    <w:bookmarkStart w:id="45" w:name="page46"/>
    <w:bookmarkEnd w:id="45"/>
    <w:p>
      <w:pPr>
        <w:jc w:val="center"/>
        <w:ind w:left="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opinion is rendered solely to you in connection with the above matter. This opinion may not be relied upon by you for any other purpose or relied upon by or furnished to any other person without our prior written consent.</w:t>
      </w:r>
    </w:p>
    <w:p>
      <w:pPr>
        <w:spacing w:after="0" w:line="2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Davis Polk &amp; Wardwell</w:t>
      </w:r>
    </w:p>
    <w:sectPr>
      <w:pgSz w:w="11900" w:h="16838" w:orient="portrait"/>
      <w:cols w:equalWidth="0" w:num="1">
        <w:col w:w="11040"/>
      </w:cols>
      <w:pgMar w:left="240" w:top="28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1"/>
    </w:lvl>
  </w:abstractNum>
  <w:abstractNum w:abstractNumId="2">
    <w:nsid w:val="75A2A8D4"/>
    <w:multiLevelType w:val="hybridMultilevel"/>
    <w:lvl w:ilvl="0">
      <w:lvlJc w:val="left"/>
      <w:lvlText w:val="1"/>
      <w:numFmt w:val="bullet"/>
      <w:start w:val="1"/>
    </w:lvl>
  </w:abstractNum>
  <w:abstractNum w:abstractNumId="3">
    <w:nsid w:val="8EDBDAB"/>
    <w:multiLevelType w:val="hybridMultilevel"/>
    <w:lvl w:ilvl="0">
      <w:lvlJc w:val="left"/>
      <w:lvlText w:val="(%1)"/>
      <w:numFmt w:val="lowerRoman"/>
      <w:start w:val="2"/>
    </w:lvl>
  </w:abstractNum>
  <w:abstractNum w:abstractNumId="4">
    <w:nsid w:val="79838CB2"/>
    <w:multiLevelType w:val="hybridMultilevel"/>
    <w:lvl w:ilvl="0">
      <w:lvlJc w:val="left"/>
      <w:lvlText w:val="(%1)"/>
      <w:numFmt w:val="lowerRoman"/>
      <w:start w:val="2"/>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2"/>
    </w:lvl>
  </w:abstractNum>
  <w:abstractNum w:abstractNumId="7">
    <w:nsid w:val="189A769B"/>
    <w:multiLevelType w:val="hybridMultilevel"/>
    <w:lvl w:ilvl="0">
      <w:lvlJc w:val="left"/>
      <w:lvlText w:val="%1."/>
      <w:numFmt w:val="decimal"/>
      <w:start w:val="3"/>
    </w:lvl>
  </w:abstractNum>
  <w:abstractNum w:abstractNumId="8">
    <w:nsid w:val="54E49EB4"/>
    <w:multiLevelType w:val="hybridMultilevel"/>
    <w:lvl w:ilvl="0">
      <w:lvlJc w:val="left"/>
      <w:lvlText w:val="%1."/>
      <w:numFmt w:val="decimal"/>
      <w:start w:val="4"/>
    </w:lvl>
  </w:abstractNum>
  <w:abstractNum w:abstractNumId="9">
    <w:nsid w:val="71F32454"/>
    <w:multiLevelType w:val="hybridMultilevel"/>
    <w:lvl w:ilvl="0">
      <w:lvlJc w:val="left"/>
      <w:lvlText w:val="%1."/>
      <w:numFmt w:val="decimal"/>
      <w:start w:val="5"/>
    </w:lvl>
  </w:abstractNum>
  <w:abstractNum w:abstractNumId="10">
    <w:nsid w:val="2CA88611"/>
    <w:multiLevelType w:val="hybridMultilevel"/>
    <w:lvl w:ilvl="0">
      <w:lvlJc w:val="left"/>
      <w:lvlText w:val="%1."/>
      <w:numFmt w:val="decimal"/>
      <w:start w:val="6"/>
    </w:lvl>
  </w:abstractNum>
  <w:abstractNum w:abstractNumId="11">
    <w:nsid w:val="836C40E"/>
    <w:multiLevelType w:val="hybridMultilevel"/>
    <w:lvl w:ilvl="0">
      <w:lvlJc w:val="left"/>
      <w:lvlText w:val="%1."/>
      <w:numFmt w:val="decimal"/>
      <w:start w:val="7"/>
    </w:lvl>
  </w:abstractNum>
  <w:abstractNum w:abstractNumId="12">
    <w:nsid w:val="2901D82"/>
    <w:multiLevelType w:val="hybridMultilevel"/>
    <w:lvl w:ilvl="0">
      <w:lvlJc w:val="left"/>
      <w:lvlText w:val="%1."/>
      <w:numFmt w:val="decimal"/>
      <w:start w:val="8"/>
    </w:lvl>
  </w:abstractNum>
  <w:abstractNum w:abstractNumId="13">
    <w:nsid w:val="3A95F874"/>
    <w:multiLevelType w:val="hybridMultilevel"/>
    <w:lvl w:ilvl="0">
      <w:lvlJc w:val="left"/>
      <w:lvlText w:val="%1."/>
      <w:numFmt w:val="decimal"/>
      <w:start w:val="9"/>
    </w:lvl>
  </w:abstractNum>
  <w:abstractNum w:abstractNumId="14">
    <w:nsid w:val="8138641"/>
    <w:multiLevelType w:val="hybridMultilevel"/>
    <w:lvl w:ilvl="0">
      <w:lvlJc w:val="left"/>
      <w:lvlText w:val="%1."/>
      <w:numFmt w:val="decimal"/>
      <w:start w:val="10"/>
    </w:lvl>
  </w:abstractNum>
  <w:abstractNum w:abstractNumId="15">
    <w:nsid w:val="1E7FF521"/>
    <w:multiLevelType w:val="hybridMultilevel"/>
    <w:lvl w:ilvl="0">
      <w:lvlJc w:val="left"/>
      <w:lvlText w:val="%1."/>
      <w:numFmt w:val="decimal"/>
      <w:start w:val="11"/>
    </w:lvl>
  </w:abstractNum>
  <w:abstractNum w:abstractNumId="16">
    <w:nsid w:val="7C3DBD3D"/>
    <w:multiLevelType w:val="hybridMultilevel"/>
    <w:lvl w:ilvl="0">
      <w:lvlJc w:val="left"/>
      <w:lvlText w:val="%1."/>
      <w:numFmt w:val="decimal"/>
      <w:start w:val="12"/>
    </w:lvl>
  </w:abstractNum>
  <w:abstractNum w:abstractNumId="17">
    <w:nsid w:val="737B8DDC"/>
    <w:multiLevelType w:val="hybridMultilevel"/>
    <w:lvl w:ilvl="0">
      <w:lvlJc w:val="left"/>
      <w:lvlText w:val="%1."/>
      <w:numFmt w:val="decimal"/>
      <w:start w:val="13"/>
    </w:lvl>
  </w:abstractNum>
  <w:abstractNum w:abstractNumId="18">
    <w:nsid w:val="6CEAF087"/>
    <w:multiLevelType w:val="hybridMultilevel"/>
    <w:lvl w:ilvl="0">
      <w:lvlJc w:val="left"/>
      <w:lvlText w:val="%1."/>
      <w:numFmt w:val="decimal"/>
      <w:start w:val="14"/>
    </w:lvl>
  </w:abstractNum>
  <w:abstractNum w:abstractNumId="19">
    <w:nsid w:val="22221A70"/>
    <w:multiLevelType w:val="hybridMultilevel"/>
    <w:lvl w:ilvl="0">
      <w:lvlJc w:val="left"/>
      <w:lvlText w:val="%1."/>
      <w:numFmt w:val="decimal"/>
      <w:start w:val="15"/>
    </w:lvl>
  </w:abstractNum>
  <w:abstractNum w:abstractNumId="20">
    <w:nsid w:val="4516DDE9"/>
    <w:multiLevelType w:val="hybridMultilevel"/>
    <w:lvl w:ilvl="0">
      <w:lvlJc w:val="left"/>
      <w:lvlText w:val="%1."/>
      <w:numFmt w:val="decimal"/>
      <w:start w:val="16"/>
    </w:lvl>
  </w:abstractNum>
  <w:abstractNum w:abstractNumId="21">
    <w:nsid w:val="3006C83E"/>
    <w:multiLevelType w:val="hybridMultilevel"/>
    <w:lvl w:ilvl="0">
      <w:lvlJc w:val="left"/>
      <w:lvlText w:val="%1."/>
      <w:numFmt w:val="decimal"/>
      <w:start w:val="17"/>
    </w:lvl>
  </w:abstractNum>
  <w:abstractNum w:abstractNumId="22">
    <w:nsid w:val="614FD4A1"/>
    <w:multiLevelType w:val="hybridMultilevel"/>
    <w:lvl w:ilvl="0">
      <w:lvlJc w:val="left"/>
      <w:lvlText w:val="%1."/>
      <w:numFmt w:val="decimal"/>
      <w:start w:val="18"/>
    </w:lvl>
  </w:abstractNum>
  <w:abstractNum w:abstractNumId="23">
    <w:nsid w:val="419AC241"/>
    <w:multiLevelType w:val="hybridMultilevel"/>
    <w:lvl w:ilvl="0">
      <w:lvlJc w:val="left"/>
      <w:lvlText w:val="%1."/>
      <w:numFmt w:val="decimal"/>
      <w:start w:val="19"/>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2"/>
    </w:lvl>
  </w:abstractNum>
  <w:abstractNum w:abstractNumId="26">
    <w:nsid w:val="5072367"/>
    <w:multiLevelType w:val="hybridMultilevel"/>
    <w:lvl w:ilvl="0">
      <w:lvlJc w:val="left"/>
      <w:lvlText w:val="%1."/>
      <w:numFmt w:val="decimal"/>
      <w:start w:val="3"/>
    </w:lvl>
  </w:abstractNum>
  <w:abstractNum w:abstractNumId="27">
    <w:nsid w:val="3804823E"/>
    <w:multiLevelType w:val="hybridMultilevel"/>
    <w:lvl w:ilvl="0">
      <w:lvlJc w:val="left"/>
      <w:lvlText w:val="%1."/>
      <w:numFmt w:val="decimal"/>
      <w:start w:val="4"/>
    </w:lvl>
  </w:abstractNum>
  <w:abstractNum w:abstractNumId="28">
    <w:nsid w:val="77465F01"/>
    <w:multiLevelType w:val="hybridMultilevel"/>
    <w:lvl w:ilvl="0">
      <w:lvlJc w:val="left"/>
      <w:lvlText w:val="%1."/>
      <w:numFmt w:val="decimal"/>
      <w:start w:val="5"/>
    </w:lvl>
  </w:abstractNum>
  <w:abstractNum w:abstractNumId="29">
    <w:nsid w:val="7724C67E"/>
    <w:multiLevelType w:val="hybridMultilevel"/>
    <w:lvl w:ilvl="0">
      <w:lvlJc w:val="left"/>
      <w:lvlText w:val="%1."/>
      <w:numFmt w:val="decimal"/>
      <w:start w:val="6"/>
    </w:lvl>
  </w:abstractNum>
  <w:abstractNum w:abstractNumId="30">
    <w:nsid w:val="5C482A97"/>
    <w:multiLevelType w:val="hybridMultilevel"/>
    <w:lvl w:ilvl="0">
      <w:lvlJc w:val="left"/>
      <w:lvlText w:val="%1."/>
      <w:numFmt w:val="decimal"/>
      <w:start w:val="7"/>
    </w:lvl>
  </w:abstractNum>
  <w:abstractNum w:abstractNumId="31">
    <w:nsid w:val="2463B9EA"/>
    <w:multiLevelType w:val="hybridMultilevel"/>
    <w:lvl w:ilvl="0">
      <w:lvlJc w:val="left"/>
      <w:lvlText w:val="%1."/>
      <w:numFmt w:val="decimal"/>
      <w:start w:val="8"/>
    </w:lvl>
  </w:abstractNum>
  <w:abstractNum w:abstractNumId="32">
    <w:nsid w:val="5E884ADC"/>
    <w:multiLevelType w:val="hybridMultilevel"/>
    <w:lvl w:ilvl="0">
      <w:lvlJc w:val="left"/>
      <w:lvlText w:val="%1."/>
      <w:numFmt w:val="decimal"/>
      <w:start w:val="9"/>
    </w:lvl>
  </w:abstractNum>
  <w:abstractNum w:abstractNumId="33">
    <w:nsid w:val="51EAD36B"/>
    <w:multiLevelType w:val="hybridMultilevel"/>
    <w:lvl w:ilvl="0">
      <w:lvlJc w:val="left"/>
      <w:lvlText w:val="%1."/>
      <w:numFmt w:val="decimal"/>
      <w:start w:val="10"/>
    </w:lvl>
  </w:abstractNum>
  <w:abstractNum w:abstractNumId="34">
    <w:nsid w:val="2D517796"/>
    <w:multiLevelType w:val="hybridMultilevel"/>
    <w:lvl w:ilvl="0">
      <w:lvlJc w:val="left"/>
      <w:lvlText w:val="%1."/>
      <w:numFmt w:val="decimal"/>
      <w:start w:val="11"/>
    </w:lvl>
  </w:abstractNum>
  <w:abstractNum w:abstractNumId="35">
    <w:nsid w:val="580BD78F"/>
    <w:multiLevelType w:val="hybridMultilevel"/>
    <w:lvl w:ilvl="0">
      <w:lvlJc w:val="left"/>
      <w:lvlText w:val="%1."/>
      <w:numFmt w:val="decimal"/>
      <w:start w:val="12"/>
    </w:lvl>
  </w:abstractNum>
  <w:abstractNum w:abstractNumId="36">
    <w:nsid w:val="153EA438"/>
    <w:multiLevelType w:val="hybridMultilevel"/>
    <w:lvl w:ilvl="0">
      <w:lvlJc w:val="left"/>
      <w:lvlText w:val="%1."/>
      <w:numFmt w:val="decimal"/>
      <w:start w:val="13"/>
    </w:lvl>
  </w:abstractNum>
  <w:abstractNum w:abstractNumId="37">
    <w:nsid w:val="3855585C"/>
    <w:multiLevelType w:val="hybridMultilevel"/>
    <w:lvl w:ilvl="0">
      <w:lvlJc w:val="left"/>
      <w:lvlText w:val="%1."/>
      <w:numFmt w:val="decimal"/>
      <w:start w:val="14"/>
    </w:lvl>
  </w:abstractNum>
  <w:abstractNum w:abstractNumId="38">
    <w:nsid w:val="70A64E2A"/>
    <w:multiLevelType w:val="hybridMultilevel"/>
    <w:lvl w:ilvl="0">
      <w:lvlJc w:val="left"/>
      <w:lvlText w:val="%1."/>
      <w:numFmt w:val="decimal"/>
      <w:start w:val="15"/>
    </w:lvl>
  </w:abstractNum>
  <w:abstractNum w:abstractNumId="39">
    <w:nsid w:val="6A2342EC"/>
    <w:multiLevelType w:val="hybridMultilevel"/>
    <w:lvl w:ilvl="0">
      <w:lvlJc w:val="left"/>
      <w:lvlText w:val="%1."/>
      <w:numFmt w:val="decimal"/>
      <w:start w:val="16"/>
    </w:lvl>
  </w:abstractNum>
  <w:abstractNum w:abstractNumId="40">
    <w:nsid w:val="2A487CB0"/>
    <w:multiLevelType w:val="hybridMultilevel"/>
    <w:lvl w:ilvl="0">
      <w:lvlJc w:val="left"/>
      <w:lvlText w:val="%1."/>
      <w:numFmt w:val="decimal"/>
      <w:start w:val="17"/>
    </w:lvl>
  </w:abstractNum>
  <w:abstractNum w:abstractNumId="41">
    <w:nsid w:val="1D4ED43B"/>
    <w:multiLevelType w:val="hybridMultilevel"/>
    <w:lvl w:ilvl="0">
      <w:lvlJc w:val="left"/>
      <w:lvlText w:val="%1."/>
      <w:numFmt w:val="decimal"/>
      <w:start w:val="18"/>
    </w:lvl>
  </w:abstractNum>
  <w:abstractNum w:abstractNumId="42">
    <w:nsid w:val="725A06FB"/>
    <w:multiLevelType w:val="hybridMultilevel"/>
    <w:lvl w:ilvl="0">
      <w:lvlJc w:val="left"/>
      <w:lvlText w:val="%1."/>
      <w:numFmt w:val="decimal"/>
      <w:start w:val="19"/>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2019-12-10T21:18:42Z</dcterms:created>
  <dcterms:modified xsi:type="dcterms:W3CDTF">2019-12-10T21:18:42Z</dcterms:modified>
</cp:coreProperties>
</file>