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tbl>
      <w:tblPr>
        <w:tblLayout w:type="fixed"/>
        <w:tblInd w:w="640" w:type="dxa"/>
        <w:tblCellMar>
          <w:top w:w="0" w:type="dxa"/>
          <w:left w:w="0" w:type="dxa"/>
          <w:bottom w:w="0" w:type="dxa"/>
          <w:right w:w="0" w:type="dxa"/>
        </w:tblCellMar>
      </w:tblPr>
      <w:tr>
        <w:trPr>
          <w:trHeight w:val="525"/>
        </w:trPr>
        <w:tc>
          <w:tcPr>
            <w:tcW w:w="2660" w:type="dxa"/>
            <w:vAlign w:val="bottom"/>
          </w:tcPr>
          <w:p>
            <w:pPr>
              <w:spacing w:after="0"/>
              <w:rPr>
                <w:sz w:val="24"/>
                <w:szCs w:val="24"/>
                <w:color w:val="auto"/>
              </w:rPr>
            </w:pPr>
          </w:p>
        </w:tc>
        <w:tc>
          <w:tcPr>
            <w:tcW w:w="7000" w:type="dxa"/>
            <w:vAlign w:val="bottom"/>
            <w:gridSpan w:val="3"/>
          </w:tcPr>
          <w:p>
            <w:pPr>
              <w:jc w:val="center"/>
              <w:ind w:right="250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660" w:type="dxa"/>
            <w:vAlign w:val="bottom"/>
          </w:tcPr>
          <w:p>
            <w:pPr>
              <w:spacing w:after="0"/>
              <w:rPr>
                <w:sz w:val="20"/>
                <w:szCs w:val="20"/>
                <w:color w:val="auto"/>
              </w:rPr>
            </w:pPr>
          </w:p>
        </w:tc>
        <w:tc>
          <w:tcPr>
            <w:tcW w:w="7000" w:type="dxa"/>
            <w:vAlign w:val="bottom"/>
            <w:gridSpan w:val="3"/>
          </w:tcPr>
          <w:p>
            <w:pPr>
              <w:jc w:val="center"/>
              <w:ind w:right="252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51"/>
        </w:trPr>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r>
      <w:tr>
        <w:trPr>
          <w:trHeight w:val="470"/>
        </w:trPr>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60" w:type="dxa"/>
            <w:vAlign w:val="bottom"/>
            <w:gridSpan w:val="2"/>
          </w:tcPr>
          <w:p>
            <w:pPr>
              <w:jc w:val="center"/>
              <w:ind w:right="334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660" w:type="dxa"/>
            <w:vAlign w:val="bottom"/>
          </w:tcPr>
          <w:p>
            <w:pPr>
              <w:spacing w:after="0"/>
              <w:rPr>
                <w:sz w:val="16"/>
                <w:szCs w:val="16"/>
                <w:color w:val="auto"/>
              </w:rPr>
            </w:pPr>
          </w:p>
        </w:tc>
        <w:tc>
          <w:tcPr>
            <w:tcW w:w="7000" w:type="dxa"/>
            <w:vAlign w:val="bottom"/>
            <w:gridSpan w:val="3"/>
          </w:tcPr>
          <w:p>
            <w:pPr>
              <w:jc w:val="center"/>
              <w:ind w:right="2288"/>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394"/>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001-32871</w:t>
            </w:r>
          </w:p>
        </w:tc>
        <w:tc>
          <w:tcPr>
            <w:tcW w:w="7000" w:type="dxa"/>
            <w:vAlign w:val="bottom"/>
            <w:gridSpan w:val="3"/>
          </w:tcPr>
          <w:p>
            <w:pPr>
              <w:jc w:val="center"/>
              <w:ind w:left="4788"/>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(Commission File Number)</w:t>
            </w:r>
          </w:p>
        </w:tc>
        <w:tc>
          <w:tcPr>
            <w:tcW w:w="1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266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One Comcast Center</w:t>
            </w: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5"/>
        </w:trPr>
        <w:tc>
          <w:tcPr>
            <w:tcW w:w="26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Philadelphia, PA</w:t>
            </w:r>
          </w:p>
        </w:tc>
        <w:tc>
          <w:tcPr>
            <w:tcW w:w="7000" w:type="dxa"/>
            <w:vAlign w:val="bottom"/>
            <w:gridSpan w:val="3"/>
          </w:tcPr>
          <w:p>
            <w:pPr>
              <w:jc w:val="center"/>
              <w:ind w:left="4788"/>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66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40" w:type="dxa"/>
            <w:vAlign w:val="bottom"/>
          </w:tcPr>
          <w:p>
            <w:pPr>
              <w:jc w:val="center"/>
              <w:ind w:left="1468"/>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CMCSA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0.000%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CMCS26</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0.250% Notes due 2027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CMCS27</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CMCS29</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0.250%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CMCS29A</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0.750% Notes due 2032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CMCS32</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1.875% Notes due 2036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CMCS36</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1.250% Notes due 2040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CMCS40</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5.50%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CCGBP29</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2.0% Exchangeable Subordinated Debentures due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CCZ</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387"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On February 9, 2023, Comcast Corporation (“Comcast”) consummated the issuance and sale of $1,000,000,000 aggregate principal amount of its 4.650% Notes due 2033 (the “Notes”), pursuant to an underwriting agreement dated February 7, 2023 among Comcast, the Guarantors (defined below) and BofA Securities, Inc., Academy Securities, Inc., Loop Capital Markets LLC, Samuel A. Ramirez &amp; Company, Inc. and Siebert Williams Shank &amp; Co.,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6"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The Notes were offered pursuant to Comcast’s Registration Statement on Form S-3 filed on July 29, 2022 (the “Registration Statement”), as amended at the date of the underwriting agreement (Reg. No. 333-266390), including the prospectus contained therein, and a related preliminary prospectus supplement and a final prospectus supplement, each dated February 7, 2023.</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the Registration Statement, each of which are incorporated by reference herein.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5780" w:type="dxa"/>
            <w:vAlign w:val="bottom"/>
            <w:gridSpan w:val="7"/>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7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7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Form of Officers’ Certificate setting forth the terms of the Notes</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Opinion of Elizabeth Wideman, Esq.</w:t>
            </w: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Opinion of Davis Polk &amp; Wardwell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Consent of Elizabeth Wideman, Esq. (contained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0000EE"/>
              </w:rPr>
              <w:t>Consent of Davis Polk &amp; Wardwell LLP (contained in Exhibit 5.2)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6"/>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7"/>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February 9, 2023</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222"/>
        </w:trPr>
        <w:tc>
          <w:tcPr>
            <w:tcW w:w="3600" w:type="dxa"/>
            <w:vAlign w:val="bottom"/>
          </w:tcPr>
          <w:p>
            <w:pPr>
              <w:spacing w:after="0"/>
              <w:rPr>
                <w:sz w:val="19"/>
                <w:szCs w:val="19"/>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Elizabeth Wideman</w:t>
            </w:r>
          </w:p>
        </w:tc>
      </w:tr>
      <w:tr>
        <w:trPr>
          <w:trHeight w:val="216"/>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Senior Deputy General Counsel and</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9, 2023</w:t>
      </w:r>
    </w:p>
    <w:p>
      <w:pPr>
        <w:spacing w:after="0" w:line="225"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Pursuant to Section 2.03 of the Indenture dated as of September 18, 2013,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by and among Comcast, the guarantors named therein and the Trustee and as further supplemented by the second Supplemental Indenture dated as of July 29, 2022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$1,000,000,000 aggregate principal amount of 4.650% Notes due 2033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18"/>
                <w:szCs w:val="18"/>
                <w:b w:val="1"/>
                <w:bCs w:val="1"/>
                <w:u w:val="single" w:color="auto"/>
                <w:color w:val="auto"/>
                <w:w w:val="89"/>
              </w:rPr>
              <w:t>650%</w:t>
            </w:r>
            <w:r>
              <w:rPr>
                <w:rFonts w:ascii="Arial" w:cs="Arial" w:eastAsia="Arial" w:hAnsi="Arial"/>
                <w:sz w:val="18"/>
                <w:szCs w:val="18"/>
                <w:b w:val="1"/>
                <w:bCs w:val="1"/>
                <w:color w:val="auto"/>
                <w:w w:val="89"/>
              </w:rPr>
              <w:t xml:space="preserve"> Notes due 2033</w:t>
            </w:r>
          </w:p>
        </w:tc>
        <w:tc>
          <w:tcPr>
            <w:tcW w:w="4460" w:type="dxa"/>
            <w:vAlign w:val="bottom"/>
          </w:tcPr>
          <w:p>
            <w:pPr>
              <w:spacing w:after="0"/>
              <w:rPr>
                <w:sz w:val="17"/>
                <w:szCs w:val="17"/>
                <w:color w:val="auto"/>
              </w:rPr>
            </w:pPr>
          </w:p>
        </w:tc>
      </w:tr>
      <w:tr>
        <w:trPr>
          <w:trHeight w:val="344"/>
        </w:trPr>
        <w:tc>
          <w:tcPr>
            <w:tcW w:w="25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360" w:type="dxa"/>
            <w:vAlign w:val="bottom"/>
            <w:gridSpan w:val="3"/>
          </w:tcPr>
          <w:p>
            <w:pPr>
              <w:ind w:left="700"/>
              <w:spacing w:after="0"/>
              <w:rPr>
                <w:sz w:val="20"/>
                <w:szCs w:val="20"/>
                <w:color w:val="auto"/>
              </w:rPr>
            </w:pPr>
            <w:r>
              <w:rPr>
                <w:rFonts w:ascii="Arial" w:cs="Arial" w:eastAsia="Arial" w:hAnsi="Arial"/>
                <w:sz w:val="18"/>
                <w:szCs w:val="18"/>
                <w:color w:val="auto"/>
              </w:rPr>
              <w:t>4.650% Notes due 2033</w:t>
            </w:r>
          </w:p>
        </w:tc>
      </w:tr>
      <w:tr>
        <w:trPr>
          <w:trHeight w:val="324"/>
        </w:trPr>
        <w:tc>
          <w:tcPr>
            <w:tcW w:w="10860" w:type="dxa"/>
            <w:vAlign w:val="bottom"/>
            <w:gridSpan w:val="4"/>
          </w:tcPr>
          <w:p>
            <w:pPr>
              <w:spacing w:after="0"/>
              <w:rPr>
                <w:sz w:val="20"/>
                <w:szCs w:val="20"/>
                <w:color w:val="auto"/>
              </w:rPr>
            </w:pPr>
            <w:r>
              <w:rPr>
                <w:rFonts w:ascii="Arial" w:cs="Arial" w:eastAsia="Arial" w:hAnsi="Arial"/>
                <w:sz w:val="18"/>
                <w:szCs w:val="18"/>
                <w:i w:val="1"/>
                <w:iCs w:val="1"/>
                <w:color w:val="auto"/>
              </w:rPr>
              <w:t xml:space="preserve">Aggregate Principal Amount at Maturity:   </w:t>
            </w:r>
            <w:r>
              <w:rPr>
                <w:rFonts w:ascii="Arial" w:cs="Arial" w:eastAsia="Arial" w:hAnsi="Arial"/>
                <w:sz w:val="18"/>
                <w:szCs w:val="18"/>
                <w:color w:val="auto"/>
              </w:rPr>
              <w:t>$1,000,000,000</w:t>
            </w:r>
          </w:p>
        </w:tc>
      </w:tr>
      <w:tr>
        <w:trPr>
          <w:trHeight w:val="324"/>
        </w:trPr>
        <w:tc>
          <w:tcPr>
            <w:tcW w:w="25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360" w:type="dxa"/>
            <w:vAlign w:val="bottom"/>
            <w:gridSpan w:val="3"/>
          </w:tcPr>
          <w:p>
            <w:pPr>
              <w:ind w:left="700"/>
              <w:spacing w:after="0"/>
              <w:rPr>
                <w:sz w:val="20"/>
                <w:szCs w:val="20"/>
                <w:color w:val="auto"/>
              </w:rPr>
            </w:pPr>
            <w:r>
              <w:rPr>
                <w:rFonts w:ascii="Arial" w:cs="Arial" w:eastAsia="Arial" w:hAnsi="Arial"/>
                <w:sz w:val="18"/>
                <w:szCs w:val="18"/>
                <w:color w:val="auto"/>
              </w:rPr>
              <w:t>February 15, 2033</w:t>
            </w:r>
          </w:p>
        </w:tc>
      </w:tr>
      <w:tr>
        <w:trPr>
          <w:trHeight w:val="324"/>
        </w:trPr>
        <w:tc>
          <w:tcPr>
            <w:tcW w:w="25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100" w:type="dxa"/>
            <w:vAlign w:val="bottom"/>
          </w:tcPr>
          <w:p>
            <w:pPr>
              <w:ind w:left="700"/>
              <w:spacing w:after="0"/>
              <w:rPr>
                <w:sz w:val="20"/>
                <w:szCs w:val="20"/>
                <w:color w:val="auto"/>
              </w:rPr>
            </w:pPr>
            <w:r>
              <w:rPr>
                <w:rFonts w:ascii="Arial" w:cs="Arial" w:eastAsia="Arial" w:hAnsi="Arial"/>
                <w:sz w:val="18"/>
                <w:szCs w:val="18"/>
                <w:color w:val="auto"/>
              </w:rPr>
              <w:t>4.650%</w:t>
            </w:r>
          </w:p>
        </w:tc>
        <w:tc>
          <w:tcPr>
            <w:tcW w:w="18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06"/>
        </w:trPr>
        <w:tc>
          <w:tcPr>
            <w:tcW w:w="25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360" w:type="dxa"/>
            <w:vAlign w:val="bottom"/>
            <w:gridSpan w:val="3"/>
          </w:tcPr>
          <w:p>
            <w:pPr>
              <w:ind w:left="700"/>
              <w:spacing w:after="0"/>
              <w:rPr>
                <w:sz w:val="20"/>
                <w:szCs w:val="20"/>
                <w:color w:val="auto"/>
              </w:rPr>
            </w:pPr>
            <w:r>
              <w:rPr>
                <w:rFonts w:ascii="Arial" w:cs="Arial" w:eastAsia="Arial" w:hAnsi="Arial"/>
                <w:sz w:val="18"/>
                <w:szCs w:val="18"/>
                <w:color w:val="auto"/>
                <w:w w:val="97"/>
              </w:rPr>
              <w:t>Prior to November 15, 2032 (three (3) months prior to the maturity date of the Notes) (the “</w:t>
            </w:r>
            <w:r>
              <w:rPr>
                <w:rFonts w:ascii="Arial" w:cs="Arial" w:eastAsia="Arial" w:hAnsi="Arial"/>
                <w:sz w:val="18"/>
                <w:szCs w:val="18"/>
                <w:b w:val="1"/>
                <w:bCs w:val="1"/>
                <w:color w:val="auto"/>
                <w:w w:val="97"/>
              </w:rPr>
              <w:t>Par Call</w:t>
            </w:r>
          </w:p>
        </w:tc>
      </w:tr>
      <w:tr>
        <w:trPr>
          <w:trHeight w:val="234"/>
        </w:trPr>
        <w:tc>
          <w:tcPr>
            <w:tcW w:w="2500" w:type="dxa"/>
            <w:vAlign w:val="bottom"/>
          </w:tcPr>
          <w:p>
            <w:pPr>
              <w:spacing w:after="0"/>
              <w:rPr>
                <w:sz w:val="20"/>
                <w:szCs w:val="20"/>
                <w:color w:val="auto"/>
              </w:rPr>
            </w:pPr>
          </w:p>
        </w:tc>
        <w:tc>
          <w:tcPr>
            <w:tcW w:w="8360" w:type="dxa"/>
            <w:vAlign w:val="bottom"/>
            <w:gridSpan w:val="3"/>
          </w:tcPr>
          <w:p>
            <w:pPr>
              <w:ind w:left="700"/>
              <w:spacing w:after="0"/>
              <w:rPr>
                <w:sz w:val="20"/>
                <w:szCs w:val="20"/>
                <w:color w:val="auto"/>
              </w:rPr>
            </w:pPr>
            <w:r>
              <w:rPr>
                <w:rFonts w:ascii="Arial" w:cs="Arial" w:eastAsia="Arial" w:hAnsi="Arial"/>
                <w:sz w:val="18"/>
                <w:szCs w:val="18"/>
                <w:b w:val="1"/>
                <w:bCs w:val="1"/>
                <w:color w:val="auto"/>
                <w:w w:val="91"/>
              </w:rPr>
              <w:t>Date</w:t>
            </w:r>
            <w:r>
              <w:rPr>
                <w:rFonts w:ascii="Arial" w:cs="Arial" w:eastAsia="Arial" w:hAnsi="Arial"/>
                <w:sz w:val="18"/>
                <w:szCs w:val="18"/>
                <w:color w:val="auto"/>
                <w:w w:val="91"/>
              </w:rPr>
              <w:t>”), the Company may redeem the Notes at its option, in whole or in part, at any time and from time to</w:t>
            </w:r>
          </w:p>
        </w:tc>
      </w:tr>
    </w:tbl>
    <w:p>
      <w:pPr>
        <w:ind w:left="3200" w:right="60"/>
        <w:spacing w:after="0" w:line="292" w:lineRule="auto"/>
        <w:rPr>
          <w:sz w:val="20"/>
          <w:szCs w:val="20"/>
          <w:color w:val="auto"/>
        </w:rPr>
      </w:pPr>
      <w:r>
        <w:rPr>
          <w:rFonts w:ascii="Arial" w:cs="Arial" w:eastAsia="Arial" w:hAnsi="Arial"/>
          <w:sz w:val="16"/>
          <w:szCs w:val="16"/>
          <w:color w:val="auto"/>
        </w:rPr>
        <w:t>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Notes matured on the Par Call Date) on a semi-annual basis (assuming a 360-day year consisting of twelve 30-day months) at the Treasury Rate (as defined in the Notes) plus 15 basis points, less (b) interest accrued to the date of</w:t>
      </w:r>
    </w:p>
    <w:p>
      <w:pPr>
        <w:sectPr>
          <w:pgSz w:w="11900" w:h="16838" w:orient="portrait"/>
          <w:cols w:equalWidth="0" w:num="1">
            <w:col w:w="11020"/>
          </w:cols>
          <w:pgMar w:left="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0"/>
              </w:rPr>
              <w:t>redemption, and (2) 100% of the principal amount of the Notes to be redeemed, plus, in either case, accrued</w:t>
            </w:r>
          </w:p>
        </w:tc>
      </w:tr>
      <w:tr>
        <w:trPr>
          <w:trHeight w:val="230"/>
        </w:trPr>
        <w:tc>
          <w:tcPr>
            <w:tcW w:w="2380" w:type="dxa"/>
            <w:vAlign w:val="bottom"/>
          </w:tcPr>
          <w:p>
            <w:pPr>
              <w:spacing w:after="0"/>
              <w:rPr>
                <w:sz w:val="20"/>
                <w:szCs w:val="20"/>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rPr>
              <w:t>and unpaid interest thereon to the redemption date.</w:t>
            </w:r>
          </w:p>
        </w:tc>
      </w:tr>
      <w:tr>
        <w:trPr>
          <w:trHeight w:val="323"/>
        </w:trPr>
        <w:tc>
          <w:tcPr>
            <w:tcW w:w="2380" w:type="dxa"/>
            <w:vAlign w:val="bottom"/>
          </w:tcPr>
          <w:p>
            <w:pPr>
              <w:spacing w:after="0"/>
              <w:rPr>
                <w:sz w:val="24"/>
                <w:szCs w:val="24"/>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0"/>
              </w:rPr>
              <w:t>On or after the Par Call Date, the Company may redeem the Notes, in whole or in part, at any time and from</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1"/>
              </w:rPr>
              <w:t>time to time, at a redemption price equal to 100% of the principal amount of the Notes being redeemed plus</w:t>
            </w:r>
          </w:p>
        </w:tc>
      </w:tr>
      <w:tr>
        <w:trPr>
          <w:trHeight w:val="230"/>
        </w:trPr>
        <w:tc>
          <w:tcPr>
            <w:tcW w:w="2380" w:type="dxa"/>
            <w:vAlign w:val="bottom"/>
          </w:tcPr>
          <w:p>
            <w:pPr>
              <w:spacing w:after="0"/>
              <w:rPr>
                <w:sz w:val="20"/>
                <w:szCs w:val="20"/>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rPr>
              <w:t>accrued and unpaid interest thereon to the redemption date.</w:t>
            </w:r>
          </w:p>
        </w:tc>
      </w:tr>
      <w:tr>
        <w:trPr>
          <w:trHeight w:val="323"/>
        </w:trPr>
        <w:tc>
          <w:tcPr>
            <w:tcW w:w="23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89"/>
              </w:rPr>
              <w:t>The Notes need not be issued at the same time and the series may be reopened for issuance of an unlimited</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2"/>
              </w:rPr>
              <w:t>principal amount of additional Notes under this series. Additional Notes of this series may be consolidated</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2"/>
              </w:rPr>
              <w:t>with, and form a single series with, Notes then outstanding, including for purposes of determining whether</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1"/>
              </w:rPr>
              <w:t>the required percentage of the holders of record has given approval or consent to an amendment or waiver</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7"/>
              </w:rPr>
              <w:t>or joined in directing the Trustee to take certain actions on behalf of all holders; provided that if such</w:t>
            </w:r>
          </w:p>
        </w:tc>
      </w:tr>
      <w:tr>
        <w:trPr>
          <w:trHeight w:val="216"/>
        </w:trPr>
        <w:tc>
          <w:tcPr>
            <w:tcW w:w="2380" w:type="dxa"/>
            <w:vAlign w:val="bottom"/>
          </w:tcPr>
          <w:p>
            <w:pPr>
              <w:spacing w:after="0"/>
              <w:rPr>
                <w:sz w:val="18"/>
                <w:szCs w:val="18"/>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90"/>
              </w:rPr>
              <w:t>additional Notes are not fungible with the Notes then outstanding for U.S. federal income tax purposes, such</w:t>
            </w:r>
          </w:p>
        </w:tc>
      </w:tr>
      <w:tr>
        <w:trPr>
          <w:trHeight w:val="230"/>
        </w:trPr>
        <w:tc>
          <w:tcPr>
            <w:tcW w:w="2380" w:type="dxa"/>
            <w:vAlign w:val="bottom"/>
          </w:tcPr>
          <w:p>
            <w:pPr>
              <w:spacing w:after="0"/>
              <w:rPr>
                <w:sz w:val="20"/>
                <w:szCs w:val="20"/>
                <w:color w:val="auto"/>
              </w:rPr>
            </w:pP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rPr>
              <w:t>additional Notes will have one or more separate CUSIP numbers.</w:t>
            </w:r>
          </w:p>
        </w:tc>
      </w:tr>
      <w:tr>
        <w:trPr>
          <w:trHeight w:val="324"/>
        </w:trPr>
        <w:tc>
          <w:tcPr>
            <w:tcW w:w="23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rPr>
              <w:t>None</w:t>
            </w:r>
          </w:p>
        </w:tc>
      </w:tr>
      <w:tr>
        <w:trPr>
          <w:trHeight w:val="324"/>
        </w:trPr>
        <w:tc>
          <w:tcPr>
            <w:tcW w:w="23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rPr>
              <w:t>None</w:t>
            </w:r>
          </w:p>
        </w:tc>
      </w:tr>
      <w:tr>
        <w:trPr>
          <w:trHeight w:val="306"/>
        </w:trPr>
        <w:tc>
          <w:tcPr>
            <w:tcW w:w="23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20" w:type="dxa"/>
            <w:vAlign w:val="bottom"/>
            <w:gridSpan w:val="3"/>
          </w:tcPr>
          <w:p>
            <w:pPr>
              <w:ind w:left="820"/>
              <w:spacing w:after="0"/>
              <w:rPr>
                <w:sz w:val="20"/>
                <w:szCs w:val="20"/>
                <w:color w:val="auto"/>
              </w:rPr>
            </w:pPr>
            <w:r>
              <w:rPr>
                <w:rFonts w:ascii="Arial" w:cs="Arial" w:eastAsia="Arial" w:hAnsi="Arial"/>
                <w:sz w:val="18"/>
                <w:szCs w:val="18"/>
                <w:color w:val="auto"/>
                <w:w w:val="89"/>
              </w:rPr>
              <w:t>The terms of the Notes shall include such other terms as are set forth in the Form of Note due 2033 attached</w:t>
            </w:r>
          </w:p>
        </w:tc>
      </w:tr>
      <w:tr>
        <w:trPr>
          <w:trHeight w:val="194"/>
        </w:trPr>
        <w:tc>
          <w:tcPr>
            <w:tcW w:w="2380" w:type="dxa"/>
            <w:vAlign w:val="bottom"/>
          </w:tcPr>
          <w:p>
            <w:pPr>
              <w:spacing w:after="0"/>
              <w:rPr>
                <w:sz w:val="16"/>
                <w:szCs w:val="16"/>
                <w:color w:val="auto"/>
              </w:rPr>
            </w:pPr>
          </w:p>
        </w:tc>
        <w:tc>
          <w:tcPr>
            <w:tcW w:w="8620" w:type="dxa"/>
            <w:vAlign w:val="bottom"/>
            <w:gridSpan w:val="3"/>
          </w:tcPr>
          <w:p>
            <w:pPr>
              <w:ind w:left="82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382"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25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Title: Senior Vice President, Senior Deputy General</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Counsel and Assistant Secretary</w:t>
      </w: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280"/>
          </w:cols>
          <w:pgMar w:left="880" w:top="274"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2033]</w:t>
      </w:r>
    </w:p>
    <w:p>
      <w:pPr>
        <w:spacing w:after="0" w:line="22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4.650% Note due 2033</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EC1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US20030NEC11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60" w:space="180"/>
            <w:col w:w="7780" w:space="720"/>
            <w:col w:w="1980"/>
          </w:cols>
          <w:pgMar w:left="440" w:top="270" w:right="439" w:bottom="1440" w:gutter="0" w:footer="0" w:header="0"/>
          <w:type w:val="continuous"/>
        </w:sectPr>
      </w:pPr>
    </w:p>
    <w:p>
      <w:pPr>
        <w:spacing w:after="0" w:line="20"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on February 15, 2033.</w:t>
      </w:r>
    </w:p>
    <w:p>
      <w:pPr>
        <w:sectPr>
          <w:pgSz w:w="11900" w:h="16838" w:orient="portrait"/>
          <w:cols w:equalWidth="0" w:num="1">
            <w:col w:w="11020"/>
          </w:cols>
          <w:pgMar w:left="440" w:top="270" w:right="439" w:bottom="1440" w:gutter="0" w:footer="0" w:header="0"/>
          <w:type w:val="continuous"/>
        </w:sectPr>
      </w:pP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S. Armstrong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Wideman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 Senior Deputy General</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Counsel and Assistant Secretary</w:t>
      </w:r>
    </w:p>
    <w:p>
      <w:pPr>
        <w:spacing w:after="0" w:line="1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15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Global Note</w:t>
      </w:r>
      <w:r>
        <w:rPr>
          <w:rFonts w:ascii="Arial" w:cs="Arial" w:eastAsia="Arial" w:hAnsi="Arial"/>
          <w:sz w:val="18"/>
          <w:szCs w:val="18"/>
          <w:color w:val="auto"/>
        </w:rPr>
        <w:t>]</w:t>
      </w:r>
    </w:p>
    <w:p>
      <w:pPr>
        <w:sectPr>
          <w:pgSz w:w="11900" w:h="16838" w:orient="portrait"/>
          <w:cols w:equalWidth="0" w:num="1">
            <w:col w:w="10420"/>
          </w:cols>
          <w:pgMar w:left="440" w:top="274" w:right="10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4.650% Note due 2033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jc w:val="both"/>
        <w:ind w:right="140" w:firstLine="440"/>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9, 2023. The Issuer will pay interest semi-annually in arrears on each Interest Payment Date, commencing August 15, 2023. Interest will be computed on the basis of a 360-day year of twelve 30-day months.</w:t>
      </w:r>
    </w:p>
    <w:p>
      <w:pPr>
        <w:spacing w:after="0" w:line="184"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Method of Payment.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4" w:right="45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Trustee, and as further amended by the Second Supplemental Indenture dated as of July 29, 2022, by and among the Issuer, the Guarantors and the Trustee (as amended, the “</w:t>
      </w:r>
      <w:r>
        <w:rPr>
          <w:rFonts w:ascii="Arial" w:cs="Arial" w:eastAsia="Arial" w:hAnsi="Arial"/>
          <w:sz w:val="17"/>
          <w:szCs w:val="17"/>
          <w:b w:val="1"/>
          <w:bCs w:val="1"/>
          <w:color w:val="auto"/>
        </w:rPr>
        <w:t>Indenture</w:t>
      </w:r>
      <w:r>
        <w:rPr>
          <w:rFonts w:ascii="Arial" w:cs="Arial" w:eastAsia="Arial" w:hAnsi="Arial"/>
          <w:sz w:val="17"/>
          <w:szCs w:val="17"/>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7"/>
          <w:szCs w:val="17"/>
          <w:b w:val="1"/>
          <w:bCs w:val="1"/>
          <w:color w:val="auto"/>
        </w:rPr>
        <w:t>Security</w:t>
      </w:r>
      <w:r>
        <w:rPr>
          <w:rFonts w:ascii="Arial" w:cs="Arial" w:eastAsia="Arial" w:hAnsi="Arial"/>
          <w:sz w:val="17"/>
          <w:szCs w:val="17"/>
          <w:color w:val="auto"/>
        </w:rPr>
        <w:t>” and the notes are “</w:t>
      </w:r>
      <w:r>
        <w:rPr>
          <w:rFonts w:ascii="Arial" w:cs="Arial" w:eastAsia="Arial" w:hAnsi="Arial"/>
          <w:sz w:val="17"/>
          <w:szCs w:val="17"/>
          <w:b w:val="1"/>
          <w:bCs w:val="1"/>
          <w:color w:val="auto"/>
        </w:rPr>
        <w:t>Securities</w:t>
      </w:r>
      <w:r>
        <w:rPr>
          <w:rFonts w:ascii="Arial" w:cs="Arial" w:eastAsia="Arial" w:hAnsi="Arial"/>
          <w:sz w:val="17"/>
          <w:szCs w:val="17"/>
          <w:color w:val="auto"/>
        </w:rPr>
        <w:t>” under the Indenture.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Guarantees.</w:t>
      </w:r>
    </w:p>
    <w:p>
      <w:pPr>
        <w:spacing w:after="0" w:line="225"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Denominations; Transfer; Exchange.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Unclaimed Funds.</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Legal Defeasance and Covenant Defeasance.</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 Amendment; Supplement; Waiver.</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Restrictive Covenants.</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Redemption.</w:t>
      </w:r>
    </w:p>
    <w:p>
      <w:pPr>
        <w:spacing w:after="0" w:line="221"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Prior to November 15, 2032 (three (3) months prior to the maturity date of the Securities) (the “</w:t>
      </w:r>
      <w:r>
        <w:rPr>
          <w:rFonts w:ascii="Arial" w:cs="Arial" w:eastAsia="Arial" w:hAnsi="Arial"/>
          <w:sz w:val="18"/>
          <w:szCs w:val="18"/>
          <w:b w:val="1"/>
          <w:bCs w:val="1"/>
          <w:color w:val="auto"/>
        </w:rPr>
        <w:t>Par Call Date</w:t>
      </w:r>
      <w:r>
        <w:rPr>
          <w:rFonts w:ascii="Arial" w:cs="Arial" w:eastAsia="Arial" w:hAnsi="Arial"/>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80" w:lineRule="exact"/>
        <w:rPr>
          <w:sz w:val="20"/>
          <w:szCs w:val="20"/>
          <w:color w:val="auto"/>
        </w:rPr>
      </w:pPr>
    </w:p>
    <w:p>
      <w:pPr>
        <w:jc w:val="both"/>
        <w:ind w:right="380" w:firstLine="436"/>
        <w:spacing w:after="0" w:line="286"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2" w:name="page13"/>
    <w:bookmarkEnd w:id="1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Rate” means, with respect to any redemption date, the yield determined by the Issuer in accordance with the following two paragraphs.</w:t>
      </w:r>
    </w:p>
    <w:p>
      <w:pPr>
        <w:spacing w:after="0" w:line="24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Arial" w:cs="Arial" w:eastAsia="Arial" w:hAnsi="Arial"/>
          <w:sz w:val="16"/>
          <w:szCs w:val="16"/>
          <w:b w:val="1"/>
          <w:bCs w:val="1"/>
          <w:color w:val="auto"/>
        </w:rPr>
        <w:t>H.15</w:t>
      </w:r>
      <w:r>
        <w:rPr>
          <w:rFonts w:ascii="Arial" w:cs="Arial" w:eastAsia="Arial" w:hAnsi="Arial"/>
          <w:sz w:val="16"/>
          <w:szCs w:val="16"/>
          <w:color w:val="auto"/>
        </w:rPr>
        <w:t>”) under the caption “U.S. government securities-Treasury constant maturities-Nominal” (or any successor caption or heading) (“</w:t>
      </w:r>
      <w:r>
        <w:rPr>
          <w:rFonts w:ascii="Arial" w:cs="Arial" w:eastAsia="Arial" w:hAnsi="Arial"/>
          <w:sz w:val="16"/>
          <w:szCs w:val="16"/>
          <w:b w:val="1"/>
          <w:bCs w:val="1"/>
          <w:color w:val="auto"/>
        </w:rPr>
        <w:t>H.15 TCM</w:t>
      </w:r>
      <w:r>
        <w:rPr>
          <w:rFonts w:ascii="Arial" w:cs="Arial" w:eastAsia="Arial" w:hAnsi="Arial"/>
          <w:sz w:val="16"/>
          <w:szCs w:val="16"/>
          <w:color w:val="auto"/>
        </w:rPr>
        <w:t>”). In determining the Treasury Rate, the Issuer shall select, as applicable: (1) the yield for the Treasury constant maturity on H.15 exactly equal to the period from the redemption date to the Par Call Date (the “</w:t>
      </w:r>
      <w:r>
        <w:rPr>
          <w:rFonts w:ascii="Arial" w:cs="Arial" w:eastAsia="Arial" w:hAnsi="Arial"/>
          <w:sz w:val="16"/>
          <w:szCs w:val="16"/>
          <w:b w:val="1"/>
          <w:bCs w:val="1"/>
          <w:color w:val="auto"/>
        </w:rPr>
        <w:t>Remaining Life</w:t>
      </w:r>
      <w:r>
        <w:rPr>
          <w:rFonts w:ascii="Arial" w:cs="Arial" w:eastAsia="Arial" w:hAnsi="Arial"/>
          <w:sz w:val="16"/>
          <w:szCs w:val="16"/>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Issuer’s actions and determinations in determining the redemption price shall be conclusive and binding for all purposes, absent manifest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error.</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3" w:name="page14"/>
    <w:bookmarkEnd w:id="13"/>
    <w:p>
      <w:pPr>
        <w:ind w:right="1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Defaults and Remedies.</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Trustee Dealings with Issuer.</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No Recourse Against Others.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 Abbreviations and Defined Terms.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CUSIP Numbers.</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Dated:</w:t>
            </w:r>
          </w:p>
        </w:tc>
        <w:tc>
          <w:tcPr>
            <w:tcW w:w="400" w:type="dxa"/>
            <w:vAlign w:val="bottom"/>
          </w:tcPr>
          <w:p>
            <w:pPr>
              <w:spacing w:after="0"/>
              <w:rPr>
                <w:sz w:val="20"/>
                <w:szCs w:val="20"/>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(Signed exactly as name appears</w:t>
            </w:r>
          </w:p>
        </w:tc>
        <w:tc>
          <w:tcPr>
            <w:tcW w:w="0" w:type="dxa"/>
            <w:vAlign w:val="bottom"/>
          </w:tcPr>
          <w:p>
            <w:pPr>
              <w:spacing w:after="0"/>
              <w:rPr>
                <w:sz w:val="1"/>
                <w:szCs w:val="1"/>
                <w:color w:val="auto"/>
              </w:rPr>
            </w:pPr>
          </w:p>
        </w:tc>
      </w:tr>
      <w:tr>
        <w:trPr>
          <w:trHeight w:val="23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Signature Guarantee:</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on the other side of this Security)</w:t>
            </w:r>
          </w:p>
        </w:tc>
        <w:tc>
          <w:tcPr>
            <w:tcW w:w="0" w:type="dxa"/>
            <w:vAlign w:val="bottom"/>
          </w:tcPr>
          <w:p>
            <w:pPr>
              <w:spacing w:after="0"/>
              <w:rPr>
                <w:sz w:val="1"/>
                <w:szCs w:val="1"/>
                <w:color w:val="auto"/>
              </w:rPr>
            </w:pPr>
          </w:p>
        </w:tc>
      </w:tr>
      <w:tr>
        <w:trPr>
          <w:trHeight w:val="229"/>
        </w:trPr>
        <w:tc>
          <w:tcPr>
            <w:tcW w:w="50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Participant in a recognized Signature Guarantee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Medallion Program (or other signature guarantor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program reasonably acceptable to the Trustee)</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60" w:type="dxa"/>
            <w:vAlign w:val="bottom"/>
            <w:gridSpan w:val="2"/>
          </w:tcPr>
          <w:p>
            <w:pPr>
              <w:jc w:val="right"/>
              <w:ind w:right="710"/>
              <w:spacing w:after="0"/>
              <w:rPr>
                <w:sz w:val="20"/>
                <w:szCs w:val="20"/>
                <w:color w:val="auto"/>
              </w:rPr>
            </w:pPr>
            <w:r>
              <w:rPr>
                <w:rFonts w:ascii="Arial" w:cs="Arial" w:eastAsia="Arial" w:hAnsi="Arial"/>
                <w:sz w:val="18"/>
                <w:szCs w:val="18"/>
                <w:color w:val="auto"/>
              </w:rPr>
              <w:t>10</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543050" cy="771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I am Senior Vice President, Senior Deputy General Counsel and Assistant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February 7, 2023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$1,000,000,000 aggregate principal amount of its 4.650% Notes due 2033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(the “</w:t>
      </w:r>
      <w:r>
        <w:rPr>
          <w:rFonts w:ascii="Arial" w:cs="Arial" w:eastAsia="Arial" w:hAnsi="Arial"/>
          <w:sz w:val="17"/>
          <w:szCs w:val="17"/>
          <w:b w:val="1"/>
          <w:bCs w:val="1"/>
          <w:color w:val="auto"/>
        </w:rPr>
        <w:t>Base Indenture”</w:t>
      </w:r>
      <w:r>
        <w:rPr>
          <w:rFonts w:ascii="Arial" w:cs="Arial" w:eastAsia="Arial" w:hAnsi="Arial"/>
          <w:sz w:val="17"/>
          <w:szCs w:val="17"/>
          <w:color w:val="auto"/>
        </w:rPr>
        <w:t>), as amended by the First Supplemental Indenture thereto dated as of November 17, 2015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and the Second Supplemental Indenture dated as of July 29, 2022 (the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and the First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each by and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Notes are to be guaranteed on an unsecured and unsubordinated basis by the Guarantors.</w:t>
      </w:r>
    </w:p>
    <w:p>
      <w:pPr>
        <w:spacing w:after="0" w:line="181"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I am of the opinion that:</w:t>
      </w:r>
    </w:p>
    <w:p>
      <w:pPr>
        <w:spacing w:after="0" w:line="117"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ectPr>
          <w:pgSz w:w="11900" w:h="16838" w:orient="portrait"/>
          <w:cols w:equalWidth="0" w:num="1">
            <w:col w:w="11020"/>
          </w:cols>
          <w:pgMar w:left="440" w:top="121" w:right="439" w:bottom="1440" w:gutter="0" w:footer="0" w:header="0"/>
        </w:sectPr>
      </w:pPr>
    </w:p>
    <w:bookmarkStart w:id="17" w:name="page18"/>
    <w:bookmarkEnd w:id="17"/>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29, 2022, as amended as of the date of the Underwriting Agreement (File No. 333-266390). In addition, I consent to the reference to my name under the caption “Legal Matters” in the prospectus supplement,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Senior Vice President, Senior Deputy General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Assistant Secretary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5.2</w:t>
      </w: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997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davispolk.com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Comcast Cable Communications, LLC, a Delaware limited liability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and NBCUniversal Media, LLC, a Delaware limited liability company (together with Comcast Cable Communications, LLC,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together with the Company, the “</w:t>
      </w:r>
      <w:r>
        <w:rPr>
          <w:rFonts w:ascii="Arial" w:cs="Arial" w:eastAsia="Arial" w:hAnsi="Arial"/>
          <w:sz w:val="16"/>
          <w:szCs w:val="16"/>
          <w:b w:val="1"/>
          <w:bCs w:val="1"/>
          <w:color w:val="auto"/>
        </w:rPr>
        <w:t>Issuers</w:t>
      </w:r>
      <w:r>
        <w:rPr>
          <w:rFonts w:ascii="Arial" w:cs="Arial" w:eastAsia="Arial" w:hAnsi="Arial"/>
          <w:sz w:val="16"/>
          <w:szCs w:val="16"/>
          <w:color w:val="auto"/>
        </w:rPr>
        <w:t>”), have filed with the Securities and Exchange Commission a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S-3 (File No. 333-266390)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certain securities, including $1,000,000,000 aggregate principal amount of the Company’s 4.650% Notes due 2033 (the “</w:t>
      </w:r>
      <w:r>
        <w:rPr>
          <w:rFonts w:ascii="Arial" w:cs="Arial" w:eastAsia="Arial" w:hAnsi="Arial"/>
          <w:sz w:val="16"/>
          <w:szCs w:val="16"/>
          <w:b w:val="1"/>
          <w:bCs w:val="1"/>
          <w:color w:val="auto"/>
        </w:rPr>
        <w:t>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are to be issued pursuant to the provisions of the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as amended by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thereto dated as of November 17, 2015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the Second Supplemental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July 29, 2022 (the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and, together with the Base Indenture and the First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and among the Company, the guarantors party thereto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the Notes will be guaranteed by each of the Guarantors (the “</w:t>
      </w:r>
      <w:r>
        <w:rPr>
          <w:rFonts w:ascii="Arial" w:cs="Arial" w:eastAsia="Arial" w:hAnsi="Arial"/>
          <w:sz w:val="16"/>
          <w:szCs w:val="16"/>
          <w:b w:val="1"/>
          <w:bCs w:val="1"/>
          <w:color w:val="auto"/>
        </w:rPr>
        <w:t>Guarantees</w:t>
      </w:r>
      <w:r>
        <w:rPr>
          <w:rFonts w:ascii="Arial" w:cs="Arial" w:eastAsia="Arial" w:hAnsi="Arial"/>
          <w:sz w:val="16"/>
          <w:szCs w:val="16"/>
          <w:color w:val="auto"/>
        </w:rPr>
        <w:t>” and, together with the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sold pursuant to the Underwriting Agreement dated February 7, 2023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the Guarantors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21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21" w:right="439" w:bottom="1440" w:gutter="0" w:footer="0" w:header="0"/>
        </w:sectPr>
      </w:pPr>
    </w:p>
    <w:bookmarkStart w:id="19" w:name="page20"/>
    <w:bookmarkEnd w:id="1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the foregoing, and subject to the additional assumptions and qualifications set forth below, we advise you that, in our opinion:</w:t>
      </w:r>
    </w:p>
    <w:p>
      <w:pPr>
        <w:spacing w:after="0" w:line="142" w:lineRule="exact"/>
        <w:rPr>
          <w:sz w:val="20"/>
          <w:szCs w:val="20"/>
          <w:color w:val="auto"/>
        </w:rPr>
      </w:pPr>
    </w:p>
    <w:p>
      <w:pPr>
        <w:ind w:left="960" w:right="20" w:hanging="532"/>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Assuming the Notes have been duly executed and authenticated in accordance with the provisions of the Indenture and delivered to and paid for by the Underwriters pursuant to the Underwriting Agreement, the Notes will constitute valid and binding obligations of the Company and the Guarantors, as applicable,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p>
      <w:pPr>
        <w:spacing w:after="0" w:line="86" w:lineRule="exact"/>
        <w:rPr>
          <w:rFonts w:ascii="Arial" w:cs="Arial" w:eastAsia="Arial" w:hAnsi="Arial"/>
          <w:sz w:val="17"/>
          <w:szCs w:val="17"/>
          <w:color w:val="auto"/>
        </w:rPr>
      </w:pPr>
    </w:p>
    <w:p>
      <w:pPr>
        <w:ind w:left="960" w:hanging="532"/>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Indenture (including the Guarantees) has been duly authorized, executed and delivered by each Guarantor, and, assuming the Indenture has been duly authorized, executed and delivered by the Company, the Indenture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8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0" w:name="page21"/>
    <w:bookmarkEnd w:id="20"/>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members of the Bar of the State of New York and the foregoing opinions are limited to the laws of the State of New York and the Limited Liability Company Act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opinions involve matters governed by the laws of the Commonwealth of Pennsylvania, we have relied, without independent inquiry or investigation, on the opinions of the Senior Deputy General Counsel of the Company to be filed as an exhibit to a report on Form 8-K to be filed by the Company on the date hereof.</w:t>
      </w:r>
    </w:p>
    <w:p>
      <w:pPr>
        <w:spacing w:after="0" w:line="19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2023-02-09T16:00:20Z</dcterms:created>
  <dcterms:modified xsi:type="dcterms:W3CDTF">2023-02-09T16:00:20Z</dcterms:modified>
</cp:coreProperties>
</file>