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333-266390</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9133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133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$750,000,000 5.250% Notes due 2025</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$750,000,000 5.350% Notes due 2027</w:t>
      </w:r>
    </w:p>
    <w:p>
      <w:pPr>
        <w:jc w:val="center"/>
        <w:ind w:right="-119"/>
        <w:spacing w:after="0"/>
        <w:rPr>
          <w:sz w:val="20"/>
          <w:szCs w:val="20"/>
          <w:color w:val="auto"/>
        </w:rPr>
      </w:pPr>
      <w:r>
        <w:rPr>
          <w:rFonts w:ascii="Arial" w:cs="Arial" w:eastAsia="Arial" w:hAnsi="Arial"/>
          <w:sz w:val="32"/>
          <w:szCs w:val="32"/>
          <w:b w:val="1"/>
          <w:bCs w:val="1"/>
          <w:color w:val="auto"/>
        </w:rPr>
        <w:t>$1,000,000,000 5.500% Notes due 2032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155575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2" w:lineRule="exact"/>
        <w:rPr>
          <w:sz w:val="24"/>
          <w:szCs w:val="24"/>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Notes due 2025 (the “Notes due 2025”) will bear interest at a rate of 5.250% per year and will mature on November 7, 2025, the Notes due 2027 (the “Notes due 2027”) will bear interest at a rate of 5.350% per year and will mature on November 15, 2027 and the Notes due 2032 (the “Notes due 2032”) will bear interest at a rate of 5.500% per year and will mature on November 15, 2032. We refer to the Notes due 2025, the Notes due 2027 and the Notes due 2032 collectively as the “notes.” We will pay interest on the Notes due 2025 on May 7 and November 7 of each year, beginning on May 7, 2023, and we will pay interest on the Notes due 2027 and the Notes due 2032 on May 15 and November 15 of each year, beginning on May 15, 2023. We may redeem any of the notes at any time by paying the applicable redemption price described under the heading “Description of the Notes— Optional Redemption.”</w:t>
      </w:r>
    </w:p>
    <w:p>
      <w:pPr>
        <w:spacing w:after="0" w:line="87" w:lineRule="exact"/>
        <w:rPr>
          <w:sz w:val="24"/>
          <w:szCs w:val="24"/>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4"/>
          <w:szCs w:val="24"/>
          <w:color w:val="auto"/>
        </w:rPr>
      </w:pPr>
    </w:p>
    <w:p>
      <w:pPr>
        <w:jc w:val="both"/>
        <w:ind w:left="120" w:right="60" w:firstLine="440"/>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22 of Comcast Corporation’s (“Comcast”) Annual Report on Form 10-K for the year ended December 31, 2021, which is incorporated by reference herein.</w:t>
      </w:r>
    </w:p>
    <w:p>
      <w:pPr>
        <w:spacing w:after="0" w:line="74"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Price to</w:t>
            </w:r>
          </w:p>
        </w:tc>
        <w:tc>
          <w:tcPr>
            <w:tcW w:w="15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Underwriters’</w:t>
            </w:r>
          </w:p>
        </w:tc>
        <w:tc>
          <w:tcPr>
            <w:tcW w:w="2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Investors</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Discount</w:t>
            </w: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2025 (1)</w:t>
            </w:r>
          </w:p>
        </w:tc>
        <w:tc>
          <w:tcPr>
            <w:tcW w:w="1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99.773%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$749,797,500</w:t>
            </w:r>
          </w:p>
        </w:tc>
        <w:tc>
          <w:tcPr>
            <w:tcW w:w="3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1,500,000</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$748,297,500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2027 (1)</w:t>
            </w:r>
          </w:p>
        </w:tc>
        <w:tc>
          <w:tcPr>
            <w:tcW w:w="3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99.955%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0.250%</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99.705%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$749,662,500</w:t>
            </w:r>
          </w:p>
        </w:tc>
        <w:tc>
          <w:tcPr>
            <w:tcW w:w="3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1,875,000</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$747,787,500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2032 (1)</w:t>
            </w:r>
          </w:p>
        </w:tc>
        <w:tc>
          <w:tcPr>
            <w:tcW w:w="3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99.368%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0.400%</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98.968%</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$993,680,000</w:t>
            </w:r>
          </w:p>
        </w:tc>
        <w:tc>
          <w:tcPr>
            <w:tcW w:w="380" w:type="dxa"/>
            <w:vAlign w:val="bottom"/>
          </w:tcPr>
          <w:p>
            <w:pPr>
              <w:spacing w:after="0"/>
              <w:rPr>
                <w:sz w:val="20"/>
                <w:szCs w:val="20"/>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4,000,000</w:t>
            </w:r>
          </w:p>
        </w:tc>
        <w:tc>
          <w:tcPr>
            <w:tcW w:w="3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$989,680,000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November 7, 2022, if settlement occurs after that date.</w:t>
      </w:r>
    </w:p>
    <w:p>
      <w:pPr>
        <w:spacing w:after="0" w:line="113" w:lineRule="exact"/>
        <w:rPr>
          <w:sz w:val="24"/>
          <w:szCs w:val="24"/>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2" w:lineRule="exact"/>
        <w:rPr>
          <w:sz w:val="24"/>
          <w:szCs w:val="24"/>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November 7, 2022 which is the fifth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ectPr>
          <w:pgSz w:w="11900" w:h="16838" w:orient="portrait"/>
          <w:cols w:equalWidth="0" w:num="1">
            <w:col w:w="11140"/>
          </w:cols>
          <w:pgMar w:left="320" w:top="230" w:right="439" w:bottom="1440" w:gutter="0" w:footer="0" w:header="0"/>
        </w:sectPr>
      </w:pPr>
    </w:p>
    <w:p>
      <w:pPr>
        <w:spacing w:after="0" w:line="113" w:lineRule="exact"/>
        <w:rPr>
          <w:sz w:val="24"/>
          <w:szCs w:val="24"/>
          <w:color w:val="auto"/>
        </w:rPr>
      </w:pPr>
    </w:p>
    <w:p>
      <w:pPr>
        <w:ind w:left="120"/>
        <w:spacing w:after="0"/>
        <w:rPr>
          <w:sz w:val="20"/>
          <w:szCs w:val="20"/>
          <w:color w:val="auto"/>
        </w:rPr>
      </w:pPr>
      <w:r>
        <w:rPr>
          <w:rFonts w:ascii="Arial" w:cs="Arial" w:eastAsia="Arial" w:hAnsi="Arial"/>
          <w:sz w:val="27"/>
          <w:szCs w:val="27"/>
          <w:b w:val="1"/>
          <w:bCs w:val="1"/>
          <w:color w:val="auto"/>
        </w:rPr>
        <w:t>Citigroup</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TD Securities</w:t>
      </w:r>
    </w:p>
    <w:p>
      <w:pPr>
        <w:spacing w:after="0" w:line="146" w:lineRule="exact"/>
        <w:rPr>
          <w:sz w:val="24"/>
          <w:szCs w:val="24"/>
          <w:color w:val="auto"/>
        </w:rPr>
      </w:pPr>
    </w:p>
    <w:p>
      <w:pPr>
        <w:sectPr>
          <w:pgSz w:w="11900" w:h="16838" w:orient="portrait"/>
          <w:cols w:equalWidth="0" w:num="3">
            <w:col w:w="4260" w:space="720"/>
            <w:col w:w="3760" w:space="720"/>
            <w:col w:w="168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27"/>
          <w:szCs w:val="27"/>
          <w:b w:val="1"/>
          <w:bCs w:val="1"/>
          <w:color w:val="auto"/>
        </w:rPr>
        <w:t>BNP PARIBAS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7"/>
          <w:szCs w:val="27"/>
          <w:b w:val="1"/>
          <w:bCs w:val="1"/>
          <w:color w:val="auto"/>
        </w:rPr>
        <w:t>SMBC Nikko</w:t>
      </w:r>
    </w:p>
    <w:p>
      <w:pPr>
        <w:spacing w:after="0" w:line="149" w:lineRule="exact"/>
        <w:rPr>
          <w:sz w:val="24"/>
          <w:szCs w:val="24"/>
          <w:color w:val="auto"/>
        </w:rPr>
      </w:pPr>
    </w:p>
    <w:p>
      <w:pPr>
        <w:sectPr>
          <w:pgSz w:w="11900" w:h="16838" w:orient="portrait"/>
          <w:cols w:equalWidth="0" w:num="3">
            <w:col w:w="4060" w:space="720"/>
            <w:col w:w="3980" w:space="720"/>
            <w:col w:w="166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October 31, 2022.</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300" w:type="dxa"/>
            <w:vAlign w:val="bottom"/>
            <w:vMerge w:val="restart"/>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427"/>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3"/>
            <w:vMerge w:val="restart"/>
          </w:tcPr>
          <w:p>
            <w:pPr>
              <w:ind w:left="720"/>
              <w:spacing w:after="0"/>
              <w:rPr>
                <w:sz w:val="20"/>
                <w:szCs w:val="20"/>
                <w:color w:val="auto"/>
              </w:rPr>
            </w:pPr>
            <w:r>
              <w:rPr>
                <w:rFonts w:ascii="Arial" w:cs="Arial" w:eastAsia="Arial" w:hAnsi="Arial"/>
                <w:sz w:val="18"/>
                <w:szCs w:val="18"/>
                <w:b w:val="1"/>
                <w:bCs w:val="1"/>
                <w:color w:val="auto"/>
              </w:rPr>
              <w:t>Prospectus Supplement</w:t>
            </w:r>
          </w:p>
        </w:tc>
        <w:tc>
          <w:tcPr>
            <w:tcW w:w="4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3"/>
            <w:vMerge w:val="continue"/>
          </w:tcPr>
          <w:p>
            <w:pPr>
              <w:spacing w:after="0"/>
              <w:rPr>
                <w:sz w:val="17"/>
                <w:szCs w:val="17"/>
                <w:color w:val="auto"/>
              </w:rPr>
            </w:pPr>
          </w:p>
        </w:tc>
        <w:tc>
          <w:tcPr>
            <w:tcW w:w="4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660" w:type="dxa"/>
            <w:vAlign w:val="bottom"/>
            <w:gridSpan w:val="17"/>
          </w:tcPr>
          <w:p>
            <w:pPr>
              <w:spacing w:after="0"/>
              <w:rPr>
                <w:sz w:val="20"/>
                <w:szCs w:val="20"/>
                <w:color w:val="auto"/>
              </w:rPr>
            </w:pPr>
            <w:r>
              <w:rPr>
                <w:rFonts w:ascii="Arial" w:cs="Arial" w:eastAsia="Arial" w:hAnsi="Arial"/>
                <w:sz w:val="18"/>
                <w:szCs w:val="18"/>
                <w:color w:val="0000EE"/>
              </w:rPr>
              <w:t>Where You Can Find More Information</w:t>
            </w:r>
          </w:p>
        </w:tc>
        <w:tc>
          <w:tcPr>
            <w:tcW w:w="4300" w:type="dxa"/>
            <w:vAlign w:val="bottom"/>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3800" w:type="dxa"/>
            <w:vAlign w:val="bottom"/>
            <w:gridSpan w:val="5"/>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4240" w:type="dxa"/>
            <w:vAlign w:val="bottom"/>
            <w:gridSpan w:val="6"/>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4900" w:type="dxa"/>
            <w:vAlign w:val="bottom"/>
            <w:gridSpan w:val="8"/>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Material U.S. Federal Income Tax Consequences for Non-U.S. Holders</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512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Underwriting</w:t>
            </w:r>
          </w:p>
        </w:tc>
        <w:tc>
          <w:tcPr>
            <w:tcW w:w="1540" w:type="dxa"/>
            <w:vAlign w:val="bottom"/>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Legal Matters</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5660" w:type="dxa"/>
            <w:vAlign w:val="bottom"/>
            <w:gridSpan w:val="14"/>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8"/>
              </w:rPr>
              <w:t>The Companies</w:t>
            </w:r>
          </w:p>
        </w:tc>
        <w:tc>
          <w:tcPr>
            <w:tcW w:w="5500" w:type="dxa"/>
            <w:vAlign w:val="bottom"/>
            <w:gridSpan w:val="13"/>
          </w:tcPr>
          <w:p>
            <w:pPr>
              <w:spacing w:after="0"/>
              <w:rPr>
                <w:sz w:val="24"/>
                <w:szCs w:val="24"/>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Caution Concerning Forward-Looking Statements</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Use of Proceeds</w:t>
            </w:r>
          </w:p>
        </w:tc>
        <w:tc>
          <w:tcPr>
            <w:tcW w:w="3060" w:type="dxa"/>
            <w:vAlign w:val="bottom"/>
            <w:gridSpan w:val="3"/>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Dividend Policy</w:t>
            </w:r>
          </w:p>
        </w:tc>
        <w:tc>
          <w:tcPr>
            <w:tcW w:w="5480" w:type="dxa"/>
            <w:vAlign w:val="bottom"/>
            <w:gridSpan w:val="12"/>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Description of Debt Securities and Guarantees</w:t>
            </w:r>
          </w:p>
        </w:tc>
        <w:tc>
          <w:tcPr>
            <w:tcW w:w="3320" w:type="dxa"/>
            <w:vAlign w:val="bottom"/>
            <w:gridSpan w:val="4"/>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Global Securities</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Plan of Distribution</w:t>
            </w:r>
          </w:p>
        </w:tc>
        <w:tc>
          <w:tcPr>
            <w:tcW w:w="4620" w:type="dxa"/>
            <w:vAlign w:val="bottom"/>
            <w:gridSpan w:val="7"/>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Legal Matters</w:t>
            </w:r>
          </w:p>
        </w:tc>
        <w:tc>
          <w:tcPr>
            <w:tcW w:w="5240" w:type="dxa"/>
            <w:vAlign w:val="bottom"/>
            <w:gridSpan w:val="10"/>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5660" w:type="dxa"/>
            <w:vAlign w:val="bottom"/>
            <w:gridSpan w:val="14"/>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Available Information</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7"/>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supplement incorporates by reference the documents of Comcast set forth below that we have previously filed with the SEC:</w:t>
      </w:r>
    </w:p>
    <w:p>
      <w:pPr>
        <w:spacing w:after="0" w:line="154"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Comcast’s Annual Report on Form 10-K for the year ended December 31, 2021, filed on </w:t>
      </w:r>
      <w:hyperlink r:id="rId16">
        <w:r>
          <w:rPr>
            <w:rFonts w:ascii="Arial" w:cs="Arial" w:eastAsia="Arial" w:hAnsi="Arial"/>
            <w:sz w:val="18"/>
            <w:szCs w:val="18"/>
            <w:u w:val="single" w:color="auto"/>
            <w:color w:val="0000EE"/>
          </w:rPr>
          <w:t>February 2,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0000EE"/>
        </w:rPr>
      </w:pPr>
      <w:hyperlink r:id="rId17">
        <w:r>
          <w:rPr>
            <w:rFonts w:ascii="Arial" w:cs="Arial" w:eastAsia="Arial" w:hAnsi="Arial"/>
            <w:sz w:val="18"/>
            <w:szCs w:val="18"/>
            <w:color w:val="auto"/>
          </w:rPr>
          <w:t xml:space="preserve">Comcast’s Quarterly Reports on Form 10-Q for the quarters ended March 31, 2022, June 30, 2022 and September 30, 2022, filed on </w:t>
        </w:r>
        <w:r>
          <w:rPr>
            <w:rFonts w:ascii="Arial" w:cs="Arial" w:eastAsia="Arial" w:hAnsi="Arial"/>
            <w:sz w:val="18"/>
            <w:szCs w:val="18"/>
            <w:u w:val="single" w:color="auto"/>
            <w:color w:val="0000EE"/>
          </w:rPr>
          <w:t>April</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28, 2022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 xml:space="preserve">July 28, 2022 </w:t>
        </w:r>
      </w:hyperlink>
      <w:hyperlink r:id="rId1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9">
        <w:r>
          <w:rPr>
            <w:rFonts w:ascii="Arial" w:cs="Arial" w:eastAsia="Arial" w:hAnsi="Arial"/>
            <w:sz w:val="18"/>
            <w:szCs w:val="18"/>
            <w:u w:val="single" w:color="auto"/>
            <w:color w:val="0000EE"/>
          </w:rPr>
          <w:t>October 27, 2022</w:t>
        </w:r>
      </w:hyperlink>
      <w:hyperlink r:id="rId17">
        <w:r>
          <w:rPr>
            <w:rFonts w:ascii="Arial" w:cs="Arial" w:eastAsia="Arial" w:hAnsi="Arial"/>
            <w:sz w:val="18"/>
            <w:szCs w:val="18"/>
            <w:color w:val="000000"/>
          </w:rPr>
          <w:t>, respectively.</w:t>
        </w:r>
      </w:hyperlink>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20">
        <w:r>
          <w:rPr>
            <w:rFonts w:ascii="Arial" w:cs="Arial" w:eastAsia="Arial" w:hAnsi="Arial"/>
            <w:sz w:val="18"/>
            <w:szCs w:val="18"/>
            <w:u w:val="single" w:color="auto"/>
            <w:color w:val="0000EE"/>
          </w:rPr>
          <w:t>June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October 12,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2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2022 annual meeting of shareholders incorporated by reference in Comcast’s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70" w:lineRule="exact"/>
        <w:rPr>
          <w:rFonts w:ascii="Arial" w:cs="Arial" w:eastAsia="Arial" w:hAnsi="Arial"/>
          <w:sz w:val="18"/>
          <w:szCs w:val="18"/>
          <w:color w:val="auto"/>
        </w:rPr>
      </w:pPr>
    </w:p>
    <w:p>
      <w:pPr>
        <w:ind w:left="120" w:firstLine="440"/>
        <w:spacing w:after="0" w:line="293"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40"/>
          </w:cols>
          <w:pgMar w:left="320" w:top="459"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operations in five reportable business segments: (1) Comcast Cable in one reportable business segment, referred to as Cable Communications;</w:t>
      </w:r>
    </w:p>
    <w:p>
      <w:pPr>
        <w:spacing w:after="0" w:line="32" w:lineRule="exact"/>
        <w:rPr>
          <w:sz w:val="20"/>
          <w:szCs w:val="20"/>
          <w:color w:val="auto"/>
        </w:rPr>
      </w:pPr>
    </w:p>
    <w:p>
      <w:pPr>
        <w:ind w:left="560" w:hanging="262"/>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NBCUniversal in three reportable business segments: Media, Studios and Theme Parks (collectively, the “NBCUniversal segments”); and</w:t>
      </w:r>
    </w:p>
    <w:p>
      <w:pPr>
        <w:spacing w:after="0" w:line="20" w:lineRule="exact"/>
        <w:rPr>
          <w:rFonts w:ascii="Arial" w:cs="Arial" w:eastAsia="Arial" w:hAnsi="Arial"/>
          <w:sz w:val="17"/>
          <w:szCs w:val="17"/>
          <w:color w:val="auto"/>
        </w:rPr>
      </w:pPr>
    </w:p>
    <w:p>
      <w:pPr>
        <w:ind w:left="560" w:hanging="26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116" w:lineRule="exact"/>
        <w:rPr>
          <w:rFonts w:ascii="Arial" w:cs="Arial" w:eastAsia="Arial" w:hAnsi="Arial"/>
          <w:sz w:val="18"/>
          <w:szCs w:val="18"/>
          <w:color w:val="auto"/>
        </w:rPr>
      </w:pPr>
    </w:p>
    <w:p>
      <w:pPr>
        <w:ind w:left="1240" w:right="380" w:hanging="415"/>
        <w:spacing w:after="0" w:line="263"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Cable Communications: Consists of the operations of Comcast Cable, which is a leading provider of broadband, video, voice, wireless, and other services to residential customers in the United States under the Xfinity brand; we also provide these and other services to business customers and sell advertising.</w:t>
      </w:r>
    </w:p>
    <w:p>
      <w:pPr>
        <w:spacing w:after="0" w:line="89" w:lineRule="exact"/>
        <w:rPr>
          <w:rFonts w:ascii="Arial" w:cs="Arial" w:eastAsia="Arial" w:hAnsi="Arial"/>
          <w:sz w:val="18"/>
          <w:szCs w:val="18"/>
          <w:color w:val="auto"/>
        </w:rPr>
      </w:pPr>
    </w:p>
    <w:p>
      <w:pPr>
        <w:jc w:val="both"/>
        <w:ind w:left="1240" w:right="60" w:hanging="415"/>
        <w:spacing w:after="0" w:line="342" w:lineRule="auto"/>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Media: Consists primarily of NBCUniversal’s television and streaming platforms, including national, regional and international cable networks; the NBC and Telemundo broadcast networks; NBC and Telemundo owned local broadcast television stations; and Peacock</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Studios: Consists primarily of NBCUniversal’s film and television studio production and distribution operations.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Theme Parks: Consists primarily of our Universal theme parks in Orlando, Florida; Hollywood, California; Osaka, Japan; and Beijing, China.</w:t>
      </w:r>
    </w:p>
    <w:p>
      <w:pPr>
        <w:spacing w:after="0" w:line="75" w:lineRule="exact"/>
        <w:rPr>
          <w:rFonts w:ascii="Arial" w:cs="Arial" w:eastAsia="Arial" w:hAnsi="Arial"/>
          <w:sz w:val="18"/>
          <w:szCs w:val="18"/>
          <w:color w:val="auto"/>
        </w:rPr>
      </w:pPr>
    </w:p>
    <w:p>
      <w:pPr>
        <w:ind w:left="1240" w:right="560" w:hanging="415"/>
        <w:spacing w:after="0" w:line="263"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Sky: Consists of the operations of Sky, one of Europe’s leading entertainment companies, which primarily includes a direct-to-consumer business, providing video, broadband, voice and wireless phone services, and a content business, operating entertainment networks, the Sky News broadcast network and Sky Sports networks.</w:t>
      </w:r>
    </w:p>
    <w:p>
      <w:pPr>
        <w:spacing w:after="0" w:line="184"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70"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84"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240" w:right="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84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48"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660"/>
          </w:cols>
          <w:pgMar w:left="320" w:top="459" w:right="9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Corporation.</w:t>
            </w:r>
          </w:p>
        </w:tc>
      </w:tr>
      <w:tr>
        <w:trPr>
          <w:trHeight w:val="473"/>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$750,000,000 aggregate principal amount of 5.250% Notes due 2025.</w:t>
            </w:r>
          </w:p>
        </w:tc>
      </w:tr>
      <w:tr>
        <w:trPr>
          <w:trHeight w:val="47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$750,000,000 aggregate principal amount of 5.350% Notes due 2027.</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$1,000,000,000 aggregate principal amount of 5.500% Notes due 2032.</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2025 will mature on November 7, 2025.</w:t>
            </w:r>
          </w:p>
        </w:tc>
      </w:tr>
      <w:tr>
        <w:trPr>
          <w:trHeight w:val="47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2027 will mature on November 15, 2027.</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2032 will mature on November 15, 2032.</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2025 will accrue at the rate of 5.250%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semiannually in cash in arrears on each May 7 and November 7, beginning May 7, 2023.</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2027 will accrue at the rate of 5.350%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semiannually in cash in arrears on each May 15 and November 15, beginning May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2023.</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2032 will accrue at the rate of 5.500%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semiannually in cash in arrears on each May 15 and November 15, beginning May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2023.</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Cable and NBCUniversal.</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applicable redemption price determined as set forth under the heading “Description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Notes—Optional 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We intend to use the net proceeds from this offering, after deducting the underwriting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commission, fees and expenses, for the refinancing of outstanding debt, including Comcast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Cable Communications Holdings Inc.’s 9.455% notes due November 15, 2022</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($1.07 billion principal amount outstanding as of the date hereof) and Sky plc’s 3.125%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 due November 26, 2022 ($800 million principal amount</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20" w:type="dxa"/>
            <w:vAlign w:val="bottom"/>
            <w:tcBorders>
              <w:top w:val="single" w:sz="8" w:color="auto"/>
              <w:left w:val="single" w:sz="8" w:color="auto"/>
            </w:tcBorders>
          </w:tcPr>
          <w:p>
            <w:pPr>
              <w:spacing w:after="0"/>
              <w:rPr>
                <w:sz w:val="24"/>
                <w:szCs w:val="24"/>
                <w:color w:val="auto"/>
              </w:rPr>
            </w:pPr>
          </w:p>
        </w:tc>
        <w:tc>
          <w:tcPr>
            <w:tcW w:w="820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94"/>
              </w:rPr>
              <w:t>outstanding as of the date hereof), and for general corporate purposes. Affiliates of certain</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of the underwriters may be holders of the 9.455% notes due November 15, 2022 and the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3.125% notes due November 26, 2022, and accordingly, may receive a portion of the net</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proceeds from this offering.</w:t>
            </w:r>
          </w:p>
        </w:tc>
      </w:tr>
      <w:tr>
        <w:trPr>
          <w:trHeight w:val="458"/>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445"/>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Notes</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We have the ability to “reopen” a series of these notes and issue additional notes of such</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7"/>
              </w:rPr>
              <w:t>series. Additional notes of such series will be consolidated with and form a single series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with the notes then outstanding of such series; provided that if such additional notes are not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fungible with the notes of the applicable series offered hereby for U.S. federal income tax</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purposes, such additional notes will have one or more separate CUSIP numbers.</w:t>
            </w:r>
          </w:p>
        </w:tc>
      </w:tr>
      <w:tr>
        <w:trPr>
          <w:trHeight w:val="445"/>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8"/>
              </w:rPr>
              <w:t>Investing in the notes involves certain risks. See “Item 1A—Risk Factors” beginning on</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page 22 of our Annual Report on Form 10-K for the year ended December 31, 2021.</w:t>
            </w:r>
          </w:p>
        </w:tc>
      </w:tr>
      <w:tr>
        <w:trPr>
          <w:trHeight w:val="159"/>
        </w:trPr>
        <w:tc>
          <w:tcPr>
            <w:tcW w:w="2820" w:type="dxa"/>
            <w:vAlign w:val="bottom"/>
            <w:tcBorders>
              <w:left w:val="single" w:sz="8" w:color="auto"/>
              <w:bottom w:val="single" w:sz="8" w:color="auto"/>
            </w:tcBorders>
          </w:tcPr>
          <w:p>
            <w:pPr>
              <w:spacing w:after="0"/>
              <w:rPr>
                <w:sz w:val="13"/>
                <w:szCs w:val="13"/>
                <w:color w:val="auto"/>
              </w:rPr>
            </w:pPr>
          </w:p>
        </w:tc>
        <w:tc>
          <w:tcPr>
            <w:tcW w:w="8200" w:type="dxa"/>
            <w:vAlign w:val="bottom"/>
            <w:tcBorders>
              <w:bottom w:val="single" w:sz="8" w:color="auto"/>
              <w:right w:val="single" w:sz="8" w:color="auto"/>
            </w:tcBorders>
          </w:tcPr>
          <w:p>
            <w:pPr>
              <w:spacing w:after="0"/>
              <w:rPr>
                <w:sz w:val="13"/>
                <w:szCs w:val="13"/>
                <w:color w:val="auto"/>
              </w:rPr>
            </w:pPr>
          </w:p>
        </w:tc>
      </w:tr>
      <w:tr>
        <w:trPr>
          <w:trHeight w:val="361"/>
        </w:trPr>
        <w:tc>
          <w:tcPr>
            <w:tcW w:w="2820" w:type="dxa"/>
            <w:vAlign w:val="bottom"/>
          </w:tcPr>
          <w:p>
            <w:pPr>
              <w:spacing w:after="0"/>
              <w:rPr>
                <w:sz w:val="24"/>
                <w:szCs w:val="24"/>
                <w:color w:val="auto"/>
              </w:rPr>
            </w:pPr>
          </w:p>
        </w:tc>
        <w:tc>
          <w:tcPr>
            <w:tcW w:w="8200" w:type="dxa"/>
            <w:vAlign w:val="bottom"/>
          </w:tcPr>
          <w:p>
            <w:pPr>
              <w:ind w:left="25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intend to use the net proceeds from this offering, after deducting the underwriting commission, fees and expenses, for the refinancing of outstanding debt, including Comcast Cable Communications Holdings Inc.’s 9.455% notes due November 15, 2022 ($1.07 billion principal amount outstanding as of the date hereof) and Sky plc’s 3.125% notes due November 26, 2022 ($800 million principal amount outstanding as of the date hereof), and for general corporate purposes. Affiliates of certain of the underwriters may be holders of the 9.455% notes due November 15, 2022 and the 3.125% notes due November 26, 2022, and accordingly, may receive a portion of the net proceeds from this offering.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We are offering $750,000,000 aggregate principal amount of our 5.250% Notes due 2025</w:t>
      </w:r>
      <w:r>
        <w:rPr>
          <w:rFonts w:ascii="Arial" w:cs="Arial" w:eastAsia="Arial" w:hAnsi="Arial"/>
          <w:sz w:val="17"/>
          <w:szCs w:val="17"/>
          <w:color w:val="auto"/>
        </w:rPr>
        <w:t>,</w:t>
      </w:r>
      <w:r>
        <w:rPr>
          <w:rFonts w:ascii="Arial" w:cs="Arial" w:eastAsia="Arial" w:hAnsi="Arial"/>
          <w:sz w:val="17"/>
          <w:szCs w:val="17"/>
          <w:i w:val="1"/>
          <w:iCs w:val="1"/>
          <w:color w:val="auto"/>
        </w:rPr>
        <w:t xml:space="preserve"> $750,000,000 aggregate principal amount of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5.350% Notes due 2027 and $1,000,000,000 aggregate principal amount of our 5.500% Notes due 2032. The Notes due 2025</w:t>
      </w:r>
      <w:r>
        <w:rPr>
          <w:rFonts w:ascii="Arial" w:cs="Arial" w:eastAsia="Arial" w:hAnsi="Arial"/>
          <w:sz w:val="16"/>
          <w:szCs w:val="16"/>
          <w:color w:val="auto"/>
        </w:rPr>
        <w:t>,</w:t>
      </w:r>
      <w:r>
        <w:rPr>
          <w:rFonts w:ascii="Arial" w:cs="Arial" w:eastAsia="Arial" w:hAnsi="Arial"/>
          <w:sz w:val="16"/>
          <w:szCs w:val="16"/>
          <w:i w:val="1"/>
          <w:iCs w:val="1"/>
          <w:color w:val="auto"/>
        </w:rPr>
        <w:t xml:space="preserve"> the Notes due 2027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Notes due 2032 will each be a separate series of securities issued under a senior indenture dated September 18, 2013, entered into among us,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guarantors and The Bank of New York Mellon, as trustee, as amended by the first supplemental indenture dated as of November 17, 2015, entered into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among us, the guarantors and The Bank of New York Mellon, as trustee, and as further amended by the second supplemental indenture dated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July 29, 2022, entered into among us, the guarantors and The Bank of New York Mellon, as trustee (as amended, the “indenture”). The notes will be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direct unsecured and unsubordinated obligations and will be fully and unconditionally guaranteed by Comcast Cable and NBCUniversal, referred to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guarantors, as described below. The terms of the notes include those stated in the indenture and those made part of the indenture by reference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Trust Indenture Act of 1939, as amended. The indenture provides that we will have the ability to issue securities with terms different from those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notes. We also have the ability to “reopen” a series of these notes and issue additional notes of such series. Additional notes of such series will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consolidated with and form a single series with the notes then outstanding of such series; provided that if such additional notes are not fungible with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notes of the applicable series offered hereby for U.S. federal income tax purposes, such additional notes will have one or more separate CUSIP</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numbers. Copies of the indenture and the form of notes are available from us upon request.</w:t>
      </w:r>
    </w:p>
    <w:p>
      <w:pPr>
        <w:spacing w:after="0" w:line="21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$2,500,000,000 comprised as follows:</w:t>
      </w:r>
    </w:p>
    <w:p>
      <w:pPr>
        <w:spacing w:after="0" w:line="130" w:lineRule="exact"/>
        <w:rPr>
          <w:rFonts w:ascii="Arial" w:cs="Arial" w:eastAsia="Arial" w:hAnsi="Arial"/>
          <w:sz w:val="18"/>
          <w:szCs w:val="18"/>
          <w:color w:val="auto"/>
        </w:rPr>
      </w:pPr>
    </w:p>
    <w:p>
      <w:pPr>
        <w:jc w:val="both"/>
        <w:ind w:left="1540" w:right="160" w:hanging="331"/>
        <w:spacing w:after="0" w:line="263"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$750,000,000 initial aggregate principal amount of 5.250% Notes due 2025, maturing on November 7, 2025, with interest payable semiannually on each May 7 and November 7, beginning May 7, 2023, to holders of record on the preceding April 22 and October 23;</w:t>
      </w:r>
    </w:p>
    <w:p>
      <w:pPr>
        <w:spacing w:after="0" w:line="89" w:lineRule="exact"/>
        <w:rPr>
          <w:rFonts w:ascii="Arial" w:cs="Arial" w:eastAsia="Arial" w:hAnsi="Arial"/>
          <w:sz w:val="18"/>
          <w:szCs w:val="18"/>
          <w:color w:val="auto"/>
        </w:rPr>
      </w:pPr>
    </w:p>
    <w:p>
      <w:pPr>
        <w:ind w:left="1540" w:right="100" w:hanging="331"/>
        <w:spacing w:after="0" w:line="263"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$750,000,000 initial aggregate principal amount of 5.350% Notes due 2027, maturing on November 15, 2027, with interest payable semiannually on each May 15 and November 15, beginning May 15, 2023, to holders of record on the preceding May 1 and November 1;</w:t>
      </w:r>
    </w:p>
    <w:p>
      <w:pPr>
        <w:spacing w:after="0" w:line="89" w:lineRule="exact"/>
        <w:rPr>
          <w:rFonts w:ascii="Arial" w:cs="Arial" w:eastAsia="Arial" w:hAnsi="Arial"/>
          <w:sz w:val="18"/>
          <w:szCs w:val="18"/>
          <w:color w:val="auto"/>
        </w:rPr>
      </w:pPr>
    </w:p>
    <w:p>
      <w:pPr>
        <w:ind w:left="1540" w:right="40" w:hanging="331"/>
        <w:spacing w:after="0" w:line="263"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$1,000,000,000 initial aggregate principal amount of 5.500% Notes due 2032, maturing on November 15, 2032, with interest payable semiannually on each May 15 and November 15, beginning May 15, 2023, to holders of record on the preceding May 1 and November 1;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on the notes will be computed on the basis of a 360-day year consisting of twelve 30-day months.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Interest on the notes will accrue from (i) the earlier of November 7, 2022 and the date of original issuance or (ii) from the most recent interest payment date to which interest has been paid, and will be payable semiannually on the interest payment dates described for each year.</w:t>
      </w:r>
    </w:p>
    <w:p>
      <w:pPr>
        <w:spacing w:after="0" w:line="12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Prior to November 7, 2025 (the “2025 Maturity Date”) with respect to the Notes due 2025, prior to October 15, 2027 with respect to the Notes due 2027 (one (1) month prior to the maturity date of the Notes due 2027) (the “2027 Notes Par Call Date”) and prior to August 15, 2032 with respect to the Notes due 2032 (three (3) months prior to the maturity date of the Notes due 2032) (the “2032 Notes Par Call Date” and, together with the 2027 Notes Par Call Date, each a “Par Call Date”), we may redeem such notes at our option, in whole or in part, at any time and from time to time, at a redemption price (expressed as a percentage of the principal amount and rounded to three decimal places) equal to the greater of:</w:t>
      </w:r>
    </w:p>
    <w:p>
      <w:pPr>
        <w:spacing w:after="0" w:line="53" w:lineRule="exact"/>
        <w:rPr>
          <w:sz w:val="20"/>
          <w:szCs w:val="20"/>
          <w:color w:val="auto"/>
        </w:rPr>
      </w:pPr>
    </w:p>
    <w:p>
      <w:pPr>
        <w:ind w:left="560" w:right="40" w:hanging="4"/>
        <w:spacing w:after="0" w:line="257" w:lineRule="auto"/>
        <w:tabs>
          <w:tab w:leader="none" w:pos="95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(assuming, in the case of the Notes due 2027 and the Notes due 2032, that such notes mature on their applicable Par Call Date) on a semi-annual basis (assuming a 360-day year consisting of twelve 30-day months) at the Treasury Rate plus 15 basis points, in the case of the Notes due 2025, 20 basis points, in the case of the Notes due 2027, and 25 basis points, in the case of the Notes due 2032, as applicable, less (b) interest accrued to the date of redemption, and</w:t>
      </w:r>
    </w:p>
    <w:p>
      <w:pPr>
        <w:spacing w:after="0" w:line="79" w:lineRule="exact"/>
        <w:rPr>
          <w:rFonts w:ascii="Arial" w:cs="Arial" w:eastAsia="Arial" w:hAnsi="Arial"/>
          <w:sz w:val="18"/>
          <w:szCs w:val="18"/>
          <w:color w:val="auto"/>
        </w:rPr>
      </w:pPr>
    </w:p>
    <w:p>
      <w:pPr>
        <w:ind w:left="940" w:hanging="3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of the applicable series to be redeemed,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On or after the 2027 Notes Par Call Date, in the case of the Notes due 2027, and the 2032 Notes Par Call Date, in the case of the Notes due 2032, as applicable, we may redeem such series of notes, in whole or in part, at any time and from time to time, at a redemption price equal to 100% of the principal amount of the notes being redeemed, plus accrued and unpaid interest thereon to the redemption date.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“Treasury Rate” means, with respect to any redemption date, the yield determined by us in accordance with the following two paragraphs.</w:t>
      </w:r>
    </w:p>
    <w:p>
      <w:pPr>
        <w:spacing w:after="0" w:line="23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2025 Maturity Date or the applicable Par Call Date, as applicable (the “Remaining Life”); or</w:t>
      </w:r>
    </w:p>
    <w:p>
      <w:pPr>
        <w:spacing w:after="0" w:line="2" w:lineRule="exact"/>
        <w:rPr>
          <w:sz w:val="20"/>
          <w:szCs w:val="20"/>
          <w:color w:val="auto"/>
        </w:rPr>
      </w:pPr>
    </w:p>
    <w:p>
      <w:pPr>
        <w:ind w:left="120" w:right="80" w:hanging="4"/>
        <w:spacing w:after="0" w:line="269" w:lineRule="auto"/>
        <w:tabs>
          <w:tab w:leader="none" w:pos="37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2025 Maturity Date or the applicable Par Call Date, as applicable,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2025 Maturity Date or the relevant Par Call Date, as applicable. If there is no United States Treasury security maturing on the 2025 Maturity Date or the applicable Par Call Date, as applicable, but there are two or more United States Treasury securities with a maturity date equally distant from the 2025 Maturity Date or the applicable Par Call Date, as applicable, one with a maturity date preceding such 2025 Maturity Date or Par Call Date, as applicable, and one with a maturity date following such 2025 Maturity Date or Par Call Date, as applicable, we shall select the United States Treasury security with a maturity date preceding the 2025 Maturity Date or the applicable Par Call Date, as applicable. If there are two or more United States Treasury securities maturing on the 2025 Maturity Date or the applicable Par Call Date, as applicable,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actions and determinations in determining the redemption price shall be conclusive and binding for all purposes, absent manifest error.</w:t>
      </w:r>
    </w:p>
    <w:p>
      <w:pPr>
        <w:spacing w:after="0" w:line="23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12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the case of a partial redemption, selection of the applicable series of notes for redemption will be made, if such series of notes are in the form of one or more global securities, in accordance with the procedures of The Depository Trust Company (or another depositary) or, if such series of notes are not in the form of one or more global securities, by lot. No notes of any series of a principal amount of $2,000 or less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The Depository Trust Company (or another depositary) or such depositary’s nominee, the redemption of such series of notes shall be done in accordance with the policies and procedures of the depositary.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applicable series of notes or portions thereof called for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7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4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9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62" w:lineRule="exact"/>
        <w:rPr>
          <w:sz w:val="20"/>
          <w:szCs w:val="20"/>
          <w:color w:val="auto"/>
        </w:rPr>
      </w:pPr>
    </w:p>
    <w:p>
      <w:pPr>
        <w:ind w:left="560" w:right="160" w:firstLine="419"/>
        <w:spacing w:after="0" w:line="277" w:lineRule="auto"/>
        <w:tabs>
          <w:tab w:leader="none" w:pos="1373"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60" w:hanging="381"/>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17" w:lineRule="exact"/>
        <w:rPr>
          <w:rFonts w:ascii="Arial" w:cs="Arial" w:eastAsia="Arial" w:hAnsi="Arial"/>
          <w:sz w:val="18"/>
          <w:szCs w:val="18"/>
          <w:color w:val="auto"/>
        </w:rPr>
      </w:pPr>
    </w:p>
    <w:p>
      <w:pPr>
        <w:ind w:left="1360" w:hanging="381"/>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arrangements or entities classified as partnerships for U.S. federal income tax purposes; or</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Internal Revenue Code of 1986, as amended (the “Code”).</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a partnership or other arrangement or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9" w:lineRule="exact"/>
        <w:rPr>
          <w:sz w:val="20"/>
          <w:szCs w:val="20"/>
          <w:color w:val="auto"/>
        </w:rPr>
      </w:pPr>
    </w:p>
    <w:p>
      <w:pPr>
        <w:ind w:left="1080" w:right="12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w:t>
      </w:r>
    </w:p>
    <w:p>
      <w:pPr>
        <w:spacing w:after="0" w:line="18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w:t>
      </w:r>
    </w:p>
    <w:p>
      <w:pPr>
        <w:spacing w:after="0" w:line="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96"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Notes due 2025</w:t>
            </w: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Notes due 2027</w:t>
            </w:r>
          </w:p>
        </w:tc>
        <w:tc>
          <w:tcPr>
            <w:tcW w:w="18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Notes due 2032</w:t>
            </w:r>
          </w:p>
        </w:tc>
        <w:tc>
          <w:tcPr>
            <w:tcW w:w="0" w:type="dxa"/>
            <w:vAlign w:val="bottom"/>
          </w:tcPr>
          <w:p>
            <w:pPr>
              <w:spacing w:after="0"/>
              <w:rPr>
                <w:sz w:val="1"/>
                <w:szCs w:val="1"/>
                <w:color w:val="auto"/>
              </w:rPr>
            </w:pPr>
          </w:p>
        </w:tc>
      </w:tr>
      <w:tr>
        <w:trPr>
          <w:trHeight w:val="148"/>
        </w:trPr>
        <w:tc>
          <w:tcPr>
            <w:tcW w:w="566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To Be</w:t>
            </w: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To Be</w:t>
            </w:r>
          </w:p>
        </w:tc>
        <w:tc>
          <w:tcPr>
            <w:tcW w:w="180" w:type="dxa"/>
            <w:vAlign w:val="bottom"/>
          </w:tcPr>
          <w:p>
            <w:pPr>
              <w:spacing w:after="0"/>
              <w:rPr>
                <w:sz w:val="12"/>
                <w:szCs w:val="12"/>
                <w:color w:val="auto"/>
              </w:rPr>
            </w:pPr>
          </w:p>
        </w:tc>
        <w:tc>
          <w:tcPr>
            <w:tcW w:w="14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To Be</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105,000,000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140,000,000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52,500,000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52,500,000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70,000,000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52,500,000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52,500,000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70,000,000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Commerz Markets LLC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10,500,000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10,500,000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10,500,000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10,500,000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Intesa Sanpaolo S.p.A.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NatWest Markets Securities Inc.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5,625,000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2,250,000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Seelaus &amp; Co., LLC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2,250,000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2,250,000</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1,000,000,000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960"/>
          </w:cols>
          <w:pgMar w:left="320" w:top="459" w:right="6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November 7, 2022,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public offering price on the cover page of this prospectus supplement, and to dealers at that price less a concession not in excess of 0.100%, 0.150% and 0.250% of the principal amount of the Notes due 2025, the Notes due 2027 and the Notes due 2032, respectively. The underwriters may allow, and the dealers may reallow, a discount not in excess of 0.050%, 0.100% and 0.150% of the principal amount of the Notes due 2025, the Notes due 2027 and the Notes due 2032, respectively, to other dealers. After the initial public offering, the public offering prices, concessions and discounts may be changed.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of the offering, not including the underwriting discount, are estimated to be $1.0 million.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Comcast Cable Communications Holdings Inc.’s 9.455% notes due November 15, 2022 and Sky plc’s 3.125% notes due November 26, 2022, and therefore, certain of the underwriters and/or their respective affiliates may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7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4" w:lineRule="exact"/>
        <w:rPr>
          <w:sz w:val="20"/>
          <w:szCs w:val="20"/>
          <w:color w:val="auto"/>
        </w:rPr>
      </w:pPr>
    </w:p>
    <w:p>
      <w:pPr>
        <w:ind w:left="120" w:right="20" w:hanging="4"/>
        <w:spacing w:after="0" w:line="253"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 qualified investor as defined in Article 2 of Regulation (EU) 2017/1129 as it forms part of domestic law by virtue of the EUWA (the “UK Prospectus Regulation”) .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60"/>
          </w:cols>
          <w:pgMar w:left="320" w:top="459"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79" w:lineRule="exact"/>
        <w:rPr>
          <w:sz w:val="20"/>
          <w:szCs w:val="20"/>
          <w:color w:val="auto"/>
        </w:rPr>
      </w:pPr>
    </w:p>
    <w:p>
      <w:pPr>
        <w:ind w:left="560" w:right="480" w:firstLine="419"/>
        <w:spacing w:after="0" w:line="277" w:lineRule="auto"/>
        <w:tabs>
          <w:tab w:leader="none" w:pos="13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2" w:lineRule="exact"/>
        <w:rPr>
          <w:rFonts w:ascii="Arial" w:cs="Arial" w:eastAsia="Arial" w:hAnsi="Arial"/>
          <w:sz w:val="18"/>
          <w:szCs w:val="18"/>
          <w:color w:val="auto"/>
        </w:rPr>
      </w:pPr>
    </w:p>
    <w:p>
      <w:pPr>
        <w:ind w:left="560" w:right="620" w:firstLine="419"/>
        <w:spacing w:after="0" w:line="308" w:lineRule="auto"/>
        <w:tabs>
          <w:tab w:leader="none" w:pos="13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38" w:lineRule="exact"/>
        <w:rPr>
          <w:rFonts w:ascii="Arial" w:cs="Arial" w:eastAsia="Arial" w:hAnsi="Arial"/>
          <w:sz w:val="17"/>
          <w:szCs w:val="17"/>
          <w:color w:val="auto"/>
        </w:rPr>
      </w:pPr>
    </w:p>
    <w:p>
      <w:pPr>
        <w:ind w:left="1420" w:hanging="441"/>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17" w:lineRule="exact"/>
        <w:rPr>
          <w:sz w:val="20"/>
          <w:szCs w:val="20"/>
          <w:color w:val="auto"/>
        </w:rPr>
      </w:pPr>
    </w:p>
    <w:p>
      <w:pPr>
        <w:ind w:left="560" w:right="740" w:firstLine="419"/>
        <w:spacing w:after="0" w:line="342" w:lineRule="auto"/>
        <w:tabs>
          <w:tab w:leader="none" w:pos="13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 w:lineRule="exact"/>
        <w:rPr>
          <w:rFonts w:ascii="Arial" w:cs="Arial" w:eastAsia="Arial" w:hAnsi="Arial"/>
          <w:sz w:val="16"/>
          <w:szCs w:val="16"/>
          <w:color w:val="auto"/>
        </w:rPr>
      </w:pPr>
    </w:p>
    <w:p>
      <w:pPr>
        <w:ind w:left="560" w:right="40" w:firstLine="419"/>
        <w:spacing w:after="0" w:line="277" w:lineRule="auto"/>
        <w:tabs>
          <w:tab w:leader="none" w:pos="13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6" w:lineRule="exact"/>
        <w:rPr>
          <w:sz w:val="20"/>
          <w:szCs w:val="20"/>
          <w:color w:val="auto"/>
        </w:rPr>
      </w:pPr>
    </w:p>
    <w:p>
      <w:pPr>
        <w:ind w:left="560" w:right="1040" w:firstLine="419"/>
        <w:spacing w:after="0" w:line="277" w:lineRule="auto"/>
        <w:tabs>
          <w:tab w:leader="none" w:pos="13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380" w:hanging="401"/>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420" w:hanging="441"/>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hanging="441"/>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60" w:right="480" w:firstLine="419"/>
        <w:spacing w:after="0" w:line="277" w:lineRule="auto"/>
        <w:tabs>
          <w:tab w:leader="none" w:pos="13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41" w:lineRule="exact"/>
        <w:rPr>
          <w:sz w:val="20"/>
          <w:szCs w:val="20"/>
          <w:color w:val="auto"/>
        </w:rPr>
      </w:pPr>
    </w:p>
    <w:p>
      <w:pPr>
        <w:ind w:left="560" w:right="140" w:firstLine="419"/>
        <w:spacing w:after="0" w:line="277" w:lineRule="auto"/>
        <w:tabs>
          <w:tab w:leader="none" w:pos="13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2" w:lineRule="exact"/>
        <w:rPr>
          <w:rFonts w:ascii="Arial" w:cs="Arial" w:eastAsia="Arial" w:hAnsi="Arial"/>
          <w:sz w:val="18"/>
          <w:szCs w:val="18"/>
          <w:color w:val="auto"/>
        </w:rPr>
      </w:pPr>
    </w:p>
    <w:p>
      <w:pPr>
        <w:ind w:left="560" w:right="280" w:firstLine="419"/>
        <w:spacing w:after="0" w:line="308" w:lineRule="auto"/>
        <w:tabs>
          <w:tab w:leader="none" w:pos="13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38" w:lineRule="exact"/>
        <w:rPr>
          <w:rFonts w:ascii="Arial" w:cs="Arial" w:eastAsia="Arial" w:hAnsi="Arial"/>
          <w:sz w:val="17"/>
          <w:szCs w:val="17"/>
          <w:color w:val="auto"/>
        </w:rPr>
      </w:pPr>
    </w:p>
    <w:p>
      <w:pPr>
        <w:ind w:left="560" w:right="60" w:firstLine="419"/>
        <w:spacing w:after="0" w:line="277" w:lineRule="auto"/>
        <w:tabs>
          <w:tab w:leader="none" w:pos="13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8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Intesa Sanpaolo S.p.A. is not a U.S. registered broker-dealer, and will not effect any offers or sales of any notes in the United States unless it is through one or more U.S. registered broker-dealers as permitted by the regulations of the Financial Industry Regulatory Authority, Inc.</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Senior Vice President, Senior Deputy General Counsel and Assistant Secretary,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financial statements of Comcast Corporation as of December 31, 2021 and 2020, and for each of the three years in the period ended December 31, 2021, incorporated by reference in this Prospectus Supplement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205740</wp:posOffset>
            </wp:positionV>
            <wp:extent cx="1397000" cy="488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970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9" w:right="519"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 Unsecured senior debt securities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 Purchase contracts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 Class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 Units</w:t>
      </w:r>
    </w:p>
    <w:p>
      <w:pPr>
        <w:spacing w:after="0" w:line="416" w:lineRule="exact"/>
        <w:rPr>
          <w:sz w:val="20"/>
          <w:szCs w:val="20"/>
          <w:color w:val="auto"/>
        </w:rPr>
      </w:pPr>
    </w:p>
    <w:p>
      <w:pPr>
        <w:sectPr>
          <w:pgSz w:w="11900" w:h="16838" w:orient="portrait"/>
          <w:cols w:equalWidth="0" w:num="2">
            <w:col w:w="5300" w:space="720"/>
            <w:col w:w="5040"/>
          </w:cols>
          <w:pgMar w:left="320" w:top="459" w:right="519" w:bottom="1440" w:gutter="0" w:footer="0" w:header="0"/>
          <w:type w:val="continuous"/>
        </w:sectPr>
      </w:pPr>
    </w:p>
    <w:p>
      <w:pPr>
        <w:spacing w:after="0" w:line="1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•   Maturity</w:t>
            </w:r>
          </w:p>
        </w:tc>
        <w:tc>
          <w:tcPr>
            <w:tcW w:w="3560" w:type="dxa"/>
            <w:vAlign w:val="bottom"/>
          </w:tcPr>
          <w:p>
            <w:pPr>
              <w:ind w:left="500"/>
              <w:spacing w:after="0"/>
              <w:rPr>
                <w:sz w:val="20"/>
                <w:szCs w:val="20"/>
                <w:color w:val="auto"/>
              </w:rPr>
            </w:pPr>
            <w:r>
              <w:rPr>
                <w:rFonts w:ascii="Arial" w:cs="Arial" w:eastAsia="Arial" w:hAnsi="Arial"/>
                <w:sz w:val="18"/>
                <w:szCs w:val="18"/>
                <w:color w:val="auto"/>
              </w:rPr>
              <w:t>•   Redemption terms</w:t>
            </w:r>
          </w:p>
        </w:tc>
        <w:tc>
          <w:tcPr>
            <w:tcW w:w="2760" w:type="dxa"/>
            <w:vAlign w:val="bottom"/>
          </w:tcPr>
          <w:p>
            <w:pPr>
              <w:ind w:left="580"/>
              <w:spacing w:after="0"/>
              <w:rPr>
                <w:sz w:val="20"/>
                <w:szCs w:val="20"/>
                <w:color w:val="auto"/>
              </w:rPr>
            </w:pPr>
            <w:r>
              <w:rPr>
                <w:rFonts w:ascii="Arial" w:cs="Arial" w:eastAsia="Arial" w:hAnsi="Arial"/>
                <w:sz w:val="18"/>
                <w:szCs w:val="18"/>
                <w:color w:val="auto"/>
              </w:rPr>
              <w:t>•   Subsidiary guarantees</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•   Dividends</w:t>
            </w:r>
          </w:p>
        </w:tc>
        <w:tc>
          <w:tcPr>
            <w:tcW w:w="3560" w:type="dxa"/>
            <w:vAlign w:val="bottom"/>
          </w:tcPr>
          <w:p>
            <w:pPr>
              <w:ind w:left="500"/>
              <w:spacing w:after="0"/>
              <w:rPr>
                <w:sz w:val="20"/>
                <w:szCs w:val="20"/>
                <w:color w:val="auto"/>
              </w:rPr>
            </w:pPr>
            <w:r>
              <w:rPr>
                <w:rFonts w:ascii="Arial" w:cs="Arial" w:eastAsia="Arial" w:hAnsi="Arial"/>
                <w:sz w:val="18"/>
                <w:szCs w:val="18"/>
                <w:color w:val="auto"/>
              </w:rPr>
              <w:t>•   Liquidation amount</w:t>
            </w:r>
          </w:p>
        </w:tc>
        <w:tc>
          <w:tcPr>
            <w:tcW w:w="2760" w:type="dxa"/>
            <w:vAlign w:val="bottom"/>
          </w:tcPr>
          <w:p>
            <w:pPr>
              <w:ind w:left="580"/>
              <w:spacing w:after="0"/>
              <w:rPr>
                <w:sz w:val="20"/>
                <w:szCs w:val="20"/>
                <w:color w:val="auto"/>
              </w:rPr>
            </w:pPr>
            <w:r>
              <w:rPr>
                <w:rFonts w:ascii="Arial" w:cs="Arial" w:eastAsia="Arial" w:hAnsi="Arial"/>
                <w:sz w:val="18"/>
                <w:szCs w:val="18"/>
                <w:color w:val="auto"/>
              </w:rPr>
              <w:t>•   Currency of payments</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•   Conversion or exchange rights</w:t>
            </w:r>
          </w:p>
        </w:tc>
        <w:tc>
          <w:tcPr>
            <w:tcW w:w="3560" w:type="dxa"/>
            <w:vAlign w:val="bottom"/>
          </w:tcPr>
          <w:p>
            <w:pPr>
              <w:ind w:left="500"/>
              <w:spacing w:after="0"/>
              <w:rPr>
                <w:sz w:val="20"/>
                <w:szCs w:val="20"/>
                <w:color w:val="auto"/>
              </w:rPr>
            </w:pPr>
            <w:r>
              <w:rPr>
                <w:rFonts w:ascii="Arial" w:cs="Arial" w:eastAsia="Arial" w:hAnsi="Arial"/>
                <w:sz w:val="18"/>
                <w:szCs w:val="18"/>
                <w:color w:val="auto"/>
              </w:rPr>
              <w:t>•   Sinking fund terms</w:t>
            </w:r>
          </w:p>
        </w:tc>
        <w:tc>
          <w:tcPr>
            <w:tcW w:w="2760" w:type="dxa"/>
            <w:vAlign w:val="bottom"/>
          </w:tcPr>
          <w:p>
            <w:pPr>
              <w:ind w:left="580"/>
              <w:spacing w:after="0"/>
              <w:rPr>
                <w:sz w:val="20"/>
                <w:szCs w:val="20"/>
                <w:color w:val="auto"/>
              </w:rPr>
            </w:pPr>
            <w:r>
              <w:rPr>
                <w:rFonts w:ascii="Arial" w:cs="Arial" w:eastAsia="Arial" w:hAnsi="Arial"/>
                <w:sz w:val="18"/>
                <w:szCs w:val="18"/>
                <w:color w:val="auto"/>
                <w:w w:val="89"/>
              </w:rPr>
              <w:t>•   Amount payable at maturity</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 Interest rate</w:t>
            </w:r>
          </w:p>
        </w:tc>
        <w:tc>
          <w:tcPr>
            <w:tcW w:w="3560" w:type="dxa"/>
            <w:vAlign w:val="bottom"/>
          </w:tcPr>
          <w:p>
            <w:pPr>
              <w:ind w:left="500"/>
              <w:spacing w:after="0"/>
              <w:rPr>
                <w:sz w:val="20"/>
                <w:szCs w:val="20"/>
                <w:color w:val="auto"/>
              </w:rPr>
            </w:pPr>
            <w:r>
              <w:rPr>
                <w:rFonts w:ascii="Arial" w:cs="Arial" w:eastAsia="Arial" w:hAnsi="Arial"/>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62" w:lineRule="exact"/>
        <w:rPr>
          <w:sz w:val="20"/>
          <w:szCs w:val="20"/>
          <w:color w:val="auto"/>
        </w:rPr>
      </w:pPr>
    </w:p>
    <w:p>
      <w:pPr>
        <w:jc w:val="both"/>
        <w:ind w:left="120" w:right="540" w:firstLine="440"/>
        <w:spacing w:after="0" w:line="266" w:lineRule="auto"/>
        <w:rPr>
          <w:sz w:val="20"/>
          <w:szCs w:val="20"/>
          <w:color w:val="auto"/>
        </w:rPr>
      </w:pPr>
      <w:r>
        <w:rPr>
          <w:rFonts w:ascii="Arial" w:cs="Arial" w:eastAsia="Arial" w:hAnsi="Arial"/>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July 29, 2022</w:t>
      </w:r>
    </w:p>
    <w:p>
      <w:pPr>
        <w:sectPr>
          <w:pgSz w:w="11900" w:h="16838" w:orient="portrait"/>
          <w:cols w:equalWidth="0" w:num="1">
            <w:col w:w="11060"/>
          </w:cols>
          <w:pgMar w:left="320" w:top="459" w:right="5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640" w:type="dxa"/>
            <w:vAlign w:val="bottom"/>
            <w:gridSpan w:val="9"/>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Arial" w:cs="Arial" w:eastAsia="Arial" w:hAnsi="Arial"/>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Arial" w:cs="Arial" w:eastAsia="Arial" w:hAnsi="Arial"/>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Arial" w:cs="Arial" w:eastAsia="Arial" w:hAnsi="Arial"/>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7"/>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76"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85" w:lineRule="exact"/>
        <w:rPr>
          <w:sz w:val="20"/>
          <w:szCs w:val="20"/>
          <w:color w:val="auto"/>
        </w:rPr>
      </w:pPr>
    </w:p>
    <w:p>
      <w:pPr>
        <w:ind w:left="1080" w:right="120" w:hanging="424"/>
        <w:spacing w:after="0" w:line="26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broadband, video, voice, wireless,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services to residential customers in the United States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jc w:val="both"/>
        <w:ind w:left="1080" w:right="320" w:hanging="424"/>
        <w:spacing w:after="0" w:line="347"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Media: </w:t>
      </w:r>
      <w:r>
        <w:rPr>
          <w:rFonts w:ascii="Arial" w:cs="Arial" w:eastAsia="Arial" w:hAnsi="Arial"/>
          <w:sz w:val="16"/>
          <w:szCs w:val="16"/>
          <w:color w:val="auto"/>
        </w:rPr>
        <w:t>Consists primarily of NBCUniversal’s television and streaming platforms, including national, regional and international cable</w:t>
      </w:r>
      <w:r>
        <w:rPr>
          <w:rFonts w:ascii="Arial" w:cs="Arial" w:eastAsia="Arial" w:hAnsi="Arial"/>
          <w:sz w:val="16"/>
          <w:szCs w:val="16"/>
          <w:b w:val="1"/>
          <w:bCs w:val="1"/>
          <w:color w:val="auto"/>
        </w:rPr>
        <w:t xml:space="preserve"> </w:t>
      </w:r>
      <w:r>
        <w:rPr>
          <w:rFonts w:ascii="Arial" w:cs="Arial" w:eastAsia="Arial" w:hAnsi="Arial"/>
          <w:sz w:val="16"/>
          <w:szCs w:val="16"/>
          <w:color w:val="auto"/>
        </w:rPr>
        <w:t>networks; the NBC and Telemundo broadcast networks, NBC and Telemundo owned local broadcast television stations; and Peacock.</w:t>
      </w:r>
    </w:p>
    <w:p>
      <w:pPr>
        <w:spacing w:after="0" w:line="21"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Consists primarily of NBCUniversal’s film and television studio production and distribution operations.</w:t>
      </w:r>
    </w:p>
    <w:p>
      <w:pPr>
        <w:spacing w:after="0" w:line="130"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Osaka, Japan; and Beijing,</w:t>
      </w:r>
      <w:r>
        <w:rPr>
          <w:rFonts w:ascii="Arial" w:cs="Arial" w:eastAsia="Arial" w:hAnsi="Arial"/>
          <w:sz w:val="18"/>
          <w:szCs w:val="18"/>
          <w:b w:val="1"/>
          <w:bCs w:val="1"/>
          <w:color w:val="auto"/>
        </w:rPr>
        <w:t xml:space="preserve"> </w:t>
      </w:r>
      <w:r>
        <w:rPr>
          <w:rFonts w:ascii="Arial" w:cs="Arial" w:eastAsia="Arial" w:hAnsi="Arial"/>
          <w:sz w:val="18"/>
          <w:szCs w:val="18"/>
          <w:color w:val="auto"/>
        </w:rPr>
        <w:t>China.</w:t>
      </w:r>
    </w:p>
    <w:p>
      <w:pPr>
        <w:spacing w:after="0" w:line="67" w:lineRule="exact"/>
        <w:rPr>
          <w:rFonts w:ascii="Arial" w:cs="Arial" w:eastAsia="Arial" w:hAnsi="Arial"/>
          <w:sz w:val="18"/>
          <w:szCs w:val="18"/>
          <w:color w:val="auto"/>
        </w:rPr>
      </w:pPr>
    </w:p>
    <w:p>
      <w:pPr>
        <w:ind w:left="1080" w:right="120" w:hanging="424"/>
        <w:spacing w:after="0" w:line="26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broadband, voice and wireless phone services, and a content business, operating entertainment networks, the Sky News broadcast network and Sky Sports networks.</w:t>
      </w:r>
    </w:p>
    <w:p>
      <w:pPr>
        <w:spacing w:after="0" w:line="18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COVID-19 pandemic has had, and may continue to have, a material adverse effect on our businesses and results of operations;</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behavior continue to adversely affect our businesses and challenge existing business models;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video businesses;</w:t>
      </w:r>
    </w:p>
    <w:p>
      <w:pPr>
        <w:spacing w:after="0" w:line="153" w:lineRule="exact"/>
        <w:rPr>
          <w:rFonts w:ascii="Arial" w:cs="Arial" w:eastAsia="Arial" w:hAnsi="Arial"/>
          <w:sz w:val="16"/>
          <w:szCs w:val="16"/>
          <w:color w:val="auto"/>
        </w:rPr>
      </w:pPr>
    </w:p>
    <w:p>
      <w:pPr>
        <w:ind w:left="1080" w:right="32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its businesses;</w:t>
      </w:r>
    </w:p>
    <w:p>
      <w:pPr>
        <w:spacing w:after="0" w:line="75" w:lineRule="exact"/>
        <w:rPr>
          <w:rFonts w:ascii="Arial" w:cs="Arial" w:eastAsia="Arial" w:hAnsi="Arial"/>
          <w:sz w:val="18"/>
          <w:szCs w:val="18"/>
          <w:color w:val="auto"/>
        </w:rPr>
      </w:pPr>
    </w:p>
    <w:p>
      <w:pPr>
        <w:jc w:val="both"/>
        <w:ind w:left="1080" w:right="68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130"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130" w:lineRule="exact"/>
        <w:rPr>
          <w:rFonts w:ascii="Arial" w:cs="Arial" w:eastAsia="Arial" w:hAnsi="Arial"/>
          <w:sz w:val="18"/>
          <w:szCs w:val="18"/>
          <w:color w:val="auto"/>
        </w:rPr>
      </w:pPr>
    </w:p>
    <w:p>
      <w:pPr>
        <w:ind w:left="5580" w:right="140" w:hanging="4924"/>
        <w:spacing w:after="0" w:line="449"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impose additional costs and restrictions on our businesses;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 and</w:t>
      </w:r>
    </w:p>
    <w:p>
      <w:pPr>
        <w:spacing w:after="0" w:line="153" w:lineRule="exact"/>
        <w:rPr>
          <w:rFonts w:ascii="Arial" w:cs="Arial" w:eastAsia="Arial" w:hAnsi="Arial"/>
          <w:sz w:val="16"/>
          <w:szCs w:val="16"/>
          <w:color w:val="auto"/>
        </w:rPr>
      </w:pPr>
    </w:p>
    <w:p>
      <w:pPr>
        <w:ind w:left="10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42"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30" w:lineRule="exact"/>
        <w:rPr>
          <w:rFonts w:ascii="Arial" w:cs="Arial" w:eastAsia="Arial" w:hAnsi="Arial"/>
          <w:sz w:val="18"/>
          <w:szCs w:val="18"/>
          <w:color w:val="auto"/>
        </w:rPr>
      </w:pPr>
    </w:p>
    <w:p>
      <w:pPr>
        <w:ind w:left="1080" w:right="60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46" w:lineRule="exact"/>
        <w:rPr>
          <w:sz w:val="20"/>
          <w:szCs w:val="20"/>
          <w:color w:val="auto"/>
        </w:rPr>
      </w:pPr>
    </w:p>
    <w:p>
      <w:pPr>
        <w:ind w:left="120" w:right="480" w:firstLine="440"/>
        <w:spacing w:after="0" w:line="286" w:lineRule="auto"/>
        <w:rPr>
          <w:sz w:val="20"/>
          <w:szCs w:val="20"/>
          <w:color w:val="auto"/>
        </w:rPr>
      </w:pPr>
      <w:r>
        <w:rPr>
          <w:rFonts w:ascii="Arial" w:cs="Arial" w:eastAsia="Arial" w:hAnsi="Arial"/>
          <w:sz w:val="17"/>
          <w:szCs w:val="17"/>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77" w:lineRule="auto"/>
        <w:tabs>
          <w:tab w:leader="none" w:pos="8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36"/>
        <w:spacing w:after="0" w:line="27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77" w:lineRule="auto"/>
        <w:tabs>
          <w:tab w:leader="none" w:pos="8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70" w:lineRule="exact"/>
        <w:rPr>
          <w:rFonts w:ascii="Arial" w:cs="Arial" w:eastAsia="Arial" w:hAnsi="Arial"/>
          <w:sz w:val="18"/>
          <w:szCs w:val="18"/>
          <w:color w:val="auto"/>
        </w:rPr>
      </w:pPr>
    </w:p>
    <w:p>
      <w:pPr>
        <w:ind w:left="120" w:right="160" w:firstLine="436"/>
        <w:spacing w:after="0" w:line="263"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6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3" w:lineRule="auto"/>
        <w:tabs>
          <w:tab w:leader="none" w:pos="8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3" w:lineRule="exact"/>
        <w:rPr>
          <w:rFonts w:ascii="Arial" w:cs="Arial" w:eastAsia="Arial" w:hAnsi="Arial"/>
          <w:sz w:val="18"/>
          <w:szCs w:val="18"/>
          <w:color w:val="auto"/>
        </w:rPr>
      </w:pPr>
    </w:p>
    <w:p>
      <w:pPr>
        <w:ind w:left="120" w:firstLine="436"/>
        <w:spacing w:after="0" w:line="254"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94" w:lineRule="exact"/>
        <w:rPr>
          <w:rFonts w:ascii="Arial" w:cs="Arial" w:eastAsia="Arial" w:hAnsi="Arial"/>
          <w:sz w:val="18"/>
          <w:szCs w:val="18"/>
          <w:color w:val="auto"/>
        </w:rPr>
      </w:pPr>
    </w:p>
    <w:p>
      <w:pPr>
        <w:ind w:left="120" w:right="580" w:firstLine="436"/>
        <w:spacing w:after="0" w:line="277" w:lineRule="auto"/>
        <w:tabs>
          <w:tab w:leader="none" w:pos="8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20" w:right="180" w:firstLine="436"/>
        <w:spacing w:after="0" w:line="27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left="120" w:right="120" w:firstLine="436"/>
        <w:spacing w:after="0" w:line="277" w:lineRule="auto"/>
        <w:tabs>
          <w:tab w:leader="none" w:pos="8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ind w:left="120" w:right="120" w:firstLine="436"/>
        <w:spacing w:after="0" w:line="286" w:lineRule="auto"/>
        <w:tabs>
          <w:tab w:leader="none" w:pos="785"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65" w:lineRule="exact"/>
        <w:rPr>
          <w:rFonts w:ascii="Arial" w:cs="Arial" w:eastAsia="Arial" w:hAnsi="Arial"/>
          <w:sz w:val="17"/>
          <w:szCs w:val="17"/>
          <w:color w:val="auto"/>
        </w:rPr>
      </w:pPr>
    </w:p>
    <w:p>
      <w:pPr>
        <w:ind w:left="820" w:hanging="2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225" w:lineRule="exact"/>
        <w:rPr>
          <w:rFonts w:ascii="Arial" w:cs="Arial" w:eastAsia="Arial" w:hAnsi="Arial"/>
          <w:sz w:val="18"/>
          <w:szCs w:val="18"/>
          <w:color w:val="auto"/>
        </w:rPr>
      </w:pPr>
    </w:p>
    <w:p>
      <w:pPr>
        <w:ind w:left="120" w:right="60" w:firstLine="436"/>
        <w:spacing w:after="0" w:line="263"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83" w:lineRule="exact"/>
        <w:rPr>
          <w:rFonts w:ascii="Arial" w:cs="Arial" w:eastAsia="Arial" w:hAnsi="Arial"/>
          <w:sz w:val="18"/>
          <w:szCs w:val="18"/>
          <w:color w:val="auto"/>
        </w:rPr>
      </w:pPr>
    </w:p>
    <w:p>
      <w:pPr>
        <w:ind w:left="120" w:right="260" w:firstLine="436"/>
        <w:spacing w:after="0" w:line="308" w:lineRule="auto"/>
        <w:tabs>
          <w:tab w:leader="none" w:pos="7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46" w:lineRule="exact"/>
        <w:rPr>
          <w:rFonts w:ascii="Arial" w:cs="Arial" w:eastAsia="Arial" w:hAnsi="Arial"/>
          <w:sz w:val="17"/>
          <w:szCs w:val="17"/>
          <w:color w:val="auto"/>
        </w:rPr>
      </w:pPr>
    </w:p>
    <w:p>
      <w:pPr>
        <w:ind w:left="120" w:right="500" w:firstLine="436"/>
        <w:spacing w:after="0" w:line="277" w:lineRule="auto"/>
        <w:tabs>
          <w:tab w:leader="none" w:pos="7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ind w:left="120" w:right="60" w:firstLine="436"/>
        <w:spacing w:after="0" w:line="263"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83" w:lineRule="exact"/>
        <w:rPr>
          <w:rFonts w:ascii="Arial" w:cs="Arial" w:eastAsia="Arial" w:hAnsi="Arial"/>
          <w:sz w:val="18"/>
          <w:szCs w:val="18"/>
          <w:color w:val="auto"/>
        </w:rPr>
      </w:pPr>
    </w:p>
    <w:p>
      <w:pPr>
        <w:ind w:left="780" w:hanging="224"/>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36"/>
        <w:spacing w:after="0" w:line="277" w:lineRule="auto"/>
        <w:tabs>
          <w:tab w:leader="none" w:pos="8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62" w:lineRule="exact"/>
        <w:rPr>
          <w:rFonts w:ascii="Arial" w:cs="Arial" w:eastAsia="Arial" w:hAnsi="Arial"/>
          <w:sz w:val="18"/>
          <w:szCs w:val="18"/>
          <w:color w:val="auto"/>
        </w:rPr>
      </w:pPr>
    </w:p>
    <w:p>
      <w:pPr>
        <w:ind w:left="820" w:hanging="2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17" w:lineRule="exact"/>
        <w:rPr>
          <w:rFonts w:ascii="Arial" w:cs="Arial" w:eastAsia="Arial" w:hAnsi="Arial"/>
          <w:sz w:val="18"/>
          <w:szCs w:val="18"/>
          <w:color w:val="auto"/>
        </w:rPr>
      </w:pPr>
    </w:p>
    <w:p>
      <w:pPr>
        <w:ind w:left="120" w:right="260" w:firstLine="43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62" w:lineRule="exact"/>
        <w:rPr>
          <w:rFonts w:ascii="Arial" w:cs="Arial" w:eastAsia="Arial" w:hAnsi="Arial"/>
          <w:sz w:val="18"/>
          <w:szCs w:val="18"/>
          <w:color w:val="auto"/>
        </w:rPr>
      </w:pPr>
    </w:p>
    <w:p>
      <w:pPr>
        <w:ind w:left="120" w:right="200" w:firstLine="43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62" w:lineRule="exact"/>
        <w:rPr>
          <w:rFonts w:ascii="Arial" w:cs="Arial" w:eastAsia="Arial" w:hAnsi="Arial"/>
          <w:sz w:val="18"/>
          <w:szCs w:val="18"/>
          <w:color w:val="auto"/>
        </w:rPr>
      </w:pPr>
    </w:p>
    <w:p>
      <w:pPr>
        <w:ind w:left="120" w:right="300" w:firstLine="436"/>
        <w:spacing w:after="0" w:line="263"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75" w:lineRule="exact"/>
        <w:rPr>
          <w:rFonts w:ascii="Arial" w:cs="Arial" w:eastAsia="Arial" w:hAnsi="Arial"/>
          <w:sz w:val="18"/>
          <w:szCs w:val="18"/>
          <w:color w:val="auto"/>
        </w:rPr>
      </w:pPr>
    </w:p>
    <w:p>
      <w:pPr>
        <w:ind w:left="120" w:right="140" w:firstLine="436"/>
        <w:spacing w:after="0" w:line="286" w:lineRule="auto"/>
        <w:tabs>
          <w:tab w:leader="none" w:pos="7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57" w:lineRule="exact"/>
        <w:rPr>
          <w:rFonts w:ascii="Arial" w:cs="Arial" w:eastAsia="Arial" w:hAnsi="Arial"/>
          <w:sz w:val="17"/>
          <w:szCs w:val="17"/>
          <w:color w:val="auto"/>
        </w:rPr>
      </w:pPr>
    </w:p>
    <w:p>
      <w:pPr>
        <w:ind w:left="800" w:hanging="24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Liens Securing Indebtedness.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92"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75" w:lineRule="exact"/>
        <w:rPr>
          <w:rFonts w:ascii="Arial" w:cs="Arial" w:eastAsia="Arial" w:hAnsi="Arial"/>
          <w:sz w:val="18"/>
          <w:szCs w:val="18"/>
          <w:color w:val="auto"/>
        </w:rPr>
      </w:pPr>
    </w:p>
    <w:p>
      <w:pPr>
        <w:ind w:left="1080" w:right="240" w:hanging="424"/>
        <w:spacing w:after="0" w:line="25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2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without equally and ratably securing the senior debt securities of such series pursuant to the first paragraph of “—Limitation on Liens Securing Indebtedness” above; or</w:t>
      </w:r>
    </w:p>
    <w:p>
      <w:pPr>
        <w:spacing w:after="0" w:line="76" w:lineRule="exact"/>
        <w:rPr>
          <w:sz w:val="20"/>
          <w:szCs w:val="20"/>
          <w:color w:val="auto"/>
        </w:rPr>
      </w:pPr>
    </w:p>
    <w:p>
      <w:pPr>
        <w:ind w:left="108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9" w:lineRule="exact"/>
        <w:rPr>
          <w:sz w:val="20"/>
          <w:szCs w:val="20"/>
          <w:color w:val="auto"/>
        </w:rPr>
      </w:pPr>
    </w:p>
    <w:p>
      <w:pPr>
        <w:ind w:left="1080" w:right="1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Existence.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Information.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w:t>
      </w:r>
    </w:p>
    <w:p>
      <w:pPr>
        <w:spacing w:after="0" w:line="211" w:lineRule="exact"/>
        <w:rPr>
          <w:sz w:val="20"/>
          <w:szCs w:val="20"/>
          <w:color w:val="auto"/>
        </w:rPr>
      </w:pPr>
    </w:p>
    <w:p>
      <w:pPr>
        <w:ind w:left="820" w:hanging="26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225" w:lineRule="exact"/>
        <w:rPr>
          <w:rFonts w:ascii="Arial" w:cs="Arial" w:eastAsia="Arial" w:hAnsi="Arial"/>
          <w:sz w:val="18"/>
          <w:szCs w:val="18"/>
          <w:color w:val="auto"/>
        </w:rPr>
      </w:pPr>
    </w:p>
    <w:p>
      <w:pPr>
        <w:jc w:val="both"/>
        <w:ind w:left="120" w:right="40" w:firstLine="436"/>
        <w:spacing w:after="0" w:line="279" w:lineRule="auto"/>
        <w:tabs>
          <w:tab w:leader="none" w:pos="805"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1" w:lineRule="exact"/>
        <w:rPr>
          <w:rFonts w:ascii="Arial" w:cs="Arial" w:eastAsia="Arial" w:hAnsi="Arial"/>
          <w:sz w:val="17"/>
          <w:szCs w:val="17"/>
          <w:color w:val="auto"/>
        </w:rPr>
      </w:pPr>
    </w:p>
    <w:p>
      <w:pPr>
        <w:ind w:left="820" w:hanging="264"/>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800" w:hanging="24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9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71"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6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6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76"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75" w:lineRule="exact"/>
        <w:rPr>
          <w:rFonts w:ascii="Arial" w:cs="Arial" w:eastAsia="Arial" w:hAnsi="Arial"/>
          <w:sz w:val="18"/>
          <w:szCs w:val="18"/>
          <w:color w:val="auto"/>
        </w:rPr>
      </w:pPr>
    </w:p>
    <w:p>
      <w:pPr>
        <w:jc w:val="both"/>
        <w:ind w:left="1080" w:right="120" w:hanging="424"/>
        <w:spacing w:after="0" w:line="29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6"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75" w:lineRule="exact"/>
        <w:rPr>
          <w:rFonts w:ascii="Arial" w:cs="Arial" w:eastAsia="Arial" w:hAnsi="Arial"/>
          <w:sz w:val="18"/>
          <w:szCs w:val="18"/>
          <w:color w:val="auto"/>
        </w:rPr>
      </w:pPr>
    </w:p>
    <w:p>
      <w:pPr>
        <w:jc w:val="both"/>
        <w:ind w:left="1080" w:right="4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54"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54" w:lineRule="exact"/>
        <w:rPr>
          <w:sz w:val="20"/>
          <w:szCs w:val="20"/>
          <w:color w:val="auto"/>
        </w:rPr>
      </w:pPr>
    </w:p>
    <w:p>
      <w:pPr>
        <w:ind w:left="1080" w:hanging="424"/>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92" w:lineRule="exact"/>
        <w:rPr>
          <w:sz w:val="20"/>
          <w:szCs w:val="20"/>
          <w:color w:val="auto"/>
        </w:rPr>
      </w:pPr>
    </w:p>
    <w:p>
      <w:pPr>
        <w:ind w:left="1080" w:right="80" w:hanging="424"/>
        <w:spacing w:after="0" w:line="30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62" w:lineRule="exact"/>
        <w:rPr>
          <w:rFonts w:ascii="Arial" w:cs="Arial" w:eastAsia="Arial" w:hAnsi="Arial"/>
          <w:sz w:val="16"/>
          <w:szCs w:val="16"/>
          <w:color w:val="auto"/>
        </w:rPr>
      </w:pPr>
    </w:p>
    <w:p>
      <w:pPr>
        <w:ind w:left="1080" w:right="220" w:hanging="424"/>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92"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93"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1" w:lineRule="exact"/>
        <w:rPr>
          <w:rFonts w:ascii="Arial" w:cs="Arial" w:eastAsia="Arial" w:hAnsi="Arial"/>
          <w:sz w:val="17"/>
          <w:szCs w:val="17"/>
          <w:color w:val="auto"/>
        </w:rPr>
      </w:pPr>
    </w:p>
    <w:p>
      <w:pPr>
        <w:ind w:left="1080" w:right="240" w:hanging="424"/>
        <w:spacing w:after="0" w:line="28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70"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76" w:lineRule="exact"/>
        <w:rPr>
          <w:sz w:val="20"/>
          <w:szCs w:val="20"/>
          <w:color w:val="auto"/>
        </w:rPr>
      </w:pPr>
    </w:p>
    <w:p>
      <w:pPr>
        <w:ind w:left="1080" w:right="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320" w:top="459" w:right="5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83" w:lineRule="exact"/>
        <w:rPr>
          <w:sz w:val="20"/>
          <w:szCs w:val="20"/>
          <w:color w:val="auto"/>
        </w:rPr>
      </w:pPr>
    </w:p>
    <w:p>
      <w:pPr>
        <w:ind w:left="1080" w:right="4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Debt Securities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66"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6"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intend to pay quarterly dividends at an annualized rate currently of $1.08 per share, although each dividend is subject to approval by our Board of Directors. See “Dividend Policy”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Shareholder</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75" w:lineRule="auto"/>
        <w:rPr>
          <w:sz w:val="20"/>
          <w:szCs w:val="20"/>
          <w:color w:val="auto"/>
        </w:rPr>
      </w:pPr>
      <w:r>
        <w:rPr>
          <w:rFonts w:ascii="Arial" w:cs="Arial" w:eastAsia="Arial" w:hAnsi="Arial"/>
          <w:sz w:val="17"/>
          <w:szCs w:val="17"/>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Class A common stock is Equiniti Trust Company D/B/A EQ Shareowner Services, P.O. Box 64854, 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 Minnesota 55164-0854. Its telephone number is (888) 883-8903.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6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Comcast’s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on February 2, 2022.</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Comcast’s Quarterly Reports on Form 10-Q for the quarters ended </w:t>
      </w:r>
      <w:hyperlink r:id="rId17">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June 30, 2022</w:t>
        </w:r>
      </w:hyperlink>
      <w:r>
        <w:rPr>
          <w:rFonts w:ascii="Arial" w:cs="Arial" w:eastAsia="Arial" w:hAnsi="Arial"/>
          <w:sz w:val="18"/>
          <w:szCs w:val="18"/>
          <w:color w:val="auto"/>
        </w:rPr>
        <w:t>, filed on April 28, 2022 and July 28, 2022,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Comcast’s Current Report on Form 8-K filed on </w:t>
      </w:r>
      <w:hyperlink r:id="rId20">
        <w:r>
          <w:rPr>
            <w:rFonts w:ascii="Arial" w:cs="Arial" w:eastAsia="Arial" w:hAnsi="Arial"/>
            <w:sz w:val="18"/>
            <w:szCs w:val="18"/>
            <w:u w:val="single" w:color="auto"/>
            <w:color w:val="0000EE"/>
          </w:rPr>
          <w:t>June 3,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2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2022 annual meeting of shareholders incorporated by reference in Comcast’s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77">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124" w:lineRule="exact"/>
        <w:rPr>
          <w:rFonts w:ascii="Arial" w:cs="Arial" w:eastAsia="Arial" w:hAnsi="Arial"/>
          <w:sz w:val="18"/>
          <w:szCs w:val="18"/>
          <w:color w:val="auto"/>
        </w:rPr>
      </w:pPr>
    </w:p>
    <w:p>
      <w:pPr>
        <w:ind w:left="120" w:firstLine="440"/>
        <w:spacing w:after="0" w:line="296"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4"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$750,000,000 5.250% Notes due 2025</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$750,000,000 5.350% Notes due 2027</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$1,000,000,000 5.500%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1685925</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4340" w:type="dxa"/>
            <w:vAlign w:val="bottom"/>
          </w:tcPr>
          <w:p>
            <w:pPr>
              <w:spacing w:after="0"/>
              <w:rPr>
                <w:sz w:val="20"/>
                <w:szCs w:val="20"/>
                <w:color w:val="auto"/>
              </w:rPr>
            </w:pPr>
            <w:r>
              <w:rPr>
                <w:rFonts w:ascii="Arial" w:cs="Arial" w:eastAsia="Arial" w:hAnsi="Arial"/>
                <w:sz w:val="29"/>
                <w:szCs w:val="29"/>
                <w:b w:val="1"/>
                <w:bCs w:val="1"/>
                <w:color w:val="auto"/>
              </w:rPr>
              <w:t>Citigroup</w:t>
            </w:r>
          </w:p>
        </w:tc>
        <w:tc>
          <w:tcPr>
            <w:tcW w:w="2320" w:type="dxa"/>
            <w:vAlign w:val="bottom"/>
          </w:tcPr>
          <w:p>
            <w:pPr>
              <w:ind w:left="480"/>
              <w:spacing w:after="0"/>
              <w:rPr>
                <w:sz w:val="20"/>
                <w:szCs w:val="20"/>
                <w:color w:val="auto"/>
              </w:rPr>
            </w:pPr>
            <w:r>
              <w:rPr>
                <w:rFonts w:ascii="Arial" w:cs="Arial" w:eastAsia="Arial" w:hAnsi="Arial"/>
                <w:sz w:val="29"/>
                <w:szCs w:val="29"/>
                <w:b w:val="1"/>
                <w:bCs w:val="1"/>
                <w:color w:val="auto"/>
              </w:rPr>
              <w:t>J.P. Morgan</w:t>
            </w:r>
          </w:p>
        </w:tc>
        <w:tc>
          <w:tcPr>
            <w:tcW w:w="4360" w:type="dxa"/>
            <w:vAlign w:val="bottom"/>
          </w:tcPr>
          <w:p>
            <w:pPr>
              <w:jc w:val="right"/>
              <w:spacing w:after="0"/>
              <w:rPr>
                <w:sz w:val="20"/>
                <w:szCs w:val="20"/>
                <w:color w:val="auto"/>
              </w:rPr>
            </w:pPr>
            <w:r>
              <w:rPr>
                <w:rFonts w:ascii="Arial" w:cs="Arial" w:eastAsia="Arial" w:hAnsi="Arial"/>
                <w:sz w:val="29"/>
                <w:szCs w:val="29"/>
                <w:b w:val="1"/>
                <w:bCs w:val="1"/>
                <w:color w:val="auto"/>
              </w:rPr>
              <w:t>TD Securities</w:t>
            </w:r>
          </w:p>
        </w:tc>
      </w:tr>
      <w:tr>
        <w:trPr>
          <w:trHeight w:val="446"/>
        </w:trPr>
        <w:tc>
          <w:tcPr>
            <w:tcW w:w="4340" w:type="dxa"/>
            <w:vAlign w:val="bottom"/>
          </w:tcPr>
          <w:p>
            <w:pPr>
              <w:spacing w:after="0"/>
              <w:rPr>
                <w:sz w:val="20"/>
                <w:szCs w:val="20"/>
                <w:color w:val="auto"/>
              </w:rPr>
            </w:pPr>
            <w:r>
              <w:rPr>
                <w:rFonts w:ascii="Arial" w:cs="Arial" w:eastAsia="Arial" w:hAnsi="Arial"/>
                <w:sz w:val="29"/>
                <w:szCs w:val="29"/>
                <w:b w:val="1"/>
                <w:bCs w:val="1"/>
                <w:color w:val="auto"/>
              </w:rPr>
              <w:t>BNP PARIBAS</w:t>
            </w:r>
          </w:p>
        </w:tc>
        <w:tc>
          <w:tcPr>
            <w:tcW w:w="2320" w:type="dxa"/>
            <w:vAlign w:val="bottom"/>
          </w:tcPr>
          <w:p>
            <w:pPr>
              <w:ind w:left="260"/>
              <w:spacing w:after="0"/>
              <w:rPr>
                <w:sz w:val="20"/>
                <w:szCs w:val="20"/>
                <w:color w:val="auto"/>
              </w:rPr>
            </w:pPr>
            <w:r>
              <w:rPr>
                <w:rFonts w:ascii="Arial" w:cs="Arial" w:eastAsia="Arial" w:hAnsi="Arial"/>
                <w:sz w:val="29"/>
                <w:szCs w:val="29"/>
                <w:b w:val="1"/>
                <w:bCs w:val="1"/>
                <w:color w:val="auto"/>
                <w:w w:val="94"/>
              </w:rPr>
              <w:t>BofA Securities</w:t>
            </w:r>
          </w:p>
        </w:tc>
        <w:tc>
          <w:tcPr>
            <w:tcW w:w="4360" w:type="dxa"/>
            <w:vAlign w:val="bottom"/>
          </w:tcPr>
          <w:p>
            <w:pPr>
              <w:jc w:val="right"/>
              <w:spacing w:after="0"/>
              <w:rPr>
                <w:sz w:val="20"/>
                <w:szCs w:val="20"/>
                <w:color w:val="auto"/>
              </w:rPr>
            </w:pPr>
            <w:r>
              <w:rPr>
                <w:rFonts w:ascii="Arial" w:cs="Arial" w:eastAsia="Arial" w:hAnsi="Arial"/>
                <w:sz w:val="29"/>
                <w:szCs w:val="29"/>
                <w:b w:val="1"/>
                <w:bCs w:val="1"/>
                <w:color w:val="auto"/>
              </w:rPr>
              <w:t>SMBC Nikko</w:t>
            </w:r>
          </w:p>
        </w:tc>
      </w:tr>
      <w:tr>
        <w:trPr>
          <w:trHeight w:val="34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2320" w:type="dxa"/>
            <w:vAlign w:val="bottom"/>
          </w:tcPr>
          <w:p>
            <w:pPr>
              <w:ind w:left="520"/>
              <w:spacing w:after="0"/>
              <w:rPr>
                <w:sz w:val="20"/>
                <w:szCs w:val="20"/>
                <w:color w:val="auto"/>
              </w:rPr>
            </w:pPr>
            <w:r>
              <w:rPr>
                <w:rFonts w:ascii="Arial" w:cs="Arial" w:eastAsia="Arial" w:hAnsi="Arial"/>
                <w:sz w:val="18"/>
                <w:szCs w:val="18"/>
                <w:b w:val="1"/>
                <w:bCs w:val="1"/>
                <w:color w:val="auto"/>
              </w:rPr>
              <w:t>October 31, 2022</w:t>
            </w:r>
          </w:p>
        </w:tc>
        <w:tc>
          <w:tcPr>
            <w:tcW w:w="4360" w:type="dxa"/>
            <w:vAlign w:val="bottom"/>
          </w:tcPr>
          <w:p>
            <w:pPr>
              <w:spacing w:after="0"/>
              <w:rPr>
                <w:sz w:val="24"/>
                <w:szCs w:val="24"/>
                <w:color w:val="auto"/>
              </w:rPr>
            </w:pPr>
          </w:p>
        </w:tc>
      </w:tr>
      <w:tr>
        <w:trPr>
          <w:trHeight w:val="661"/>
        </w:trPr>
        <w:tc>
          <w:tcPr>
            <w:tcW w:w="4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81"/>
        </w:trPr>
        <w:tc>
          <w:tcPr>
            <w:tcW w:w="434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r>
    </w:tbl>
    <w:p>
      <w:pPr>
        <w:sectPr>
          <w:pgSz w:w="11900" w:h="16838" w:orient="portrait"/>
          <w:cols w:equalWidth="0" w:num="1">
            <w:col w:w="11140"/>
          </w:cols>
          <w:pgMar w:left="320" w:top="459"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Issuer:</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Comcast Corporation</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Guarantors:</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Comcast Cable Communications, LLC</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NBCUniversal Media, LLC</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ind w:left="3740"/>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470" w:type="dxa"/>
        <w:tblCellMar>
          <w:top w:w="0" w:type="dxa"/>
          <w:left w:w="0" w:type="dxa"/>
          <w:bottom w:w="0" w:type="dxa"/>
          <w:right w:w="0" w:type="dxa"/>
        </w:tblCellMar>
      </w:tblPr>
      <w:tr>
        <w:trPr>
          <w:trHeight w:val="148"/>
        </w:trPr>
        <w:tc>
          <w:tcPr>
            <w:tcW w:w="124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0"/>
              </w:rPr>
              <w:t>Fee</w:t>
            </w: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3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4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3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4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3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4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Maximum Aggregate</w:t>
            </w: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0" w:type="dxa"/>
            <w:vAlign w:val="bottom"/>
          </w:tcPr>
          <w:p>
            <w:pPr>
              <w:spacing w:after="0"/>
              <w:rPr>
                <w:sz w:val="1"/>
                <w:szCs w:val="1"/>
                <w:color w:val="auto"/>
              </w:rPr>
            </w:pPr>
          </w:p>
        </w:tc>
      </w:tr>
      <w:tr>
        <w:trPr>
          <w:trHeight w:val="161"/>
        </w:trPr>
        <w:tc>
          <w:tcPr>
            <w:tcW w:w="124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Amount Registered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Offering 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Registration Fee</w:t>
            </w:r>
          </w:p>
        </w:tc>
        <w:tc>
          <w:tcPr>
            <w:tcW w:w="0" w:type="dxa"/>
            <w:vAlign w:val="bottom"/>
          </w:tcPr>
          <w:p>
            <w:pPr>
              <w:spacing w:after="0"/>
              <w:rPr>
                <w:sz w:val="1"/>
                <w:szCs w:val="1"/>
                <w:color w:val="auto"/>
              </w:rPr>
            </w:pPr>
          </w:p>
        </w:tc>
      </w:tr>
      <w:tr>
        <w:trPr>
          <w:trHeight w:val="231"/>
        </w:trPr>
        <w:tc>
          <w:tcPr>
            <w:tcW w:w="124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3"/>
              </w:rPr>
              <w:t>Newly Registered Securities</w:t>
            </w: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5.250%</w:t>
            </w: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2025</w:t>
            </w:r>
          </w:p>
        </w:tc>
        <w:tc>
          <w:tcPr>
            <w:tcW w:w="7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8"/>
                <w:szCs w:val="18"/>
                <w:color w:val="auto"/>
              </w:rPr>
              <w:t>457(r)</w:t>
            </w: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99.973%</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$749,797,500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$82,627.69</w:t>
            </w:r>
          </w:p>
        </w:tc>
        <w:tc>
          <w:tcPr>
            <w:tcW w:w="0" w:type="dxa"/>
            <w:vAlign w:val="bottom"/>
          </w:tcPr>
          <w:p>
            <w:pPr>
              <w:spacing w:after="0"/>
              <w:rPr>
                <w:sz w:val="1"/>
                <w:szCs w:val="1"/>
                <w:color w:val="auto"/>
              </w:rPr>
            </w:pPr>
          </w:p>
        </w:tc>
      </w:tr>
      <w:tr>
        <w:trPr>
          <w:trHeight w:val="202"/>
        </w:trPr>
        <w:tc>
          <w:tcPr>
            <w:tcW w:w="124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Guarantees</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of 5.250%</w:t>
            </w: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2025 (1)</w:t>
            </w:r>
          </w:p>
        </w:tc>
        <w:tc>
          <w:tcPr>
            <w:tcW w:w="7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5.350%</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vMerge w:val="restart"/>
          </w:tcPr>
          <w:p>
            <w:pPr>
              <w:jc w:val="center"/>
              <w:ind w:left="30"/>
              <w:spacing w:after="0"/>
              <w:rPr>
                <w:sz w:val="20"/>
                <w:szCs w:val="20"/>
                <w:color w:val="auto"/>
              </w:rPr>
            </w:pPr>
            <w:r>
              <w:rPr>
                <w:rFonts w:ascii="Arial" w:cs="Arial" w:eastAsia="Arial" w:hAnsi="Arial"/>
                <w:sz w:val="18"/>
                <w:szCs w:val="18"/>
                <w:color w:val="auto"/>
                <w:w w:val="87"/>
              </w:rPr>
              <w:t>Fees to Be</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2027</w:t>
            </w:r>
          </w:p>
        </w:tc>
        <w:tc>
          <w:tcPr>
            <w:tcW w:w="7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8"/>
                <w:szCs w:val="18"/>
                <w:color w:val="auto"/>
              </w:rPr>
              <w:t>457(r)</w:t>
            </w: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99.955%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$749,662,500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$82,612.81</w:t>
            </w:r>
          </w:p>
        </w:tc>
        <w:tc>
          <w:tcPr>
            <w:tcW w:w="0" w:type="dxa"/>
            <w:vAlign w:val="bottom"/>
          </w:tcPr>
          <w:p>
            <w:pPr>
              <w:spacing w:after="0"/>
              <w:rPr>
                <w:sz w:val="1"/>
                <w:szCs w:val="1"/>
                <w:color w:val="auto"/>
              </w:rPr>
            </w:pPr>
          </w:p>
        </w:tc>
      </w:tr>
      <w:tr>
        <w:trPr>
          <w:trHeight w:val="80"/>
        </w:trPr>
        <w:tc>
          <w:tcPr>
            <w:tcW w:w="124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85"/>
              </w:rPr>
              <w:t>Guarantees</w:t>
            </w:r>
          </w:p>
        </w:tc>
        <w:tc>
          <w:tcPr>
            <w:tcW w:w="7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vMerge w:val="restart"/>
          </w:tcPr>
          <w:p>
            <w:pPr>
              <w:jc w:val="center"/>
              <w:ind w:left="30"/>
              <w:spacing w:after="0"/>
              <w:rPr>
                <w:sz w:val="20"/>
                <w:szCs w:val="20"/>
                <w:color w:val="auto"/>
              </w:rPr>
            </w:pPr>
            <w:r>
              <w:rPr>
                <w:rFonts w:ascii="Arial" w:cs="Arial" w:eastAsia="Arial" w:hAnsi="Arial"/>
                <w:sz w:val="18"/>
                <w:szCs w:val="18"/>
                <w:color w:val="auto"/>
                <w:w w:val="88"/>
              </w:rPr>
              <w:t>Paid</w:t>
            </w:r>
          </w:p>
        </w:tc>
        <w:tc>
          <w:tcPr>
            <w:tcW w:w="5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40" w:type="dxa"/>
            <w:vAlign w:val="bottom"/>
            <w:tcBorders>
              <w:left w:val="single" w:sz="8" w:color="auto"/>
              <w:right w:val="single" w:sz="8" w:color="auto"/>
            </w:tcBorders>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of 5.350%</w:t>
            </w:r>
          </w:p>
        </w:tc>
        <w:tc>
          <w:tcPr>
            <w:tcW w:w="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40" w:type="dxa"/>
            <w:vAlign w:val="bottom"/>
            <w:tcBorders>
              <w:left w:val="single" w:sz="8" w:color="auto"/>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2027 (1)</w:t>
            </w:r>
          </w:p>
        </w:tc>
        <w:tc>
          <w:tcPr>
            <w:tcW w:w="7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5.500%</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2032</w:t>
            </w:r>
          </w:p>
        </w:tc>
        <w:tc>
          <w:tcPr>
            <w:tcW w:w="7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8"/>
                <w:szCs w:val="18"/>
                <w:color w:val="auto"/>
              </w:rPr>
              <w:t>457(r)</w:t>
            </w: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99.368%</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$993,680,000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$109,503.54</w:t>
            </w:r>
          </w:p>
        </w:tc>
        <w:tc>
          <w:tcPr>
            <w:tcW w:w="0" w:type="dxa"/>
            <w:vAlign w:val="bottom"/>
          </w:tcPr>
          <w:p>
            <w:pPr>
              <w:spacing w:after="0"/>
              <w:rPr>
                <w:sz w:val="1"/>
                <w:szCs w:val="1"/>
                <w:color w:val="auto"/>
              </w:rPr>
            </w:pPr>
          </w:p>
        </w:tc>
      </w:tr>
      <w:tr>
        <w:trPr>
          <w:trHeight w:val="202"/>
        </w:trPr>
        <w:tc>
          <w:tcPr>
            <w:tcW w:w="124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Guarantees</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of 5.500%</w:t>
            </w: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Notes due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2032 (1)</w:t>
            </w:r>
          </w:p>
        </w:tc>
        <w:tc>
          <w:tcPr>
            <w:tcW w:w="7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gridSpan w:val="4"/>
          </w:tcPr>
          <w:p>
            <w:pPr>
              <w:jc w:val="center"/>
              <w:ind w:right="433"/>
              <w:spacing w:after="0"/>
              <w:rPr>
                <w:sz w:val="20"/>
                <w:szCs w:val="20"/>
                <w:color w:val="auto"/>
              </w:rPr>
            </w:pPr>
            <w:r>
              <w:rPr>
                <w:rFonts w:ascii="Arial" w:cs="Arial" w:eastAsia="Arial" w:hAnsi="Arial"/>
                <w:sz w:val="18"/>
                <w:szCs w:val="18"/>
                <w:color w:val="auto"/>
                <w:w w:val="93"/>
              </w:rPr>
              <w:t>Total Offering Amounts</w:t>
            </w:r>
          </w:p>
        </w:tc>
        <w:tc>
          <w:tcPr>
            <w:tcW w:w="8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$2,493,140,000</w:t>
            </w: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$274,744.04</w:t>
            </w: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8"/>
                <w:szCs w:val="18"/>
                <w:color w:val="auto"/>
                <w:w w:val="88"/>
              </w:rPr>
              <w:t>Net Fee Due</w:t>
            </w:r>
          </w:p>
        </w:tc>
        <w:tc>
          <w:tcPr>
            <w:tcW w:w="13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$274,744.04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60" w:hanging="532"/>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 Cable Communications, LLC and NBCUniversal Media, LLC have each provided a guarantee with respect to the 5.250% Notes due 2025, 5.350% Notes due 2027 and 5.500% Notes due 2032 issued by Comcast Corporation.</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Pursuant to Rule 457(n) under the Securities Act of 1933, as amended, no additional registration fee is due with respect to the guarantees.</w:t>
      </w:r>
    </w:p>
    <w:sectPr>
      <w:pgSz w:w="11900" w:h="16838" w:orient="portrait"/>
      <w:cols w:equalWidth="0" w:num="1">
        <w:col w:w="10600"/>
      </w:cols>
      <w:pgMar w:left="86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2"/>
    </w:lvl>
    <w:lvl w:ilvl="1">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lvl w:ilvl="1">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2"/>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2"/>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3"/>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1)"/>
      <w:numFmt w:val="lowerRoman"/>
      <w:start w:val="4"/>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3"/>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2"/>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jpe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16" Type="http://schemas.openxmlformats.org/officeDocument/2006/relationships/hyperlink" Target="http://www.sec.gov/ix?doc=/Archives/edgar/data/1166691/000116669122000009/cmcsa-20211231.htm" TargetMode="External"/><Relationship Id="rId17" Type="http://schemas.openxmlformats.org/officeDocument/2006/relationships/hyperlink" Target="http://www.sec.gov/ix?doc=/Archives/edgar/data/1166691/000116669122000018/cmcsa-20220331.htm" TargetMode="External"/><Relationship Id="rId18" Type="http://schemas.openxmlformats.org/officeDocument/2006/relationships/hyperlink" Target="http://www.sec.gov/ix?doc=/Archives/edgar/data/1166691/000116669122000030/cmcsa-20220630.htm" TargetMode="External"/><Relationship Id="rId19" Type="http://schemas.openxmlformats.org/officeDocument/2006/relationships/hyperlink" Target="http://www.sec.gov/ix?doc=/Archives/edgar/data/1166691/000116669122000039/cmcsa-20220930.htm" TargetMode="External"/><Relationship Id="rId20" Type="http://schemas.openxmlformats.org/officeDocument/2006/relationships/hyperlink" Target="http://www.sec.gov/ix?doc=/Archives/edgar/data/1166691/000095010322010112/dp174738_8k.htm" TargetMode="External"/><Relationship Id="rId21" Type="http://schemas.openxmlformats.org/officeDocument/2006/relationships/hyperlink" Target="http://www.sec.gov/ix?doc=/Archives/edgar/data/1166691/000095010322017696/dp182381_8k.htm" TargetMode="External"/><Relationship Id="rId22" Type="http://schemas.openxmlformats.org/officeDocument/2006/relationships/hyperlink" Target="http://www.sec.gov/Archives/edgar/data/1166691/000120677422001186/cmcsa4011221-def14a.htm" TargetMode="External"/><Relationship Id="rId77"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2022-11-01T17:02:28Z</dcterms:created>
  <dcterms:modified xsi:type="dcterms:W3CDTF">2022-11-01T17:02:28Z</dcterms:modified>
</cp:coreProperties>
</file>