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7" w:lineRule="auto"/>
        <w:framePr w:w="600" w:h="156" w:wrap="auto" w:vAnchor="page" w:hAnchor="page" w:x="200" w:y="2239"/>
        <w:rPr>
          <w:rFonts w:ascii="Arial" w:cs="Arial" w:eastAsia="Arial" w:hAnsi="Arial"/>
          <w:sz w:val="15"/>
          <w:szCs w:val="15"/>
          <w:b w:val="1"/>
          <w:bCs w:val="1"/>
          <w:color w:val="auto"/>
        </w:rPr>
      </w:pPr>
      <w:r>
        <w:rPr>
          <w:rFonts w:ascii="Arial" w:cs="Arial" w:eastAsia="Arial" w:hAnsi="Arial"/>
          <w:sz w:val="15"/>
          <w:szCs w:val="15"/>
          <w:b w:val="1"/>
          <w:bCs w:val="1"/>
          <w:color w:val="auto"/>
        </w:rPr>
        <w:t>Issuer:</w:t>
      </w:r>
    </w:p>
    <w:p>
      <w:pPr>
        <w:spacing w:after="0" w:line="204" w:lineRule="auto"/>
        <w:framePr w:w="1500" w:h="156" w:wrap="auto" w:vAnchor="page" w:hAnchor="page" w:x="200" w:y="2563"/>
        <w:rPr>
          <w:rFonts w:ascii="Arial" w:cs="Arial" w:eastAsia="Arial" w:hAnsi="Arial"/>
          <w:sz w:val="16"/>
          <w:szCs w:val="16"/>
          <w:b w:val="1"/>
          <w:bCs w:val="1"/>
          <w:color w:val="auto"/>
        </w:rPr>
      </w:pPr>
      <w:r>
        <w:rPr>
          <w:rFonts w:ascii="Arial" w:cs="Arial" w:eastAsia="Arial" w:hAnsi="Arial"/>
          <w:sz w:val="16"/>
          <w:szCs w:val="16"/>
          <w:b w:val="1"/>
          <w:bCs w:val="1"/>
          <w:color w:val="auto"/>
        </w:rPr>
        <w:t>Cable Guarantors:</w:t>
      </w:r>
    </w:p>
    <w:p>
      <w:pPr>
        <w:spacing w:after="0" w:line="346" w:lineRule="auto"/>
        <w:framePr w:w="2300" w:h="1791" w:wrap="auto" w:vAnchor="page" w:hAnchor="page" w:x="200" w:y="3549"/>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 of Securities: Denomination: Expected Ratings: </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Aggregate Principal Amount: Over-Allotment Option: Trade Date:</w:t>
      </w:r>
    </w:p>
    <w:p>
      <w:pPr>
        <w:spacing w:after="0" w:line="349" w:lineRule="auto"/>
        <w:framePr w:w="1340" w:h="805" w:wrap="auto" w:vAnchor="page" w:hAnchor="page" w:x="200" w:y="5507"/>
        <w:rPr>
          <w:rFonts w:ascii="Arial" w:cs="Arial" w:eastAsia="Arial" w:hAnsi="Arial"/>
          <w:sz w:val="16"/>
          <w:szCs w:val="16"/>
          <w:b w:val="1"/>
          <w:bCs w:val="1"/>
          <w:color w:val="auto"/>
        </w:rPr>
      </w:pPr>
      <w:r>
        <w:rPr>
          <w:rFonts w:ascii="Arial" w:cs="Arial" w:eastAsia="Arial" w:hAnsi="Arial"/>
          <w:sz w:val="16"/>
          <w:szCs w:val="16"/>
          <w:b w:val="1"/>
          <w:bCs w:val="1"/>
          <w:color w:val="auto"/>
        </w:rPr>
        <w:t>Settlement Date: Maturity: Interest Rate:</w:t>
      </w:r>
    </w:p>
    <w:p>
      <w:pPr>
        <w:spacing w:after="0" w:line="217" w:lineRule="auto"/>
        <w:framePr w:w="1900" w:h="156" w:wrap="auto" w:vAnchor="page" w:hAnchor="page" w:x="200" w:y="6696"/>
        <w:rPr>
          <w:rFonts w:ascii="Arial" w:cs="Arial" w:eastAsia="Arial" w:hAnsi="Arial"/>
          <w:sz w:val="15"/>
          <w:szCs w:val="15"/>
          <w:b w:val="1"/>
          <w:bCs w:val="1"/>
          <w:color w:val="auto"/>
        </w:rPr>
      </w:pPr>
      <w:r>
        <w:rPr>
          <w:rFonts w:ascii="Arial" w:cs="Arial" w:eastAsia="Arial" w:hAnsi="Arial"/>
          <w:sz w:val="15"/>
          <w:szCs w:val="15"/>
          <w:b w:val="1"/>
          <w:bCs w:val="1"/>
          <w:color w:val="auto"/>
        </w:rPr>
        <w:t>Interest Payment Dates:</w:t>
      </w: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rFonts w:ascii="Arial" w:cs="Arial" w:eastAsia="Arial" w:hAnsi="Arial"/>
          <w:sz w:val="15"/>
          <w:szCs w:val="15"/>
          <w:b w:val="1"/>
          <w:bCs w:val="1"/>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333-179678</w:t>
      </w:r>
    </w:p>
    <w:p>
      <w:pPr>
        <w:spacing w:after="0" w:line="9" w:lineRule="exact"/>
        <w:rPr>
          <w:rFonts w:ascii="Arial" w:cs="Arial" w:eastAsia="Arial" w:hAnsi="Arial"/>
          <w:sz w:val="15"/>
          <w:szCs w:val="15"/>
          <w:b w:val="1"/>
          <w:bCs w:val="1"/>
          <w:color w:val="auto"/>
        </w:rPr>
      </w:pPr>
    </w:p>
    <w:p>
      <w:pPr>
        <w:jc w:val="right"/>
        <w:spacing w:after="0"/>
        <w:rPr>
          <w:sz w:val="20"/>
          <w:szCs w:val="20"/>
          <w:color w:val="auto"/>
        </w:rPr>
      </w:pPr>
      <w:r>
        <w:rPr>
          <w:rFonts w:ascii="Arial" w:cs="Arial" w:eastAsia="Arial" w:hAnsi="Arial"/>
          <w:sz w:val="18"/>
          <w:szCs w:val="18"/>
          <w:b w:val="1"/>
          <w:bCs w:val="1"/>
          <w:color w:val="auto"/>
        </w:rPr>
        <w:t>November 29, 2012</w:t>
      </w:r>
    </w:p>
    <w:p>
      <w:pPr>
        <w:spacing w:after="0" w:line="321" w:lineRule="exact"/>
        <w:rPr>
          <w:rFonts w:ascii="Arial" w:cs="Arial" w:eastAsia="Arial" w:hAnsi="Arial"/>
          <w:sz w:val="15"/>
          <w:szCs w:val="15"/>
          <w:b w:val="1"/>
          <w:bCs w:val="1"/>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rFonts w:ascii="Arial" w:cs="Arial" w:eastAsia="Arial" w:hAnsi="Arial"/>
          <w:sz w:val="15"/>
          <w:szCs w:val="15"/>
          <w:b w:val="1"/>
          <w:bCs w:val="1"/>
          <w:color w:val="auto"/>
        </w:rPr>
      </w:pPr>
    </w:p>
    <w:p>
      <w:pPr>
        <w:jc w:val="center"/>
        <w:spacing w:after="0"/>
        <w:rPr>
          <w:sz w:val="20"/>
          <w:szCs w:val="20"/>
          <w:color w:val="auto"/>
        </w:rPr>
      </w:pPr>
      <w:r>
        <w:rPr>
          <w:rFonts w:ascii="Arial" w:cs="Arial" w:eastAsia="Arial" w:hAnsi="Arial"/>
          <w:sz w:val="18"/>
          <w:szCs w:val="18"/>
          <w:b w:val="1"/>
          <w:bCs w:val="1"/>
          <w:color w:val="auto"/>
        </w:rPr>
        <w:t>$250,000,000 5.00% NOTES DUE 2061</w:t>
      </w:r>
    </w:p>
    <w:p>
      <w:pPr>
        <w:spacing w:after="0" w:line="159" w:lineRule="exact"/>
        <w:rPr>
          <w:rFonts w:ascii="Arial" w:cs="Arial" w:eastAsia="Arial" w:hAnsi="Arial"/>
          <w:sz w:val="15"/>
          <w:szCs w:val="15"/>
          <w:b w:val="1"/>
          <w:bCs w:val="1"/>
          <w:color w:val="auto"/>
        </w:rPr>
      </w:pPr>
    </w:p>
    <w:p>
      <w:pPr>
        <w:ind w:left="5060"/>
        <w:spacing w:after="0"/>
        <w:rPr>
          <w:sz w:val="20"/>
          <w:szCs w:val="20"/>
          <w:color w:val="auto"/>
        </w:rPr>
      </w:pPr>
      <w:r>
        <w:rPr>
          <w:rFonts w:ascii="Arial" w:cs="Arial" w:eastAsia="Arial" w:hAnsi="Arial"/>
          <w:sz w:val="18"/>
          <w:szCs w:val="18"/>
          <w:b w:val="1"/>
          <w:bCs w:val="1"/>
          <w:color w:val="auto"/>
        </w:rPr>
        <w:t>Final Term Sheet</w:t>
      </w:r>
    </w:p>
    <w:p>
      <w:pPr>
        <w:spacing w:after="0" w:line="218" w:lineRule="exact"/>
        <w:rPr>
          <w:rFonts w:ascii="Arial" w:cs="Arial" w:eastAsia="Arial" w:hAnsi="Arial"/>
          <w:sz w:val="15"/>
          <w:szCs w:val="15"/>
          <w:b w:val="1"/>
          <w:bCs w:val="1"/>
          <w:color w:val="auto"/>
        </w:rPr>
      </w:pPr>
    </w:p>
    <w:p>
      <w:pPr>
        <w:ind w:left="3340"/>
        <w:spacing w:after="0"/>
        <w:rPr>
          <w:sz w:val="20"/>
          <w:szCs w:val="20"/>
          <w:color w:val="auto"/>
        </w:rPr>
      </w:pPr>
      <w:r>
        <w:rPr>
          <w:rFonts w:ascii="Arial" w:cs="Arial" w:eastAsia="Arial" w:hAnsi="Arial"/>
          <w:sz w:val="18"/>
          <w:szCs w:val="18"/>
          <w:color w:val="auto"/>
        </w:rPr>
        <w:t>Comcast Corporation (the “Company”)</w:t>
      </w:r>
    </w:p>
    <w:p>
      <w:pPr>
        <w:spacing w:after="0" w:line="117" w:lineRule="exact"/>
        <w:rPr>
          <w:rFonts w:ascii="Arial" w:cs="Arial" w:eastAsia="Arial" w:hAnsi="Arial"/>
          <w:sz w:val="15"/>
          <w:szCs w:val="15"/>
          <w:b w:val="1"/>
          <w:bCs w:val="1"/>
          <w:color w:val="auto"/>
        </w:rPr>
      </w:pPr>
    </w:p>
    <w:p>
      <w:pPr>
        <w:ind w:left="3340" w:right="5360"/>
        <w:spacing w:after="0" w:line="253" w:lineRule="auto"/>
        <w:rPr>
          <w:sz w:val="20"/>
          <w:szCs w:val="20"/>
          <w:color w:val="auto"/>
        </w:rPr>
      </w:pPr>
      <w:r>
        <w:rPr>
          <w:rFonts w:ascii="Arial" w:cs="Arial" w:eastAsia="Arial" w:hAnsi="Arial"/>
          <w:sz w:val="18"/>
          <w:szCs w:val="18"/>
          <w:color w:val="auto"/>
        </w:rPr>
        <w:t>Comcast Cable Communications, LLC Comcast Cable Holdings, LLC Comcast MO Group, Inc.</w:t>
      </w:r>
    </w:p>
    <w:p>
      <w:pPr>
        <w:ind w:left="3340" w:right="5820"/>
        <w:spacing w:after="0" w:line="379" w:lineRule="auto"/>
        <w:rPr>
          <w:sz w:val="20"/>
          <w:szCs w:val="20"/>
          <w:color w:val="auto"/>
        </w:rPr>
      </w:pPr>
      <w:r>
        <w:rPr>
          <w:rFonts w:ascii="Arial" w:cs="Arial" w:eastAsia="Arial" w:hAnsi="Arial"/>
          <w:sz w:val="18"/>
          <w:szCs w:val="18"/>
          <w:color w:val="auto"/>
        </w:rPr>
        <w:t>Comcast MO of Delaware, LLC 5.00% Notes due 2061</w:t>
      </w:r>
    </w:p>
    <w:p>
      <w:pPr>
        <w:spacing w:after="0" w:line="2" w:lineRule="exact"/>
        <w:rPr>
          <w:rFonts w:ascii="Arial" w:cs="Arial" w:eastAsia="Arial" w:hAnsi="Arial"/>
          <w:sz w:val="15"/>
          <w:szCs w:val="15"/>
          <w:b w:val="1"/>
          <w:bCs w:val="1"/>
          <w:color w:val="auto"/>
        </w:rPr>
      </w:pPr>
    </w:p>
    <w:p>
      <w:pPr>
        <w:ind w:left="3340" w:right="2520"/>
        <w:spacing w:after="0" w:line="375" w:lineRule="auto"/>
        <w:rPr>
          <w:sz w:val="20"/>
          <w:szCs w:val="20"/>
          <w:color w:val="auto"/>
        </w:rPr>
      </w:pPr>
      <w:r>
        <w:rPr>
          <w:rFonts w:ascii="Arial" w:cs="Arial" w:eastAsia="Arial" w:hAnsi="Arial"/>
          <w:sz w:val="18"/>
          <w:szCs w:val="18"/>
          <w:color w:val="auto"/>
        </w:rPr>
        <w:t>$25.00 and multiples in excess thereof (each $25.00 principal amount “a note”) Moody’s: Baa1; S&amp;P: BBB+; Fitch: BBB+</w:t>
      </w:r>
    </w:p>
    <w:p>
      <w:pPr>
        <w:spacing w:after="0" w:line="1" w:lineRule="exact"/>
        <w:rPr>
          <w:rFonts w:ascii="Arial" w:cs="Arial" w:eastAsia="Arial" w:hAnsi="Arial"/>
          <w:sz w:val="15"/>
          <w:szCs w:val="15"/>
          <w:b w:val="1"/>
          <w:bCs w:val="1"/>
          <w:color w:val="auto"/>
        </w:rPr>
      </w:pPr>
    </w:p>
    <w:p>
      <w:pPr>
        <w:ind w:left="3340" w:right="5760"/>
        <w:spacing w:after="0" w:line="378" w:lineRule="auto"/>
        <w:rPr>
          <w:sz w:val="20"/>
          <w:szCs w:val="20"/>
          <w:color w:val="auto"/>
        </w:rPr>
      </w:pPr>
      <w:r>
        <w:rPr>
          <w:rFonts w:ascii="Arial" w:cs="Arial" w:eastAsia="Arial" w:hAnsi="Arial"/>
          <w:sz w:val="18"/>
          <w:szCs w:val="18"/>
          <w:color w:val="auto"/>
        </w:rPr>
        <w:t>$250,000,000 (10,000,000 notes) $37,500,000 (1,500,000 notes) November 29, 2012 December 6, 2012 (T+5) December 15, 2061</w:t>
      </w:r>
    </w:p>
    <w:p>
      <w:pPr>
        <w:spacing w:after="0" w:line="4" w:lineRule="exact"/>
        <w:rPr>
          <w:rFonts w:ascii="Arial" w:cs="Arial" w:eastAsia="Arial" w:hAnsi="Arial"/>
          <w:sz w:val="15"/>
          <w:szCs w:val="15"/>
          <w:b w:val="1"/>
          <w:bCs w:val="1"/>
          <w:color w:val="auto"/>
        </w:rPr>
      </w:pPr>
    </w:p>
    <w:p>
      <w:pPr>
        <w:ind w:left="3340"/>
        <w:spacing w:after="0"/>
        <w:rPr>
          <w:sz w:val="20"/>
          <w:szCs w:val="20"/>
          <w:color w:val="auto"/>
        </w:rPr>
      </w:pPr>
      <w:r>
        <w:rPr>
          <w:rFonts w:ascii="Arial" w:cs="Arial" w:eastAsia="Arial" w:hAnsi="Arial"/>
          <w:sz w:val="15"/>
          <w:szCs w:val="15"/>
          <w:color w:val="auto"/>
        </w:rPr>
        <w:t>5.00% per annum, accruing from December 6, 2012 (calculated on the basis of a 360-day year consisting of twelve</w:t>
      </w:r>
    </w:p>
    <w:p>
      <w:pPr>
        <w:spacing w:after="0" w:line="50" w:lineRule="exact"/>
        <w:rPr>
          <w:rFonts w:ascii="Arial" w:cs="Arial" w:eastAsia="Arial" w:hAnsi="Arial"/>
          <w:sz w:val="15"/>
          <w:szCs w:val="15"/>
          <w:b w:val="1"/>
          <w:bCs w:val="1"/>
          <w:color w:val="auto"/>
        </w:rPr>
      </w:pPr>
    </w:p>
    <w:p>
      <w:pPr>
        <w:ind w:left="3340"/>
        <w:spacing w:after="0"/>
        <w:rPr>
          <w:sz w:val="20"/>
          <w:szCs w:val="20"/>
          <w:color w:val="auto"/>
        </w:rPr>
      </w:pPr>
      <w:r>
        <w:rPr>
          <w:rFonts w:ascii="Arial" w:cs="Arial" w:eastAsia="Arial" w:hAnsi="Arial"/>
          <w:sz w:val="18"/>
          <w:szCs w:val="18"/>
          <w:color w:val="auto"/>
        </w:rPr>
        <w:t>30-day months)</w:t>
      </w:r>
    </w:p>
    <w:p>
      <w:pPr>
        <w:spacing w:after="0" w:line="111" w:lineRule="exact"/>
        <w:rPr>
          <w:rFonts w:ascii="Arial" w:cs="Arial" w:eastAsia="Arial" w:hAnsi="Arial"/>
          <w:sz w:val="15"/>
          <w:szCs w:val="15"/>
          <w:b w:val="1"/>
          <w:bCs w:val="1"/>
          <w:color w:val="auto"/>
        </w:rPr>
      </w:pPr>
    </w:p>
    <w:p>
      <w:pPr>
        <w:ind w:left="3340"/>
        <w:spacing w:after="0"/>
        <w:rPr>
          <w:sz w:val="20"/>
          <w:szCs w:val="20"/>
          <w:color w:val="auto"/>
        </w:rPr>
      </w:pPr>
      <w:r>
        <w:rPr>
          <w:rFonts w:ascii="Arial" w:cs="Arial" w:eastAsia="Arial" w:hAnsi="Arial"/>
          <w:sz w:val="18"/>
          <w:szCs w:val="18"/>
          <w:color w:val="auto"/>
        </w:rPr>
        <w:t>Quarterly on March 15, June 15, September 15 and December 15, commencing March 15, 2013</w:t>
      </w:r>
    </w:p>
    <w:p>
      <w:pPr>
        <w:spacing w:after="0" w:line="20" w:lineRule="exact"/>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rFonts w:ascii="Arial" w:cs="Arial" w:eastAsia="Arial" w:hAnsi="Arial"/>
          <w:sz w:val="15"/>
          <w:szCs w:val="15"/>
          <w:b w:val="1"/>
          <w:bCs w:val="1"/>
          <w:color w:val="auto"/>
        </w:rPr>
      </w:pPr>
    </w:p>
    <w:p>
      <w:pPr>
        <w:ind w:left="220" w:hanging="212"/>
        <w:spacing w:after="0"/>
        <w:tabs>
          <w:tab w:leader="none" w:pos="22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A securities rating is not a recommendation to buy, sell or hold securities and may be subject to revision or withdrawal at any time.</w:t>
      </w:r>
    </w:p>
    <w:p>
      <w:pPr>
        <w:sectPr>
          <w:pgSz w:w="11900" w:h="16838" w:orient="portrait"/>
          <w:cols w:equalWidth="0" w:num="1">
            <w:col w:w="11420"/>
          </w:cols>
          <w:pgMar w:left="240" w:top="233" w:right="239" w:bottom="1440" w:gutter="0" w:footer="0" w:header="0"/>
        </w:sectPr>
      </w:pPr>
    </w:p>
    <w:bookmarkStart w:id="1" w:name="page2"/>
    <w:bookmarkEnd w:id="1"/>
    <w:p>
      <w:pPr>
        <w:spacing w:after="0"/>
        <w:tabs>
          <w:tab w:leader="none" w:pos="3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Optional Redemption:</w:t>
      </w:r>
      <w:r>
        <w:rPr>
          <w:sz w:val="20"/>
          <w:szCs w:val="20"/>
          <w:color w:val="auto"/>
        </w:rPr>
        <w:tab/>
      </w:r>
      <w:r>
        <w:rPr>
          <w:rFonts w:ascii="Arial" w:cs="Arial" w:eastAsia="Arial" w:hAnsi="Arial"/>
          <w:sz w:val="15"/>
          <w:szCs w:val="15"/>
          <w:color w:val="auto"/>
        </w:rPr>
        <w:t>The 5.00% Notes due 2061 are redeemable at the option of the Company at any time on or after December 15,</w:t>
      </w:r>
    </w:p>
    <w:p>
      <w:pPr>
        <w:spacing w:after="0" w:line="21" w:lineRule="exact"/>
        <w:rPr>
          <w:sz w:val="20"/>
          <w:szCs w:val="20"/>
          <w:color w:val="auto"/>
        </w:rPr>
      </w:pPr>
    </w:p>
    <w:p>
      <w:pPr>
        <w:ind w:left="3340" w:right="40"/>
        <w:spacing w:after="0" w:line="261" w:lineRule="auto"/>
        <w:rPr>
          <w:sz w:val="20"/>
          <w:szCs w:val="20"/>
          <w:color w:val="auto"/>
        </w:rPr>
      </w:pPr>
      <w:r>
        <w:rPr>
          <w:rFonts w:ascii="Arial" w:cs="Arial" w:eastAsia="Arial" w:hAnsi="Arial"/>
          <w:sz w:val="18"/>
          <w:szCs w:val="18"/>
          <w:color w:val="auto"/>
        </w:rPr>
        <w:t>2017, in whole or in part, at a redemption price equal to 100% of the principal amount of such notes plus accrued and unpaid interest to the date of redemption</w:t>
      </w:r>
    </w:p>
    <w:p>
      <w:pPr>
        <w:spacing w:after="0" w:line="78"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b w:val="1"/>
          <w:bCs w:val="1"/>
          <w:color w:val="auto"/>
        </w:rPr>
        <w:t>Expected Listing:</w:t>
      </w:r>
      <w:r>
        <w:rPr>
          <w:sz w:val="20"/>
          <w:szCs w:val="20"/>
          <w:color w:val="auto"/>
        </w:rPr>
        <w:tab/>
      </w:r>
      <w:r>
        <w:rPr>
          <w:rFonts w:ascii="Arial" w:cs="Arial" w:eastAsia="Arial" w:hAnsi="Arial"/>
          <w:sz w:val="15"/>
          <w:szCs w:val="15"/>
          <w:color w:val="auto"/>
        </w:rPr>
        <w:t>New York Stock Exchange</w:t>
      </w:r>
    </w:p>
    <w:p>
      <w:pPr>
        <w:spacing w:after="0" w:line="117"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b w:val="1"/>
          <w:bCs w:val="1"/>
          <w:color w:val="auto"/>
        </w:rPr>
        <w:t>CUSIP / ISIN:</w:t>
      </w:r>
      <w:r>
        <w:rPr>
          <w:sz w:val="20"/>
          <w:szCs w:val="20"/>
          <w:color w:val="auto"/>
        </w:rPr>
        <w:tab/>
      </w:r>
      <w:r>
        <w:rPr>
          <w:rFonts w:ascii="Arial" w:cs="Arial" w:eastAsia="Arial" w:hAnsi="Arial"/>
          <w:sz w:val="15"/>
          <w:szCs w:val="15"/>
          <w:color w:val="auto"/>
        </w:rPr>
        <w:t>20030N 606 / US20030N6067</w:t>
      </w:r>
    </w:p>
    <w:p>
      <w:pPr>
        <w:spacing w:after="0" w:line="117"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b w:val="1"/>
          <w:bCs w:val="1"/>
          <w:color w:val="auto"/>
        </w:rPr>
        <w:t>Price to Investors:</w:t>
      </w:r>
      <w:r>
        <w:rPr>
          <w:sz w:val="20"/>
          <w:szCs w:val="20"/>
          <w:color w:val="auto"/>
        </w:rPr>
        <w:tab/>
      </w:r>
      <w:r>
        <w:rPr>
          <w:rFonts w:ascii="Arial" w:cs="Arial" w:eastAsia="Arial" w:hAnsi="Arial"/>
          <w:sz w:val="16"/>
          <w:szCs w:val="16"/>
          <w:color w:val="auto"/>
        </w:rPr>
        <w:t>$25.00 per note; $250,000,000 total (not including over-allotment option)</w:t>
      </w:r>
    </w:p>
    <w:p>
      <w:pPr>
        <w:spacing w:after="0" w:line="117"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b w:val="1"/>
          <w:bCs w:val="1"/>
          <w:color w:val="auto"/>
        </w:rPr>
        <w:t>Underwriters’ Discount:</w:t>
      </w:r>
      <w:r>
        <w:rPr>
          <w:sz w:val="20"/>
          <w:szCs w:val="20"/>
          <w:color w:val="auto"/>
        </w:rPr>
        <w:tab/>
      </w:r>
      <w:r>
        <w:rPr>
          <w:rFonts w:ascii="Arial" w:cs="Arial" w:eastAsia="Arial" w:hAnsi="Arial"/>
          <w:sz w:val="15"/>
          <w:szCs w:val="15"/>
          <w:color w:val="auto"/>
        </w:rPr>
        <w:t>$0.7875 per note for retail orders; $7,521,412.50 total; $0.5000 per note for institutional orders; $224,500.00 total</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(not including the over-allotment option)</w:t>
      </w:r>
    </w:p>
    <w:p>
      <w:pPr>
        <w:sectPr>
          <w:pgSz w:w="11900" w:h="16838" w:orient="portrait"/>
          <w:cols w:equalWidth="0" w:num="1">
            <w:col w:w="11320"/>
          </w:cols>
          <w:pgMar w:left="240" w:top="382" w:right="33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Proceeds to Comcast, before expenses: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$24.2254 per $25.00 principal amount of Notes due 2061; $242,254,087.50 total (based on the weighted average underwriters’ discount for orders by retail and institutional investors)</w:t>
      </w:r>
    </w:p>
    <w:p>
      <w:pPr>
        <w:spacing w:after="0" w:line="72" w:lineRule="exact"/>
        <w:rPr>
          <w:sz w:val="20"/>
          <w:szCs w:val="20"/>
          <w:color w:val="auto"/>
        </w:rPr>
      </w:pPr>
    </w:p>
    <w:p>
      <w:pPr>
        <w:sectPr>
          <w:pgSz w:w="11900" w:h="16838" w:orient="portrait"/>
          <w:cols w:equalWidth="0" w:num="2">
            <w:col w:w="2880" w:space="460"/>
            <w:col w:w="7980"/>
          </w:cols>
          <w:pgMar w:left="240" w:top="382" w:right="339" w:bottom="1440" w:gutter="0" w:footer="0" w:header="0"/>
          <w:type w:val="continuous"/>
        </w:sectPr>
      </w:pPr>
    </w:p>
    <w:p>
      <w:pPr>
        <w:spacing w:after="0"/>
        <w:tabs>
          <w:tab w:leader="none" w:pos="3320" w:val="left"/>
        </w:tabs>
        <w:rPr>
          <w:sz w:val="20"/>
          <w:szCs w:val="20"/>
          <w:color w:val="auto"/>
        </w:rPr>
      </w:pPr>
      <w:r>
        <w:rPr>
          <w:rFonts w:ascii="Arial" w:cs="Arial" w:eastAsia="Arial" w:hAnsi="Arial"/>
          <w:sz w:val="18"/>
          <w:szCs w:val="18"/>
          <w:b w:val="1"/>
          <w:bCs w:val="1"/>
          <w:color w:val="auto"/>
        </w:rPr>
        <w:t>Joint Book-Running Managers:</w:t>
      </w:r>
      <w:r>
        <w:rPr>
          <w:sz w:val="20"/>
          <w:szCs w:val="20"/>
          <w:color w:val="auto"/>
        </w:rPr>
        <w:tab/>
      </w:r>
      <w:r>
        <w:rPr>
          <w:rFonts w:ascii="Arial" w:cs="Arial" w:eastAsia="Arial" w:hAnsi="Arial"/>
          <w:sz w:val="16"/>
          <w:szCs w:val="16"/>
          <w:color w:val="auto"/>
        </w:rPr>
        <w:t>Merrill Lynch, Pierce, Fenner &amp; Smith</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Wells Fargo Securities, LLC</w:t>
      </w:r>
    </w:p>
    <w:p>
      <w:pPr>
        <w:spacing w:after="0" w:line="118"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b w:val="1"/>
          <w:bCs w:val="1"/>
          <w:color w:val="auto"/>
        </w:rPr>
        <w:t>Co-Managers:</w:t>
      </w:r>
      <w:r>
        <w:rPr>
          <w:sz w:val="20"/>
          <w:szCs w:val="20"/>
          <w:color w:val="auto"/>
        </w:rPr>
        <w:tab/>
      </w:r>
      <w:r>
        <w:rPr>
          <w:rFonts w:ascii="Arial" w:cs="Arial" w:eastAsia="Arial" w:hAnsi="Arial"/>
          <w:sz w:val="15"/>
          <w:szCs w:val="15"/>
          <w:color w:val="auto"/>
        </w:rPr>
        <w:t>Raymond James &amp; Associates, Inc.</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J.P. Morgan Securities LLC</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Merrill Lynch, Pierce, Fenner &amp; Smith Incorporated at 1-800-294-1322, Morgan Stanley &amp; Co. LLC at (212) 761-6691, UBS Securities LLC at (877)827-6444, ext. 561 3884 or Wells Fargo Securities, LLC at 1-800-326-5897 or cmclientsupport@wellsfargo.com.</w:t>
      </w:r>
    </w:p>
    <w:sectPr>
      <w:pgSz w:w="11900" w:h="16838" w:orient="portrait"/>
      <w:cols w:equalWidth="0" w:num="1">
        <w:col w:w="11320"/>
      </w:cols>
      <w:pgMar w:left="240" w:top="38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2019-12-09T15:29:52Z</dcterms:created>
  <dcterms:modified xsi:type="dcterms:W3CDTF">2019-12-09T15:29:52Z</dcterms:modified>
</cp:coreProperties>
</file>