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40"/>
        <w:spacing w:after="0"/>
        <w:rPr>
          <w:sz w:val="20"/>
          <w:szCs w:val="20"/>
          <w:color w:val="auto"/>
        </w:rPr>
      </w:pPr>
      <w:r>
        <w:rPr>
          <w:rFonts w:ascii="Arial" w:cs="Arial" w:eastAsia="Arial" w:hAnsi="Arial"/>
          <w:sz w:val="18"/>
          <w:szCs w:val="18"/>
          <w:b w:val="1"/>
          <w:bCs w:val="1"/>
          <w:color w:val="auto"/>
        </w:rPr>
        <w:t>Filed Pursuant to Rule 433</w:t>
      </w:r>
    </w:p>
    <w:p>
      <w:pPr>
        <w:spacing w:after="0" w:line="21"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Registration Statement Number 333-184145</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September 28, 2012</w:t>
      </w:r>
    </w:p>
    <w:p>
      <w:pPr>
        <w:spacing w:after="0" w:line="3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NBCUniversal Media, LLC</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$1,000,000,000 2.875% SENIOR NOTES DUE 2023</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$1,000,000,000 4.450% SENIOR NOTES DUE 2043</w:t>
      </w:r>
    </w:p>
    <w:p>
      <w:pPr>
        <w:spacing w:after="0" w:line="10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Final Term Sheet</w:t>
      </w:r>
    </w:p>
    <w:p>
      <w:pPr>
        <w:sectPr>
          <w:pgSz w:w="11900" w:h="16838" w:orient="portrait"/>
          <w:cols w:equalWidth="0" w:num="1">
            <w:col w:w="11420"/>
          </w:cols>
          <w:pgMar w:left="240" w:top="692" w:right="239" w:bottom="1440" w:gutter="0" w:footer="0" w:header="0"/>
        </w:sectPr>
      </w:pPr>
    </w:p>
    <w:p>
      <w:pPr>
        <w:spacing w:after="0" w:line="21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Issuer:</w:t>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rPr>
          <w:sz w:val="20"/>
          <w:szCs w:val="20"/>
          <w:color w:val="auto"/>
        </w:rPr>
      </w:pPr>
      <w:r>
        <w:rPr>
          <w:rFonts w:ascii="Arial" w:cs="Arial" w:eastAsia="Arial" w:hAnsi="Arial"/>
          <w:sz w:val="16"/>
          <w:szCs w:val="16"/>
          <w:color w:val="auto"/>
        </w:rPr>
        <w:t>NBCUniversal Media, LLC (the “</w:t>
      </w:r>
      <w:r>
        <w:rPr>
          <w:rFonts w:ascii="Arial" w:cs="Arial" w:eastAsia="Arial" w:hAnsi="Arial"/>
          <w:sz w:val="16"/>
          <w:szCs w:val="16"/>
          <w:b w:val="1"/>
          <w:bCs w:val="1"/>
          <w:color w:val="auto"/>
        </w:rPr>
        <w:t>Company</w:t>
      </w:r>
      <w:r>
        <w:rPr>
          <w:rFonts w:ascii="Arial" w:cs="Arial" w:eastAsia="Arial" w:hAnsi="Arial"/>
          <w:sz w:val="16"/>
          <w:szCs w:val="16"/>
          <w:color w:val="auto"/>
        </w:rPr>
        <w:t>”)</w:t>
      </w:r>
    </w:p>
    <w:p>
      <w:pPr>
        <w:spacing w:after="0" w:line="140" w:lineRule="exact"/>
        <w:rPr>
          <w:sz w:val="24"/>
          <w:szCs w:val="24"/>
          <w:color w:val="auto"/>
        </w:rPr>
      </w:pPr>
    </w:p>
    <w:p>
      <w:pPr>
        <w:sectPr>
          <w:pgSz w:w="11900" w:h="16838" w:orient="portrait"/>
          <w:cols w:equalWidth="0" w:num="2">
            <w:col w:w="2820" w:space="720"/>
            <w:col w:w="7880"/>
          </w:cols>
          <w:pgMar w:left="240" w:top="692" w:right="2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Issue of Securities: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2.875% Senior Notes due 2023</w:t>
      </w:r>
    </w:p>
    <w:p>
      <w:pPr>
        <w:spacing w:after="0" w:line="152" w:lineRule="exact"/>
        <w:rPr>
          <w:sz w:val="24"/>
          <w:szCs w:val="24"/>
          <w:color w:val="auto"/>
        </w:rPr>
      </w:pPr>
    </w:p>
    <w:p>
      <w:pPr>
        <w:sectPr>
          <w:pgSz w:w="11900" w:h="16838" w:orient="portrait"/>
          <w:cols w:equalWidth="0" w:num="2">
            <w:col w:w="2820" w:space="720"/>
            <w:col w:w="7880"/>
          </w:cols>
          <w:pgMar w:left="240" w:top="692" w:right="239" w:bottom="1440" w:gutter="0" w:footer="0" w:header="0"/>
          <w:type w:val="continuous"/>
        </w:sectPr>
      </w:pPr>
    </w:p>
    <w:p>
      <w:pPr>
        <w:ind w:left="3540"/>
        <w:spacing w:after="0"/>
        <w:rPr>
          <w:sz w:val="20"/>
          <w:szCs w:val="20"/>
          <w:color w:val="auto"/>
        </w:rPr>
      </w:pPr>
      <w:r>
        <w:rPr>
          <w:rFonts w:ascii="Arial" w:cs="Arial" w:eastAsia="Arial" w:hAnsi="Arial"/>
          <w:sz w:val="15"/>
          <w:szCs w:val="15"/>
          <w:color w:val="auto"/>
        </w:rPr>
        <w:t>4.450% Senior Notes due 2043</w:t>
      </w:r>
    </w:p>
    <w:p>
      <w:pPr>
        <w:sectPr>
          <w:pgSz w:w="11900" w:h="16838" w:orient="portrait"/>
          <w:cols w:equalWidth="0" w:num="1">
            <w:col w:w="11420"/>
          </w:cols>
          <w:pgMar w:left="240" w:top="692" w:right="239" w:bottom="1440" w:gutter="0" w:footer="0" w:header="0"/>
          <w:type w:val="continuous"/>
        </w:sectPr>
      </w:pPr>
    </w:p>
    <w:p>
      <w:pPr>
        <w:spacing w:after="0" w:line="14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Denomination:</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spacing w:after="0"/>
        <w:rPr>
          <w:sz w:val="20"/>
          <w:szCs w:val="20"/>
          <w:color w:val="auto"/>
        </w:rPr>
      </w:pPr>
      <w:r>
        <w:rPr>
          <w:rFonts w:ascii="Arial" w:cs="Arial" w:eastAsia="Arial" w:hAnsi="Arial"/>
          <w:sz w:val="15"/>
          <w:szCs w:val="15"/>
          <w:color w:val="auto"/>
        </w:rPr>
        <w:t>$2,000 and multiples of $1,000 in excess thereof</w:t>
      </w:r>
    </w:p>
    <w:p>
      <w:pPr>
        <w:spacing w:after="0" w:line="146" w:lineRule="exact"/>
        <w:rPr>
          <w:sz w:val="24"/>
          <w:szCs w:val="24"/>
          <w:color w:val="auto"/>
        </w:rPr>
      </w:pPr>
    </w:p>
    <w:p>
      <w:pPr>
        <w:sectPr>
          <w:pgSz w:w="11900" w:h="16838" w:orient="portrait"/>
          <w:cols w:equalWidth="0" w:num="2">
            <w:col w:w="2820" w:space="720"/>
            <w:col w:w="7880"/>
          </w:cols>
          <w:pgMar w:left="240" w:top="692" w:right="2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Use of Proceeds:</w:t>
      </w:r>
    </w:p>
    <w:p>
      <w:pPr>
        <w:spacing w:after="0" w:line="20" w:lineRule="exact"/>
        <w:rPr>
          <w:sz w:val="24"/>
          <w:szCs w:val="24"/>
          <w:color w:val="auto"/>
        </w:rPr>
      </w:pPr>
      <w:r>
        <w:rPr>
          <w:sz w:val="24"/>
          <w:szCs w:val="24"/>
          <w:color w:val="auto"/>
        </w:rPr>
        <w:br w:type="column"/>
      </w:r>
    </w:p>
    <w:p>
      <w:pPr>
        <w:ind w:right="20"/>
        <w:spacing w:after="0" w:line="290" w:lineRule="auto"/>
        <w:rPr>
          <w:sz w:val="20"/>
          <w:szCs w:val="20"/>
          <w:color w:val="auto"/>
        </w:rPr>
      </w:pPr>
      <w:r>
        <w:rPr>
          <w:rFonts w:ascii="Arial" w:cs="Arial" w:eastAsia="Arial" w:hAnsi="Arial"/>
          <w:sz w:val="16"/>
          <w:szCs w:val="16"/>
          <w:color w:val="auto"/>
        </w:rPr>
        <w:t>The Company intends to use a portion of the net proceeds from this offering for the redemption on November 15, 2012 of the Universal City Development Partners, Ltd. and UCDP Finance, Inc. (together, “</w:t>
      </w:r>
      <w:r>
        <w:rPr>
          <w:rFonts w:ascii="Arial" w:cs="Arial" w:eastAsia="Arial" w:hAnsi="Arial"/>
          <w:sz w:val="16"/>
          <w:szCs w:val="16"/>
          <w:b w:val="1"/>
          <w:bCs w:val="1"/>
          <w:color w:val="auto"/>
        </w:rPr>
        <w:t>Universal</w:t>
      </w:r>
      <w:r>
        <w:rPr>
          <w:rFonts w:ascii="Arial" w:cs="Arial" w:eastAsia="Arial" w:hAnsi="Arial"/>
          <w:sz w:val="16"/>
          <w:szCs w:val="16"/>
          <w:color w:val="auto"/>
        </w:rPr>
        <w:t xml:space="preserve"> </w:t>
      </w:r>
      <w:r>
        <w:rPr>
          <w:rFonts w:ascii="Arial" w:cs="Arial" w:eastAsia="Arial" w:hAnsi="Arial"/>
          <w:sz w:val="16"/>
          <w:szCs w:val="16"/>
          <w:b w:val="1"/>
          <w:bCs w:val="1"/>
          <w:color w:val="auto"/>
        </w:rPr>
        <w:t>Orlando</w:t>
      </w:r>
      <w:r>
        <w:rPr>
          <w:rFonts w:ascii="Arial" w:cs="Arial" w:eastAsia="Arial" w:hAnsi="Arial"/>
          <w:sz w:val="16"/>
          <w:szCs w:val="16"/>
          <w:color w:val="auto"/>
        </w:rPr>
        <w:t>”) 8.875% senior notes due November 2015 ($260 million principal amount outstanding) and 10.875%</w:t>
      </w:r>
      <w:r>
        <w:rPr>
          <w:rFonts w:ascii="Arial" w:cs="Arial" w:eastAsia="Arial" w:hAnsi="Arial"/>
          <w:sz w:val="16"/>
          <w:szCs w:val="16"/>
          <w:b w:val="1"/>
          <w:bCs w:val="1"/>
          <w:color w:val="auto"/>
        </w:rPr>
        <w:t xml:space="preserve"> </w:t>
      </w:r>
      <w:r>
        <w:rPr>
          <w:rFonts w:ascii="Arial" w:cs="Arial" w:eastAsia="Arial" w:hAnsi="Arial"/>
          <w:sz w:val="16"/>
          <w:szCs w:val="16"/>
          <w:color w:val="auto"/>
        </w:rPr>
        <w:t>senior subordinated notes due November 2016 ($146.25 million principal amount outstanding). The Company intends to use the proceeds in excess of the amount used to redeem the Universal Orlando notes for working capital and general corporate purposes, which may include funding a portion of the anticipated future redemptions of GE’s interest in NBCUniversal, LLC.</w:t>
      </w:r>
    </w:p>
    <w:p>
      <w:pPr>
        <w:spacing w:after="0" w:line="58" w:lineRule="exact"/>
        <w:rPr>
          <w:sz w:val="24"/>
          <w:szCs w:val="24"/>
          <w:color w:val="auto"/>
        </w:rPr>
      </w:pPr>
    </w:p>
    <w:p>
      <w:pPr>
        <w:sectPr>
          <w:pgSz w:w="11900" w:h="16838" w:orient="portrait"/>
          <w:cols w:equalWidth="0" w:num="2">
            <w:col w:w="2820" w:space="720"/>
            <w:col w:w="7880"/>
          </w:cols>
          <w:pgMar w:left="240" w:top="692"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Indenture:</w:t>
      </w:r>
    </w:p>
    <w:p>
      <w:pPr>
        <w:spacing w:after="0" w:line="20" w:lineRule="exact"/>
        <w:rPr>
          <w:sz w:val="24"/>
          <w:szCs w:val="24"/>
          <w:color w:val="auto"/>
        </w:rPr>
      </w:pPr>
      <w:r>
        <w:rPr>
          <w:sz w:val="24"/>
          <w:szCs w:val="24"/>
          <w:color w:val="auto"/>
        </w:rPr>
        <w:br w:type="column"/>
      </w:r>
    </w:p>
    <w:p>
      <w:pPr>
        <w:ind w:right="120"/>
        <w:spacing w:after="0" w:line="268" w:lineRule="auto"/>
        <w:rPr>
          <w:sz w:val="20"/>
          <w:szCs w:val="20"/>
          <w:color w:val="auto"/>
        </w:rPr>
      </w:pPr>
      <w:r>
        <w:rPr>
          <w:rFonts w:ascii="Arial" w:cs="Arial" w:eastAsia="Arial" w:hAnsi="Arial"/>
          <w:sz w:val="18"/>
          <w:szCs w:val="18"/>
          <w:color w:val="auto"/>
        </w:rPr>
        <w:t>Indenture dated as of April 30, 2010 between the Company and The Bank of New York Mellon, as trustee (the “</w:t>
      </w:r>
      <w:r>
        <w:rPr>
          <w:rFonts w:ascii="Arial" w:cs="Arial" w:eastAsia="Arial" w:hAnsi="Arial"/>
          <w:sz w:val="18"/>
          <w:szCs w:val="18"/>
          <w:b w:val="1"/>
          <w:bCs w:val="1"/>
          <w:color w:val="auto"/>
        </w:rPr>
        <w:t>Trustee</w:t>
      </w:r>
      <w:r>
        <w:rPr>
          <w:rFonts w:ascii="Arial" w:cs="Arial" w:eastAsia="Arial" w:hAnsi="Arial"/>
          <w:sz w:val="18"/>
          <w:szCs w:val="18"/>
          <w:color w:val="auto"/>
        </w:rPr>
        <w:t>”)</w:t>
      </w:r>
    </w:p>
    <w:p>
      <w:pPr>
        <w:spacing w:after="0" w:line="72" w:lineRule="exact"/>
        <w:rPr>
          <w:sz w:val="24"/>
          <w:szCs w:val="24"/>
          <w:color w:val="auto"/>
        </w:rPr>
      </w:pPr>
    </w:p>
    <w:p>
      <w:pPr>
        <w:sectPr>
          <w:pgSz w:w="11900" w:h="16838" w:orient="portrait"/>
          <w:cols w:equalWidth="0" w:num="2">
            <w:col w:w="2820" w:space="720"/>
            <w:col w:w="7880"/>
          </w:cols>
          <w:pgMar w:left="240" w:top="692" w:right="2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Trustee: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The Bank of New York Mellon</w:t>
      </w:r>
    </w:p>
    <w:p>
      <w:pPr>
        <w:spacing w:after="0" w:line="134" w:lineRule="exact"/>
        <w:rPr>
          <w:sz w:val="24"/>
          <w:szCs w:val="24"/>
          <w:color w:val="auto"/>
        </w:rPr>
      </w:pPr>
    </w:p>
    <w:p>
      <w:pPr>
        <w:sectPr>
          <w:pgSz w:w="11900" w:h="16838" w:orient="portrait"/>
          <w:cols w:equalWidth="0" w:num="2">
            <w:col w:w="2820" w:space="720"/>
            <w:col w:w="7880"/>
          </w:cols>
          <w:pgMar w:left="240" w:top="692" w:right="2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 xml:space="preserve">Expected Ratings: </w:t>
      </w:r>
      <w:r>
        <w:rPr>
          <w:rFonts w:ascii="Arial" w:cs="Arial" w:eastAsia="Arial" w:hAnsi="Arial"/>
          <w:sz w:val="10"/>
          <w:szCs w:val="10"/>
          <w:b w:val="1"/>
          <w:bCs w:val="1"/>
          <w:color w:val="auto"/>
        </w:rPr>
        <w:t>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Moody’s: Baa2; S&amp;P: BBB+; Fitch: BBB</w:t>
      </w:r>
    </w:p>
    <w:p>
      <w:pPr>
        <w:spacing w:after="0" w:line="134" w:lineRule="exact"/>
        <w:rPr>
          <w:sz w:val="24"/>
          <w:szCs w:val="24"/>
          <w:color w:val="auto"/>
        </w:rPr>
      </w:pPr>
    </w:p>
    <w:p>
      <w:pPr>
        <w:sectPr>
          <w:pgSz w:w="11900" w:h="16838" w:orient="portrait"/>
          <w:cols w:equalWidth="0" w:num="2">
            <w:col w:w="2820" w:space="720"/>
            <w:col w:w="7880"/>
          </w:cols>
          <w:pgMar w:left="240" w:top="692"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Joint Book-Running Managers: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518160</wp:posOffset>
            </wp:positionV>
            <wp:extent cx="7289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Credit Suisse Securities (USA) LLC</w:t>
      </w:r>
    </w:p>
    <w:p>
      <w:pPr>
        <w:spacing w:after="0" w:line="38" w:lineRule="exact"/>
        <w:rPr>
          <w:sz w:val="24"/>
          <w:szCs w:val="24"/>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RBC Capital Markets, LLC</w:t>
      </w:r>
    </w:p>
    <w:p>
      <w:pPr>
        <w:spacing w:after="0" w:line="157" w:lineRule="exact"/>
        <w:rPr>
          <w:sz w:val="24"/>
          <w:szCs w:val="24"/>
          <w:color w:val="auto"/>
        </w:rPr>
      </w:pPr>
    </w:p>
    <w:p>
      <w:pPr>
        <w:sectPr>
          <w:pgSz w:w="11900" w:h="16838" w:orient="portrait"/>
          <w:cols w:equalWidth="0" w:num="2">
            <w:col w:w="2820" w:space="720"/>
            <w:col w:w="7880"/>
          </w:cols>
          <w:pgMar w:left="240" w:top="692" w:right="239" w:bottom="1440" w:gutter="0" w:footer="0" w:header="0"/>
          <w:type w:val="continuous"/>
        </w:sectPr>
      </w:pPr>
    </w:p>
    <w:p>
      <w:pPr>
        <w:ind w:left="220" w:hanging="212"/>
        <w:spacing w:after="0"/>
        <w:tabs>
          <w:tab w:leader="none" w:pos="220" w:val="left"/>
        </w:tabs>
        <w:numPr>
          <w:ilvl w:val="0"/>
          <w:numId w:val="1"/>
        </w:numPr>
        <w:rPr>
          <w:rFonts w:ascii="Arial" w:cs="Arial" w:eastAsia="Arial" w:hAnsi="Arial"/>
          <w:sz w:val="20"/>
          <w:szCs w:val="20"/>
          <w:color w:val="auto"/>
          <w:vertAlign w:val="superscript"/>
        </w:rPr>
      </w:pPr>
      <w:r>
        <w:rPr>
          <w:rFonts w:ascii="Arial" w:cs="Arial" w:eastAsia="Arial" w:hAnsi="Arial"/>
          <w:sz w:val="16"/>
          <w:szCs w:val="16"/>
          <w:color w:val="auto"/>
        </w:rPr>
        <w:t>A securities rating is not a recommendation to buy, sell or hold securities and may be subject to revision or withdrawal at any time.</w:t>
      </w:r>
    </w:p>
    <w:p>
      <w:pPr>
        <w:sectPr>
          <w:pgSz w:w="11900" w:h="16838" w:orient="portrait"/>
          <w:cols w:equalWidth="0" w:num="1">
            <w:col w:w="11420"/>
          </w:cols>
          <w:pgMar w:left="240" w:top="692"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2"/>
        </w:trPr>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Co-Managers:</w:t>
            </w:r>
          </w:p>
        </w:tc>
        <w:tc>
          <w:tcPr>
            <w:tcW w:w="8460" w:type="dxa"/>
            <w:vAlign w:val="bottom"/>
          </w:tcPr>
          <w:p>
            <w:pPr>
              <w:ind w:left="600"/>
              <w:spacing w:after="0"/>
              <w:rPr>
                <w:sz w:val="20"/>
                <w:szCs w:val="20"/>
                <w:color w:val="auto"/>
              </w:rPr>
            </w:pPr>
            <w:r>
              <w:rPr>
                <w:rFonts w:ascii="Arial" w:cs="Arial" w:eastAsia="Arial" w:hAnsi="Arial"/>
                <w:sz w:val="18"/>
                <w:szCs w:val="18"/>
                <w:color w:val="auto"/>
              </w:rPr>
              <w:t>Barclays Capital Inc.</w:t>
            </w:r>
          </w:p>
        </w:tc>
      </w:tr>
      <w:tr>
        <w:trPr>
          <w:trHeight w:val="216"/>
        </w:trPr>
        <w:tc>
          <w:tcPr>
            <w:tcW w:w="2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60" w:type="dxa"/>
            <w:vAlign w:val="bottom"/>
          </w:tcPr>
          <w:p>
            <w:pPr>
              <w:ind w:left="600"/>
              <w:spacing w:after="0"/>
              <w:rPr>
                <w:sz w:val="20"/>
                <w:szCs w:val="20"/>
                <w:color w:val="auto"/>
              </w:rPr>
            </w:pPr>
            <w:r>
              <w:rPr>
                <w:rFonts w:ascii="Arial" w:cs="Arial" w:eastAsia="Arial" w:hAnsi="Arial"/>
                <w:sz w:val="18"/>
                <w:szCs w:val="18"/>
                <w:color w:val="auto"/>
              </w:rPr>
              <w:t>BNP Paribas Securities Corp.</w:t>
            </w:r>
          </w:p>
        </w:tc>
      </w:tr>
      <w:tr>
        <w:trPr>
          <w:trHeight w:val="216"/>
        </w:trPr>
        <w:tc>
          <w:tcPr>
            <w:tcW w:w="2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60" w:type="dxa"/>
            <w:vAlign w:val="bottom"/>
          </w:tcPr>
          <w:p>
            <w:pPr>
              <w:ind w:left="600"/>
              <w:spacing w:after="0"/>
              <w:rPr>
                <w:sz w:val="20"/>
                <w:szCs w:val="20"/>
                <w:color w:val="auto"/>
              </w:rPr>
            </w:pPr>
            <w:r>
              <w:rPr>
                <w:rFonts w:ascii="Arial" w:cs="Arial" w:eastAsia="Arial" w:hAnsi="Arial"/>
                <w:sz w:val="18"/>
                <w:szCs w:val="18"/>
                <w:color w:val="auto"/>
              </w:rPr>
              <w:t>Citigroup Global Markets Inc.</w:t>
            </w:r>
          </w:p>
        </w:tc>
      </w:tr>
      <w:tr>
        <w:trPr>
          <w:trHeight w:val="216"/>
        </w:trPr>
        <w:tc>
          <w:tcPr>
            <w:tcW w:w="2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60" w:type="dxa"/>
            <w:vAlign w:val="bottom"/>
          </w:tcPr>
          <w:p>
            <w:pPr>
              <w:ind w:left="600"/>
              <w:spacing w:after="0"/>
              <w:rPr>
                <w:sz w:val="20"/>
                <w:szCs w:val="20"/>
                <w:color w:val="auto"/>
              </w:rPr>
            </w:pPr>
            <w:r>
              <w:rPr>
                <w:rFonts w:ascii="Arial" w:cs="Arial" w:eastAsia="Arial" w:hAnsi="Arial"/>
                <w:sz w:val="18"/>
                <w:szCs w:val="18"/>
                <w:color w:val="auto"/>
              </w:rPr>
              <w:t>Deutsche Bank Securities Inc.</w:t>
            </w:r>
          </w:p>
        </w:tc>
      </w:tr>
      <w:tr>
        <w:trPr>
          <w:trHeight w:val="216"/>
        </w:trPr>
        <w:tc>
          <w:tcPr>
            <w:tcW w:w="2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60" w:type="dxa"/>
            <w:vAlign w:val="bottom"/>
          </w:tcPr>
          <w:p>
            <w:pPr>
              <w:ind w:left="600"/>
              <w:spacing w:after="0"/>
              <w:rPr>
                <w:sz w:val="20"/>
                <w:szCs w:val="20"/>
                <w:color w:val="auto"/>
              </w:rPr>
            </w:pPr>
            <w:r>
              <w:rPr>
                <w:rFonts w:ascii="Arial" w:cs="Arial" w:eastAsia="Arial" w:hAnsi="Arial"/>
                <w:sz w:val="18"/>
                <w:szCs w:val="18"/>
                <w:color w:val="auto"/>
              </w:rPr>
              <w:t>Goldman, Sachs &amp; Co.</w:t>
            </w:r>
          </w:p>
        </w:tc>
      </w:tr>
      <w:tr>
        <w:trPr>
          <w:trHeight w:val="216"/>
        </w:trPr>
        <w:tc>
          <w:tcPr>
            <w:tcW w:w="2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60" w:type="dxa"/>
            <w:vAlign w:val="bottom"/>
          </w:tcPr>
          <w:p>
            <w:pPr>
              <w:ind w:left="600"/>
              <w:spacing w:after="0"/>
              <w:rPr>
                <w:sz w:val="20"/>
                <w:szCs w:val="20"/>
                <w:color w:val="auto"/>
              </w:rPr>
            </w:pPr>
            <w:r>
              <w:rPr>
                <w:rFonts w:ascii="Arial" w:cs="Arial" w:eastAsia="Arial" w:hAnsi="Arial"/>
                <w:sz w:val="18"/>
                <w:szCs w:val="18"/>
                <w:color w:val="auto"/>
              </w:rPr>
              <w:t>Lloyds Securities Inc.</w:t>
            </w:r>
          </w:p>
        </w:tc>
      </w:tr>
      <w:tr>
        <w:trPr>
          <w:trHeight w:val="216"/>
        </w:trPr>
        <w:tc>
          <w:tcPr>
            <w:tcW w:w="2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60" w:type="dxa"/>
            <w:vAlign w:val="bottom"/>
          </w:tcPr>
          <w:p>
            <w:pPr>
              <w:ind w:left="600"/>
              <w:spacing w:after="0"/>
              <w:rPr>
                <w:sz w:val="20"/>
                <w:szCs w:val="20"/>
                <w:color w:val="auto"/>
              </w:rPr>
            </w:pPr>
            <w:r>
              <w:rPr>
                <w:rFonts w:ascii="Arial" w:cs="Arial" w:eastAsia="Arial" w:hAnsi="Arial"/>
                <w:sz w:val="18"/>
                <w:szCs w:val="18"/>
                <w:color w:val="auto"/>
              </w:rPr>
              <w:t>Merrill Lynch, Pierce, Fenner &amp; Smith</w:t>
            </w:r>
          </w:p>
        </w:tc>
      </w:tr>
      <w:tr>
        <w:trPr>
          <w:trHeight w:val="216"/>
        </w:trPr>
        <w:tc>
          <w:tcPr>
            <w:tcW w:w="2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60" w:type="dxa"/>
            <w:vAlign w:val="bottom"/>
          </w:tcPr>
          <w:p>
            <w:pPr>
              <w:ind w:left="1520"/>
              <w:spacing w:after="0"/>
              <w:rPr>
                <w:sz w:val="20"/>
                <w:szCs w:val="20"/>
                <w:color w:val="auto"/>
              </w:rPr>
            </w:pPr>
            <w:r>
              <w:rPr>
                <w:rFonts w:ascii="Arial" w:cs="Arial" w:eastAsia="Arial" w:hAnsi="Arial"/>
                <w:sz w:val="18"/>
                <w:szCs w:val="18"/>
                <w:color w:val="auto"/>
              </w:rPr>
              <w:t>Incorporated</w:t>
            </w:r>
          </w:p>
        </w:tc>
      </w:tr>
      <w:tr>
        <w:trPr>
          <w:trHeight w:val="216"/>
        </w:trPr>
        <w:tc>
          <w:tcPr>
            <w:tcW w:w="2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60" w:type="dxa"/>
            <w:vAlign w:val="bottom"/>
          </w:tcPr>
          <w:p>
            <w:pPr>
              <w:ind w:left="600"/>
              <w:spacing w:after="0"/>
              <w:rPr>
                <w:sz w:val="20"/>
                <w:szCs w:val="20"/>
                <w:color w:val="auto"/>
              </w:rPr>
            </w:pPr>
            <w:r>
              <w:rPr>
                <w:rFonts w:ascii="Arial" w:cs="Arial" w:eastAsia="Arial" w:hAnsi="Arial"/>
                <w:sz w:val="18"/>
                <w:szCs w:val="18"/>
                <w:color w:val="auto"/>
              </w:rPr>
              <w:t>Mizuho Securities USA Inc.</w:t>
            </w:r>
          </w:p>
        </w:tc>
      </w:tr>
      <w:tr>
        <w:trPr>
          <w:trHeight w:val="216"/>
        </w:trPr>
        <w:tc>
          <w:tcPr>
            <w:tcW w:w="2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60" w:type="dxa"/>
            <w:vAlign w:val="bottom"/>
          </w:tcPr>
          <w:p>
            <w:pPr>
              <w:ind w:left="600"/>
              <w:spacing w:after="0"/>
              <w:rPr>
                <w:sz w:val="20"/>
                <w:szCs w:val="20"/>
                <w:color w:val="auto"/>
              </w:rPr>
            </w:pPr>
            <w:r>
              <w:rPr>
                <w:rFonts w:ascii="Arial" w:cs="Arial" w:eastAsia="Arial" w:hAnsi="Arial"/>
                <w:sz w:val="18"/>
                <w:szCs w:val="18"/>
                <w:color w:val="auto"/>
              </w:rPr>
              <w:t>RBS Securities Inc.</w:t>
            </w:r>
          </w:p>
        </w:tc>
      </w:tr>
      <w:tr>
        <w:trPr>
          <w:trHeight w:val="216"/>
        </w:trPr>
        <w:tc>
          <w:tcPr>
            <w:tcW w:w="2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60" w:type="dxa"/>
            <w:vAlign w:val="bottom"/>
          </w:tcPr>
          <w:p>
            <w:pPr>
              <w:ind w:left="600"/>
              <w:spacing w:after="0"/>
              <w:rPr>
                <w:sz w:val="20"/>
                <w:szCs w:val="20"/>
                <w:color w:val="auto"/>
              </w:rPr>
            </w:pPr>
            <w:r>
              <w:rPr>
                <w:rFonts w:ascii="Arial" w:cs="Arial" w:eastAsia="Arial" w:hAnsi="Arial"/>
                <w:sz w:val="18"/>
                <w:szCs w:val="18"/>
                <w:color w:val="auto"/>
              </w:rPr>
              <w:t>SMBC Nikko Capital Markets Limited</w:t>
            </w:r>
          </w:p>
        </w:tc>
      </w:tr>
      <w:tr>
        <w:trPr>
          <w:trHeight w:val="216"/>
        </w:trPr>
        <w:tc>
          <w:tcPr>
            <w:tcW w:w="2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60" w:type="dxa"/>
            <w:vAlign w:val="bottom"/>
          </w:tcPr>
          <w:p>
            <w:pPr>
              <w:ind w:left="600"/>
              <w:spacing w:after="0"/>
              <w:rPr>
                <w:sz w:val="20"/>
                <w:szCs w:val="20"/>
                <w:color w:val="auto"/>
              </w:rPr>
            </w:pPr>
            <w:r>
              <w:rPr>
                <w:rFonts w:ascii="Arial" w:cs="Arial" w:eastAsia="Arial" w:hAnsi="Arial"/>
                <w:sz w:val="18"/>
                <w:szCs w:val="18"/>
                <w:color w:val="auto"/>
              </w:rPr>
              <w:t>UBS Securities LLC</w:t>
            </w:r>
          </w:p>
        </w:tc>
      </w:tr>
      <w:tr>
        <w:trPr>
          <w:trHeight w:val="216"/>
        </w:trPr>
        <w:tc>
          <w:tcPr>
            <w:tcW w:w="2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60" w:type="dxa"/>
            <w:vAlign w:val="bottom"/>
          </w:tcPr>
          <w:p>
            <w:pPr>
              <w:ind w:left="600"/>
              <w:spacing w:after="0"/>
              <w:rPr>
                <w:sz w:val="20"/>
                <w:szCs w:val="20"/>
                <w:color w:val="auto"/>
              </w:rPr>
            </w:pPr>
            <w:r>
              <w:rPr>
                <w:rFonts w:ascii="Arial" w:cs="Arial" w:eastAsia="Arial" w:hAnsi="Arial"/>
                <w:sz w:val="18"/>
                <w:szCs w:val="18"/>
                <w:color w:val="auto"/>
              </w:rPr>
              <w:t>Wells Fargo Securities, LLC</w:t>
            </w:r>
          </w:p>
        </w:tc>
      </w:tr>
      <w:tr>
        <w:trPr>
          <w:trHeight w:val="216"/>
        </w:trPr>
        <w:tc>
          <w:tcPr>
            <w:tcW w:w="2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60" w:type="dxa"/>
            <w:vAlign w:val="bottom"/>
          </w:tcPr>
          <w:p>
            <w:pPr>
              <w:ind w:left="600"/>
              <w:spacing w:after="0"/>
              <w:rPr>
                <w:sz w:val="20"/>
                <w:szCs w:val="20"/>
                <w:color w:val="auto"/>
              </w:rPr>
            </w:pPr>
            <w:r>
              <w:rPr>
                <w:rFonts w:ascii="Arial" w:cs="Arial" w:eastAsia="Arial" w:hAnsi="Arial"/>
                <w:sz w:val="18"/>
                <w:szCs w:val="18"/>
                <w:color w:val="auto"/>
              </w:rPr>
              <w:t>Santander Investment Securities Inc.</w:t>
            </w:r>
          </w:p>
        </w:tc>
      </w:tr>
      <w:tr>
        <w:trPr>
          <w:trHeight w:val="216"/>
        </w:trPr>
        <w:tc>
          <w:tcPr>
            <w:tcW w:w="2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60" w:type="dxa"/>
            <w:vAlign w:val="bottom"/>
          </w:tcPr>
          <w:p>
            <w:pPr>
              <w:ind w:left="600"/>
              <w:spacing w:after="0"/>
              <w:rPr>
                <w:sz w:val="20"/>
                <w:szCs w:val="20"/>
                <w:color w:val="auto"/>
              </w:rPr>
            </w:pPr>
            <w:r>
              <w:rPr>
                <w:rFonts w:ascii="Arial" w:cs="Arial" w:eastAsia="Arial" w:hAnsi="Arial"/>
                <w:sz w:val="18"/>
                <w:szCs w:val="18"/>
                <w:color w:val="auto"/>
              </w:rPr>
              <w:t>U.S. Bancorp Investments, Inc.</w:t>
            </w:r>
          </w:p>
        </w:tc>
      </w:tr>
      <w:tr>
        <w:trPr>
          <w:trHeight w:val="216"/>
        </w:trPr>
        <w:tc>
          <w:tcPr>
            <w:tcW w:w="2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60" w:type="dxa"/>
            <w:vAlign w:val="bottom"/>
          </w:tcPr>
          <w:p>
            <w:pPr>
              <w:ind w:left="600"/>
              <w:spacing w:after="0"/>
              <w:rPr>
                <w:sz w:val="20"/>
                <w:szCs w:val="20"/>
                <w:color w:val="auto"/>
              </w:rPr>
            </w:pPr>
            <w:r>
              <w:rPr>
                <w:rFonts w:ascii="Arial" w:cs="Arial" w:eastAsia="Arial" w:hAnsi="Arial"/>
                <w:sz w:val="18"/>
                <w:szCs w:val="18"/>
                <w:color w:val="auto"/>
              </w:rPr>
              <w:t>Allen &amp; Company LLC</w:t>
            </w:r>
          </w:p>
        </w:tc>
      </w:tr>
      <w:tr>
        <w:trPr>
          <w:trHeight w:val="216"/>
        </w:trPr>
        <w:tc>
          <w:tcPr>
            <w:tcW w:w="2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60" w:type="dxa"/>
            <w:vAlign w:val="bottom"/>
          </w:tcPr>
          <w:p>
            <w:pPr>
              <w:ind w:left="600"/>
              <w:spacing w:after="0"/>
              <w:rPr>
                <w:sz w:val="20"/>
                <w:szCs w:val="20"/>
                <w:color w:val="auto"/>
              </w:rPr>
            </w:pPr>
            <w:r>
              <w:rPr>
                <w:rFonts w:ascii="Arial" w:cs="Arial" w:eastAsia="Arial" w:hAnsi="Arial"/>
                <w:sz w:val="18"/>
                <w:szCs w:val="18"/>
                <w:color w:val="auto"/>
              </w:rPr>
              <w:t>Gleacher &amp; Company Securities, Inc.</w:t>
            </w:r>
          </w:p>
        </w:tc>
      </w:tr>
      <w:tr>
        <w:trPr>
          <w:trHeight w:val="216"/>
        </w:trPr>
        <w:tc>
          <w:tcPr>
            <w:tcW w:w="2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60" w:type="dxa"/>
            <w:vAlign w:val="bottom"/>
          </w:tcPr>
          <w:p>
            <w:pPr>
              <w:ind w:left="600"/>
              <w:spacing w:after="0"/>
              <w:rPr>
                <w:sz w:val="20"/>
                <w:szCs w:val="20"/>
                <w:color w:val="auto"/>
              </w:rPr>
            </w:pPr>
            <w:r>
              <w:rPr>
                <w:rFonts w:ascii="Arial" w:cs="Arial" w:eastAsia="Arial" w:hAnsi="Arial"/>
                <w:sz w:val="18"/>
                <w:szCs w:val="18"/>
                <w:color w:val="auto"/>
              </w:rPr>
              <w:t>DnB NOR Markets, Inc.</w:t>
            </w:r>
          </w:p>
        </w:tc>
      </w:tr>
      <w:tr>
        <w:trPr>
          <w:trHeight w:val="216"/>
        </w:trPr>
        <w:tc>
          <w:tcPr>
            <w:tcW w:w="2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60" w:type="dxa"/>
            <w:vAlign w:val="bottom"/>
          </w:tcPr>
          <w:p>
            <w:pPr>
              <w:ind w:left="600"/>
              <w:spacing w:after="0"/>
              <w:rPr>
                <w:sz w:val="20"/>
                <w:szCs w:val="20"/>
                <w:color w:val="auto"/>
              </w:rPr>
            </w:pPr>
            <w:r>
              <w:rPr>
                <w:rFonts w:ascii="Arial" w:cs="Arial" w:eastAsia="Arial" w:hAnsi="Arial"/>
                <w:sz w:val="18"/>
                <w:szCs w:val="18"/>
                <w:color w:val="auto"/>
              </w:rPr>
              <w:t>PNC Capital Markets LLC</w:t>
            </w:r>
          </w:p>
        </w:tc>
      </w:tr>
      <w:tr>
        <w:trPr>
          <w:trHeight w:val="216"/>
        </w:trPr>
        <w:tc>
          <w:tcPr>
            <w:tcW w:w="2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60" w:type="dxa"/>
            <w:vAlign w:val="bottom"/>
          </w:tcPr>
          <w:p>
            <w:pPr>
              <w:ind w:left="600"/>
              <w:spacing w:after="0"/>
              <w:rPr>
                <w:sz w:val="20"/>
                <w:szCs w:val="20"/>
                <w:color w:val="auto"/>
              </w:rPr>
            </w:pPr>
            <w:r>
              <w:rPr>
                <w:rFonts w:ascii="Arial" w:cs="Arial" w:eastAsia="Arial" w:hAnsi="Arial"/>
                <w:sz w:val="18"/>
                <w:szCs w:val="18"/>
                <w:color w:val="auto"/>
              </w:rPr>
              <w:t>SunTrust Robinson Humphrey, Inc.</w:t>
            </w:r>
          </w:p>
        </w:tc>
      </w:tr>
      <w:tr>
        <w:trPr>
          <w:trHeight w:val="222"/>
        </w:trPr>
        <w:tc>
          <w:tcPr>
            <w:tcW w:w="2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60" w:type="dxa"/>
            <w:vAlign w:val="bottom"/>
          </w:tcPr>
          <w:p>
            <w:pPr>
              <w:ind w:left="600"/>
              <w:spacing w:after="0"/>
              <w:rPr>
                <w:sz w:val="20"/>
                <w:szCs w:val="20"/>
                <w:color w:val="auto"/>
              </w:rPr>
            </w:pPr>
            <w:r>
              <w:rPr>
                <w:rFonts w:ascii="Arial" w:cs="Arial" w:eastAsia="Arial" w:hAnsi="Arial"/>
                <w:sz w:val="18"/>
                <w:szCs w:val="18"/>
                <w:color w:val="auto"/>
              </w:rPr>
              <w:t>TD Securities (USA) LLC</w:t>
            </w:r>
          </w:p>
        </w:tc>
      </w:tr>
      <w:tr>
        <w:trPr>
          <w:trHeight w:val="331"/>
        </w:trPr>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Junior Co-Managers:</w:t>
            </w:r>
          </w:p>
        </w:tc>
        <w:tc>
          <w:tcPr>
            <w:tcW w:w="8460" w:type="dxa"/>
            <w:vAlign w:val="bottom"/>
          </w:tcPr>
          <w:p>
            <w:pPr>
              <w:ind w:left="600"/>
              <w:spacing w:after="0"/>
              <w:rPr>
                <w:sz w:val="20"/>
                <w:szCs w:val="20"/>
                <w:color w:val="auto"/>
              </w:rPr>
            </w:pPr>
            <w:r>
              <w:rPr>
                <w:rFonts w:ascii="Arial" w:cs="Arial" w:eastAsia="Arial" w:hAnsi="Arial"/>
                <w:sz w:val="18"/>
                <w:szCs w:val="18"/>
                <w:color w:val="auto"/>
              </w:rPr>
              <w:t>Loop Capital Markets LLC</w:t>
            </w:r>
          </w:p>
        </w:tc>
      </w:tr>
      <w:tr>
        <w:trPr>
          <w:trHeight w:val="216"/>
        </w:trPr>
        <w:tc>
          <w:tcPr>
            <w:tcW w:w="2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60" w:type="dxa"/>
            <w:vAlign w:val="bottom"/>
          </w:tcPr>
          <w:p>
            <w:pPr>
              <w:ind w:left="600"/>
              <w:spacing w:after="0"/>
              <w:rPr>
                <w:sz w:val="20"/>
                <w:szCs w:val="20"/>
                <w:color w:val="auto"/>
              </w:rPr>
            </w:pPr>
            <w:r>
              <w:rPr>
                <w:rFonts w:ascii="Arial" w:cs="Arial" w:eastAsia="Arial" w:hAnsi="Arial"/>
                <w:sz w:val="18"/>
                <w:szCs w:val="18"/>
                <w:color w:val="auto"/>
              </w:rPr>
              <w:t>The Williams Capital Group, L.P.</w:t>
            </w:r>
          </w:p>
        </w:tc>
      </w:tr>
      <w:tr>
        <w:trPr>
          <w:trHeight w:val="216"/>
        </w:trPr>
        <w:tc>
          <w:tcPr>
            <w:tcW w:w="2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60" w:type="dxa"/>
            <w:vAlign w:val="bottom"/>
          </w:tcPr>
          <w:p>
            <w:pPr>
              <w:ind w:left="600"/>
              <w:spacing w:after="0"/>
              <w:rPr>
                <w:sz w:val="20"/>
                <w:szCs w:val="20"/>
                <w:color w:val="auto"/>
              </w:rPr>
            </w:pPr>
            <w:r>
              <w:rPr>
                <w:rFonts w:ascii="Arial" w:cs="Arial" w:eastAsia="Arial" w:hAnsi="Arial"/>
                <w:sz w:val="18"/>
                <w:szCs w:val="18"/>
                <w:color w:val="auto"/>
              </w:rPr>
              <w:t>Drexel Hamilton, LLC</w:t>
            </w:r>
          </w:p>
        </w:tc>
      </w:tr>
      <w:tr>
        <w:trPr>
          <w:trHeight w:val="216"/>
        </w:trPr>
        <w:tc>
          <w:tcPr>
            <w:tcW w:w="2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60" w:type="dxa"/>
            <w:vAlign w:val="bottom"/>
          </w:tcPr>
          <w:p>
            <w:pPr>
              <w:ind w:left="600"/>
              <w:spacing w:after="0"/>
              <w:rPr>
                <w:sz w:val="20"/>
                <w:szCs w:val="20"/>
                <w:color w:val="auto"/>
              </w:rPr>
            </w:pPr>
            <w:r>
              <w:rPr>
                <w:rFonts w:ascii="Arial" w:cs="Arial" w:eastAsia="Arial" w:hAnsi="Arial"/>
                <w:sz w:val="18"/>
                <w:szCs w:val="18"/>
                <w:color w:val="auto"/>
              </w:rPr>
              <w:t>Lebenthal &amp; Co., LLC</w:t>
            </w:r>
          </w:p>
        </w:tc>
      </w:tr>
      <w:tr>
        <w:trPr>
          <w:trHeight w:val="216"/>
        </w:trPr>
        <w:tc>
          <w:tcPr>
            <w:tcW w:w="2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60" w:type="dxa"/>
            <w:vAlign w:val="bottom"/>
          </w:tcPr>
          <w:p>
            <w:pPr>
              <w:ind w:left="600"/>
              <w:spacing w:after="0"/>
              <w:rPr>
                <w:sz w:val="20"/>
                <w:szCs w:val="20"/>
                <w:color w:val="auto"/>
              </w:rPr>
            </w:pPr>
            <w:r>
              <w:rPr>
                <w:rFonts w:ascii="Arial" w:cs="Arial" w:eastAsia="Arial" w:hAnsi="Arial"/>
                <w:sz w:val="18"/>
                <w:szCs w:val="18"/>
                <w:color w:val="auto"/>
              </w:rPr>
              <w:t>MFR Securities, Inc.</w:t>
            </w:r>
          </w:p>
        </w:tc>
      </w:tr>
      <w:tr>
        <w:trPr>
          <w:trHeight w:val="222"/>
        </w:trPr>
        <w:tc>
          <w:tcPr>
            <w:tcW w:w="2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60" w:type="dxa"/>
            <w:vAlign w:val="bottom"/>
          </w:tcPr>
          <w:p>
            <w:pPr>
              <w:ind w:left="600"/>
              <w:spacing w:after="0"/>
              <w:rPr>
                <w:sz w:val="20"/>
                <w:szCs w:val="20"/>
                <w:color w:val="auto"/>
              </w:rPr>
            </w:pPr>
            <w:r>
              <w:rPr>
                <w:rFonts w:ascii="Arial" w:cs="Arial" w:eastAsia="Arial" w:hAnsi="Arial"/>
                <w:sz w:val="18"/>
                <w:szCs w:val="18"/>
                <w:color w:val="auto"/>
              </w:rPr>
              <w:t>Samuel A. Ramirez &amp; Co., Inc.</w:t>
            </w:r>
          </w:p>
        </w:tc>
      </w:tr>
      <w:tr>
        <w:trPr>
          <w:trHeight w:val="338"/>
        </w:trPr>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Trade Date:</w:t>
            </w:r>
          </w:p>
        </w:tc>
        <w:tc>
          <w:tcPr>
            <w:tcW w:w="8460" w:type="dxa"/>
            <w:vAlign w:val="bottom"/>
          </w:tcPr>
          <w:p>
            <w:pPr>
              <w:ind w:left="600"/>
              <w:spacing w:after="0"/>
              <w:rPr>
                <w:sz w:val="20"/>
                <w:szCs w:val="20"/>
                <w:color w:val="auto"/>
              </w:rPr>
            </w:pPr>
            <w:r>
              <w:rPr>
                <w:rFonts w:ascii="Arial" w:cs="Arial" w:eastAsia="Arial" w:hAnsi="Arial"/>
                <w:sz w:val="18"/>
                <w:szCs w:val="18"/>
                <w:color w:val="auto"/>
              </w:rPr>
              <w:t>September 28, 2012</w:t>
            </w:r>
          </w:p>
        </w:tc>
      </w:tr>
      <w:tr>
        <w:trPr>
          <w:trHeight w:val="324"/>
        </w:trPr>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Settlement Date:</w:t>
            </w:r>
          </w:p>
        </w:tc>
        <w:tc>
          <w:tcPr>
            <w:tcW w:w="8460" w:type="dxa"/>
            <w:vAlign w:val="bottom"/>
          </w:tcPr>
          <w:p>
            <w:pPr>
              <w:ind w:left="600"/>
              <w:spacing w:after="0"/>
              <w:rPr>
                <w:sz w:val="20"/>
                <w:szCs w:val="20"/>
                <w:color w:val="auto"/>
              </w:rPr>
            </w:pPr>
            <w:r>
              <w:rPr>
                <w:rFonts w:ascii="Arial" w:cs="Arial" w:eastAsia="Arial" w:hAnsi="Arial"/>
                <w:sz w:val="18"/>
                <w:szCs w:val="18"/>
                <w:color w:val="auto"/>
              </w:rPr>
              <w:t>October 5, 2012 (T+5)</w:t>
            </w:r>
          </w:p>
        </w:tc>
      </w:tr>
      <w:tr>
        <w:trPr>
          <w:trHeight w:val="318"/>
        </w:trPr>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Recent Developments:</w:t>
            </w:r>
          </w:p>
        </w:tc>
        <w:tc>
          <w:tcPr>
            <w:tcW w:w="8460" w:type="dxa"/>
            <w:vAlign w:val="bottom"/>
          </w:tcPr>
          <w:p>
            <w:pPr>
              <w:ind w:left="600"/>
              <w:spacing w:after="0"/>
              <w:rPr>
                <w:sz w:val="20"/>
                <w:szCs w:val="20"/>
                <w:color w:val="auto"/>
              </w:rPr>
            </w:pPr>
            <w:r>
              <w:rPr>
                <w:rFonts w:ascii="Arial" w:cs="Arial" w:eastAsia="Arial" w:hAnsi="Arial"/>
                <w:sz w:val="18"/>
                <w:szCs w:val="18"/>
                <w:color w:val="auto"/>
                <w:w w:val="89"/>
              </w:rPr>
              <w:t>On August 22, 2012, A&amp;E Television Networks, LLC completed its redemption of the Company’s entire 15.8%</w:t>
            </w:r>
          </w:p>
        </w:tc>
      </w:tr>
      <w:tr>
        <w:trPr>
          <w:trHeight w:val="222"/>
        </w:trPr>
        <w:tc>
          <w:tcPr>
            <w:tcW w:w="2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60" w:type="dxa"/>
            <w:vAlign w:val="bottom"/>
          </w:tcPr>
          <w:p>
            <w:pPr>
              <w:ind w:left="600"/>
              <w:spacing w:after="0"/>
              <w:rPr>
                <w:sz w:val="20"/>
                <w:szCs w:val="20"/>
                <w:color w:val="auto"/>
              </w:rPr>
            </w:pPr>
            <w:r>
              <w:rPr>
                <w:rFonts w:ascii="Arial" w:cs="Arial" w:eastAsia="Arial" w:hAnsi="Arial"/>
                <w:sz w:val="18"/>
                <w:szCs w:val="18"/>
                <w:color w:val="auto"/>
              </w:rPr>
              <w:t>equity interest for $3.025 billion in cash</w:t>
            </w:r>
          </w:p>
        </w:tc>
      </w:tr>
      <w:tr>
        <w:trPr>
          <w:trHeight w:val="421"/>
        </w:trPr>
        <w:tc>
          <w:tcPr>
            <w:tcW w:w="2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2.</w:t>
            </w:r>
            <w:r>
              <w:rPr>
                <w:rFonts w:ascii="Arial" w:cs="Arial" w:eastAsia="Arial" w:hAnsi="Arial"/>
                <w:sz w:val="18"/>
                <w:szCs w:val="18"/>
                <w:b w:val="1"/>
                <w:bCs w:val="1"/>
                <w:u w:val="single" w:color="auto"/>
                <w:color w:val="auto"/>
                <w:w w:val="88"/>
              </w:rPr>
              <w:t>875%</w:t>
            </w:r>
            <w:r>
              <w:rPr>
                <w:rFonts w:ascii="Arial" w:cs="Arial" w:eastAsia="Arial" w:hAnsi="Arial"/>
                <w:sz w:val="18"/>
                <w:szCs w:val="18"/>
                <w:b w:val="1"/>
                <w:bCs w:val="1"/>
                <w:color w:val="auto"/>
                <w:w w:val="88"/>
              </w:rPr>
              <w:t xml:space="preserve"> Senior Notes Due 2023</w:t>
            </w:r>
          </w:p>
        </w:tc>
        <w:tc>
          <w:tcPr>
            <w:tcW w:w="620" w:type="dxa"/>
            <w:vAlign w:val="bottom"/>
          </w:tcPr>
          <w:p>
            <w:pPr>
              <w:spacing w:after="0"/>
              <w:rPr>
                <w:sz w:val="24"/>
                <w:szCs w:val="24"/>
                <w:color w:val="auto"/>
              </w:rPr>
            </w:pPr>
          </w:p>
        </w:tc>
        <w:tc>
          <w:tcPr>
            <w:tcW w:w="8460" w:type="dxa"/>
            <w:vAlign w:val="bottom"/>
          </w:tcPr>
          <w:p>
            <w:pPr>
              <w:spacing w:after="0"/>
              <w:rPr>
                <w:sz w:val="24"/>
                <w:szCs w:val="24"/>
                <w:color w:val="auto"/>
              </w:rPr>
            </w:pPr>
          </w:p>
        </w:tc>
      </w:tr>
      <w:tr>
        <w:trPr>
          <w:trHeight w:val="437"/>
        </w:trPr>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Aggregate Principal Amount:</w:t>
            </w:r>
          </w:p>
        </w:tc>
        <w:tc>
          <w:tcPr>
            <w:tcW w:w="8460" w:type="dxa"/>
            <w:vAlign w:val="bottom"/>
          </w:tcPr>
          <w:p>
            <w:pPr>
              <w:ind w:left="600"/>
              <w:spacing w:after="0"/>
              <w:rPr>
                <w:sz w:val="20"/>
                <w:szCs w:val="20"/>
                <w:color w:val="auto"/>
              </w:rPr>
            </w:pPr>
            <w:r>
              <w:rPr>
                <w:rFonts w:ascii="Arial" w:cs="Arial" w:eastAsia="Arial" w:hAnsi="Arial"/>
                <w:sz w:val="18"/>
                <w:szCs w:val="18"/>
                <w:color w:val="auto"/>
              </w:rPr>
              <w:t>$1,000,000,000</w:t>
            </w:r>
          </w:p>
        </w:tc>
      </w:tr>
      <w:tr>
        <w:trPr>
          <w:trHeight w:val="324"/>
        </w:trPr>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Maturity:</w:t>
            </w:r>
          </w:p>
        </w:tc>
        <w:tc>
          <w:tcPr>
            <w:tcW w:w="8460" w:type="dxa"/>
            <w:vAlign w:val="bottom"/>
          </w:tcPr>
          <w:p>
            <w:pPr>
              <w:ind w:left="600"/>
              <w:spacing w:after="0"/>
              <w:rPr>
                <w:sz w:val="20"/>
                <w:szCs w:val="20"/>
                <w:color w:val="auto"/>
              </w:rPr>
            </w:pPr>
            <w:r>
              <w:rPr>
                <w:rFonts w:ascii="Arial" w:cs="Arial" w:eastAsia="Arial" w:hAnsi="Arial"/>
                <w:sz w:val="18"/>
                <w:szCs w:val="18"/>
                <w:color w:val="auto"/>
              </w:rPr>
              <w:t>January 15, 2023</w:t>
            </w:r>
          </w:p>
        </w:tc>
      </w:tr>
      <w:tr>
        <w:trPr>
          <w:trHeight w:val="318"/>
        </w:trPr>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Interest Rate:</w:t>
            </w:r>
          </w:p>
        </w:tc>
        <w:tc>
          <w:tcPr>
            <w:tcW w:w="8460" w:type="dxa"/>
            <w:vAlign w:val="bottom"/>
          </w:tcPr>
          <w:p>
            <w:pPr>
              <w:ind w:left="600"/>
              <w:spacing w:after="0"/>
              <w:rPr>
                <w:sz w:val="20"/>
                <w:szCs w:val="20"/>
                <w:color w:val="auto"/>
              </w:rPr>
            </w:pPr>
            <w:r>
              <w:rPr>
                <w:rFonts w:ascii="Arial" w:cs="Arial" w:eastAsia="Arial" w:hAnsi="Arial"/>
                <w:sz w:val="18"/>
                <w:szCs w:val="18"/>
                <w:color w:val="auto"/>
                <w:w w:val="92"/>
              </w:rPr>
              <w:t>2.875% per annum, accruing from October 5, 2012 (calculated on the basis of a 360-day year consisting of</w:t>
            </w:r>
          </w:p>
        </w:tc>
      </w:tr>
      <w:tr>
        <w:trPr>
          <w:trHeight w:val="222"/>
        </w:trPr>
        <w:tc>
          <w:tcPr>
            <w:tcW w:w="2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60" w:type="dxa"/>
            <w:vAlign w:val="bottom"/>
          </w:tcPr>
          <w:p>
            <w:pPr>
              <w:ind w:left="600"/>
              <w:spacing w:after="0"/>
              <w:rPr>
                <w:sz w:val="20"/>
                <w:szCs w:val="20"/>
                <w:color w:val="auto"/>
              </w:rPr>
            </w:pPr>
            <w:r>
              <w:rPr>
                <w:rFonts w:ascii="Arial" w:cs="Arial" w:eastAsia="Arial" w:hAnsi="Arial"/>
                <w:sz w:val="18"/>
                <w:szCs w:val="18"/>
                <w:color w:val="auto"/>
              </w:rPr>
              <w:t>twelve 30-day months)</w:t>
            </w:r>
          </w:p>
        </w:tc>
      </w:tr>
      <w:tr>
        <w:trPr>
          <w:trHeight w:val="324"/>
        </w:trPr>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Interest Payment Dates:</w:t>
            </w:r>
          </w:p>
        </w:tc>
        <w:tc>
          <w:tcPr>
            <w:tcW w:w="8460" w:type="dxa"/>
            <w:vAlign w:val="bottom"/>
          </w:tcPr>
          <w:p>
            <w:pPr>
              <w:ind w:left="600"/>
              <w:spacing w:after="0"/>
              <w:rPr>
                <w:sz w:val="20"/>
                <w:szCs w:val="20"/>
                <w:color w:val="auto"/>
              </w:rPr>
            </w:pPr>
            <w:r>
              <w:rPr>
                <w:rFonts w:ascii="Arial" w:cs="Arial" w:eastAsia="Arial" w:hAnsi="Arial"/>
                <w:sz w:val="18"/>
                <w:szCs w:val="18"/>
                <w:color w:val="auto"/>
              </w:rPr>
              <w:t>January 15 and July 15, commencing January 15, 2013</w:t>
            </w:r>
          </w:p>
        </w:tc>
      </w:tr>
      <w:tr>
        <w:trPr>
          <w:trHeight w:val="365"/>
        </w:trPr>
        <w:tc>
          <w:tcPr>
            <w:tcW w:w="2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60" w:type="dxa"/>
            <w:vAlign w:val="bottom"/>
          </w:tcPr>
          <w:p>
            <w:pPr>
              <w:ind w:left="2740"/>
              <w:spacing w:after="0"/>
              <w:rPr>
                <w:sz w:val="20"/>
                <w:szCs w:val="20"/>
                <w:color w:val="auto"/>
              </w:rPr>
            </w:pPr>
            <w:r>
              <w:rPr>
                <w:rFonts w:ascii="Arial" w:cs="Arial" w:eastAsia="Arial" w:hAnsi="Arial"/>
                <w:sz w:val="18"/>
                <w:szCs w:val="18"/>
                <w:color w:val="auto"/>
              </w:rPr>
              <w:t>2</w:t>
            </w:r>
          </w:p>
        </w:tc>
      </w:tr>
    </w:tbl>
    <w:p>
      <w:pPr>
        <w:ind w:left="2740"/>
        <w:spacing w:after="0"/>
        <w:rPr>
          <w:sz w:val="20"/>
          <w:szCs w:val="20"/>
          <w:color w:val="auto"/>
        </w:rPr>
        <w:sectPr>
          <w:pgSz w:w="11900" w:h="16838" w:orient="portrait"/>
          <w:cols w:equalWidth="0" w:num="1">
            <w:col w:w="11400"/>
          </w:cols>
          <w:pgMar w:left="240" w:top="382" w:right="25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 w:name="page3"/>
    <w:bookmarkEnd w:id="2"/>
    <w:p>
      <w:pPr>
        <w:spacing w:after="0"/>
        <w:rPr>
          <w:sz w:val="20"/>
          <w:szCs w:val="20"/>
          <w:color w:val="auto"/>
        </w:rPr>
      </w:pPr>
      <w:r>
        <w:rPr>
          <w:rFonts w:ascii="Arial" w:cs="Arial" w:eastAsia="Arial" w:hAnsi="Arial"/>
          <w:sz w:val="18"/>
          <w:szCs w:val="18"/>
          <w:b w:val="1"/>
          <w:bCs w:val="1"/>
          <w:color w:val="auto"/>
        </w:rPr>
        <w:t>Pricing Benchmark: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UST Spot (Yield):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Spread to Benchmark: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Yield to Maturity: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Makewhole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Issuances: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CUSIP/ISIN Number: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Offering Price: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Spread:</w:t>
      </w:r>
    </w:p>
    <w:p>
      <w:pPr>
        <w:spacing w:after="0" w:line="117" w:lineRule="exact"/>
        <w:rPr>
          <w:sz w:val="20"/>
          <w:szCs w:val="20"/>
          <w:color w:val="auto"/>
        </w:rPr>
      </w:pPr>
    </w:p>
    <w:p>
      <w:pPr>
        <w:ind w:left="220" w:right="40" w:hanging="215"/>
        <w:spacing w:after="0" w:line="275" w:lineRule="auto"/>
        <w:rPr>
          <w:sz w:val="20"/>
          <w:szCs w:val="20"/>
          <w:color w:val="auto"/>
        </w:rPr>
      </w:pPr>
      <w:r>
        <w:rPr>
          <w:rFonts w:ascii="Arial" w:cs="Arial" w:eastAsia="Arial" w:hAnsi="Arial"/>
          <w:sz w:val="18"/>
          <w:szCs w:val="18"/>
          <w:b w:val="1"/>
          <w:bCs w:val="1"/>
          <w:color w:val="auto"/>
        </w:rPr>
        <w:t>Net proceeds to the Company, before expenses: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4.450% Senior Notes Due 2043</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Principal Amount: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UST 1.625% due August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-288290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99-26 (1.646%)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+125 bps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2.896%</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2.875% Senior Notes due 2023 are redeemable at the option of the Company at any time, in whole or in part, at a redemption price equal to the greater of (i) 100% of the principal amount of such notes and (ii) the sum of the present values of the remaining scheduled payments of principal and interest thereon (not including any portion of such payments of interest accrued as of the redemption date), discounted to the redemption date on a semi-annual basis (assuming a 360-day year consisting of twelve 30-day months) at the Treasury Rate plus 20 basis points, plus, in each case, accrued interest thereon to the redemption date</w:t>
      </w:r>
    </w:p>
    <w:p>
      <w:pPr>
        <w:spacing w:after="0" w:line="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 unlimited amount of additional 2.875% Senior Notes due 2023 may be issued. The 2.875% Senior Notes due 2023 and any additional 2.875% Senior Notes due 2023 that may be issued may be treated as a single series for all purposes under the indenture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63946B AH3/US63946BAH33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99.817% plus accrued interest, if any, from October 5, 2012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0.450%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$993.67 per $1,000 principal amount of Senior Notes due 2023; $993,670,000 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$1,000,000,000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January 15, 2043</w:t>
      </w:r>
    </w:p>
    <w:p>
      <w:pPr>
        <w:spacing w:after="0" w:line="11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4.450% per annum, accruing from October 5, 2012 (calculated on the basis of a 360-day year consisting of twelve 30-day months)</w:t>
      </w:r>
    </w:p>
    <w:p>
      <w:pPr>
        <w:spacing w:after="0" w:line="118"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3</w:t>
      </w:r>
    </w:p>
    <w:p>
      <w:pPr>
        <w:sectPr>
          <w:pgSz w:w="11900" w:h="16838" w:orient="portrait"/>
          <w:cols w:equalWidth="0" w:num="2">
            <w:col w:w="2820" w:space="720"/>
            <w:col w:w="7880"/>
          </w:cols>
          <w:pgMar w:left="240" w:top="382" w:right="239" w:bottom="1440" w:gutter="0" w:footer="0" w:header="0"/>
        </w:sectPr>
      </w:pPr>
    </w:p>
    <w:bookmarkStart w:id="3" w:name="page4"/>
    <w:bookmarkEnd w:id="3"/>
    <w:p>
      <w:pPr>
        <w:spacing w:after="0"/>
        <w:rPr>
          <w:sz w:val="20"/>
          <w:szCs w:val="20"/>
          <w:color w:val="auto"/>
        </w:rPr>
      </w:pPr>
      <w:r>
        <w:rPr>
          <w:rFonts w:ascii="Arial" w:cs="Arial" w:eastAsia="Arial" w:hAnsi="Arial"/>
          <w:sz w:val="15"/>
          <w:szCs w:val="15"/>
          <w:b w:val="1"/>
          <w:bCs w:val="1"/>
          <w:color w:val="auto"/>
        </w:rPr>
        <w:t>Interest Payment Dates: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January 15 and July 15, commencing January 15,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-266700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46" w:lineRule="exact"/>
        <w:rPr>
          <w:sz w:val="20"/>
          <w:szCs w:val="20"/>
          <w:color w:val="auto"/>
        </w:rPr>
      </w:pPr>
    </w:p>
    <w:p>
      <w:pPr>
        <w:sectPr>
          <w:pgSz w:w="11900" w:h="16838" w:orient="portrait"/>
          <w:cols w:equalWidth="0" w:num="2">
            <w:col w:w="2820" w:space="720"/>
            <w:col w:w="7880"/>
          </w:cols>
          <w:pgMar w:left="240" w:top="382" w:right="239" w:bottom="1440" w:gutter="0" w:footer="0" w:header="0"/>
        </w:sectPr>
      </w:pPr>
    </w:p>
    <w:p>
      <w:pPr>
        <w:spacing w:after="0"/>
        <w:rPr>
          <w:sz w:val="20"/>
          <w:szCs w:val="20"/>
          <w:color w:val="auto"/>
        </w:rPr>
      </w:pPr>
      <w:r>
        <w:rPr>
          <w:rFonts w:ascii="Arial" w:cs="Arial" w:eastAsia="Arial" w:hAnsi="Arial"/>
          <w:sz w:val="16"/>
          <w:szCs w:val="16"/>
          <w:b w:val="1"/>
          <w:bCs w:val="1"/>
          <w:color w:val="auto"/>
        </w:rPr>
        <w:t>Pricing Benchmark: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UST 3.000% due May 15, 2042</w:t>
      </w:r>
    </w:p>
    <w:p>
      <w:pPr>
        <w:spacing w:after="0" w:line="134" w:lineRule="exact"/>
        <w:rPr>
          <w:sz w:val="20"/>
          <w:szCs w:val="20"/>
          <w:color w:val="auto"/>
        </w:rPr>
      </w:pPr>
    </w:p>
    <w:p>
      <w:pPr>
        <w:sectPr>
          <w:pgSz w:w="11900" w:h="16838" w:orient="portrait"/>
          <w:cols w:equalWidth="0" w:num="2">
            <w:col w:w="2820" w:space="720"/>
            <w:col w:w="7880"/>
          </w:cols>
          <w:pgMar w:left="240" w:top="382"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UST Spot (Yield):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103-18+ (2.821%)</w:t>
      </w:r>
    </w:p>
    <w:p>
      <w:pPr>
        <w:spacing w:after="0" w:line="134" w:lineRule="exact"/>
        <w:rPr>
          <w:sz w:val="20"/>
          <w:szCs w:val="20"/>
          <w:color w:val="auto"/>
        </w:rPr>
      </w:pPr>
    </w:p>
    <w:p>
      <w:pPr>
        <w:sectPr>
          <w:pgSz w:w="11900" w:h="16838" w:orient="portrait"/>
          <w:cols w:equalWidth="0" w:num="2">
            <w:col w:w="2820" w:space="720"/>
            <w:col w:w="7880"/>
          </w:cols>
          <w:pgMar w:left="240" w:top="382"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Spread to Benchmark: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+165 bps</w:t>
      </w:r>
    </w:p>
    <w:p>
      <w:pPr>
        <w:spacing w:after="0" w:line="145" w:lineRule="exact"/>
        <w:rPr>
          <w:sz w:val="20"/>
          <w:szCs w:val="20"/>
          <w:color w:val="auto"/>
        </w:rPr>
      </w:pPr>
    </w:p>
    <w:p>
      <w:pPr>
        <w:sectPr>
          <w:pgSz w:w="11900" w:h="16838" w:orient="portrait"/>
          <w:cols w:equalWidth="0" w:num="2">
            <w:col w:w="2820" w:space="720"/>
            <w:col w:w="7880"/>
          </w:cols>
          <w:pgMar w:left="240" w:top="382"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Yield to Maturity: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4.471%</w:t>
      </w:r>
    </w:p>
    <w:p>
      <w:pPr>
        <w:spacing w:after="0" w:line="145" w:lineRule="exact"/>
        <w:rPr>
          <w:sz w:val="20"/>
          <w:szCs w:val="20"/>
          <w:color w:val="auto"/>
        </w:rPr>
      </w:pPr>
    </w:p>
    <w:p>
      <w:pPr>
        <w:sectPr>
          <w:pgSz w:w="11900" w:h="16838" w:orient="portrait"/>
          <w:cols w:equalWidth="0" w:num="2">
            <w:col w:w="2820" w:space="720"/>
            <w:col w:w="7880"/>
          </w:cols>
          <w:pgMar w:left="240" w:top="382"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Makewhole Redemption:</w:t>
      </w:r>
    </w:p>
    <w:p>
      <w:pPr>
        <w:spacing w:after="0" w:line="20" w:lineRule="exact"/>
        <w:rPr>
          <w:sz w:val="20"/>
          <w:szCs w:val="20"/>
          <w:color w:val="auto"/>
        </w:rPr>
      </w:pPr>
      <w:r>
        <w:rPr>
          <w:sz w:val="20"/>
          <w:szCs w:val="20"/>
          <w:color w:val="auto"/>
        </w:rPr>
        <w:br w:type="column"/>
      </w:r>
    </w:p>
    <w:p>
      <w:pPr>
        <w:ind w:right="20"/>
        <w:spacing w:after="0" w:line="291" w:lineRule="auto"/>
        <w:rPr>
          <w:sz w:val="20"/>
          <w:szCs w:val="20"/>
          <w:color w:val="auto"/>
        </w:rPr>
      </w:pPr>
      <w:r>
        <w:rPr>
          <w:rFonts w:ascii="Arial" w:cs="Arial" w:eastAsia="Arial" w:hAnsi="Arial"/>
          <w:sz w:val="16"/>
          <w:szCs w:val="16"/>
          <w:color w:val="auto"/>
        </w:rPr>
        <w:t>The 4.450% Senior Notes due 2043 are redeemable at the option of the Company at any time, in whole or in part, at a redemption price equal to the greater of (i) 100% of the principal amount of such notes and (ii) the sum of the present values of the remaining scheduled payments of principal and interest thereon (not including any portion of such payments of interest accrued as of the redemption date), discounted to the redemption date on a semi-annual basis (assuming a 360-day year consisting of twelve 30-day months) at the Treasury Rate plus 25 basis points, plus, in each case, accrued interest thereon to the redemption date</w:t>
      </w:r>
    </w:p>
    <w:p>
      <w:pPr>
        <w:spacing w:after="0" w:line="60" w:lineRule="exact"/>
        <w:rPr>
          <w:sz w:val="20"/>
          <w:szCs w:val="20"/>
          <w:color w:val="auto"/>
        </w:rPr>
      </w:pPr>
    </w:p>
    <w:p>
      <w:pPr>
        <w:sectPr>
          <w:pgSz w:w="11900" w:h="16838" w:orient="portrait"/>
          <w:cols w:equalWidth="0" w:num="2">
            <w:col w:w="2820" w:space="720"/>
            <w:col w:w="7880"/>
          </w:cols>
          <w:pgMar w:left="240" w:top="382" w:right="2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Additional Issuances:</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Arial" w:cs="Arial" w:eastAsia="Arial" w:hAnsi="Arial"/>
          <w:sz w:val="18"/>
          <w:szCs w:val="18"/>
          <w:color w:val="auto"/>
        </w:rPr>
        <w:t>An unlimited amount of additional 4.450% Senior Notes due 2043 may be issued. The 4.450% Senior Notes due 2043 and any additional 4.450% Senior Notes due 2043 that may be issued may be treated as a single series for all purposes under the indenture</w:t>
      </w:r>
    </w:p>
    <w:p>
      <w:pPr>
        <w:spacing w:after="0" w:line="80" w:lineRule="exact"/>
        <w:rPr>
          <w:sz w:val="20"/>
          <w:szCs w:val="20"/>
          <w:color w:val="auto"/>
        </w:rPr>
      </w:pPr>
    </w:p>
    <w:p>
      <w:pPr>
        <w:sectPr>
          <w:pgSz w:w="11900" w:h="16838" w:orient="portrait"/>
          <w:cols w:equalWidth="0" w:num="2">
            <w:col w:w="2820" w:space="720"/>
            <w:col w:w="7880"/>
          </w:cols>
          <w:pgMar w:left="240" w:top="382"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CUSIP/ISIN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63946B AJ9/ US63946BAJ98</w:t>
      </w:r>
    </w:p>
    <w:p>
      <w:pPr>
        <w:spacing w:after="0" w:line="134" w:lineRule="exact"/>
        <w:rPr>
          <w:sz w:val="20"/>
          <w:szCs w:val="20"/>
          <w:color w:val="auto"/>
        </w:rPr>
      </w:pPr>
    </w:p>
    <w:p>
      <w:pPr>
        <w:sectPr>
          <w:pgSz w:w="11900" w:h="16838" w:orient="portrait"/>
          <w:cols w:equalWidth="0" w:num="2">
            <w:col w:w="2820" w:space="720"/>
            <w:col w:w="7880"/>
          </w:cols>
          <w:pgMar w:left="240" w:top="382"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Public Offering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99.659% plus accrued interest, if any, from October 5, 2012</w:t>
      </w:r>
    </w:p>
    <w:p>
      <w:pPr>
        <w:spacing w:after="0" w:line="145" w:lineRule="exact"/>
        <w:rPr>
          <w:sz w:val="20"/>
          <w:szCs w:val="20"/>
          <w:color w:val="auto"/>
        </w:rPr>
      </w:pPr>
    </w:p>
    <w:p>
      <w:pPr>
        <w:sectPr>
          <w:pgSz w:w="11900" w:h="16838" w:orient="portrait"/>
          <w:cols w:equalWidth="0" w:num="2">
            <w:col w:w="2820" w:space="720"/>
            <w:col w:w="7880"/>
          </w:cols>
          <w:pgMar w:left="240" w:top="382" w:right="2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Gross Spread: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0.875%</w:t>
      </w:r>
    </w:p>
    <w:p>
      <w:pPr>
        <w:spacing w:after="0" w:line="146" w:lineRule="exact"/>
        <w:rPr>
          <w:sz w:val="20"/>
          <w:szCs w:val="20"/>
          <w:color w:val="auto"/>
        </w:rPr>
      </w:pPr>
    </w:p>
    <w:p>
      <w:pPr>
        <w:sectPr>
          <w:pgSz w:w="11900" w:h="16838" w:orient="portrait"/>
          <w:cols w:equalWidth="0" w:num="2">
            <w:col w:w="2820" w:space="720"/>
            <w:col w:w="7880"/>
          </w:cols>
          <w:pgMar w:left="240" w:top="382" w:right="2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Net proceeds to the Company, before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$987.84 per $1,000 principal amount of Senior Notes due 2043; $987,840,000 total</w:t>
      </w:r>
    </w:p>
    <w:p>
      <w:pPr>
        <w:spacing w:after="0" w:line="50" w:lineRule="exact"/>
        <w:rPr>
          <w:sz w:val="20"/>
          <w:szCs w:val="20"/>
          <w:color w:val="auto"/>
        </w:rPr>
      </w:pPr>
    </w:p>
    <w:p>
      <w:pPr>
        <w:sectPr>
          <w:pgSz w:w="11900" w:h="16838" w:orient="portrait"/>
          <w:cols w:equalWidth="0" w:num="2">
            <w:col w:w="2820" w:space="720"/>
            <w:col w:w="7880"/>
          </w:cols>
          <w:pgMar w:left="240" w:top="382" w:right="239" w:bottom="1440" w:gutter="0" w:footer="0" w:header="0"/>
          <w:type w:val="continuous"/>
        </w:sectPr>
      </w:pPr>
    </w:p>
    <w:p>
      <w:pPr>
        <w:ind w:left="220"/>
        <w:spacing w:after="0"/>
        <w:rPr>
          <w:sz w:val="20"/>
          <w:szCs w:val="20"/>
          <w:color w:val="auto"/>
        </w:rPr>
      </w:pPr>
      <w:r>
        <w:rPr>
          <w:rFonts w:ascii="Arial" w:cs="Arial" w:eastAsia="Arial" w:hAnsi="Arial"/>
          <w:sz w:val="14"/>
          <w:szCs w:val="14"/>
          <w:b w:val="1"/>
          <w:bCs w:val="1"/>
          <w:color w:val="auto"/>
        </w:rPr>
        <w:t>expenses:</w:t>
      </w:r>
    </w:p>
    <w:p>
      <w:pPr>
        <w:sectPr>
          <w:pgSz w:w="11900" w:h="16838" w:orient="portrait"/>
          <w:cols w:equalWidth="0" w:num="1">
            <w:col w:w="11420"/>
          </w:cols>
          <w:pgMar w:left="240" w:top="382" w:right="239" w:bottom="1440" w:gutter="0" w:footer="0" w:header="0"/>
          <w:type w:val="continuous"/>
        </w:sectPr>
      </w:pPr>
    </w:p>
    <w:p>
      <w:pPr>
        <w:spacing w:after="0" w:line="211"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We have filed a registration statement (including a prospectus) with the SEC for the offering to which this communication relates. Before you invest, you should read the prospectus in that registration statement and other documents we have filed with the SEC for more complete information about us and this offering.</w:t>
      </w:r>
    </w:p>
    <w:p>
      <w:pPr>
        <w:spacing w:after="0" w:line="85"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free writing prospectus.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82" w:right="2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addition, information we file with the SEC in the future will automatically update and supersede information contained in this free writing prospectus.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This free writing prospectus incorporates by reference the documents set forth below that we have previously filed with the SEC:</w:t>
      </w:r>
    </w:p>
    <w:p>
      <w:pPr>
        <w:spacing w:after="0" w:line="90" w:lineRule="exact"/>
        <w:rPr>
          <w:sz w:val="20"/>
          <w:szCs w:val="20"/>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Annual Report on Form 10-K for the year ended December 31, 2011, filed on February 23, 2012.</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Quarterly Reports on Form 10-Q for the three months ended March 31, 2012 and the six months ended June 30, 2012;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Current Report on Form 8-K filed with the SEC on July 10, 2012.</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also incorporate by reference into this free writing prospectus additional documents that we may file with the SEC under Sections 13(a), 13(c), 14 or 15(d) of the Securities Exchange Act of 1934, as amended (the “Exchange Act”), until we sell all of the securities we are offering. Any statement contained in a previously filed document incorporated by reference into this free writing prospectus is deemed to be modified or superseded for purposes of this free writing prospectus to the extent that a statement contained in this free writing prospectus, or in a subsequently filed document also incorporated by reference herein, modifies or supersedes that statement. We will provide free copies of any of those documents, if you write or telephone us at: 30 Rockefeller Plaza, New York, NY, 10112-0015, (212) 664-4444.</w:t>
      </w:r>
    </w:p>
    <w:p>
      <w:pPr>
        <w:spacing w:after="0" w:line="144"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 xml:space="preserve">You may get the documents mentioned above for free by visiting EDGAR on the SEC Web site at </w:t>
      </w:r>
      <w:r>
        <w:rPr>
          <w:rFonts w:ascii="Arial" w:cs="Arial" w:eastAsia="Arial" w:hAnsi="Arial"/>
          <w:sz w:val="16"/>
          <w:szCs w:val="16"/>
          <w:u w:val="single" w:color="auto"/>
          <w:color w:val="auto"/>
        </w:rPr>
        <w:t>www.sec.gov</w:t>
      </w:r>
      <w:r>
        <w:rPr>
          <w:rFonts w:ascii="Arial" w:cs="Arial" w:eastAsia="Arial" w:hAnsi="Arial"/>
          <w:sz w:val="16"/>
          <w:szCs w:val="16"/>
          <w:color w:val="auto"/>
        </w:rPr>
        <w:t>. Alternatively, the issuer, any underwriter or any dealer participating in the offering will arrange to send you any such document if you request it by calling Credit Suisse Securities (USA) LLC at (800) 221-1037, J.P. Morgan Securities LLC collect at (212) 834-4533, Morgan Stanley &amp; Co. LLC at (866) 718-1649, or RBC Capital Markets, LLC at (866) 375-6829.</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sectPr>
      <w:pgSz w:w="11900" w:h="16838" w:orient="portrait"/>
      <w:cols w:equalWidth="0" w:num="1">
        <w:col w:w="11400"/>
      </w:cols>
      <w:pgMar w:left="240" w:top="28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2019-12-11T02:52:41Z</dcterms:created>
  <dcterms:modified xsi:type="dcterms:W3CDTF">2019-12-11T02:52:41Z</dcterms:modified>
</cp:coreProperties>
</file>