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1217930" cy="3346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17930" cy="334645"/>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December 16, 2010</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Larry Spirgel</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400"/>
          </w:cols>
          <w:pgMar w:left="240" w:top="1440" w:right="259" w:bottom="1440" w:gutter="0" w:footer="0" w:header="0"/>
        </w:sect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10-K for the year ended December 31, 2009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February 23, 2010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No. 001-32871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Response to Staff Comment Letter Dated November 23, 2010</w:t>
      </w:r>
    </w:p>
    <w:p>
      <w:pPr>
        <w:spacing w:after="0" w:line="200" w:lineRule="exact"/>
        <w:rPr>
          <w:sz w:val="24"/>
          <w:szCs w:val="24"/>
          <w:color w:val="auto"/>
        </w:rPr>
      </w:pPr>
    </w:p>
    <w:p>
      <w:pPr>
        <w:sectPr>
          <w:pgSz w:w="11900" w:h="16838" w:orient="portrait"/>
          <w:cols w:equalWidth="0" w:num="2">
            <w:col w:w="260" w:space="560"/>
            <w:col w:w="10580"/>
          </w:cols>
          <w:pgMar w:left="240" w:top="1440" w:right="259" w:bottom="1440" w:gutter="0" w:footer="0" w:header="0"/>
          <w:type w:val="continuous"/>
        </w:sectPr>
      </w:pP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Spirgel:</w:t>
      </w:r>
    </w:p>
    <w:p>
      <w:pPr>
        <w:spacing w:after="0" w:line="252" w:lineRule="exact"/>
        <w:rPr>
          <w:sz w:val="24"/>
          <w:szCs w:val="24"/>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We are writing this letter to respond to the comment letter of the Staff (the “Staff”) of the Securities and Exchange Commission dated November 23, 2010. For your convenience, we have reproduced the Staff’s comment preceding our response below. Please let us know if you have any questions or if we can provide additional information or otherwise be of assistance in expediting the review process.</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10-K for the year ended December 31, 2009</w:t>
      </w:r>
    </w:p>
    <w:p>
      <w:pPr>
        <w:spacing w:after="0" w:line="250" w:lineRule="exact"/>
        <w:rPr>
          <w:sz w:val="24"/>
          <w:szCs w:val="24"/>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Please tell us if you performed any quantitative analysis to support your assessment that the application of a higher adjusted discount rate to the cash flows of the cable franchise rights properly reflects the value of goodwill.</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w:t>
      </w:r>
    </w:p>
    <w:p>
      <w:pPr>
        <w:spacing w:after="0" w:line="252" w:lineRule="exact"/>
        <w:rPr>
          <w:sz w:val="24"/>
          <w:szCs w:val="24"/>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As discussed on page 9 of the “white paper” submitted to Mr. Kyle Moffatt by letter dated October 7, 2010, under the multi-period excess earnings method (“MPEEM”), going concern can be determined either by using a discrete calculation of going concern value or by adjusting discount rates to incorporate a risk assessment of an asset’s future economic benefit.</w:t>
      </w:r>
    </w:p>
    <w:p>
      <w:pPr>
        <w:spacing w:after="0" w:line="203" w:lineRule="exact"/>
        <w:rPr>
          <w:sz w:val="24"/>
          <w:szCs w:val="24"/>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While we are aware that certain cable operators may be using a risk adjusted discount rate approach, we do not. Comcast determines going concern by discrete calculation of the going concern value. To estimate the value of going concern, Comcast uses the assumptions about start-up costs, lost cash flows during the build out period and time to market embedded in the start-up period of the Greenfield method. Comcast’s method quantitatively compares the discounted cash flows of an assembled start-up business and a start-up business where the operating assets need to be placed in service. Upon the determination of the going concern value, the valuation of the franchise marketing rights incorporates a contributory asset charge for such going concern value in the application of the MPEEM.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type w:val="continuous"/>
        </w:sectPr>
      </w:pPr>
    </w:p>
    <w:bookmarkStart w:id="1" w:name="page2"/>
    <w:bookmarkEnd w:id="1"/>
    <w:p>
      <w:pPr>
        <w:spacing w:after="0"/>
        <w:tabs>
          <w:tab w:leader="none" w:pos="9980" w:val="left"/>
        </w:tabs>
        <w:rPr>
          <w:sz w:val="20"/>
          <w:szCs w:val="20"/>
          <w:color w:val="auto"/>
        </w:rPr>
      </w:pPr>
      <w:r>
        <w:rPr>
          <w:rFonts w:ascii="Times New Roman" w:cs="Times New Roman" w:eastAsia="Times New Roman" w:hAnsi="Times New Roman"/>
          <w:sz w:val="18"/>
          <w:szCs w:val="18"/>
          <w:color w:val="auto"/>
        </w:rPr>
        <w:t>Securities and Exchange Commission</w:t>
      </w:r>
      <w:r>
        <w:rPr>
          <w:sz w:val="20"/>
          <w:szCs w:val="20"/>
          <w:color w:val="auto"/>
        </w:rPr>
        <w:tab/>
      </w:r>
      <w:r>
        <w:rPr>
          <w:rFonts w:ascii="Times New Roman" w:cs="Times New Roman" w:eastAsia="Times New Roman" w:hAnsi="Times New Roman"/>
          <w:sz w:val="18"/>
          <w:szCs w:val="18"/>
          <w:color w:val="auto"/>
        </w:rPr>
        <w:t>December 16, 2010</w:t>
      </w:r>
    </w:p>
    <w:p>
      <w:pPr>
        <w:spacing w:after="0" w:line="200" w:lineRule="exact"/>
        <w:rPr>
          <w:sz w:val="20"/>
          <w:szCs w:val="20"/>
          <w:color w:val="auto"/>
        </w:rPr>
      </w:pPr>
    </w:p>
    <w:p>
      <w:pPr>
        <w:spacing w:after="0" w:line="29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part of the valuation process conducted at our most recent annual impairment test date of July 1, 2010, we also quantitatively tested the reasonableness of the going concern value by comparing the percentage of going concern to total business enterprise value. The percentage of going concern value to total business enterprise value was in the upper single digits for all our reporting units tested. These percentages were also consistent with the going concern values when we corroborate with the values in the Greenfield model.</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Accordingly, we believe the contributory asset charge used in Comcast’s application of the MPEEM and the supporting analysis described above results in a value that properly reflects goodwill.</w:t>
      </w:r>
    </w:p>
    <w:p>
      <w:pPr>
        <w:spacing w:after="0" w:line="189" w:lineRule="exact"/>
        <w:rPr>
          <w:sz w:val="20"/>
          <w:szCs w:val="20"/>
          <w:color w:val="auto"/>
        </w:rPr>
      </w:pPr>
    </w:p>
    <w:p>
      <w:pPr>
        <w:ind w:left="5080"/>
        <w:spacing w:after="0"/>
        <w:tabs>
          <w:tab w:leader="none" w:pos="5640" w:val="left"/>
          <w:tab w:leader="none" w:pos="6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our response to the Staff’s comment, I acknowledge, on behalf of Comcast Corporation, that:</w:t>
      </w:r>
    </w:p>
    <w:p>
      <w:pPr>
        <w:spacing w:after="0" w:line="252" w:lineRule="exact"/>
        <w:rPr>
          <w:sz w:val="20"/>
          <w:szCs w:val="20"/>
          <w:color w:val="auto"/>
        </w:rPr>
      </w:pPr>
    </w:p>
    <w:p>
      <w:pPr>
        <w:ind w:left="660" w:hanging="139"/>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Corporation is responsible for the adequacy and accuracy of the disclosure in its filings;</w:t>
      </w:r>
    </w:p>
    <w:p>
      <w:pPr>
        <w:spacing w:after="0" w:line="252" w:lineRule="exact"/>
        <w:rPr>
          <w:rFonts w:ascii="Times New Roman" w:cs="Times New Roman" w:eastAsia="Times New Roman" w:hAnsi="Times New Roman"/>
          <w:sz w:val="18"/>
          <w:szCs w:val="18"/>
          <w:color w:val="auto"/>
        </w:rPr>
      </w:pPr>
    </w:p>
    <w:p>
      <w:pPr>
        <w:ind w:left="660" w:right="20" w:hanging="139"/>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 comments or changes to disclosure in response to staff comments do not foreclose the Commission from taking any action with respect to the filing; and</w:t>
      </w:r>
    </w:p>
    <w:p>
      <w:pPr>
        <w:spacing w:after="0" w:line="188" w:lineRule="exact"/>
        <w:rPr>
          <w:rFonts w:ascii="Times New Roman" w:cs="Times New Roman" w:eastAsia="Times New Roman" w:hAnsi="Times New Roman"/>
          <w:sz w:val="18"/>
          <w:szCs w:val="18"/>
          <w:color w:val="auto"/>
        </w:rPr>
      </w:pPr>
    </w:p>
    <w:p>
      <w:pPr>
        <w:ind w:left="660" w:hanging="139"/>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Corporation may not assert staff comments as a defense in any proceeding initiated by the Commission or any person under the federal securities laws of the United States.</w:t>
      </w:r>
    </w:p>
    <w:p>
      <w:pPr>
        <w:spacing w:after="0" w:line="18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do not hesitate to call me at (215) 286-8514 with any questions you may have with respect to the foregoing.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289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Lawrence J. Salva</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Senior Vice President, Chief Accounting Officer and</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Controller</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80" w:right="5700" w:hanging="572"/>
        <w:spacing w:after="0" w:line="257" w:lineRule="auto"/>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L. Roberts, Chairman of the Board and Chief Executive Officer Arthur R. Block, Senior Vice President, General Counsel and Secretary Bruce K. Dallas, Davis Polk &amp; Wardwell LLP</w:t>
      </w:r>
    </w:p>
    <w:p>
      <w:pPr>
        <w:spacing w:after="0" w:line="1"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Greg Seelagy, Deloitte &amp; Touche LLP</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2019-12-15T06:07:39Z</dcterms:created>
  <dcterms:modified xsi:type="dcterms:W3CDTF">2019-12-15T06:07:39Z</dcterms:modified>
</cp:coreProperties>
</file>