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333-232941</w:t>
      </w:r>
    </w:p>
    <w:p>
      <w:pPr>
        <w:spacing w:after="0" w:line="144" w:lineRule="exact"/>
        <w:rPr>
          <w:sz w:val="24"/>
          <w:szCs w:val="24"/>
          <w:color w:val="auto"/>
        </w:rPr>
      </w:pPr>
    </w:p>
    <w:p>
      <w:pPr>
        <w:ind w:left="120" w:right="200"/>
        <w:spacing w:after="0" w:line="275" w:lineRule="auto"/>
        <w:rPr>
          <w:sz w:val="20"/>
          <w:szCs w:val="20"/>
          <w:color w:val="auto"/>
        </w:rPr>
      </w:pPr>
      <w:r>
        <w:rPr>
          <w:rFonts w:ascii="Arial" w:cs="Arial" w:eastAsia="Arial" w:hAnsi="Arial"/>
          <w:sz w:val="16"/>
          <w:szCs w:val="16"/>
          <w:b w:val="1"/>
          <w:bCs w:val="1"/>
          <w:color w:val="FF4338"/>
        </w:rPr>
        <w:t>The information in this preliminary prospectus supplement is not complete and may be changed. This preliminary prospectus supplement and the accompanying prospectus are part of an effective registration statement filed with the Securities and Exchange Commission under the Securities Act of 1933. This preliminary prospectus supplement and the accompanying prospectus are neither offers to sell these securities nor solicitations of offers to buy these securities in any jurisdiction where such offer or sale is not permitted.</w:t>
      </w:r>
    </w:p>
    <w:p>
      <w:pPr>
        <w:spacing w:after="0" w:line="111"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FF4338"/>
        </w:rPr>
        <w:t>SUBJECT TO COMPLETION, DATED SEPTEMBER 7, 2021</w:t>
      </w:r>
    </w:p>
    <w:p>
      <w:pPr>
        <w:spacing w:after="0" w:line="198" w:lineRule="exact"/>
        <w:rPr>
          <w:sz w:val="24"/>
          <w:szCs w:val="24"/>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PRELIMINARY 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August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142875</wp:posOffset>
            </wp:positionV>
            <wp:extent cx="139700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00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ind w:left="5340" w:hanging="813"/>
        <w:spacing w:after="0"/>
        <w:tabs>
          <w:tab w:leader="none" w:pos="5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Notes due 20</w:t>
      </w:r>
    </w:p>
    <w:p>
      <w:pPr>
        <w:spacing w:after="0" w:line="27" w:lineRule="exact"/>
        <w:rPr>
          <w:rFonts w:ascii="Arial" w:cs="Arial" w:eastAsia="Arial" w:hAnsi="Arial"/>
          <w:sz w:val="18"/>
          <w:szCs w:val="18"/>
          <w:b w:val="1"/>
          <w:bCs w:val="1"/>
          <w:color w:val="auto"/>
        </w:rPr>
      </w:pPr>
    </w:p>
    <w:p>
      <w:pPr>
        <w:ind w:left="5340" w:hanging="813"/>
        <w:spacing w:after="0"/>
        <w:tabs>
          <w:tab w:leader="none" w:pos="5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72" w:lineRule="exact"/>
        <w:rPr>
          <w:sz w:val="24"/>
          <w:szCs w:val="24"/>
          <w:color w:val="auto"/>
        </w:rPr>
      </w:pPr>
    </w:p>
    <w:p>
      <w:pPr>
        <w:ind w:left="120"/>
        <w:spacing w:after="0"/>
        <w:tabs>
          <w:tab w:leader="none" w:pos="1560" w:val="left"/>
          <w:tab w:leader="none" w:pos="3800" w:val="left"/>
          <w:tab w:leader="none" w:pos="6740" w:val="left"/>
          <w:tab w:leader="none" w:pos="7200" w:val="left"/>
          <w:tab w:leader="none" w:pos="8720" w:val="left"/>
          <w:tab w:leader="none" w:pos="10620" w:val="left"/>
        </w:tabs>
        <w:rPr>
          <w:sz w:val="20"/>
          <w:szCs w:val="20"/>
          <w:color w:val="auto"/>
        </w:rPr>
      </w:pPr>
      <w:r>
        <w:rPr>
          <w:rFonts w:ascii="Arial" w:cs="Arial" w:eastAsia="Arial" w:hAnsi="Arial"/>
          <w:sz w:val="18"/>
          <w:szCs w:val="18"/>
          <w:color w:val="auto"/>
        </w:rPr>
        <w:t>The notes due 20</w:t>
        <w:tab/>
        <w:t>will bear interest at a rate of</w:t>
        <w:tab/>
        <w:t>% per year and will mature on</w:t>
      </w:r>
      <w:r>
        <w:rPr>
          <w:sz w:val="20"/>
          <w:szCs w:val="20"/>
          <w:color w:val="auto"/>
        </w:rPr>
        <w:tab/>
      </w:r>
      <w:r>
        <w:rPr>
          <w:rFonts w:ascii="Arial" w:cs="Arial" w:eastAsia="Arial" w:hAnsi="Arial"/>
          <w:sz w:val="18"/>
          <w:szCs w:val="18"/>
          <w:color w:val="auto"/>
        </w:rPr>
        <w:t>, 20</w:t>
        <w:tab/>
        <w:t>(the “Notes due 20</w:t>
        <w:tab/>
        <w:t>”) and the notes due 20</w:t>
        <w:tab/>
        <w:t>will</w:t>
      </w:r>
    </w:p>
    <w:p>
      <w:pPr>
        <w:spacing w:after="0" w:line="23" w:lineRule="exact"/>
        <w:rPr>
          <w:sz w:val="24"/>
          <w:szCs w:val="24"/>
          <w:color w:val="auto"/>
        </w:rPr>
      </w:pPr>
    </w:p>
    <w:p>
      <w:pPr>
        <w:ind w:left="120"/>
        <w:spacing w:after="0"/>
        <w:tabs>
          <w:tab w:leader="none" w:pos="2020" w:val="left"/>
          <w:tab w:leader="none" w:pos="4960" w:val="left"/>
          <w:tab w:leader="none" w:pos="5460" w:val="left"/>
          <w:tab w:leader="none" w:pos="6980" w:val="left"/>
          <w:tab w:leader="none" w:pos="9860" w:val="left"/>
        </w:tabs>
        <w:rPr>
          <w:sz w:val="20"/>
          <w:szCs w:val="20"/>
          <w:color w:val="auto"/>
        </w:rPr>
      </w:pPr>
      <w:r>
        <w:rPr>
          <w:rFonts w:ascii="Arial" w:cs="Arial" w:eastAsia="Arial" w:hAnsi="Arial"/>
          <w:sz w:val="18"/>
          <w:szCs w:val="18"/>
          <w:color w:val="auto"/>
        </w:rPr>
        <w:t>bear interest at a rate of</w:t>
        <w:tab/>
        <w:t>% per year and will mature on</w:t>
      </w:r>
      <w:r>
        <w:rPr>
          <w:sz w:val="20"/>
          <w:szCs w:val="20"/>
          <w:color w:val="auto"/>
        </w:rPr>
        <w:tab/>
      </w:r>
      <w:r>
        <w:rPr>
          <w:rFonts w:ascii="Arial" w:cs="Arial" w:eastAsia="Arial" w:hAnsi="Arial"/>
          <w:sz w:val="18"/>
          <w:szCs w:val="18"/>
          <w:color w:val="auto"/>
        </w:rPr>
        <w:t>, 20</w:t>
        <w:tab/>
        <w:t>(the “Notes due 20</w:t>
        <w:tab/>
        <w:t>,” and together with the Notes due 20</w:t>
      </w:r>
      <w:r>
        <w:rPr>
          <w:sz w:val="20"/>
          <w:szCs w:val="20"/>
          <w:color w:val="auto"/>
        </w:rPr>
        <w:tab/>
      </w:r>
      <w:r>
        <w:rPr>
          <w:rFonts w:ascii="Arial" w:cs="Arial" w:eastAsia="Arial" w:hAnsi="Arial"/>
          <w:sz w:val="16"/>
          <w:szCs w:val="16"/>
          <w:color w:val="auto"/>
        </w:rPr>
        <w:t>, the “notes”).</w:t>
      </w:r>
    </w:p>
    <w:p>
      <w:pPr>
        <w:spacing w:after="0" w:line="9" w:lineRule="exact"/>
        <w:rPr>
          <w:sz w:val="24"/>
          <w:szCs w:val="24"/>
          <w:color w:val="auto"/>
        </w:rPr>
      </w:pPr>
    </w:p>
    <w:p>
      <w:pPr>
        <w:ind w:left="120"/>
        <w:spacing w:after="0"/>
        <w:tabs>
          <w:tab w:leader="none" w:pos="3620" w:val="left"/>
          <w:tab w:leader="none" w:pos="6480" w:val="left"/>
          <w:tab w:leader="none" w:pos="6920" w:val="left"/>
        </w:tabs>
        <w:rPr>
          <w:sz w:val="20"/>
          <w:szCs w:val="20"/>
          <w:color w:val="auto"/>
        </w:rPr>
      </w:pPr>
      <w:r>
        <w:rPr>
          <w:rFonts w:ascii="Arial" w:cs="Arial" w:eastAsia="Arial" w:hAnsi="Arial"/>
          <w:sz w:val="18"/>
          <w:szCs w:val="18"/>
          <w:color w:val="auto"/>
        </w:rPr>
        <w:t>We will pay interest on the notes on</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We may redeem any of the notes at any time by paying</w:t>
      </w:r>
    </w:p>
    <w:p>
      <w:pPr>
        <w:spacing w:after="0" w:line="9" w:lineRule="exact"/>
        <w:rPr>
          <w:sz w:val="24"/>
          <w:szCs w:val="24"/>
          <w:color w:val="auto"/>
        </w:rPr>
      </w:pPr>
    </w:p>
    <w:p>
      <w:pPr>
        <w:jc w:val="both"/>
        <w:ind w:left="120" w:right="120"/>
        <w:spacing w:after="0" w:line="255" w:lineRule="auto"/>
        <w:rPr>
          <w:sz w:val="20"/>
          <w:szCs w:val="20"/>
          <w:color w:val="auto"/>
        </w:rPr>
      </w:pPr>
      <w:r>
        <w:rPr>
          <w:rFonts w:ascii="Arial" w:cs="Arial" w:eastAsia="Arial" w:hAnsi="Arial"/>
          <w:sz w:val="18"/>
          <w:szCs w:val="18"/>
          <w:color w:val="auto"/>
        </w:rPr>
        <w:t>the applicable Redemption Price described under the heading “Description of the Notes—Optional Redemption.” In addition, we may redeem the notes in whole but not in part, at any time at our option, in the event of certain developments affecting United States taxation as described under the heading “Description of the Notes—Redemption for Tax Reasons.”</w:t>
      </w:r>
    </w:p>
    <w:p>
      <w:pPr>
        <w:spacing w:after="0" w:line="14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The notes will be issued in minimum denominations of €100,000 and integral multiples of €1,000 in excess thereof.</w:t>
      </w:r>
    </w:p>
    <w:p>
      <w:pPr>
        <w:spacing w:after="0" w:line="198" w:lineRule="exact"/>
        <w:rPr>
          <w:sz w:val="24"/>
          <w:szCs w:val="24"/>
          <w:color w:val="auto"/>
        </w:rPr>
      </w:pPr>
    </w:p>
    <w:p>
      <w:pPr>
        <w:ind w:left="120" w:right="380"/>
        <w:spacing w:after="0" w:line="342" w:lineRule="auto"/>
        <w:rPr>
          <w:sz w:val="20"/>
          <w:szCs w:val="20"/>
          <w:color w:val="auto"/>
        </w:rPr>
      </w:pPr>
      <w:r>
        <w:rPr>
          <w:rFonts w:ascii="Arial" w:cs="Arial" w:eastAsia="Arial" w:hAnsi="Arial"/>
          <w:sz w:val="16"/>
          <w:szCs w:val="16"/>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83" w:lineRule="exact"/>
        <w:rPr>
          <w:sz w:val="24"/>
          <w:szCs w:val="24"/>
          <w:color w:val="auto"/>
        </w:rPr>
      </w:pPr>
    </w:p>
    <w:p>
      <w:pPr>
        <w:ind w:left="120" w:right="200"/>
        <w:spacing w:after="0" w:line="259" w:lineRule="auto"/>
        <w:rPr>
          <w:sz w:val="20"/>
          <w:szCs w:val="20"/>
          <w:color w:val="auto"/>
        </w:rPr>
      </w:pPr>
      <w:r>
        <w:rPr>
          <w:rFonts w:ascii="Arial" w:cs="Arial" w:eastAsia="Arial" w:hAnsi="Arial"/>
          <w:sz w:val="18"/>
          <w:szCs w:val="18"/>
          <w:color w:val="auto"/>
        </w:rPr>
        <w:t>Each series of the notes is a new issue of securities with no established trading market. We currently intend to apply to list the notes on the NASDAQ Global Market (“NASDAQ”). The listing applications will be subject to approval by NASDAQ. If such listings are obtained, we have no obligation to maintain such listings for any series of the notes and we may delist any series of the notes at any time. We currently expect trading in the notes on NASDAQ to begin within 30 days after the original issue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5" w:lineRule="exact"/>
        <w:rPr>
          <w:sz w:val="24"/>
          <w:szCs w:val="24"/>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these securities involves certain risks. See “</w:t>
      </w:r>
      <w:hyperlink w:anchor="page1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S-5 of this prospectus supplement.</w:t>
      </w:r>
    </w:p>
    <w:p>
      <w:pPr>
        <w:spacing w:after="0" w:line="208"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Price to</w:t>
            </w:r>
          </w:p>
        </w:tc>
        <w:tc>
          <w:tcPr>
            <w:tcW w:w="200" w:type="dxa"/>
            <w:vAlign w:val="bottom"/>
          </w:tcPr>
          <w:p>
            <w:pPr>
              <w:spacing w:after="0"/>
              <w:rPr>
                <w:sz w:val="14"/>
                <w:szCs w:val="14"/>
                <w:color w:val="auto"/>
              </w:rPr>
            </w:pPr>
          </w:p>
        </w:tc>
        <w:tc>
          <w:tcPr>
            <w:tcW w:w="2260" w:type="dxa"/>
            <w:vAlign w:val="bottom"/>
            <w:gridSpan w:val="2"/>
            <w:vMerge w:val="restart"/>
          </w:tcPr>
          <w:p>
            <w:pPr>
              <w:ind w:left="1160"/>
              <w:spacing w:after="0"/>
              <w:rPr>
                <w:sz w:val="20"/>
                <w:szCs w:val="20"/>
                <w:color w:val="auto"/>
              </w:rPr>
            </w:pPr>
            <w:r>
              <w:rPr>
                <w:rFonts w:ascii="Arial" w:cs="Arial" w:eastAsia="Arial" w:hAnsi="Arial"/>
                <w:sz w:val="14"/>
                <w:szCs w:val="14"/>
                <w:b w:val="1"/>
                <w:bCs w:val="1"/>
                <w:color w:val="auto"/>
              </w:rPr>
              <w:t>Underwriters’</w:t>
            </w:r>
          </w:p>
        </w:tc>
        <w:tc>
          <w:tcPr>
            <w:tcW w:w="2340" w:type="dxa"/>
            <w:vAlign w:val="bottom"/>
            <w:gridSpan w:val="3"/>
          </w:tcPr>
          <w:p>
            <w:pPr>
              <w:ind w:left="1160"/>
              <w:spacing w:after="0"/>
              <w:rPr>
                <w:sz w:val="20"/>
                <w:szCs w:val="20"/>
                <w:color w:val="auto"/>
              </w:rPr>
            </w:pPr>
            <w:r>
              <w:rPr>
                <w:rFonts w:ascii="Arial" w:cs="Arial" w:eastAsia="Arial" w:hAnsi="Arial"/>
                <w:sz w:val="14"/>
                <w:szCs w:val="14"/>
                <w:b w:val="1"/>
                <w:bCs w:val="1"/>
                <w:color w:val="auto"/>
              </w:rPr>
              <w:t>Proceeds to Us</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Before</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3420" w:type="dxa"/>
            <w:vAlign w:val="bottom"/>
            <w:gridSpan w:val="2"/>
          </w:tcPr>
          <w:p>
            <w:pPr>
              <w:ind w:left="2820"/>
              <w:spacing w:after="0"/>
              <w:rPr>
                <w:sz w:val="20"/>
                <w:szCs w:val="20"/>
                <w:color w:val="auto"/>
              </w:rPr>
            </w:pPr>
            <w:r>
              <w:rPr>
                <w:rFonts w:ascii="Arial" w:cs="Arial" w:eastAsia="Arial" w:hAnsi="Arial"/>
                <w:sz w:val="14"/>
                <w:szCs w:val="14"/>
                <w:b w:val="1"/>
                <w:bCs w:val="1"/>
                <w:color w:val="auto"/>
                <w:w w:val="93"/>
              </w:rPr>
              <w:t>Investors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Arial" w:cs="Arial" w:eastAsia="Arial" w:hAnsi="Arial"/>
                <w:sz w:val="14"/>
                <w:szCs w:val="14"/>
                <w:b w:val="1"/>
                <w:bCs w:val="1"/>
                <w:color w:val="auto"/>
              </w:rPr>
              <w:t>Discount</w:t>
            </w:r>
          </w:p>
        </w:tc>
        <w:tc>
          <w:tcPr>
            <w:tcW w:w="11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Expenses</w:t>
            </w: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Per note due 20</w:t>
            </w:r>
          </w:p>
        </w:tc>
        <w:tc>
          <w:tcPr>
            <w:tcW w:w="2820" w:type="dxa"/>
            <w:vAlign w:val="bottom"/>
            <w:tcBorders>
              <w:top w:val="single" w:sz="8" w:color="CCEEFF"/>
            </w:tcBorders>
            <w:shd w:val="clear" w:color="auto" w:fill="CCEEFF"/>
          </w:tcPr>
          <w:p>
            <w:pPr>
              <w:jc w:val="right"/>
              <w:ind w:right="2529"/>
              <w:spacing w:after="0" w:line="144" w:lineRule="exact"/>
              <w:rPr>
                <w:sz w:val="20"/>
                <w:szCs w:val="20"/>
                <w:color w:val="auto"/>
              </w:rPr>
            </w:pPr>
            <w:r>
              <w:rPr>
                <w:rFonts w:ascii="Arial" w:cs="Arial" w:eastAsia="Arial" w:hAnsi="Arial"/>
                <w:sz w:val="13"/>
                <w:szCs w:val="13"/>
                <w:color w:val="auto"/>
              </w:rPr>
              <w:t>(1)</w:t>
            </w: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16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18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line="162" w:lineRule="exact"/>
              <w:rPr>
                <w:sz w:val="20"/>
                <w:szCs w:val="20"/>
                <w:color w:val="auto"/>
              </w:rPr>
            </w:pPr>
            <w:r>
              <w:rPr>
                <w:rFonts w:ascii="Arial" w:cs="Arial" w:eastAsia="Arial" w:hAnsi="Arial"/>
                <w:sz w:val="15"/>
                <w:szCs w:val="15"/>
                <w:color w:val="auto"/>
              </w:rPr>
              <w:t>Total</w:t>
            </w:r>
          </w:p>
        </w:tc>
        <w:tc>
          <w:tcPr>
            <w:tcW w:w="3420" w:type="dxa"/>
            <w:vAlign w:val="bottom"/>
            <w:gridSpan w:val="2"/>
          </w:tcPr>
          <w:p>
            <w:pPr>
              <w:ind w:left="2800"/>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2260" w:type="dxa"/>
            <w:vAlign w:val="bottom"/>
            <w:gridSpan w:val="2"/>
          </w:tcPr>
          <w:p>
            <w:pPr>
              <w:ind w:left="1160"/>
              <w:spacing w:after="0" w:line="162" w:lineRule="exact"/>
              <w:rPr>
                <w:sz w:val="20"/>
                <w:szCs w:val="20"/>
                <w:color w:val="auto"/>
              </w:rPr>
            </w:pPr>
            <w:r>
              <w:rPr>
                <w:rFonts w:ascii="Arial" w:cs="Arial" w:eastAsia="Arial" w:hAnsi="Arial"/>
                <w:sz w:val="15"/>
                <w:szCs w:val="15"/>
                <w:color w:val="auto"/>
              </w:rPr>
              <w:t>€</w:t>
            </w:r>
          </w:p>
        </w:tc>
        <w:tc>
          <w:tcPr>
            <w:tcW w:w="2340" w:type="dxa"/>
            <w:vAlign w:val="bottom"/>
            <w:gridSpan w:val="3"/>
          </w:tcPr>
          <w:p>
            <w:pPr>
              <w:ind w:left="11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Per note due 20</w:t>
            </w:r>
          </w:p>
        </w:tc>
        <w:tc>
          <w:tcPr>
            <w:tcW w:w="2820" w:type="dxa"/>
            <w:vAlign w:val="bottom"/>
            <w:shd w:val="clear" w:color="auto" w:fill="CCEEFF"/>
          </w:tcPr>
          <w:p>
            <w:pPr>
              <w:jc w:val="right"/>
              <w:ind w:right="2529"/>
              <w:spacing w:after="0"/>
              <w:rPr>
                <w:sz w:val="20"/>
                <w:szCs w:val="20"/>
                <w:color w:val="auto"/>
              </w:rPr>
            </w:pPr>
            <w:r>
              <w:rPr>
                <w:rFonts w:ascii="Arial" w:cs="Arial" w:eastAsia="Arial" w:hAnsi="Arial"/>
                <w:sz w:val="13"/>
                <w:szCs w:val="13"/>
                <w:color w:val="auto"/>
              </w:rPr>
              <w:t>(1)</w:t>
            </w: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3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Arial" w:cs="Arial" w:eastAsia="Arial" w:hAnsi="Arial"/>
                <w:sz w:val="15"/>
                <w:szCs w:val="15"/>
                <w:color w:val="auto"/>
              </w:rPr>
              <w:t>Total</w:t>
            </w:r>
          </w:p>
        </w:tc>
        <w:tc>
          <w:tcPr>
            <w:tcW w:w="3420" w:type="dxa"/>
            <w:vAlign w:val="bottom"/>
            <w:gridSpan w:val="2"/>
          </w:tcPr>
          <w:p>
            <w:pPr>
              <w:ind w:left="28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2260" w:type="dxa"/>
            <w:vAlign w:val="bottom"/>
            <w:gridSpan w:val="2"/>
          </w:tcPr>
          <w:p>
            <w:pPr>
              <w:ind w:left="1160"/>
              <w:spacing w:after="0"/>
              <w:rPr>
                <w:sz w:val="20"/>
                <w:szCs w:val="20"/>
                <w:color w:val="auto"/>
              </w:rPr>
            </w:pPr>
            <w:r>
              <w:rPr>
                <w:rFonts w:ascii="Arial" w:cs="Arial" w:eastAsia="Arial" w:hAnsi="Arial"/>
                <w:sz w:val="15"/>
                <w:szCs w:val="15"/>
                <w:color w:val="auto"/>
              </w:rPr>
              <w:t>€</w:t>
            </w:r>
          </w:p>
        </w:tc>
        <w:tc>
          <w:tcPr>
            <w:tcW w:w="2340" w:type="dxa"/>
            <w:vAlign w:val="bottom"/>
            <w:gridSpan w:val="3"/>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7" w:lineRule="exact"/>
        <w:rPr>
          <w:sz w:val="24"/>
          <w:szCs w:val="24"/>
          <w:color w:val="auto"/>
        </w:rPr>
      </w:pPr>
    </w:p>
    <w:p>
      <w:pPr>
        <w:ind w:left="120"/>
        <w:spacing w:after="0"/>
        <w:tabs>
          <w:tab w:leader="none" w:pos="520" w:val="left"/>
          <w:tab w:leader="none" w:pos="3940" w:val="left"/>
        </w:tabs>
        <w:rPr>
          <w:sz w:val="20"/>
          <w:szCs w:val="20"/>
          <w:color w:val="auto"/>
        </w:rPr>
      </w:pPr>
      <w:r>
        <w:rPr>
          <w:rFonts w:ascii="Arial" w:cs="Arial" w:eastAsia="Arial" w:hAnsi="Arial"/>
          <w:sz w:val="18"/>
          <w:szCs w:val="18"/>
          <w:color w:val="auto"/>
        </w:rPr>
        <w:t>(1)</w:t>
        <w:tab/>
        <w:t>Plus accrued interest, if any, from September</w:t>
      </w:r>
      <w:r>
        <w:rPr>
          <w:sz w:val="20"/>
          <w:szCs w:val="20"/>
          <w:color w:val="auto"/>
        </w:rPr>
        <w:tab/>
      </w:r>
      <w:r>
        <w:rPr>
          <w:rFonts w:ascii="Arial" w:cs="Arial" w:eastAsia="Arial" w:hAnsi="Arial"/>
          <w:sz w:val="16"/>
          <w:szCs w:val="16"/>
          <w:color w:val="auto"/>
        </w:rPr>
        <w:t>, 2021, if settlement occurs after that date.</w:t>
      </w:r>
    </w:p>
    <w:p>
      <w:pPr>
        <w:spacing w:after="0" w:line="113" w:lineRule="exact"/>
        <w:rPr>
          <w:sz w:val="24"/>
          <w:szCs w:val="24"/>
          <w:color w:val="auto"/>
        </w:rPr>
      </w:pPr>
    </w:p>
    <w:p>
      <w:pPr>
        <w:ind w:left="120" w:right="100" w:firstLine="440"/>
        <w:spacing w:after="0" w:line="257" w:lineRule="auto"/>
        <w:rPr>
          <w:sz w:val="20"/>
          <w:szCs w:val="20"/>
          <w:color w:val="auto"/>
        </w:rPr>
      </w:pPr>
      <w:r>
        <w:rPr>
          <w:rFonts w:ascii="Arial" w:cs="Arial" w:eastAsia="Arial" w:hAnsi="Arial"/>
          <w:sz w:val="18"/>
          <w:szCs w:val="18"/>
          <w:b w:val="1"/>
          <w:bCs w:val="1"/>
          <w:color w:val="auto"/>
        </w:rPr>
        <w:t>Neither the Securities and Exchange Commission (the “SEC” or the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 w:lineRule="exact"/>
        <w:rPr>
          <w:sz w:val="24"/>
          <w:szCs w:val="24"/>
          <w:color w:val="auto"/>
        </w:rPr>
      </w:pPr>
    </w:p>
    <w:p>
      <w:pPr>
        <w:ind w:left="120" w:firstLine="440"/>
        <w:spacing w:after="0" w:line="255" w:lineRule="auto"/>
        <w:rPr>
          <w:sz w:val="20"/>
          <w:szCs w:val="20"/>
          <w:color w:val="auto"/>
        </w:rPr>
      </w:pPr>
      <w:r>
        <w:rPr>
          <w:rFonts w:ascii="Arial" w:cs="Arial" w:eastAsia="Arial" w:hAnsi="Arial"/>
          <w:sz w:val="18"/>
          <w:szCs w:val="18"/>
          <w:color w:val="auto"/>
        </w:rPr>
        <w:t>The notes will be ready for delivery only through the delivery system of Clearstream Banking, S.A. (“Clearstream”) and Euroclear Bank S.A./N.V. (“Euroclear”) in book-entry form on or about September , 2021, which is the business day following the date of this prospectus supplement. See “Underwriting.”</w:t>
      </w:r>
    </w:p>
    <w:p>
      <w:pPr>
        <w:spacing w:after="0" w:line="1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216" w:lineRule="exact"/>
        <w:rPr>
          <w:sz w:val="24"/>
          <w:szCs w:val="24"/>
          <w:color w:val="auto"/>
        </w:rPr>
      </w:pPr>
    </w:p>
    <w:p>
      <w:pPr>
        <w:ind w:left="2420"/>
        <w:spacing w:after="0"/>
        <w:tabs>
          <w:tab w:leader="none" w:pos="7620" w:val="left"/>
        </w:tabs>
        <w:rPr>
          <w:sz w:val="20"/>
          <w:szCs w:val="20"/>
          <w:color w:val="auto"/>
        </w:rPr>
      </w:pPr>
      <w:r>
        <w:rPr>
          <w:rFonts w:ascii="Arial" w:cs="Arial" w:eastAsia="Arial" w:hAnsi="Arial"/>
          <w:sz w:val="25"/>
          <w:szCs w:val="25"/>
          <w:b w:val="1"/>
          <w:bCs w:val="1"/>
          <w:color w:val="auto"/>
        </w:rPr>
        <w:t>Barclays</w:t>
      </w:r>
      <w:r>
        <w:rPr>
          <w:sz w:val="20"/>
          <w:szCs w:val="20"/>
          <w:color w:val="auto"/>
        </w:rPr>
        <w:tab/>
      </w:r>
      <w:r>
        <w:rPr>
          <w:rFonts w:ascii="Arial" w:cs="Arial" w:eastAsia="Arial" w:hAnsi="Arial"/>
          <w:sz w:val="25"/>
          <w:szCs w:val="25"/>
          <w:b w:val="1"/>
          <w:bCs w:val="1"/>
          <w:color w:val="auto"/>
        </w:rPr>
        <w:t>Deutsche Bank</w:t>
      </w:r>
    </w:p>
    <w:p>
      <w:pPr>
        <w:spacing w:after="0" w:line="113" w:lineRule="exact"/>
        <w:rPr>
          <w:sz w:val="24"/>
          <w:szCs w:val="24"/>
          <w:color w:val="auto"/>
        </w:rPr>
      </w:pPr>
    </w:p>
    <w:p>
      <w:pPr>
        <w:ind w:left="2180"/>
        <w:spacing w:after="0"/>
        <w:tabs>
          <w:tab w:leader="none" w:pos="7940" w:val="left"/>
        </w:tabs>
        <w:rPr>
          <w:sz w:val="20"/>
          <w:szCs w:val="20"/>
          <w:color w:val="auto"/>
        </w:rPr>
      </w:pPr>
      <w:r>
        <w:rPr>
          <w:rFonts w:ascii="Arial" w:cs="Arial" w:eastAsia="Arial" w:hAnsi="Arial"/>
          <w:sz w:val="22"/>
          <w:szCs w:val="22"/>
          <w:b w:val="1"/>
          <w:bCs w:val="1"/>
          <w:color w:val="auto"/>
        </w:rPr>
        <w:t>Commerzbank</w:t>
      </w:r>
      <w:r>
        <w:rPr>
          <w:sz w:val="20"/>
          <w:szCs w:val="20"/>
          <w:color w:val="auto"/>
        </w:rPr>
        <w:tab/>
      </w:r>
      <w:r>
        <w:rPr>
          <w:rFonts w:ascii="Arial" w:cs="Arial" w:eastAsia="Arial" w:hAnsi="Arial"/>
          <w:sz w:val="22"/>
          <w:szCs w:val="22"/>
          <w:b w:val="1"/>
          <w:bCs w:val="1"/>
          <w:color w:val="auto"/>
        </w:rPr>
        <w:t>Santander</w:t>
      </w:r>
    </w:p>
    <w:p>
      <w:pPr>
        <w:sectPr>
          <w:pgSz w:w="11900" w:h="16838" w:orient="portrait"/>
          <w:cols w:equalWidth="0" w:num="1">
            <w:col w:w="11140"/>
          </w:cols>
          <w:pgMar w:left="320" w:top="230" w:right="439" w:bottom="1440" w:gutter="0" w:footer="0" w:header="0"/>
        </w:sectPr>
      </w:pPr>
    </w:p>
    <w:p>
      <w:pPr>
        <w:spacing w:after="0" w:line="175" w:lineRule="exact"/>
        <w:rPr>
          <w:sz w:val="24"/>
          <w:szCs w:val="24"/>
          <w:color w:val="auto"/>
        </w:rPr>
      </w:pPr>
    </w:p>
    <w:p>
      <w:pPr>
        <w:ind w:left="3320"/>
        <w:spacing w:after="0"/>
        <w:tabs>
          <w:tab w:leader="none" w:pos="7420" w:val="left"/>
        </w:tabs>
        <w:rPr>
          <w:sz w:val="20"/>
          <w:szCs w:val="20"/>
          <w:color w:val="auto"/>
        </w:rPr>
      </w:pPr>
      <w:r>
        <w:rPr>
          <w:rFonts w:ascii="Arial" w:cs="Arial" w:eastAsia="Arial" w:hAnsi="Arial"/>
          <w:sz w:val="18"/>
          <w:szCs w:val="18"/>
          <w:b w:val="1"/>
          <w:bCs w:val="1"/>
          <w:color w:val="auto"/>
        </w:rPr>
        <w:t>The date of this prospectus supplement is</w:t>
      </w:r>
      <w:r>
        <w:rPr>
          <w:sz w:val="20"/>
          <w:szCs w:val="20"/>
          <w:color w:val="auto"/>
        </w:rPr>
        <w:tab/>
      </w:r>
      <w:r>
        <w:rPr>
          <w:rFonts w:ascii="Arial" w:cs="Arial" w:eastAsia="Arial" w:hAnsi="Arial"/>
          <w:sz w:val="15"/>
          <w:szCs w:val="15"/>
          <w:b w:val="1"/>
          <w:bCs w:val="1"/>
          <w:color w:val="auto"/>
        </w:rPr>
        <w:t>, 2021.</w:t>
      </w:r>
    </w:p>
    <w:p>
      <w:pPr>
        <w:sectPr>
          <w:pgSz w:w="11900" w:h="16838" w:orient="portrait"/>
          <w:cols w:equalWidth="0" w:num="1">
            <w:col w:w="11140"/>
          </w:cols>
          <w:pgMar w:left="32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20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00" w:type="dxa"/>
            <w:vAlign w:val="bottom"/>
            <w:gridSpan w:val="4"/>
          </w:tcPr>
          <w:p>
            <w:pPr>
              <w:jc w:val="center"/>
              <w:ind w:right="406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00" w:type="dxa"/>
            <w:vAlign w:val="bottom"/>
            <w:gridSpan w:val="4"/>
          </w:tcPr>
          <w:p>
            <w:pPr>
              <w:jc w:val="center"/>
              <w:ind w:right="4060"/>
              <w:spacing w:after="0"/>
              <w:rPr>
                <w:sz w:val="20"/>
                <w:szCs w:val="20"/>
                <w:color w:val="auto"/>
              </w:rPr>
            </w:pPr>
            <w:r>
              <w:rPr>
                <w:rFonts w:ascii="Arial" w:cs="Arial" w:eastAsia="Arial" w:hAnsi="Arial"/>
                <w:sz w:val="18"/>
                <w:szCs w:val="18"/>
                <w:b w:val="1"/>
                <w:bCs w:val="1"/>
                <w:color w:val="auto"/>
                <w:w w:val="87"/>
              </w:rPr>
              <w:t>Prospectus Supplement</w:t>
            </w: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4080" w:type="dxa"/>
            <w:vAlign w:val="bottom"/>
            <w:gridSpan w:val="17"/>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6480" w:type="dxa"/>
            <w:vAlign w:val="bottom"/>
          </w:tcPr>
          <w:p>
            <w:pPr>
              <w:spacing w:after="0"/>
              <w:rPr>
                <w:sz w:val="24"/>
                <w:szCs w:val="24"/>
                <w:color w:val="auto"/>
              </w:rPr>
            </w:pPr>
          </w:p>
        </w:tc>
        <w:tc>
          <w:tcPr>
            <w:tcW w:w="420" w:type="dxa"/>
            <w:vAlign w:val="bottom"/>
            <w:gridSpan w:val="3"/>
          </w:tcPr>
          <w:p>
            <w:pPr>
              <w:ind w:lef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4080" w:type="dxa"/>
            <w:vAlign w:val="bottom"/>
            <w:gridSpan w:val="17"/>
            <w:vMerge w:val="continue"/>
          </w:tcPr>
          <w:p>
            <w:pPr>
              <w:spacing w:after="0"/>
              <w:rPr>
                <w:sz w:val="13"/>
                <w:szCs w:val="13"/>
                <w:color w:val="auto"/>
              </w:rPr>
            </w:pPr>
          </w:p>
        </w:tc>
        <w:tc>
          <w:tcPr>
            <w:tcW w:w="64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iv</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86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Supplement Summary</w:t>
              </w:r>
            </w:hyperlink>
          </w:p>
        </w:tc>
        <w:tc>
          <w:tcPr>
            <w:tcW w:w="1220" w:type="dxa"/>
            <w:vAlign w:val="bottom"/>
            <w:gridSpan w:val="4"/>
          </w:tcPr>
          <w:p>
            <w:pPr>
              <w:spacing w:after="0"/>
              <w:rPr>
                <w:sz w:val="18"/>
                <w:szCs w:val="18"/>
                <w:color w:val="auto"/>
              </w:rPr>
            </w:pPr>
          </w:p>
        </w:tc>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4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1660" w:type="dxa"/>
            <w:vAlign w:val="bottom"/>
            <w:gridSpan w:val="5"/>
          </w:tcPr>
          <w:p>
            <w:pPr>
              <w:spacing w:after="0"/>
              <w:rPr>
                <w:sz w:val="17"/>
                <w:szCs w:val="17"/>
                <w:color w:val="auto"/>
              </w:rPr>
            </w:pPr>
          </w:p>
        </w:tc>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80" w:type="dxa"/>
            <w:vAlign w:val="bottom"/>
            <w:gridSpan w:val="1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Description of the Notes</w:t>
              </w:r>
            </w:hyperlink>
          </w:p>
        </w:tc>
        <w:tc>
          <w:tcPr>
            <w:tcW w:w="2320" w:type="dxa"/>
            <w:vAlign w:val="bottom"/>
            <w:gridSpan w:val="7"/>
          </w:tcPr>
          <w:p>
            <w:pPr>
              <w:spacing w:after="0"/>
              <w:rPr>
                <w:sz w:val="17"/>
                <w:szCs w:val="17"/>
                <w:color w:val="auto"/>
              </w:rPr>
            </w:pPr>
          </w:p>
        </w:tc>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08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Material U.S. Federal Income Tax Consequences</w:t>
              </w:r>
            </w:hyperlink>
          </w:p>
        </w:tc>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080" w:type="dxa"/>
            <w:vAlign w:val="bottom"/>
            <w:gridSpan w:val="17"/>
          </w:tcPr>
          <w:p>
            <w:pPr>
              <w:spacing w:after="0" w:line="190" w:lineRule="exact"/>
              <w:rPr>
                <w:rFonts w:ascii="Arial" w:cs="Arial" w:eastAsia="Arial" w:hAnsi="Arial"/>
                <w:sz w:val="18"/>
                <w:szCs w:val="18"/>
                <w:color w:val="0000EE"/>
              </w:rPr>
            </w:pPr>
            <w:hyperlink w:anchor="page27">
              <w:r>
                <w:rPr>
                  <w:rFonts w:ascii="Arial" w:cs="Arial" w:eastAsia="Arial" w:hAnsi="Arial"/>
                  <w:sz w:val="18"/>
                  <w:szCs w:val="18"/>
                  <w:color w:val="0000EE"/>
                </w:rPr>
                <w:t>Underwriting</w:t>
              </w:r>
            </w:hyperlink>
          </w:p>
        </w:tc>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080" w:type="dxa"/>
            <w:vAlign w:val="bottom"/>
            <w:gridSpan w:val="17"/>
          </w:tcPr>
          <w:p>
            <w:pPr>
              <w:spacing w:after="0" w:line="190"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080" w:type="dxa"/>
            <w:vAlign w:val="bottom"/>
            <w:gridSpan w:val="17"/>
          </w:tcPr>
          <w:p>
            <w:pPr>
              <w:spacing w:after="0" w:line="190"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567"/>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00" w:type="dxa"/>
            <w:vAlign w:val="bottom"/>
            <w:gridSpan w:val="4"/>
          </w:tcPr>
          <w:p>
            <w:pPr>
              <w:jc w:val="center"/>
              <w:ind w:right="4060"/>
              <w:spacing w:after="0"/>
              <w:rPr>
                <w:sz w:val="20"/>
                <w:szCs w:val="20"/>
                <w:color w:val="auto"/>
              </w:rPr>
            </w:pPr>
            <w:r>
              <w:rPr>
                <w:rFonts w:ascii="Arial" w:cs="Arial" w:eastAsia="Arial" w:hAnsi="Arial"/>
                <w:sz w:val="18"/>
                <w:szCs w:val="18"/>
                <w:b w:val="1"/>
                <w:bCs w:val="1"/>
                <w:color w:val="auto"/>
                <w:w w:val="85"/>
              </w:rPr>
              <w:t>Prospectus</w:t>
            </w: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160" w:type="dxa"/>
            <w:vAlign w:val="bottom"/>
            <w:gridSpan w:val="5"/>
            <w:vMerge w:val="restart"/>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The Companies</w:t>
              </w:r>
            </w:hyperlink>
          </w:p>
        </w:tc>
        <w:tc>
          <w:tcPr>
            <w:tcW w:w="2920" w:type="dxa"/>
            <w:vAlign w:val="bottom"/>
            <w:gridSpan w:val="12"/>
            <w:vMerge w:val="restart"/>
          </w:tcPr>
          <w:p>
            <w:pPr>
              <w:spacing w:after="0"/>
              <w:rPr>
                <w:sz w:val="24"/>
                <w:szCs w:val="24"/>
                <w:color w:val="auto"/>
              </w:rPr>
            </w:pPr>
          </w:p>
        </w:tc>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3"/>
                <w:szCs w:val="13"/>
                <w:color w:val="auto"/>
              </w:rPr>
            </w:pPr>
          </w:p>
        </w:tc>
        <w:tc>
          <w:tcPr>
            <w:tcW w:w="1160" w:type="dxa"/>
            <w:vAlign w:val="bottom"/>
            <w:tcBorders>
              <w:bottom w:val="single" w:sz="8" w:color="0000EE"/>
            </w:tcBorders>
            <w:gridSpan w:val="5"/>
            <w:vMerge w:val="continue"/>
          </w:tcPr>
          <w:p>
            <w:pPr>
              <w:spacing w:after="0"/>
              <w:rPr>
                <w:sz w:val="13"/>
                <w:szCs w:val="13"/>
                <w:color w:val="auto"/>
              </w:rPr>
            </w:pPr>
          </w:p>
        </w:tc>
        <w:tc>
          <w:tcPr>
            <w:tcW w:w="2920" w:type="dxa"/>
            <w:vAlign w:val="bottom"/>
            <w:gridSpan w:val="12"/>
            <w:vMerge w:val="continue"/>
          </w:tcPr>
          <w:p>
            <w:pPr>
              <w:spacing w:after="0"/>
              <w:rPr>
                <w:sz w:val="13"/>
                <w:szCs w:val="13"/>
                <w:color w:val="auto"/>
              </w:rPr>
            </w:pPr>
          </w:p>
        </w:tc>
        <w:tc>
          <w:tcPr>
            <w:tcW w:w="6500" w:type="dxa"/>
            <w:vAlign w:val="bottom"/>
            <w:gridSpan w:val="2"/>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08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Caution Concerning Forward-Looking Statements</w:t>
              </w:r>
            </w:hyperlink>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6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480" w:type="dxa"/>
            <w:vAlign w:val="bottom"/>
          </w:tcPr>
          <w:p>
            <w:pPr>
              <w:spacing w:after="0"/>
              <w:rPr>
                <w:sz w:val="17"/>
                <w:szCs w:val="17"/>
                <w:color w:val="auto"/>
              </w:rPr>
            </w:pPr>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Dividend Policy</w:t>
              </w:r>
            </w:hyperlink>
          </w:p>
        </w:tc>
        <w:tc>
          <w:tcPr>
            <w:tcW w:w="2900" w:type="dxa"/>
            <w:vAlign w:val="bottom"/>
            <w:gridSpan w:val="11"/>
          </w:tcPr>
          <w:p>
            <w:pPr>
              <w:spacing w:after="0"/>
              <w:rPr>
                <w:sz w:val="17"/>
                <w:szCs w:val="17"/>
                <w:color w:val="auto"/>
              </w:rPr>
            </w:pPr>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3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Description of Debt Securities and Guarantees</w:t>
              </w:r>
            </w:hyperlink>
          </w:p>
        </w:tc>
        <w:tc>
          <w:tcPr>
            <w:tcW w:w="740" w:type="dxa"/>
            <w:vAlign w:val="bottom"/>
            <w:gridSpan w:val="3"/>
          </w:tcPr>
          <w:p>
            <w:pPr>
              <w:spacing w:after="0"/>
              <w:rPr>
                <w:sz w:val="17"/>
                <w:szCs w:val="17"/>
                <w:color w:val="auto"/>
              </w:rPr>
            </w:pPr>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080" w:type="dxa"/>
            <w:vAlign w:val="bottom"/>
            <w:gridSpan w:val="1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Global Securities</w:t>
              </w:r>
            </w:hyperlink>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80" w:type="dxa"/>
            <w:vAlign w:val="bottom"/>
            <w:gridSpan w:val="1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Description of Capital Stock</w:t>
              </w:r>
            </w:hyperlink>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Plan of Distribution</w:t>
              </w:r>
            </w:hyperlink>
          </w:p>
        </w:tc>
        <w:tc>
          <w:tcPr>
            <w:tcW w:w="2040" w:type="dxa"/>
            <w:vAlign w:val="bottom"/>
            <w:gridSpan w:val="6"/>
          </w:tcPr>
          <w:p>
            <w:pPr>
              <w:spacing w:after="0"/>
              <w:rPr>
                <w:sz w:val="17"/>
                <w:szCs w:val="17"/>
                <w:color w:val="auto"/>
              </w:rPr>
            </w:pPr>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4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Legal Matters</w:t>
              </w:r>
            </w:hyperlink>
          </w:p>
        </w:tc>
        <w:tc>
          <w:tcPr>
            <w:tcW w:w="2660" w:type="dxa"/>
            <w:vAlign w:val="bottom"/>
            <w:gridSpan w:val="9"/>
          </w:tcPr>
          <w:p>
            <w:pPr>
              <w:spacing w:after="0"/>
              <w:rPr>
                <w:sz w:val="17"/>
                <w:szCs w:val="17"/>
                <w:color w:val="auto"/>
              </w:rPr>
            </w:pPr>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Experts</w:t>
              </w:r>
            </w:hyperlink>
          </w:p>
        </w:tc>
        <w:tc>
          <w:tcPr>
            <w:tcW w:w="3080" w:type="dxa"/>
            <w:vAlign w:val="bottom"/>
            <w:gridSpan w:val="13"/>
          </w:tcPr>
          <w:p>
            <w:pPr>
              <w:spacing w:after="0"/>
              <w:rPr>
                <w:sz w:val="17"/>
                <w:szCs w:val="17"/>
                <w:color w:val="auto"/>
              </w:rPr>
            </w:pPr>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80" w:type="dxa"/>
            <w:vAlign w:val="bottom"/>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Available Information</w:t>
              </w:r>
            </w:hyperlink>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80" w:type="dxa"/>
            <w:vAlign w:val="bottom"/>
            <w:gridSpan w:val="17"/>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Incorporation of Certain Documents by Reference</w:t>
              </w:r>
            </w:hyperlink>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line="272" w:lineRule="auto"/>
        <w:rPr>
          <w:sz w:val="20"/>
          <w:szCs w:val="20"/>
          <w:color w:val="auto"/>
        </w:rPr>
      </w:pPr>
      <w:r>
        <w:rPr>
          <w:rFonts w:ascii="Arial" w:cs="Arial" w:eastAsia="Arial" w:hAnsi="Arial"/>
          <w:sz w:val="17"/>
          <w:szCs w:val="17"/>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3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notes are being offered for sale only in jurisdictions where it is lawful to make such offers. The distribution of this prospectus supplement and the accompanying prospectus and the offering of the notes in certain jurisdictions may be restricted by law. Persons outside the United States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authorized or in which the person making such offer or solicitation is not qualified to do so or to any person to whom it is unlawful to make such offer or solicitation. See “Underwriting.”</w:t>
      </w:r>
    </w:p>
    <w:p>
      <w:pPr>
        <w:spacing w:after="0" w:line="15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We refer to Comcast Corporation in this prospectus supplement as “Comcast,” and Comcast and its consolidated subsidiaries as “we,” “us,” “our” or comparable terms and Sky Limited (formerly Sky plc) and its consolidated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46"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subsidiaries as “Sky.” We refer to NBCUniversal Media, LLC and its consolidated subsidiaries as “NBCUniversal,” Comcast Cable Communications, LLC and its consolidated subsidiaries as “Comcast Cable,” and both of them collectively as the “guarantors.”</w:t>
      </w:r>
    </w:p>
    <w:p>
      <w:pPr>
        <w:spacing w:after="0" w:line="143" w:lineRule="exact"/>
        <w:rPr>
          <w:sz w:val="20"/>
          <w:szCs w:val="20"/>
          <w:color w:val="auto"/>
        </w:rPr>
      </w:pPr>
    </w:p>
    <w:p>
      <w:pPr>
        <w:jc w:val="both"/>
        <w:ind w:left="120" w:right="600"/>
        <w:spacing w:after="0" w:line="263" w:lineRule="auto"/>
        <w:rPr>
          <w:sz w:val="20"/>
          <w:szCs w:val="20"/>
          <w:color w:val="auto"/>
        </w:rPr>
      </w:pPr>
      <w:r>
        <w:rPr>
          <w:rFonts w:ascii="Arial" w:cs="Arial" w:eastAsia="Arial" w:hAnsi="Arial"/>
          <w:sz w:val="18"/>
          <w:szCs w:val="18"/>
          <w:color w:val="auto"/>
        </w:rPr>
        <w:t>References in this prospectus supplement to “$,” “dollars,” “USD” or “U.S. dollars” are to the lawful currency of the United States of America. References in this prospectus supplement to “€” or “euro” are to the single currency introduced at the third stage of the European Economic and Monetary Union pursuant to the Treaty establishing the European Community, as amended.</w:t>
      </w:r>
    </w:p>
    <w:p>
      <w:pPr>
        <w:spacing w:after="0" w:line="14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CONNECTION WITH THE ISSUE OF THE NOTES, BARCLAYS BANK PLC, IN ITS ROLE AS STABILIZING MANAGER (THE “STABILIZING MANAGER”) (OR PERSONS ACTING ON ITS BEHALF) MAY, TO THE EXTENT PERMITTED BY APPLICABLE LAWS AND DIRECTIVES, OVERALLOT THE NOTES OR EFFECT TRANSACTIONS WITH A VIEW TO SUPPORTING THE MARKET PRICE OF THE NOTES AT A LEVEL HIGHER THAN THAT WHICH MIGHT OTHERWISE PREVAIL. HOWEVER, THERE IS NO ASSURANCE THAT THE STABILIZING MANAGER (OR PERSONS ACTING ON BEHALF OF THE STABILIZING MANAGER) WILL UNDERTAKE ANY STABILIZATION ACTION. ANY STABILIZATION ACTION MAY BEGIN ON OR AFTER THE DATE ON WHICH ADEQUATE PUBLIC DISCLOSURE OF THE FINAL TERMS OF THE OFFER OF THE NOTES IS MADE, AND, IF BEGUN, MAY CEASE AT ANY TIME, BUT IT MUST END NO LATER THAN THE EARLIER OF 30 DAYS AFTER THE ISSUE OF THE NOTES AND 60 DAYS AFTER THE DATE OF THE ALLOTMENT OF THE NOTES. ANY STABILIZATION ACTION OR OVER-ALLOTMENT COMMENCED WILL BE CARRIED OUT IN ACCORDANCE WITH APPLICABLE LAWS AND REGULATIONS.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0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MIFID II product governance/Professional investors and ECPs only target market</w:t>
      </w:r>
    </w:p>
    <w:p>
      <w:pPr>
        <w:spacing w:after="0" w:line="18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the notes has led to the conclusion that: (i) the target market for the notes is eligible counterparties and professional clients only, each as defined in MiFID II;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8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communication of this prospectus supplement and the accompanying prospectus and any other document or materials relating to the issue of the notes offered hereby is not being made, and such documents and/or materials have not been approved, by an authorized person for the purposes of section 21 of the United Kingdom’s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Financial Services and Markets Act 2000, as amended (the “FSMA”). Accordingly, such documents and/or materials are not being distributed to, and must not be passed on to, the general public in the United Kingdom. The communication of such documents and/or materials as a financial promotion is only being made to and directed at persons outside the United Kingdom and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“Financial Promotion Order”)), or who fall within Article 49(2)(a) to (d) of the Financial Promotion Order, or who are any other persons to whom it may otherwise lawfully be made under the Financial Promotion Order (all such persons together being referred to as “relevant persons”). In the United Kingdom, the notes offered hereby are only available to, and any investment or investment activity to which this prospectus supplement and the accompanying prospectus relates will be engaged only with, relevant persons. Any person in the United Kingdom that is not a relevant person should not act or rely on this prospectus supplement and the accompanying prospectus or any of its contents. 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(11) of Article 4(1) of MiFID II as it forms part of domestic law by virtue of the European Union (Withdrawal) Act 2018 (“EUWA”);</w:t>
      </w:r>
    </w:p>
    <w:p>
      <w:pPr>
        <w:spacing w:after="0" w:line="3" w:lineRule="exact"/>
        <w:rPr>
          <w:sz w:val="20"/>
          <w:szCs w:val="20"/>
          <w:color w:val="auto"/>
        </w:rPr>
      </w:pPr>
    </w:p>
    <w:p>
      <w:pPr>
        <w:ind w:left="120" w:right="20" w:hanging="4"/>
        <w:spacing w:after="0" w:line="269" w:lineRule="auto"/>
        <w:tabs>
          <w:tab w:leader="none" w:pos="385" w:val="left"/>
        </w:tabs>
        <w:numPr>
          <w:ilvl w:val="0"/>
          <w:numId w:val="2"/>
        </w:numPr>
        <w:rPr>
          <w:rFonts w:ascii="Arial" w:cs="Arial" w:eastAsia="Arial" w:hAnsi="Arial"/>
          <w:sz w:val="17"/>
          <w:szCs w:val="17"/>
          <w:color w:val="auto"/>
        </w:rPr>
      </w:pPr>
      <w:r>
        <w:rPr>
          <w:rFonts w:ascii="Arial" w:cs="Arial" w:eastAsia="Arial" w:hAnsi="Arial"/>
          <w:sz w:val="17"/>
          <w:szCs w:val="17"/>
          <w:color w:val="auto"/>
        </w:rPr>
        <w:t>a customer within the meaning of the provisions of the Financial Services and Markets Act 2000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UK MIFIR product governance/Professional investors and ECPs only target market</w:t>
      </w:r>
    </w:p>
    <w:p>
      <w:pPr>
        <w:spacing w:after="0" w:line="18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the notes has led to the conclusion that: (i) the target market for the notes is only eligible counterparties, as defined in the FCA Handbook Conduct of Business Sourcebook (“COBS”) and professional clients, as defined in Regulation (EU) No 600/2014 as it forms part of domestic law by virtue of the European Union (Withdrawal) Act 2018 (“UK MiFIR”);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the FCA Handbook Product Intervention and Product Governance Sourcebook (the “UK MiFIR Product Governance Rules”) is responsible for undertaking its own target market assessment in respect of the notes (by either adopting or refining the manufacturer’s target market assessment) and determining appropriate distribution channels.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prospectus supplement incorporates by reference the documents of Comcast set forth below that we have previously filed with the SEC:</w:t>
      </w:r>
    </w:p>
    <w:p>
      <w:pPr>
        <w:spacing w:after="0" w:line="237" w:lineRule="exact"/>
        <w:rPr>
          <w:sz w:val="20"/>
          <w:szCs w:val="20"/>
          <w:color w:val="auto"/>
        </w:rPr>
      </w:pPr>
    </w:p>
    <w:p>
      <w:pPr>
        <w:ind w:left="980" w:hanging="43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Comcast’s Annual Report on </w:t>
      </w:r>
      <w:hyperlink r:id="rId1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on February 4, 2021;</w:t>
      </w:r>
    </w:p>
    <w:p>
      <w:pPr>
        <w:spacing w:after="0" w:line="225" w:lineRule="exact"/>
        <w:rPr>
          <w:rFonts w:ascii="Arial" w:cs="Arial" w:eastAsia="Arial" w:hAnsi="Arial"/>
          <w:sz w:val="18"/>
          <w:szCs w:val="18"/>
          <w:color w:val="auto"/>
        </w:rPr>
      </w:pPr>
    </w:p>
    <w:p>
      <w:pPr>
        <w:ind w:left="980" w:right="60" w:hanging="432"/>
        <w:spacing w:after="0" w:line="277" w:lineRule="auto"/>
        <w:tabs>
          <w:tab w:leader="none" w:pos="980" w:val="left"/>
        </w:tabs>
        <w:numPr>
          <w:ilvl w:val="0"/>
          <w:numId w:val="3"/>
        </w:numPr>
        <w:rPr>
          <w:rFonts w:ascii="Arial" w:cs="Arial" w:eastAsia="Arial" w:hAnsi="Arial"/>
          <w:sz w:val="18"/>
          <w:szCs w:val="18"/>
          <w:color w:val="0000EE"/>
        </w:rPr>
      </w:pPr>
      <w:hyperlink r:id="rId17">
        <w:r>
          <w:rPr>
            <w:rFonts w:ascii="Arial" w:cs="Arial" w:eastAsia="Arial" w:hAnsi="Arial"/>
            <w:sz w:val="18"/>
            <w:szCs w:val="18"/>
            <w:color w:val="auto"/>
          </w:rPr>
          <w:t xml:space="preserve">Comcast’s Quarterly Reports on Form 10-Q for the quarters ended March 31, 2021 and June 30, 2021, filed on </w:t>
        </w:r>
        <w:r>
          <w:rPr>
            <w:rFonts w:ascii="Arial" w:cs="Arial" w:eastAsia="Arial" w:hAnsi="Arial"/>
            <w:sz w:val="18"/>
            <w:szCs w:val="18"/>
            <w:u w:val="single" w:color="auto"/>
            <w:color w:val="0000EE"/>
          </w:rPr>
          <w:t>April 29, 2021</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July 29,</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2021</w:t>
        </w:r>
        <w:r>
          <w:rPr>
            <w:rFonts w:ascii="Arial" w:cs="Arial" w:eastAsia="Arial" w:hAnsi="Arial"/>
            <w:sz w:val="18"/>
            <w:szCs w:val="18"/>
            <w:color w:val="000000"/>
          </w:rPr>
          <w:t>, respectively;</w:t>
        </w:r>
      </w:hyperlink>
    </w:p>
    <w:p>
      <w:pPr>
        <w:spacing w:after="0" w:line="170" w:lineRule="exact"/>
        <w:rPr>
          <w:rFonts w:ascii="Arial" w:cs="Arial" w:eastAsia="Arial" w:hAnsi="Arial"/>
          <w:sz w:val="18"/>
          <w:szCs w:val="18"/>
          <w:color w:val="0000EE"/>
        </w:rPr>
      </w:pPr>
    </w:p>
    <w:p>
      <w:pPr>
        <w:ind w:left="980" w:right="40" w:hanging="43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Comcast’s Current Reports on Form 8-K and amendments thereto filed on </w:t>
      </w:r>
      <w:hyperlink r:id="rId18">
        <w:r>
          <w:rPr>
            <w:rFonts w:ascii="Arial" w:cs="Arial" w:eastAsia="Arial" w:hAnsi="Arial"/>
            <w:sz w:val="18"/>
            <w:szCs w:val="18"/>
            <w:u w:val="single" w:color="auto"/>
            <w:color w:val="0000EE"/>
          </w:rPr>
          <w:t>March 31, 2021</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June 4, 2021</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August 2, 2021</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August 17, 2021</w:t>
        </w:r>
      </w:hyperlink>
      <w:r>
        <w:rPr>
          <w:rFonts w:ascii="Arial" w:cs="Arial" w:eastAsia="Arial" w:hAnsi="Arial"/>
          <w:sz w:val="18"/>
          <w:szCs w:val="18"/>
          <w:color w:val="auto"/>
        </w:rPr>
        <w:t xml:space="preserve"> and </w:t>
      </w:r>
      <w:hyperlink r:id="rId22">
        <w:r>
          <w:rPr>
            <w:rFonts w:ascii="Arial" w:cs="Arial" w:eastAsia="Arial" w:hAnsi="Arial"/>
            <w:sz w:val="18"/>
            <w:szCs w:val="18"/>
            <w:u w:val="single" w:color="auto"/>
            <w:color w:val="0000EE"/>
          </w:rPr>
          <w:t>August 19, 2021</w:t>
        </w:r>
      </w:hyperlink>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980" w:right="500" w:hanging="43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sections of Comcast’s Definitive Proxy Statement on </w:t>
      </w:r>
      <w:hyperlink r:id="rId23">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2021 annual meeting of shareholders incorporated by reference in Comcast’s Annual Report on Form 10-K for the year ended December 31, 2020.</w:t>
      </w:r>
    </w:p>
    <w:p>
      <w:pPr>
        <w:spacing w:after="0" w:line="130" w:lineRule="exact"/>
        <w:rPr>
          <w:rFonts w:ascii="Arial" w:cs="Arial" w:eastAsia="Arial" w:hAnsi="Arial"/>
          <w:sz w:val="18"/>
          <w:szCs w:val="18"/>
          <w:color w:val="auto"/>
        </w:rPr>
      </w:pPr>
    </w:p>
    <w:p>
      <w:pPr>
        <w:ind w:left="120"/>
        <w:spacing w:after="0" w:line="293" w:lineRule="auto"/>
        <w:rPr>
          <w:sz w:val="20"/>
          <w:szCs w:val="20"/>
          <w:color w:val="auto"/>
        </w:rPr>
      </w:pPr>
      <w:r>
        <w:rPr>
          <w:rFonts w:ascii="Arial" w:cs="Arial" w:eastAsia="Arial" w:hAnsi="Arial"/>
          <w:sz w:val="16"/>
          <w:szCs w:val="16"/>
          <w:color w:val="auto"/>
        </w:rPr>
        <w:t>We also incorporate by reference into this prospectus supplement and the accompanying prospectus additional documents that we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97"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41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SUPPLEMENT SUMMARY</w:t>
      </w:r>
    </w:p>
    <w:p>
      <w:pPr>
        <w:spacing w:after="0" w:line="18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Companies</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Comcast Corporation</w:t>
      </w:r>
    </w:p>
    <w:p>
      <w:pPr>
        <w:spacing w:after="0" w:line="189" w:lineRule="exact"/>
        <w:rPr>
          <w:sz w:val="20"/>
          <w:szCs w:val="20"/>
          <w:color w:val="auto"/>
        </w:rPr>
      </w:pPr>
    </w:p>
    <w:p>
      <w:pPr>
        <w:ind w:left="300" w:right="40"/>
        <w:spacing w:after="0" w:line="311" w:lineRule="auto"/>
        <w:rPr>
          <w:sz w:val="20"/>
          <w:szCs w:val="20"/>
          <w:color w:val="auto"/>
        </w:rPr>
      </w:pPr>
      <w:r>
        <w:rPr>
          <w:rFonts w:ascii="Arial" w:cs="Arial" w:eastAsia="Arial" w:hAnsi="Arial"/>
          <w:sz w:val="16"/>
          <w:szCs w:val="16"/>
          <w:color w:val="auto"/>
        </w:rPr>
        <w:t>We are a global media and technology company with three primary businesses: Comcast Cable, NBCUniversal and Sky. We present our operations for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line="145" w:lineRule="exact"/>
        <w:rPr>
          <w:sz w:val="20"/>
          <w:szCs w:val="20"/>
          <w:color w:val="auto"/>
        </w:rPr>
      </w:pPr>
    </w:p>
    <w:p>
      <w:pPr>
        <w:jc w:val="both"/>
        <w:ind w:left="1120" w:right="600" w:hanging="403"/>
        <w:spacing w:after="0" w:line="266"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a leading provider of broadband, video, voice,</w:t>
      </w:r>
      <w:r>
        <w:rPr>
          <w:rFonts w:ascii="Arial" w:cs="Arial" w:eastAsia="Arial" w:hAnsi="Arial"/>
          <w:sz w:val="18"/>
          <w:szCs w:val="18"/>
          <w:b w:val="1"/>
          <w:bCs w:val="1"/>
          <w:color w:val="auto"/>
        </w:rPr>
        <w:t xml:space="preserve"> </w:t>
      </w:r>
      <w:r>
        <w:rPr>
          <w:rFonts w:ascii="Arial" w:cs="Arial" w:eastAsia="Arial" w:hAnsi="Arial"/>
          <w:sz w:val="18"/>
          <w:szCs w:val="18"/>
          <w:color w:val="auto"/>
        </w:rPr>
        <w:t>wireless, and security and automation services to residential customers under the Xfinity brand; we also provide these and other services to business customers and sell advertising.</w:t>
      </w:r>
    </w:p>
    <w:p>
      <w:pPr>
        <w:spacing w:after="0" w:line="175" w:lineRule="exact"/>
        <w:rPr>
          <w:rFonts w:ascii="Arial" w:cs="Arial" w:eastAsia="Arial" w:hAnsi="Arial"/>
          <w:sz w:val="18"/>
          <w:szCs w:val="18"/>
          <w:color w:val="auto"/>
        </w:rPr>
      </w:pPr>
    </w:p>
    <w:p>
      <w:pPr>
        <w:jc w:val="both"/>
        <w:ind w:left="1120" w:right="160" w:hanging="403"/>
        <w:spacing w:after="0" w:line="266"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Media: </w:t>
      </w:r>
      <w:r>
        <w:rPr>
          <w:rFonts w:ascii="Arial" w:cs="Arial" w:eastAsia="Arial" w:hAnsi="Arial"/>
          <w:sz w:val="18"/>
          <w:szCs w:val="18"/>
          <w:color w:val="auto"/>
        </w:rPr>
        <w:t>Consists primarily of NBCUniversal’s television and streaming platforms, including national, regional and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the NBC and Telemundo broadcast networks; NBC and Telemundo owned local broadcast television stations; Peacock, our direct-to-consumer streaming service; and various digital properties.</w:t>
      </w:r>
    </w:p>
    <w:p>
      <w:pPr>
        <w:spacing w:after="0" w:line="175" w:lineRule="exact"/>
        <w:rPr>
          <w:rFonts w:ascii="Arial" w:cs="Arial" w:eastAsia="Arial" w:hAnsi="Arial"/>
          <w:sz w:val="18"/>
          <w:szCs w:val="18"/>
          <w:color w:val="auto"/>
        </w:rPr>
      </w:pPr>
    </w:p>
    <w:p>
      <w:pPr>
        <w:ind w:left="1120" w:hanging="403"/>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Studios: </w:t>
      </w:r>
      <w:r>
        <w:rPr>
          <w:rFonts w:ascii="Arial" w:cs="Arial" w:eastAsia="Arial" w:hAnsi="Arial"/>
          <w:sz w:val="18"/>
          <w:szCs w:val="18"/>
          <w:color w:val="auto"/>
        </w:rPr>
        <w:t>Consists primarily of NBCUniversal’s film and television studio production and distribution operations.</w:t>
      </w:r>
    </w:p>
    <w:p>
      <w:pPr>
        <w:spacing w:after="0" w:line="225" w:lineRule="exact"/>
        <w:rPr>
          <w:rFonts w:ascii="Arial" w:cs="Arial" w:eastAsia="Arial" w:hAnsi="Arial"/>
          <w:sz w:val="18"/>
          <w:szCs w:val="18"/>
          <w:color w:val="auto"/>
        </w:rPr>
      </w:pPr>
    </w:p>
    <w:p>
      <w:pPr>
        <w:ind w:left="1120" w:right="460" w:hanging="403"/>
        <w:spacing w:after="0" w:line="266"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we are developing a theme park in Beijing, China along with a consortium of Chinese state-owned companies, and an additional theme park in Orlando, Florida.</w:t>
      </w:r>
    </w:p>
    <w:p>
      <w:pPr>
        <w:spacing w:after="0" w:line="175" w:lineRule="exact"/>
        <w:rPr>
          <w:rFonts w:ascii="Arial" w:cs="Arial" w:eastAsia="Arial" w:hAnsi="Arial"/>
          <w:sz w:val="18"/>
          <w:szCs w:val="18"/>
          <w:color w:val="auto"/>
        </w:rPr>
      </w:pPr>
    </w:p>
    <w:p>
      <w:pPr>
        <w:jc w:val="both"/>
        <w:ind w:left="1120" w:right="440" w:hanging="403"/>
        <w:spacing w:after="0" w:line="266"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One of Europe’s leading entertainment companies, which primarily includes a direct-to-consumer business, providing video,</w:t>
      </w:r>
      <w:r>
        <w:rPr>
          <w:rFonts w:ascii="Arial" w:cs="Arial" w:eastAsia="Arial" w:hAnsi="Arial"/>
          <w:sz w:val="18"/>
          <w:szCs w:val="18"/>
          <w:b w:val="1"/>
          <w:bCs w:val="1"/>
          <w:color w:val="auto"/>
        </w:rPr>
        <w:t xml:space="preserve"> </w:t>
      </w:r>
      <w:r>
        <w:rPr>
          <w:rFonts w:ascii="Arial" w:cs="Arial" w:eastAsia="Arial" w:hAnsi="Arial"/>
          <w:sz w:val="18"/>
          <w:szCs w:val="18"/>
          <w:color w:val="auto"/>
        </w:rPr>
        <w:t>broadband, voice and wireless phone services, and a content business, operating entertainment networks, the Sky News broadcast network and Sky Sports networks.</w:t>
      </w:r>
    </w:p>
    <w:p>
      <w:pPr>
        <w:spacing w:after="0" w:line="139" w:lineRule="exact"/>
        <w:rPr>
          <w:sz w:val="20"/>
          <w:szCs w:val="20"/>
          <w:color w:val="auto"/>
        </w:rPr>
      </w:pPr>
    </w:p>
    <w:p>
      <w:pPr>
        <w:ind w:left="300" w:right="360"/>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143" w:lineRule="exact"/>
        <w:rPr>
          <w:sz w:val="20"/>
          <w:szCs w:val="20"/>
          <w:color w:val="auto"/>
        </w:rPr>
      </w:pPr>
    </w:p>
    <w:p>
      <w:pPr>
        <w:ind w:left="300" w:right="100"/>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“Available Information” in this prospectus supplement.</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ind w:left="300" w:right="80" w:hanging="2"/>
        <w:spacing w:after="0" w:line="260"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Guarantors</w:t>
      </w:r>
    </w:p>
    <w:p>
      <w:pPr>
        <w:spacing w:after="0" w:line="189"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and NBCUniversal Media, LLC. In this prospectus supplement, we refer to these guarantors as the guarantors and to these guarantees as the guarantees.</w:t>
      </w:r>
    </w:p>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504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998970" cy="15043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225" w:lineRule="exact"/>
        <w:rPr>
          <w:sz w:val="20"/>
          <w:szCs w:val="20"/>
          <w:color w:val="auto"/>
        </w:rPr>
      </w:pPr>
    </w:p>
    <w:p>
      <w:pPr>
        <w:ind w:left="1120" w:right="60" w:hanging="403"/>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170" w:lineRule="exact"/>
        <w:rPr>
          <w:rFonts w:ascii="Arial" w:cs="Arial" w:eastAsia="Arial" w:hAnsi="Arial"/>
          <w:sz w:val="18"/>
          <w:szCs w:val="18"/>
          <w:color w:val="auto"/>
        </w:rPr>
      </w:pPr>
    </w:p>
    <w:p>
      <w:pPr>
        <w:ind w:left="1120" w:hanging="403"/>
        <w:spacing w:after="0"/>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08"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Comcast Cable’s principal place of business is One Comcast Center, Philadelphia, Pennsylvania 19103-2838. NBCUniversal’s principal executive offices are located at 30 Rockefeller Plaza, New York, New York 10112-0015.</w:t>
      </w:r>
    </w:p>
    <w:p>
      <w:pPr>
        <w:spacing w:after="0" w:line="37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820"/>
          </w:cols>
          <w:pgMar w:left="320" w:top="459" w:right="7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50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6998970" cy="67506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80" w:type="dxa"/>
            <w:vAlign w:val="bottom"/>
            <w:gridSpan w:val="2"/>
          </w:tcPr>
          <w:p>
            <w:pPr>
              <w:ind w:left="340"/>
              <w:spacing w:after="0"/>
              <w:rPr>
                <w:sz w:val="20"/>
                <w:szCs w:val="20"/>
                <w:color w:val="auto"/>
              </w:rPr>
            </w:pPr>
            <w:r>
              <w:rPr>
                <w:rFonts w:ascii="Arial" w:cs="Arial" w:eastAsia="Arial" w:hAnsi="Arial"/>
                <w:sz w:val="18"/>
                <w:szCs w:val="18"/>
                <w:b w:val="1"/>
                <w:bCs w:val="1"/>
                <w:color w:val="auto"/>
              </w:rPr>
              <w:t>The Offering</w:t>
            </w: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Issuer</w:t>
            </w:r>
          </w:p>
        </w:tc>
        <w:tc>
          <w:tcPr>
            <w:tcW w:w="3100" w:type="dxa"/>
            <w:vAlign w:val="bottom"/>
            <w:gridSpan w:val="3"/>
          </w:tcPr>
          <w:p>
            <w:pPr>
              <w:ind w:left="980"/>
              <w:spacing w:after="0"/>
              <w:rPr>
                <w:sz w:val="20"/>
                <w:szCs w:val="20"/>
                <w:color w:val="auto"/>
              </w:rPr>
            </w:pPr>
            <w:r>
              <w:rPr>
                <w:rFonts w:ascii="Arial" w:cs="Arial" w:eastAsia="Arial" w:hAnsi="Arial"/>
                <w:sz w:val="18"/>
                <w:szCs w:val="18"/>
                <w:color w:val="auto"/>
              </w:rPr>
              <w:t>Comcast Corporation.</w:t>
            </w: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45"/>
        </w:trPr>
        <w:tc>
          <w:tcPr>
            <w:tcW w:w="3060" w:type="dxa"/>
            <w:vAlign w:val="bottom"/>
          </w:tcPr>
          <w:p>
            <w:pPr>
              <w:spacing w:after="0"/>
              <w:rPr>
                <w:sz w:val="20"/>
                <w:szCs w:val="20"/>
                <w:color w:val="auto"/>
              </w:rPr>
            </w:pPr>
            <w:r>
              <w:rPr>
                <w:rFonts w:ascii="Arial" w:cs="Arial" w:eastAsia="Arial" w:hAnsi="Arial"/>
                <w:sz w:val="18"/>
                <w:szCs w:val="18"/>
                <w:color w:val="auto"/>
              </w:rPr>
              <w:t>Securities Offered</w:t>
            </w:r>
          </w:p>
        </w:tc>
        <w:tc>
          <w:tcPr>
            <w:tcW w:w="1420" w:type="dxa"/>
            <w:vAlign w:val="bottom"/>
          </w:tcPr>
          <w:p>
            <w:pPr>
              <w:ind w:left="980"/>
              <w:spacing w:after="0"/>
              <w:rPr>
                <w:sz w:val="20"/>
                <w:szCs w:val="20"/>
                <w:color w:val="auto"/>
              </w:rPr>
            </w:pPr>
            <w:r>
              <w:rPr>
                <w:rFonts w:ascii="Arial" w:cs="Arial" w:eastAsia="Arial" w:hAnsi="Arial"/>
                <w:sz w:val="18"/>
                <w:szCs w:val="18"/>
                <w:color w:val="auto"/>
              </w:rPr>
              <w:t>€</w:t>
            </w:r>
          </w:p>
        </w:tc>
        <w:tc>
          <w:tcPr>
            <w:tcW w:w="2780" w:type="dxa"/>
            <w:vAlign w:val="bottom"/>
            <w:gridSpan w:val="3"/>
          </w:tcPr>
          <w:p>
            <w:pPr>
              <w:jc w:val="right"/>
              <w:ind w:right="110"/>
              <w:spacing w:after="0"/>
              <w:rPr>
                <w:sz w:val="20"/>
                <w:szCs w:val="20"/>
                <w:color w:val="auto"/>
              </w:rPr>
            </w:pPr>
            <w:r>
              <w:rPr>
                <w:rFonts w:ascii="Arial" w:cs="Arial" w:eastAsia="Arial" w:hAnsi="Arial"/>
                <w:sz w:val="18"/>
                <w:szCs w:val="18"/>
                <w:color w:val="auto"/>
              </w:rPr>
              <w:t>aggregate principal amount of</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 Notes due 20  .</w:t>
            </w:r>
          </w:p>
        </w:tc>
      </w:tr>
      <w:tr>
        <w:trPr>
          <w:trHeight w:val="446"/>
        </w:trPr>
        <w:tc>
          <w:tcPr>
            <w:tcW w:w="3060" w:type="dxa"/>
            <w:vAlign w:val="bottom"/>
          </w:tcPr>
          <w:p>
            <w:pPr>
              <w:spacing w:after="0"/>
              <w:rPr>
                <w:sz w:val="24"/>
                <w:szCs w:val="24"/>
                <w:color w:val="auto"/>
              </w:rPr>
            </w:pPr>
          </w:p>
        </w:tc>
        <w:tc>
          <w:tcPr>
            <w:tcW w:w="1420" w:type="dxa"/>
            <w:vAlign w:val="bottom"/>
          </w:tcPr>
          <w:p>
            <w:pPr>
              <w:ind w:left="980"/>
              <w:spacing w:after="0"/>
              <w:rPr>
                <w:sz w:val="20"/>
                <w:szCs w:val="20"/>
                <w:color w:val="auto"/>
              </w:rPr>
            </w:pPr>
            <w:r>
              <w:rPr>
                <w:rFonts w:ascii="Arial" w:cs="Arial" w:eastAsia="Arial" w:hAnsi="Arial"/>
                <w:sz w:val="18"/>
                <w:szCs w:val="18"/>
                <w:color w:val="auto"/>
              </w:rPr>
              <w:t>€</w:t>
            </w:r>
          </w:p>
        </w:tc>
        <w:tc>
          <w:tcPr>
            <w:tcW w:w="2780" w:type="dxa"/>
            <w:vAlign w:val="bottom"/>
            <w:gridSpan w:val="3"/>
          </w:tcPr>
          <w:p>
            <w:pPr>
              <w:jc w:val="right"/>
              <w:ind w:right="110"/>
              <w:spacing w:after="0"/>
              <w:rPr>
                <w:sz w:val="20"/>
                <w:szCs w:val="20"/>
                <w:color w:val="auto"/>
              </w:rPr>
            </w:pPr>
            <w:r>
              <w:rPr>
                <w:rFonts w:ascii="Arial" w:cs="Arial" w:eastAsia="Arial" w:hAnsi="Arial"/>
                <w:sz w:val="18"/>
                <w:szCs w:val="18"/>
                <w:color w:val="auto"/>
              </w:rPr>
              <w:t>aggregate principal amount of</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 Notes due 20   .</w:t>
            </w: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Maturity</w:t>
            </w:r>
          </w:p>
        </w:tc>
        <w:tc>
          <w:tcPr>
            <w:tcW w:w="2360" w:type="dxa"/>
            <w:vAlign w:val="bottom"/>
            <w:gridSpan w:val="2"/>
          </w:tcPr>
          <w:p>
            <w:pPr>
              <w:ind w:left="980"/>
              <w:spacing w:after="0"/>
              <w:rPr>
                <w:sz w:val="20"/>
                <w:szCs w:val="20"/>
                <w:color w:val="auto"/>
              </w:rPr>
            </w:pPr>
            <w:r>
              <w:rPr>
                <w:rFonts w:ascii="Arial" w:cs="Arial" w:eastAsia="Arial" w:hAnsi="Arial"/>
                <w:sz w:val="18"/>
                <w:szCs w:val="18"/>
                <w:color w:val="auto"/>
                <w:w w:val="95"/>
              </w:rPr>
              <w:t>The Notes due 20</w:t>
            </w:r>
          </w:p>
        </w:tc>
        <w:tc>
          <w:tcPr>
            <w:tcW w:w="1840" w:type="dxa"/>
            <w:vAlign w:val="bottom"/>
            <w:gridSpan w:val="2"/>
          </w:tcPr>
          <w:p>
            <w:pPr>
              <w:jc w:val="right"/>
              <w:ind w:right="590"/>
              <w:spacing w:after="0"/>
              <w:rPr>
                <w:sz w:val="20"/>
                <w:szCs w:val="20"/>
                <w:color w:val="auto"/>
              </w:rPr>
            </w:pPr>
            <w:r>
              <w:rPr>
                <w:rFonts w:ascii="Arial" w:cs="Arial" w:eastAsia="Arial" w:hAnsi="Arial"/>
                <w:sz w:val="18"/>
                <w:szCs w:val="18"/>
                <w:color w:val="auto"/>
              </w:rPr>
              <w:t>will mature on</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 20   .</w:t>
            </w:r>
          </w:p>
        </w:tc>
        <w:tc>
          <w:tcPr>
            <w:tcW w:w="2480" w:type="dxa"/>
            <w:vAlign w:val="bottom"/>
          </w:tcPr>
          <w:p>
            <w:pPr>
              <w:spacing w:after="0"/>
              <w:rPr>
                <w:sz w:val="24"/>
                <w:szCs w:val="24"/>
                <w:color w:val="auto"/>
              </w:rPr>
            </w:pPr>
          </w:p>
        </w:tc>
      </w:tr>
      <w:tr>
        <w:trPr>
          <w:trHeight w:val="446"/>
        </w:trPr>
        <w:tc>
          <w:tcPr>
            <w:tcW w:w="3060" w:type="dxa"/>
            <w:vAlign w:val="bottom"/>
          </w:tcPr>
          <w:p>
            <w:pPr>
              <w:spacing w:after="0"/>
              <w:rPr>
                <w:sz w:val="24"/>
                <w:szCs w:val="24"/>
                <w:color w:val="auto"/>
              </w:rPr>
            </w:pPr>
          </w:p>
        </w:tc>
        <w:tc>
          <w:tcPr>
            <w:tcW w:w="2360" w:type="dxa"/>
            <w:vAlign w:val="bottom"/>
            <w:gridSpan w:val="2"/>
          </w:tcPr>
          <w:p>
            <w:pPr>
              <w:ind w:left="980"/>
              <w:spacing w:after="0"/>
              <w:rPr>
                <w:sz w:val="20"/>
                <w:szCs w:val="20"/>
                <w:color w:val="auto"/>
              </w:rPr>
            </w:pPr>
            <w:r>
              <w:rPr>
                <w:rFonts w:ascii="Arial" w:cs="Arial" w:eastAsia="Arial" w:hAnsi="Arial"/>
                <w:sz w:val="18"/>
                <w:szCs w:val="18"/>
                <w:color w:val="auto"/>
                <w:w w:val="95"/>
              </w:rPr>
              <w:t>The Notes due 20</w:t>
            </w:r>
          </w:p>
        </w:tc>
        <w:tc>
          <w:tcPr>
            <w:tcW w:w="1840" w:type="dxa"/>
            <w:vAlign w:val="bottom"/>
            <w:gridSpan w:val="2"/>
          </w:tcPr>
          <w:p>
            <w:pPr>
              <w:jc w:val="right"/>
              <w:ind w:right="590"/>
              <w:spacing w:after="0"/>
              <w:rPr>
                <w:sz w:val="20"/>
                <w:szCs w:val="20"/>
                <w:color w:val="auto"/>
              </w:rPr>
            </w:pPr>
            <w:r>
              <w:rPr>
                <w:rFonts w:ascii="Arial" w:cs="Arial" w:eastAsia="Arial" w:hAnsi="Arial"/>
                <w:sz w:val="18"/>
                <w:szCs w:val="18"/>
                <w:color w:val="auto"/>
              </w:rPr>
              <w:t>will mature on</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 20   .</w:t>
            </w:r>
          </w:p>
        </w:tc>
        <w:tc>
          <w:tcPr>
            <w:tcW w:w="2480" w:type="dxa"/>
            <w:vAlign w:val="bottom"/>
          </w:tcPr>
          <w:p>
            <w:pPr>
              <w:spacing w:after="0"/>
              <w:rPr>
                <w:sz w:val="24"/>
                <w:szCs w:val="24"/>
                <w:color w:val="auto"/>
              </w:rPr>
            </w:pPr>
          </w:p>
        </w:tc>
      </w:tr>
      <w:tr>
        <w:trPr>
          <w:trHeight w:val="418"/>
        </w:trPr>
        <w:tc>
          <w:tcPr>
            <w:tcW w:w="3060" w:type="dxa"/>
            <w:vAlign w:val="bottom"/>
          </w:tcPr>
          <w:p>
            <w:pPr>
              <w:spacing w:after="0"/>
              <w:rPr>
                <w:sz w:val="20"/>
                <w:szCs w:val="20"/>
                <w:color w:val="auto"/>
              </w:rPr>
            </w:pPr>
            <w:r>
              <w:rPr>
                <w:rFonts w:ascii="Arial" w:cs="Arial" w:eastAsia="Arial" w:hAnsi="Arial"/>
                <w:sz w:val="18"/>
                <w:szCs w:val="18"/>
                <w:color w:val="auto"/>
              </w:rPr>
              <w:t>Interest</w:t>
            </w:r>
          </w:p>
        </w:tc>
        <w:tc>
          <w:tcPr>
            <w:tcW w:w="3100" w:type="dxa"/>
            <w:vAlign w:val="bottom"/>
            <w:gridSpan w:val="3"/>
          </w:tcPr>
          <w:p>
            <w:pPr>
              <w:ind w:left="980"/>
              <w:spacing w:after="0"/>
              <w:rPr>
                <w:sz w:val="20"/>
                <w:szCs w:val="20"/>
                <w:color w:val="auto"/>
              </w:rPr>
            </w:pPr>
            <w:r>
              <w:rPr>
                <w:rFonts w:ascii="Arial" w:cs="Arial" w:eastAsia="Arial" w:hAnsi="Arial"/>
                <w:sz w:val="18"/>
                <w:szCs w:val="18"/>
                <w:color w:val="auto"/>
                <w:w w:val="92"/>
              </w:rPr>
              <w:t>Interest on the Notes due 20</w:t>
            </w:r>
          </w:p>
        </w:tc>
        <w:tc>
          <w:tcPr>
            <w:tcW w:w="200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will accrue at the rate of</w:t>
            </w:r>
          </w:p>
        </w:tc>
        <w:tc>
          <w:tcPr>
            <w:tcW w:w="2480" w:type="dxa"/>
            <w:vAlign w:val="bottom"/>
          </w:tcPr>
          <w:p>
            <w:pPr>
              <w:ind w:left="100"/>
              <w:spacing w:after="0"/>
              <w:rPr>
                <w:sz w:val="20"/>
                <w:szCs w:val="20"/>
                <w:color w:val="auto"/>
              </w:rPr>
            </w:pPr>
            <w:r>
              <w:rPr>
                <w:rFonts w:ascii="Arial" w:cs="Arial" w:eastAsia="Arial" w:hAnsi="Arial"/>
                <w:sz w:val="18"/>
                <w:szCs w:val="18"/>
                <w:color w:val="auto"/>
                <w:w w:val="93"/>
              </w:rPr>
              <w:t>% per year, payable annually in</w:t>
            </w:r>
          </w:p>
        </w:tc>
      </w:tr>
      <w:tr>
        <w:trPr>
          <w:trHeight w:val="230"/>
        </w:trPr>
        <w:tc>
          <w:tcPr>
            <w:tcW w:w="3060" w:type="dxa"/>
            <w:vAlign w:val="bottom"/>
          </w:tcPr>
          <w:p>
            <w:pPr>
              <w:spacing w:after="0"/>
              <w:rPr>
                <w:sz w:val="20"/>
                <w:szCs w:val="20"/>
                <w:color w:val="auto"/>
              </w:rPr>
            </w:pPr>
          </w:p>
        </w:tc>
        <w:tc>
          <w:tcPr>
            <w:tcW w:w="2360" w:type="dxa"/>
            <w:vAlign w:val="bottom"/>
            <w:gridSpan w:val="2"/>
          </w:tcPr>
          <w:p>
            <w:pPr>
              <w:ind w:left="980"/>
              <w:spacing w:after="0"/>
              <w:rPr>
                <w:sz w:val="20"/>
                <w:szCs w:val="20"/>
                <w:color w:val="auto"/>
              </w:rPr>
            </w:pPr>
            <w:r>
              <w:rPr>
                <w:rFonts w:ascii="Arial" w:cs="Arial" w:eastAsia="Arial" w:hAnsi="Arial"/>
                <w:sz w:val="18"/>
                <w:szCs w:val="18"/>
                <w:color w:val="auto"/>
                <w:w w:val="94"/>
              </w:rPr>
              <w:t>cash in arrears on</w:t>
            </w:r>
          </w:p>
        </w:tc>
        <w:tc>
          <w:tcPr>
            <w:tcW w:w="74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99"/>
              </w:rPr>
              <w:t>, beginning</w:t>
            </w:r>
          </w:p>
        </w:tc>
        <w:tc>
          <w:tcPr>
            <w:tcW w:w="3380" w:type="dxa"/>
            <w:vAlign w:val="bottom"/>
            <w:gridSpan w:val="2"/>
          </w:tcPr>
          <w:p>
            <w:pPr>
              <w:jc w:val="right"/>
              <w:ind w:right="1970"/>
              <w:spacing w:after="0"/>
              <w:rPr>
                <w:sz w:val="20"/>
                <w:szCs w:val="20"/>
                <w:color w:val="auto"/>
              </w:rPr>
            </w:pPr>
            <w:r>
              <w:rPr>
                <w:rFonts w:ascii="Arial" w:cs="Arial" w:eastAsia="Arial" w:hAnsi="Arial"/>
                <w:sz w:val="18"/>
                <w:szCs w:val="18"/>
                <w:color w:val="auto"/>
              </w:rPr>
              <w:t>, 20   .</w:t>
            </w:r>
          </w:p>
        </w:tc>
      </w:tr>
      <w:tr>
        <w:trPr>
          <w:trHeight w:val="418"/>
        </w:trPr>
        <w:tc>
          <w:tcPr>
            <w:tcW w:w="3060" w:type="dxa"/>
            <w:vAlign w:val="bottom"/>
          </w:tcPr>
          <w:p>
            <w:pPr>
              <w:spacing w:after="0"/>
              <w:rPr>
                <w:sz w:val="24"/>
                <w:szCs w:val="24"/>
                <w:color w:val="auto"/>
              </w:rPr>
            </w:pPr>
          </w:p>
        </w:tc>
        <w:tc>
          <w:tcPr>
            <w:tcW w:w="3100" w:type="dxa"/>
            <w:vAlign w:val="bottom"/>
            <w:gridSpan w:val="3"/>
          </w:tcPr>
          <w:p>
            <w:pPr>
              <w:ind w:left="980"/>
              <w:spacing w:after="0"/>
              <w:rPr>
                <w:sz w:val="20"/>
                <w:szCs w:val="20"/>
                <w:color w:val="auto"/>
              </w:rPr>
            </w:pPr>
            <w:r>
              <w:rPr>
                <w:rFonts w:ascii="Arial" w:cs="Arial" w:eastAsia="Arial" w:hAnsi="Arial"/>
                <w:sz w:val="18"/>
                <w:szCs w:val="18"/>
                <w:color w:val="auto"/>
                <w:w w:val="92"/>
              </w:rPr>
              <w:t>Interest on the Notes due 20</w:t>
            </w:r>
          </w:p>
        </w:tc>
        <w:tc>
          <w:tcPr>
            <w:tcW w:w="200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will accrue at the rate of</w:t>
            </w:r>
          </w:p>
        </w:tc>
        <w:tc>
          <w:tcPr>
            <w:tcW w:w="2480" w:type="dxa"/>
            <w:vAlign w:val="bottom"/>
          </w:tcPr>
          <w:p>
            <w:pPr>
              <w:ind w:left="100"/>
              <w:spacing w:after="0"/>
              <w:rPr>
                <w:sz w:val="20"/>
                <w:szCs w:val="20"/>
                <w:color w:val="auto"/>
              </w:rPr>
            </w:pPr>
            <w:r>
              <w:rPr>
                <w:rFonts w:ascii="Arial" w:cs="Arial" w:eastAsia="Arial" w:hAnsi="Arial"/>
                <w:sz w:val="18"/>
                <w:szCs w:val="18"/>
                <w:color w:val="auto"/>
                <w:w w:val="93"/>
              </w:rPr>
              <w:t>% per year, payable annually in</w:t>
            </w:r>
          </w:p>
        </w:tc>
      </w:tr>
      <w:tr>
        <w:trPr>
          <w:trHeight w:val="230"/>
        </w:trPr>
        <w:tc>
          <w:tcPr>
            <w:tcW w:w="3060" w:type="dxa"/>
            <w:vAlign w:val="bottom"/>
          </w:tcPr>
          <w:p>
            <w:pPr>
              <w:spacing w:after="0"/>
              <w:rPr>
                <w:sz w:val="20"/>
                <w:szCs w:val="20"/>
                <w:color w:val="auto"/>
              </w:rPr>
            </w:pPr>
          </w:p>
        </w:tc>
        <w:tc>
          <w:tcPr>
            <w:tcW w:w="2360" w:type="dxa"/>
            <w:vAlign w:val="bottom"/>
            <w:gridSpan w:val="2"/>
          </w:tcPr>
          <w:p>
            <w:pPr>
              <w:ind w:left="980"/>
              <w:spacing w:after="0"/>
              <w:rPr>
                <w:sz w:val="20"/>
                <w:szCs w:val="20"/>
                <w:color w:val="auto"/>
              </w:rPr>
            </w:pPr>
            <w:r>
              <w:rPr>
                <w:rFonts w:ascii="Arial" w:cs="Arial" w:eastAsia="Arial" w:hAnsi="Arial"/>
                <w:sz w:val="18"/>
                <w:szCs w:val="18"/>
                <w:color w:val="auto"/>
                <w:w w:val="94"/>
              </w:rPr>
              <w:t>cash in arrears on</w:t>
            </w:r>
          </w:p>
        </w:tc>
        <w:tc>
          <w:tcPr>
            <w:tcW w:w="74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99"/>
              </w:rPr>
              <w:t>, beginning</w:t>
            </w:r>
          </w:p>
        </w:tc>
        <w:tc>
          <w:tcPr>
            <w:tcW w:w="3380" w:type="dxa"/>
            <w:vAlign w:val="bottom"/>
            <w:gridSpan w:val="2"/>
          </w:tcPr>
          <w:p>
            <w:pPr>
              <w:jc w:val="right"/>
              <w:ind w:right="2010"/>
              <w:spacing w:after="0"/>
              <w:rPr>
                <w:sz w:val="20"/>
                <w:szCs w:val="20"/>
                <w:color w:val="auto"/>
              </w:rPr>
            </w:pPr>
            <w:r>
              <w:rPr>
                <w:rFonts w:ascii="Arial" w:cs="Arial" w:eastAsia="Arial" w:hAnsi="Arial"/>
                <w:sz w:val="18"/>
                <w:szCs w:val="18"/>
                <w:color w:val="auto"/>
              </w:rPr>
              <w:t>, 20   .</w:t>
            </w:r>
          </w:p>
        </w:tc>
      </w:tr>
      <w:tr>
        <w:trPr>
          <w:trHeight w:val="418"/>
        </w:trPr>
        <w:tc>
          <w:tcPr>
            <w:tcW w:w="3060" w:type="dxa"/>
            <w:vAlign w:val="bottom"/>
          </w:tcPr>
          <w:p>
            <w:pPr>
              <w:spacing w:after="0"/>
              <w:rPr>
                <w:sz w:val="20"/>
                <w:szCs w:val="20"/>
                <w:color w:val="auto"/>
              </w:rPr>
            </w:pPr>
            <w:r>
              <w:rPr>
                <w:rFonts w:ascii="Arial" w:cs="Arial" w:eastAsia="Arial" w:hAnsi="Arial"/>
                <w:sz w:val="18"/>
                <w:szCs w:val="18"/>
                <w:color w:val="auto"/>
              </w:rPr>
              <w:t>Currency of Payments</w:t>
            </w:r>
          </w:p>
        </w:tc>
        <w:tc>
          <w:tcPr>
            <w:tcW w:w="7580" w:type="dxa"/>
            <w:vAlign w:val="bottom"/>
            <w:gridSpan w:val="6"/>
          </w:tcPr>
          <w:p>
            <w:pPr>
              <w:ind w:left="980"/>
              <w:spacing w:after="0"/>
              <w:rPr>
                <w:sz w:val="20"/>
                <w:szCs w:val="20"/>
                <w:color w:val="auto"/>
              </w:rPr>
            </w:pPr>
            <w:r>
              <w:rPr>
                <w:rFonts w:ascii="Arial" w:cs="Arial" w:eastAsia="Arial" w:hAnsi="Arial"/>
                <w:sz w:val="18"/>
                <w:szCs w:val="18"/>
                <w:color w:val="auto"/>
                <w:w w:val="92"/>
              </w:rPr>
              <w:t>All payments of principal of, and premium, if any, and interest on, the notes, including any</w:t>
            </w:r>
          </w:p>
        </w:tc>
      </w:tr>
      <w:tr>
        <w:trPr>
          <w:trHeight w:val="230"/>
        </w:trPr>
        <w:tc>
          <w:tcPr>
            <w:tcW w:w="3060" w:type="dxa"/>
            <w:vAlign w:val="bottom"/>
          </w:tcPr>
          <w:p>
            <w:pPr>
              <w:spacing w:after="0"/>
              <w:rPr>
                <w:sz w:val="20"/>
                <w:szCs w:val="20"/>
                <w:color w:val="auto"/>
              </w:rPr>
            </w:pPr>
          </w:p>
        </w:tc>
        <w:tc>
          <w:tcPr>
            <w:tcW w:w="7580" w:type="dxa"/>
            <w:vAlign w:val="bottom"/>
            <w:gridSpan w:val="6"/>
          </w:tcPr>
          <w:p>
            <w:pPr>
              <w:ind w:left="980"/>
              <w:spacing w:after="0"/>
              <w:rPr>
                <w:sz w:val="20"/>
                <w:szCs w:val="20"/>
                <w:color w:val="auto"/>
              </w:rPr>
            </w:pPr>
            <w:r>
              <w:rPr>
                <w:rFonts w:ascii="Arial" w:cs="Arial" w:eastAsia="Arial" w:hAnsi="Arial"/>
                <w:sz w:val="18"/>
                <w:szCs w:val="18"/>
                <w:color w:val="auto"/>
                <w:w w:val="95"/>
              </w:rPr>
              <w:t>payments made upon any redemption or repurchase of the notes, will be made in euro.</w:t>
            </w:r>
          </w:p>
        </w:tc>
      </w:tr>
      <w:tr>
        <w:trPr>
          <w:trHeight w:val="377"/>
        </w:trPr>
        <w:tc>
          <w:tcPr>
            <w:tcW w:w="3060" w:type="dxa"/>
            <w:vAlign w:val="bottom"/>
          </w:tcPr>
          <w:p>
            <w:pPr>
              <w:spacing w:after="0"/>
              <w:rPr>
                <w:sz w:val="24"/>
                <w:szCs w:val="24"/>
                <w:color w:val="auto"/>
              </w:rPr>
            </w:pPr>
          </w:p>
        </w:tc>
        <w:tc>
          <w:tcPr>
            <w:tcW w:w="7580" w:type="dxa"/>
            <w:vAlign w:val="bottom"/>
            <w:gridSpan w:val="6"/>
          </w:tcPr>
          <w:p>
            <w:pPr>
              <w:ind w:left="980"/>
              <w:spacing w:after="0"/>
              <w:rPr>
                <w:sz w:val="20"/>
                <w:szCs w:val="20"/>
                <w:color w:val="auto"/>
              </w:rPr>
            </w:pPr>
            <w:r>
              <w:rPr>
                <w:rFonts w:ascii="Arial" w:cs="Arial" w:eastAsia="Arial" w:hAnsi="Arial"/>
                <w:sz w:val="18"/>
                <w:szCs w:val="18"/>
                <w:color w:val="auto"/>
              </w:rPr>
              <w:t>If euro is unavailable to us due to the imposition of exchange controls or other</w:t>
            </w:r>
          </w:p>
        </w:tc>
      </w:tr>
      <w:tr>
        <w:trPr>
          <w:trHeight w:val="216"/>
        </w:trPr>
        <w:tc>
          <w:tcPr>
            <w:tcW w:w="3060" w:type="dxa"/>
            <w:vAlign w:val="bottom"/>
          </w:tcPr>
          <w:p>
            <w:pPr>
              <w:spacing w:after="0"/>
              <w:rPr>
                <w:sz w:val="18"/>
                <w:szCs w:val="18"/>
                <w:color w:val="auto"/>
              </w:rPr>
            </w:pPr>
          </w:p>
        </w:tc>
        <w:tc>
          <w:tcPr>
            <w:tcW w:w="7580" w:type="dxa"/>
            <w:vAlign w:val="bottom"/>
            <w:gridSpan w:val="6"/>
          </w:tcPr>
          <w:p>
            <w:pPr>
              <w:ind w:left="980"/>
              <w:spacing w:after="0"/>
              <w:rPr>
                <w:sz w:val="20"/>
                <w:szCs w:val="20"/>
                <w:color w:val="auto"/>
              </w:rPr>
            </w:pPr>
            <w:r>
              <w:rPr>
                <w:rFonts w:ascii="Arial" w:cs="Arial" w:eastAsia="Arial" w:hAnsi="Arial"/>
                <w:sz w:val="18"/>
                <w:szCs w:val="18"/>
                <w:color w:val="auto"/>
                <w:w w:val="91"/>
              </w:rPr>
              <w:t>circumstances beyond our control or is no longer used for the settlement of transactions by</w:t>
            </w:r>
          </w:p>
        </w:tc>
      </w:tr>
      <w:tr>
        <w:trPr>
          <w:trHeight w:val="216"/>
        </w:trPr>
        <w:tc>
          <w:tcPr>
            <w:tcW w:w="3060" w:type="dxa"/>
            <w:vAlign w:val="bottom"/>
          </w:tcPr>
          <w:p>
            <w:pPr>
              <w:spacing w:after="0"/>
              <w:rPr>
                <w:sz w:val="18"/>
                <w:szCs w:val="18"/>
                <w:color w:val="auto"/>
              </w:rPr>
            </w:pPr>
          </w:p>
        </w:tc>
        <w:tc>
          <w:tcPr>
            <w:tcW w:w="7580" w:type="dxa"/>
            <w:vAlign w:val="bottom"/>
            <w:gridSpan w:val="6"/>
          </w:tcPr>
          <w:p>
            <w:pPr>
              <w:ind w:left="980"/>
              <w:spacing w:after="0"/>
              <w:rPr>
                <w:sz w:val="20"/>
                <w:szCs w:val="20"/>
                <w:color w:val="auto"/>
              </w:rPr>
            </w:pPr>
            <w:r>
              <w:rPr>
                <w:rFonts w:ascii="Arial" w:cs="Arial" w:eastAsia="Arial" w:hAnsi="Arial"/>
                <w:sz w:val="18"/>
                <w:szCs w:val="18"/>
                <w:color w:val="auto"/>
                <w:w w:val="91"/>
              </w:rPr>
              <w:t>public institutions within the international banking community or the euro is no longer used</w:t>
            </w:r>
          </w:p>
        </w:tc>
      </w:tr>
      <w:tr>
        <w:trPr>
          <w:trHeight w:val="216"/>
        </w:trPr>
        <w:tc>
          <w:tcPr>
            <w:tcW w:w="3060" w:type="dxa"/>
            <w:vAlign w:val="bottom"/>
          </w:tcPr>
          <w:p>
            <w:pPr>
              <w:spacing w:after="0"/>
              <w:rPr>
                <w:sz w:val="18"/>
                <w:szCs w:val="18"/>
                <w:color w:val="auto"/>
              </w:rPr>
            </w:pPr>
          </w:p>
        </w:tc>
        <w:tc>
          <w:tcPr>
            <w:tcW w:w="7580" w:type="dxa"/>
            <w:vAlign w:val="bottom"/>
            <w:gridSpan w:val="6"/>
          </w:tcPr>
          <w:p>
            <w:pPr>
              <w:ind w:left="980"/>
              <w:spacing w:after="0"/>
              <w:rPr>
                <w:sz w:val="20"/>
                <w:szCs w:val="20"/>
                <w:color w:val="auto"/>
              </w:rPr>
            </w:pPr>
            <w:r>
              <w:rPr>
                <w:rFonts w:ascii="Arial" w:cs="Arial" w:eastAsia="Arial" w:hAnsi="Arial"/>
                <w:sz w:val="18"/>
                <w:szCs w:val="18"/>
                <w:color w:val="auto"/>
                <w:w w:val="97"/>
              </w:rPr>
              <w:t>by the then member states of the European Economic and Monetary Union that have</w:t>
            </w:r>
          </w:p>
        </w:tc>
      </w:tr>
      <w:tr>
        <w:trPr>
          <w:trHeight w:val="216"/>
        </w:trPr>
        <w:tc>
          <w:tcPr>
            <w:tcW w:w="3060" w:type="dxa"/>
            <w:vAlign w:val="bottom"/>
          </w:tcPr>
          <w:p>
            <w:pPr>
              <w:spacing w:after="0"/>
              <w:rPr>
                <w:sz w:val="18"/>
                <w:szCs w:val="18"/>
                <w:color w:val="auto"/>
              </w:rPr>
            </w:pPr>
          </w:p>
        </w:tc>
        <w:tc>
          <w:tcPr>
            <w:tcW w:w="7580" w:type="dxa"/>
            <w:vAlign w:val="bottom"/>
            <w:gridSpan w:val="6"/>
          </w:tcPr>
          <w:p>
            <w:pPr>
              <w:ind w:left="980"/>
              <w:spacing w:after="0"/>
              <w:rPr>
                <w:sz w:val="20"/>
                <w:szCs w:val="20"/>
                <w:color w:val="auto"/>
              </w:rPr>
            </w:pPr>
            <w:r>
              <w:rPr>
                <w:rFonts w:ascii="Arial" w:cs="Arial" w:eastAsia="Arial" w:hAnsi="Arial"/>
                <w:sz w:val="18"/>
                <w:szCs w:val="18"/>
                <w:color w:val="auto"/>
                <w:w w:val="91"/>
              </w:rPr>
              <w:t>adopted the euro as their currency, then all payments in respect of the applicable series of</w:t>
            </w:r>
          </w:p>
        </w:tc>
      </w:tr>
      <w:tr>
        <w:trPr>
          <w:trHeight w:val="216"/>
        </w:trPr>
        <w:tc>
          <w:tcPr>
            <w:tcW w:w="3060" w:type="dxa"/>
            <w:vAlign w:val="bottom"/>
          </w:tcPr>
          <w:p>
            <w:pPr>
              <w:spacing w:after="0"/>
              <w:rPr>
                <w:sz w:val="18"/>
                <w:szCs w:val="18"/>
                <w:color w:val="auto"/>
              </w:rPr>
            </w:pPr>
          </w:p>
        </w:tc>
        <w:tc>
          <w:tcPr>
            <w:tcW w:w="7580" w:type="dxa"/>
            <w:vAlign w:val="bottom"/>
            <w:gridSpan w:val="6"/>
          </w:tcPr>
          <w:p>
            <w:pPr>
              <w:ind w:left="980"/>
              <w:spacing w:after="0"/>
              <w:rPr>
                <w:sz w:val="20"/>
                <w:szCs w:val="20"/>
                <w:color w:val="auto"/>
              </w:rPr>
            </w:pPr>
            <w:r>
              <w:rPr>
                <w:rFonts w:ascii="Arial" w:cs="Arial" w:eastAsia="Arial" w:hAnsi="Arial"/>
                <w:sz w:val="18"/>
                <w:szCs w:val="18"/>
                <w:color w:val="auto"/>
                <w:w w:val="94"/>
              </w:rPr>
              <w:t>notes will be made in U.S. dollars until the euro is again available to us or so used. See</w:t>
            </w:r>
          </w:p>
        </w:tc>
      </w:tr>
      <w:tr>
        <w:trPr>
          <w:trHeight w:val="230"/>
        </w:trPr>
        <w:tc>
          <w:tcPr>
            <w:tcW w:w="3060" w:type="dxa"/>
            <w:vAlign w:val="bottom"/>
          </w:tcPr>
          <w:p>
            <w:pPr>
              <w:spacing w:after="0"/>
              <w:rPr>
                <w:sz w:val="20"/>
                <w:szCs w:val="20"/>
                <w:color w:val="auto"/>
              </w:rPr>
            </w:pPr>
          </w:p>
        </w:tc>
        <w:tc>
          <w:tcPr>
            <w:tcW w:w="5100" w:type="dxa"/>
            <w:vAlign w:val="bottom"/>
            <w:gridSpan w:val="5"/>
          </w:tcPr>
          <w:p>
            <w:pPr>
              <w:ind w:left="980"/>
              <w:spacing w:after="0"/>
              <w:rPr>
                <w:sz w:val="20"/>
                <w:szCs w:val="20"/>
                <w:color w:val="auto"/>
              </w:rPr>
            </w:pPr>
            <w:r>
              <w:rPr>
                <w:rFonts w:ascii="Arial" w:cs="Arial" w:eastAsia="Arial" w:hAnsi="Arial"/>
                <w:sz w:val="18"/>
                <w:szCs w:val="18"/>
                <w:color w:val="auto"/>
              </w:rPr>
              <w:t>“Description of the Notes—Issuance in Euro.”</w:t>
            </w:r>
          </w:p>
        </w:tc>
        <w:tc>
          <w:tcPr>
            <w:tcW w:w="2480" w:type="dxa"/>
            <w:vAlign w:val="bottom"/>
          </w:tcPr>
          <w:p>
            <w:pPr>
              <w:spacing w:after="0"/>
              <w:rPr>
                <w:sz w:val="20"/>
                <w:szCs w:val="20"/>
                <w:color w:val="auto"/>
              </w:rPr>
            </w:pPr>
          </w:p>
        </w:tc>
      </w:tr>
      <w:tr>
        <w:trPr>
          <w:trHeight w:val="418"/>
        </w:trPr>
        <w:tc>
          <w:tcPr>
            <w:tcW w:w="3060" w:type="dxa"/>
            <w:vAlign w:val="bottom"/>
          </w:tcPr>
          <w:p>
            <w:pPr>
              <w:spacing w:after="0"/>
              <w:rPr>
                <w:sz w:val="20"/>
                <w:szCs w:val="20"/>
                <w:color w:val="auto"/>
              </w:rPr>
            </w:pPr>
            <w:r>
              <w:rPr>
                <w:rFonts w:ascii="Arial" w:cs="Arial" w:eastAsia="Arial" w:hAnsi="Arial"/>
                <w:sz w:val="18"/>
                <w:szCs w:val="18"/>
                <w:color w:val="auto"/>
              </w:rPr>
              <w:t>Ranking</w:t>
            </w:r>
          </w:p>
        </w:tc>
        <w:tc>
          <w:tcPr>
            <w:tcW w:w="7580" w:type="dxa"/>
            <w:vAlign w:val="bottom"/>
            <w:gridSpan w:val="6"/>
          </w:tcPr>
          <w:p>
            <w:pPr>
              <w:ind w:left="980"/>
              <w:spacing w:after="0"/>
              <w:rPr>
                <w:sz w:val="20"/>
                <w:szCs w:val="20"/>
                <w:color w:val="auto"/>
              </w:rPr>
            </w:pPr>
            <w:r>
              <w:rPr>
                <w:rFonts w:ascii="Arial" w:cs="Arial" w:eastAsia="Arial" w:hAnsi="Arial"/>
                <w:sz w:val="18"/>
                <w:szCs w:val="18"/>
                <w:color w:val="auto"/>
                <w:w w:val="99"/>
              </w:rPr>
              <w:t>The notes will be unsecured and will rank equally with all of our and the guarantors’</w:t>
            </w:r>
          </w:p>
        </w:tc>
      </w:tr>
      <w:tr>
        <w:trPr>
          <w:trHeight w:val="230"/>
        </w:trPr>
        <w:tc>
          <w:tcPr>
            <w:tcW w:w="3060" w:type="dxa"/>
            <w:vAlign w:val="bottom"/>
          </w:tcPr>
          <w:p>
            <w:pPr>
              <w:spacing w:after="0"/>
              <w:rPr>
                <w:sz w:val="20"/>
                <w:szCs w:val="20"/>
                <w:color w:val="auto"/>
              </w:rPr>
            </w:pPr>
          </w:p>
        </w:tc>
        <w:tc>
          <w:tcPr>
            <w:tcW w:w="4200" w:type="dxa"/>
            <w:vAlign w:val="bottom"/>
            <w:gridSpan w:val="4"/>
          </w:tcPr>
          <w:p>
            <w:pPr>
              <w:ind w:left="980"/>
              <w:spacing w:after="0"/>
              <w:rPr>
                <w:sz w:val="20"/>
                <w:szCs w:val="20"/>
                <w:color w:val="auto"/>
              </w:rPr>
            </w:pPr>
            <w:r>
              <w:rPr>
                <w:rFonts w:ascii="Arial" w:cs="Arial" w:eastAsia="Arial" w:hAnsi="Arial"/>
                <w:sz w:val="18"/>
                <w:szCs w:val="18"/>
                <w:color w:val="auto"/>
                <w:w w:val="87"/>
              </w:rPr>
              <w:t>unsecured and unsubordinated indebtedness.</w:t>
            </w:r>
          </w:p>
        </w:tc>
        <w:tc>
          <w:tcPr>
            <w:tcW w:w="9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Guarantors</w:t>
            </w:r>
          </w:p>
        </w:tc>
        <w:tc>
          <w:tcPr>
            <w:tcW w:w="4200" w:type="dxa"/>
            <w:vAlign w:val="bottom"/>
            <w:gridSpan w:val="4"/>
          </w:tcPr>
          <w:p>
            <w:pPr>
              <w:ind w:left="980"/>
              <w:spacing w:after="0"/>
              <w:rPr>
                <w:sz w:val="20"/>
                <w:szCs w:val="20"/>
                <w:color w:val="auto"/>
              </w:rPr>
            </w:pPr>
            <w:r>
              <w:rPr>
                <w:rFonts w:ascii="Arial" w:cs="Arial" w:eastAsia="Arial" w:hAnsi="Arial"/>
                <w:sz w:val="18"/>
                <w:szCs w:val="18"/>
                <w:color w:val="auto"/>
              </w:rPr>
              <w:t>Comcast Cable and NBCUniversal.</w:t>
            </w:r>
          </w:p>
        </w:tc>
        <w:tc>
          <w:tcPr>
            <w:tcW w:w="9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31"/>
        </w:trPr>
        <w:tc>
          <w:tcPr>
            <w:tcW w:w="3060" w:type="dxa"/>
            <w:vAlign w:val="bottom"/>
          </w:tcPr>
          <w:p>
            <w:pPr>
              <w:spacing w:after="0"/>
              <w:rPr>
                <w:sz w:val="20"/>
                <w:szCs w:val="20"/>
                <w:color w:val="auto"/>
              </w:rPr>
            </w:pPr>
            <w:r>
              <w:rPr>
                <w:rFonts w:ascii="Arial" w:cs="Arial" w:eastAsia="Arial" w:hAnsi="Arial"/>
                <w:sz w:val="18"/>
                <w:szCs w:val="18"/>
                <w:color w:val="auto"/>
              </w:rPr>
              <w:t>Guarantees</w:t>
            </w:r>
          </w:p>
        </w:tc>
        <w:tc>
          <w:tcPr>
            <w:tcW w:w="7580" w:type="dxa"/>
            <w:vAlign w:val="bottom"/>
            <w:gridSpan w:val="6"/>
          </w:tcPr>
          <w:p>
            <w:pPr>
              <w:ind w:left="980"/>
              <w:spacing w:after="0"/>
              <w:rPr>
                <w:sz w:val="20"/>
                <w:szCs w:val="20"/>
                <w:color w:val="auto"/>
              </w:rPr>
            </w:pPr>
            <w:r>
              <w:rPr>
                <w:rFonts w:ascii="Arial" w:cs="Arial" w:eastAsia="Arial" w:hAnsi="Arial"/>
                <w:sz w:val="18"/>
                <w:szCs w:val="18"/>
                <w:color w:val="auto"/>
                <w:w w:val="91"/>
              </w:rPr>
              <w:t>The guarantors will fully and unconditionally guarantee the notes, including the payment of</w:t>
            </w:r>
          </w:p>
        </w:tc>
      </w:tr>
      <w:tr>
        <w:trPr>
          <w:trHeight w:val="216"/>
        </w:trPr>
        <w:tc>
          <w:tcPr>
            <w:tcW w:w="3060" w:type="dxa"/>
            <w:vAlign w:val="bottom"/>
          </w:tcPr>
          <w:p>
            <w:pPr>
              <w:spacing w:after="0"/>
              <w:rPr>
                <w:sz w:val="18"/>
                <w:szCs w:val="18"/>
                <w:color w:val="auto"/>
              </w:rPr>
            </w:pPr>
          </w:p>
        </w:tc>
        <w:tc>
          <w:tcPr>
            <w:tcW w:w="7580" w:type="dxa"/>
            <w:vAlign w:val="bottom"/>
            <w:gridSpan w:val="6"/>
          </w:tcPr>
          <w:p>
            <w:pPr>
              <w:ind w:left="980"/>
              <w:spacing w:after="0"/>
              <w:rPr>
                <w:sz w:val="20"/>
                <w:szCs w:val="20"/>
                <w:color w:val="auto"/>
              </w:rPr>
            </w:pPr>
            <w:r>
              <w:rPr>
                <w:rFonts w:ascii="Arial" w:cs="Arial" w:eastAsia="Arial" w:hAnsi="Arial"/>
                <w:sz w:val="18"/>
                <w:szCs w:val="18"/>
                <w:color w:val="auto"/>
                <w:w w:val="97"/>
              </w:rPr>
              <w:t>principal, premium, if any, and interest. The guarantees will rank equally with all other</w:t>
            </w:r>
          </w:p>
        </w:tc>
      </w:tr>
      <w:tr>
        <w:trPr>
          <w:trHeight w:val="230"/>
        </w:trPr>
        <w:tc>
          <w:tcPr>
            <w:tcW w:w="3060" w:type="dxa"/>
            <w:vAlign w:val="bottom"/>
          </w:tcPr>
          <w:p>
            <w:pPr>
              <w:spacing w:after="0"/>
              <w:rPr>
                <w:sz w:val="20"/>
                <w:szCs w:val="20"/>
                <w:color w:val="auto"/>
              </w:rPr>
            </w:pPr>
          </w:p>
        </w:tc>
        <w:tc>
          <w:tcPr>
            <w:tcW w:w="7580" w:type="dxa"/>
            <w:vAlign w:val="bottom"/>
            <w:gridSpan w:val="6"/>
          </w:tcPr>
          <w:p>
            <w:pPr>
              <w:ind w:left="980"/>
              <w:spacing w:after="0"/>
              <w:rPr>
                <w:sz w:val="20"/>
                <w:szCs w:val="20"/>
                <w:color w:val="auto"/>
              </w:rPr>
            </w:pPr>
            <w:r>
              <w:rPr>
                <w:rFonts w:ascii="Arial" w:cs="Arial" w:eastAsia="Arial" w:hAnsi="Arial"/>
                <w:sz w:val="18"/>
                <w:szCs w:val="18"/>
                <w:color w:val="auto"/>
              </w:rPr>
              <w:t>general unsecured and unsubordinated obligations of the guarantors.</w:t>
            </w:r>
          </w:p>
        </w:tc>
      </w:tr>
      <w:tr>
        <w:trPr>
          <w:trHeight w:val="418"/>
        </w:trPr>
        <w:tc>
          <w:tcPr>
            <w:tcW w:w="3060" w:type="dxa"/>
            <w:vAlign w:val="bottom"/>
          </w:tcPr>
          <w:p>
            <w:pPr>
              <w:spacing w:after="0"/>
              <w:rPr>
                <w:sz w:val="20"/>
                <w:szCs w:val="20"/>
                <w:color w:val="auto"/>
              </w:rPr>
            </w:pPr>
            <w:r>
              <w:rPr>
                <w:rFonts w:ascii="Arial" w:cs="Arial" w:eastAsia="Arial" w:hAnsi="Arial"/>
                <w:sz w:val="18"/>
                <w:szCs w:val="18"/>
                <w:color w:val="auto"/>
              </w:rPr>
              <w:t>Optional Redemption</w:t>
            </w:r>
          </w:p>
        </w:tc>
        <w:tc>
          <w:tcPr>
            <w:tcW w:w="7580" w:type="dxa"/>
            <w:vAlign w:val="bottom"/>
            <w:gridSpan w:val="6"/>
          </w:tcPr>
          <w:p>
            <w:pPr>
              <w:ind w:left="980"/>
              <w:spacing w:after="0"/>
              <w:rPr>
                <w:sz w:val="20"/>
                <w:szCs w:val="20"/>
                <w:color w:val="auto"/>
              </w:rPr>
            </w:pPr>
            <w:r>
              <w:rPr>
                <w:rFonts w:ascii="Arial" w:cs="Arial" w:eastAsia="Arial" w:hAnsi="Arial"/>
                <w:sz w:val="18"/>
                <w:szCs w:val="18"/>
                <w:color w:val="auto"/>
                <w:w w:val="93"/>
              </w:rPr>
              <w:t>We may, at our option, redeem any series of notes, in whole or in part, at any time at the</w:t>
            </w:r>
          </w:p>
        </w:tc>
      </w:tr>
      <w:tr>
        <w:trPr>
          <w:trHeight w:val="216"/>
        </w:trPr>
        <w:tc>
          <w:tcPr>
            <w:tcW w:w="3060" w:type="dxa"/>
            <w:vAlign w:val="bottom"/>
          </w:tcPr>
          <w:p>
            <w:pPr>
              <w:spacing w:after="0"/>
              <w:rPr>
                <w:sz w:val="18"/>
                <w:szCs w:val="18"/>
                <w:color w:val="auto"/>
              </w:rPr>
            </w:pPr>
          </w:p>
        </w:tc>
        <w:tc>
          <w:tcPr>
            <w:tcW w:w="7580" w:type="dxa"/>
            <w:vAlign w:val="bottom"/>
            <w:gridSpan w:val="6"/>
          </w:tcPr>
          <w:p>
            <w:pPr>
              <w:ind w:left="980"/>
              <w:spacing w:after="0"/>
              <w:rPr>
                <w:sz w:val="20"/>
                <w:szCs w:val="20"/>
                <w:color w:val="auto"/>
              </w:rPr>
            </w:pPr>
            <w:r>
              <w:rPr>
                <w:rFonts w:ascii="Arial" w:cs="Arial" w:eastAsia="Arial" w:hAnsi="Arial"/>
                <w:sz w:val="18"/>
                <w:szCs w:val="18"/>
                <w:color w:val="auto"/>
                <w:w w:val="91"/>
              </w:rPr>
              <w:t>applicable Redemption Price determined as set forth under the heading “Description of the</w:t>
            </w:r>
          </w:p>
        </w:tc>
      </w:tr>
      <w:tr>
        <w:trPr>
          <w:trHeight w:val="230"/>
        </w:trPr>
        <w:tc>
          <w:tcPr>
            <w:tcW w:w="3060" w:type="dxa"/>
            <w:vAlign w:val="bottom"/>
          </w:tcPr>
          <w:p>
            <w:pPr>
              <w:spacing w:after="0"/>
              <w:rPr>
                <w:sz w:val="20"/>
                <w:szCs w:val="20"/>
                <w:color w:val="auto"/>
              </w:rPr>
            </w:pPr>
          </w:p>
        </w:tc>
        <w:tc>
          <w:tcPr>
            <w:tcW w:w="4200" w:type="dxa"/>
            <w:vAlign w:val="bottom"/>
            <w:gridSpan w:val="4"/>
          </w:tcPr>
          <w:p>
            <w:pPr>
              <w:ind w:left="980"/>
              <w:spacing w:after="0"/>
              <w:rPr>
                <w:sz w:val="20"/>
                <w:szCs w:val="20"/>
                <w:color w:val="auto"/>
              </w:rPr>
            </w:pPr>
            <w:r>
              <w:rPr>
                <w:rFonts w:ascii="Arial" w:cs="Arial" w:eastAsia="Arial" w:hAnsi="Arial"/>
                <w:sz w:val="18"/>
                <w:szCs w:val="18"/>
                <w:color w:val="auto"/>
              </w:rPr>
              <w:t>Notes—Optional Redemption.”</w:t>
            </w:r>
          </w:p>
        </w:tc>
        <w:tc>
          <w:tcPr>
            <w:tcW w:w="9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8"/>
        </w:trPr>
        <w:tc>
          <w:tcPr>
            <w:tcW w:w="3060" w:type="dxa"/>
            <w:vAlign w:val="bottom"/>
          </w:tcPr>
          <w:p>
            <w:pPr>
              <w:spacing w:after="0"/>
              <w:rPr>
                <w:sz w:val="20"/>
                <w:szCs w:val="20"/>
                <w:color w:val="auto"/>
              </w:rPr>
            </w:pPr>
            <w:r>
              <w:rPr>
                <w:rFonts w:ascii="Arial" w:cs="Arial" w:eastAsia="Arial" w:hAnsi="Arial"/>
                <w:sz w:val="18"/>
                <w:szCs w:val="18"/>
                <w:color w:val="auto"/>
              </w:rPr>
              <w:t>Redemption for Tax Reasons</w:t>
            </w:r>
          </w:p>
        </w:tc>
        <w:tc>
          <w:tcPr>
            <w:tcW w:w="7580" w:type="dxa"/>
            <w:vAlign w:val="bottom"/>
            <w:gridSpan w:val="6"/>
          </w:tcPr>
          <w:p>
            <w:pPr>
              <w:ind w:left="980"/>
              <w:spacing w:after="0"/>
              <w:rPr>
                <w:sz w:val="20"/>
                <w:szCs w:val="20"/>
                <w:color w:val="auto"/>
              </w:rPr>
            </w:pPr>
            <w:r>
              <w:rPr>
                <w:rFonts w:ascii="Arial" w:cs="Arial" w:eastAsia="Arial" w:hAnsi="Arial"/>
                <w:sz w:val="18"/>
                <w:szCs w:val="18"/>
                <w:color w:val="auto"/>
                <w:w w:val="92"/>
              </w:rPr>
              <w:t>We may, at our option, redeem any series of notes, in whole but not in part, if the tax laws</w:t>
            </w:r>
          </w:p>
        </w:tc>
      </w:tr>
      <w:tr>
        <w:trPr>
          <w:trHeight w:val="230"/>
        </w:trPr>
        <w:tc>
          <w:tcPr>
            <w:tcW w:w="3060" w:type="dxa"/>
            <w:vAlign w:val="bottom"/>
          </w:tcPr>
          <w:p>
            <w:pPr>
              <w:spacing w:after="0"/>
              <w:rPr>
                <w:sz w:val="20"/>
                <w:szCs w:val="20"/>
                <w:color w:val="auto"/>
              </w:rPr>
            </w:pPr>
          </w:p>
        </w:tc>
        <w:tc>
          <w:tcPr>
            <w:tcW w:w="7580" w:type="dxa"/>
            <w:vAlign w:val="bottom"/>
            <w:gridSpan w:val="6"/>
          </w:tcPr>
          <w:p>
            <w:pPr>
              <w:ind w:left="980"/>
              <w:spacing w:after="0"/>
              <w:rPr>
                <w:sz w:val="20"/>
                <w:szCs w:val="20"/>
                <w:color w:val="auto"/>
              </w:rPr>
            </w:pPr>
            <w:r>
              <w:rPr>
                <w:rFonts w:ascii="Arial" w:cs="Arial" w:eastAsia="Arial" w:hAnsi="Arial"/>
                <w:sz w:val="18"/>
                <w:szCs w:val="18"/>
                <w:color w:val="auto"/>
                <w:w w:val="92"/>
              </w:rPr>
              <w:t>of the United States (or any taxing authority in the United States) change and we become</w:t>
            </w:r>
          </w:p>
        </w:tc>
      </w:tr>
    </w:tbl>
    <w:p>
      <w:pPr>
        <w:ind w:left="4340" w:right="300"/>
        <w:spacing w:after="0" w:line="277" w:lineRule="auto"/>
        <w:rPr>
          <w:sz w:val="20"/>
          <w:szCs w:val="20"/>
          <w:color w:val="auto"/>
        </w:rPr>
      </w:pPr>
      <w:r>
        <w:rPr>
          <w:rFonts w:ascii="Arial" w:cs="Arial" w:eastAsia="Arial" w:hAnsi="Arial"/>
          <w:sz w:val="17"/>
          <w:szCs w:val="17"/>
          <w:color w:val="auto"/>
        </w:rPr>
        <w:t>obligated to pay additional amounts on the notes as described under “Description of the Notes—Payment of Additional Amounts.” This redemption would be at 100% of the principal amount, together with accrued and unpaid interest on</w:t>
      </w:r>
    </w:p>
    <w:p>
      <w:pPr>
        <w:spacing w:after="0" w:line="37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320" w:type="dxa"/>
            <w:vAlign w:val="bottom"/>
            <w:tcBorders>
              <w:top w:val="single" w:sz="8" w:color="auto"/>
              <w:left w:val="single" w:sz="8" w:color="auto"/>
            </w:tcBorders>
          </w:tcPr>
          <w:p>
            <w:pPr>
              <w:spacing w:after="0"/>
              <w:rPr>
                <w:sz w:val="24"/>
                <w:szCs w:val="24"/>
                <w:color w:val="auto"/>
              </w:rPr>
            </w:pPr>
          </w:p>
        </w:tc>
        <w:tc>
          <w:tcPr>
            <w:tcW w:w="7700" w:type="dxa"/>
            <w:vAlign w:val="bottom"/>
            <w:tcBorders>
              <w:top w:val="single" w:sz="8" w:color="auto"/>
              <w:right w:val="single" w:sz="8" w:color="auto"/>
            </w:tcBorders>
            <w:gridSpan w:val="3"/>
          </w:tcPr>
          <w:p>
            <w:pPr>
              <w:ind w:left="900"/>
              <w:spacing w:after="0"/>
              <w:rPr>
                <w:sz w:val="20"/>
                <w:szCs w:val="20"/>
                <w:color w:val="auto"/>
              </w:rPr>
            </w:pPr>
            <w:r>
              <w:rPr>
                <w:rFonts w:ascii="Arial" w:cs="Arial" w:eastAsia="Arial" w:hAnsi="Arial"/>
                <w:sz w:val="18"/>
                <w:szCs w:val="18"/>
                <w:color w:val="auto"/>
                <w:w w:val="94"/>
              </w:rPr>
              <w:t>the notes to the date fixed for redemption. See “Description of the Notes—Redemption for</w:t>
            </w:r>
          </w:p>
        </w:tc>
      </w:tr>
      <w:tr>
        <w:trPr>
          <w:trHeight w:val="230"/>
        </w:trPr>
        <w:tc>
          <w:tcPr>
            <w:tcW w:w="3320" w:type="dxa"/>
            <w:vAlign w:val="bottom"/>
            <w:tcBorders>
              <w:left w:val="single" w:sz="8" w:color="auto"/>
            </w:tcBorders>
          </w:tcPr>
          <w:p>
            <w:pPr>
              <w:spacing w:after="0"/>
              <w:rPr>
                <w:sz w:val="20"/>
                <w:szCs w:val="20"/>
                <w:color w:val="auto"/>
              </w:rPr>
            </w:pPr>
          </w:p>
        </w:tc>
        <w:tc>
          <w:tcPr>
            <w:tcW w:w="2000" w:type="dxa"/>
            <w:vAlign w:val="bottom"/>
          </w:tcPr>
          <w:p>
            <w:pPr>
              <w:ind w:left="900"/>
              <w:spacing w:after="0"/>
              <w:rPr>
                <w:sz w:val="20"/>
                <w:szCs w:val="20"/>
                <w:color w:val="auto"/>
              </w:rPr>
            </w:pPr>
            <w:r>
              <w:rPr>
                <w:rFonts w:ascii="Arial" w:cs="Arial" w:eastAsia="Arial" w:hAnsi="Arial"/>
                <w:sz w:val="18"/>
                <w:szCs w:val="18"/>
                <w:color w:val="auto"/>
                <w:w w:val="92"/>
              </w:rPr>
              <w:t>Tax Reasons.”</w:t>
            </w:r>
          </w:p>
        </w:tc>
        <w:tc>
          <w:tcPr>
            <w:tcW w:w="1220" w:type="dxa"/>
            <w:vAlign w:val="bottom"/>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431"/>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Additional Amounts</w:t>
            </w: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We will, subject to certain exceptions and limitations set forth herein, pay additional</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3"/>
              </w:rPr>
              <w:t>amounts on the notes as are necessary in order that the net payment by us of the principal</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3"/>
              </w:rPr>
              <w:t>of and interest on the notes to a holder who is not a United States person, after withholding</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or deduction for any present or future tax, assessment or other governmental charge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3"/>
              </w:rPr>
              <w:t>imposed by the United States or a taxing authority in the United States will not be less than</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2"/>
              </w:rPr>
              <w:t>the amount provided in the notes to be then due and payable. See “Description of the Notes</w:t>
            </w:r>
          </w:p>
        </w:tc>
      </w:tr>
      <w:tr>
        <w:trPr>
          <w:trHeight w:val="230"/>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—Payment of Additional Amounts.”</w:t>
            </w:r>
          </w:p>
        </w:tc>
      </w:tr>
      <w:tr>
        <w:trPr>
          <w:trHeight w:val="418"/>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3"/>
              </w:rPr>
              <w:t>We intend to use the net proceeds from the offering, after deducting underwriters’ discount</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6"/>
              </w:rPr>
              <w:t>and expenses, for the refinancing of Sky’s 1.500% guaranteed notes due September 15,</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9"/>
              </w:rPr>
              <w:t>2021 (€1.5 billion principal amount outstanding as of the date hereof) and any excess</w:t>
            </w:r>
          </w:p>
        </w:tc>
      </w:tr>
      <w:tr>
        <w:trPr>
          <w:trHeight w:val="230"/>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proceeds for the repayment of other debt.</w:t>
            </w:r>
          </w:p>
        </w:tc>
      </w:tr>
      <w:tr>
        <w:trPr>
          <w:trHeight w:val="418"/>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Denominations</w:t>
            </w: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6"/>
              </w:rPr>
              <w:t>We will issue the notes in minimum denominations of €100,000 and integral multiples of</w:t>
            </w:r>
          </w:p>
        </w:tc>
      </w:tr>
      <w:tr>
        <w:trPr>
          <w:trHeight w:val="230"/>
        </w:trPr>
        <w:tc>
          <w:tcPr>
            <w:tcW w:w="3320" w:type="dxa"/>
            <w:vAlign w:val="bottom"/>
            <w:tcBorders>
              <w:left w:val="single" w:sz="8" w:color="auto"/>
            </w:tcBorders>
          </w:tcPr>
          <w:p>
            <w:pPr>
              <w:spacing w:after="0"/>
              <w:rPr>
                <w:sz w:val="20"/>
                <w:szCs w:val="20"/>
                <w:color w:val="auto"/>
              </w:rPr>
            </w:pPr>
          </w:p>
        </w:tc>
        <w:tc>
          <w:tcPr>
            <w:tcW w:w="3220" w:type="dxa"/>
            <w:vAlign w:val="bottom"/>
            <w:gridSpan w:val="2"/>
          </w:tcPr>
          <w:p>
            <w:pPr>
              <w:ind w:left="900"/>
              <w:spacing w:after="0"/>
              <w:rPr>
                <w:sz w:val="20"/>
                <w:szCs w:val="20"/>
                <w:color w:val="auto"/>
              </w:rPr>
            </w:pPr>
            <w:r>
              <w:rPr>
                <w:rFonts w:ascii="Arial" w:cs="Arial" w:eastAsia="Arial" w:hAnsi="Arial"/>
                <w:sz w:val="18"/>
                <w:szCs w:val="18"/>
                <w:color w:val="auto"/>
              </w:rPr>
              <w:t>€1,000 in excess thereof.</w:t>
            </w:r>
          </w:p>
        </w:tc>
        <w:tc>
          <w:tcPr>
            <w:tcW w:w="4480" w:type="dxa"/>
            <w:vAlign w:val="bottom"/>
            <w:tcBorders>
              <w:right w:val="single" w:sz="8" w:color="auto"/>
            </w:tcBorders>
          </w:tcPr>
          <w:p>
            <w:pPr>
              <w:spacing w:after="0"/>
              <w:rPr>
                <w:sz w:val="20"/>
                <w:szCs w:val="20"/>
                <w:color w:val="auto"/>
              </w:rPr>
            </w:pPr>
          </w:p>
        </w:tc>
      </w:tr>
      <w:tr>
        <w:trPr>
          <w:trHeight w:val="432"/>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Book-Entry</w:t>
            </w: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The notes will be issued in book-entry form and will be represented</w:t>
            </w:r>
          </w:p>
        </w:tc>
      </w:tr>
      <w:tr>
        <w:trPr>
          <w:trHeight w:val="391"/>
        </w:trPr>
        <w:tc>
          <w:tcPr>
            <w:tcW w:w="33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by global notes deposited with a common depositary on behalf of Euroclear and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Clearstream and registered in the name of the common depositary or its nominee.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4"/>
              </w:rPr>
              <w:t>Beneficial interests in any of the notes will be shown on, and transfers will be effected only</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2"/>
              </w:rPr>
              <w:t>through, records maintained by Euroclear and Clearstream and their participants, and these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beneficial interests may not be exchanged for certificated notes, except in limited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8"/>
              </w:rPr>
              <w:t>circumstances. See “Description of the Notes—Book-Entry System” in this prospectus</w:t>
            </w:r>
          </w:p>
        </w:tc>
      </w:tr>
      <w:tr>
        <w:trPr>
          <w:trHeight w:val="230"/>
        </w:trPr>
        <w:tc>
          <w:tcPr>
            <w:tcW w:w="3320" w:type="dxa"/>
            <w:vAlign w:val="bottom"/>
            <w:tcBorders>
              <w:left w:val="single" w:sz="8" w:color="auto"/>
            </w:tcBorders>
          </w:tcPr>
          <w:p>
            <w:pPr>
              <w:spacing w:after="0"/>
              <w:rPr>
                <w:sz w:val="20"/>
                <w:szCs w:val="20"/>
                <w:color w:val="auto"/>
              </w:rPr>
            </w:pPr>
          </w:p>
        </w:tc>
        <w:tc>
          <w:tcPr>
            <w:tcW w:w="2000" w:type="dxa"/>
            <w:vAlign w:val="bottom"/>
          </w:tcPr>
          <w:p>
            <w:pPr>
              <w:ind w:left="900"/>
              <w:spacing w:after="0"/>
              <w:rPr>
                <w:sz w:val="20"/>
                <w:szCs w:val="20"/>
                <w:color w:val="auto"/>
              </w:rPr>
            </w:pPr>
            <w:r>
              <w:rPr>
                <w:rFonts w:ascii="Arial" w:cs="Arial" w:eastAsia="Arial" w:hAnsi="Arial"/>
                <w:sz w:val="18"/>
                <w:szCs w:val="18"/>
                <w:color w:val="auto"/>
              </w:rPr>
              <w:t>supplement.</w:t>
            </w:r>
          </w:p>
        </w:tc>
        <w:tc>
          <w:tcPr>
            <w:tcW w:w="1220" w:type="dxa"/>
            <w:vAlign w:val="bottom"/>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432"/>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 and Registrar</w:t>
            </w:r>
          </w:p>
        </w:tc>
        <w:tc>
          <w:tcPr>
            <w:tcW w:w="3220" w:type="dxa"/>
            <w:vAlign w:val="bottom"/>
            <w:gridSpan w:val="2"/>
          </w:tcPr>
          <w:p>
            <w:pPr>
              <w:ind w:left="900"/>
              <w:spacing w:after="0"/>
              <w:rPr>
                <w:sz w:val="20"/>
                <w:szCs w:val="20"/>
                <w:color w:val="auto"/>
              </w:rPr>
            </w:pPr>
            <w:r>
              <w:rPr>
                <w:rFonts w:ascii="Arial" w:cs="Arial" w:eastAsia="Arial" w:hAnsi="Arial"/>
                <w:sz w:val="18"/>
                <w:szCs w:val="18"/>
                <w:color w:val="auto"/>
                <w:w w:val="94"/>
              </w:rPr>
              <w:t>The Bank of New York Mellon.</w:t>
            </w:r>
          </w:p>
        </w:tc>
        <w:tc>
          <w:tcPr>
            <w:tcW w:w="4480" w:type="dxa"/>
            <w:vAlign w:val="bottom"/>
            <w:tcBorders>
              <w:right w:val="single" w:sz="8" w:color="auto"/>
            </w:tcBorders>
          </w:tcPr>
          <w:p>
            <w:pPr>
              <w:spacing w:after="0"/>
              <w:rPr>
                <w:sz w:val="24"/>
                <w:szCs w:val="24"/>
                <w:color w:val="auto"/>
              </w:rPr>
            </w:pPr>
          </w:p>
        </w:tc>
      </w:tr>
      <w:tr>
        <w:trPr>
          <w:trHeight w:val="445"/>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Paying Agent</w:t>
            </w: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The Bank of New York Mellon, London Branch.</w:t>
            </w:r>
          </w:p>
        </w:tc>
      </w:tr>
      <w:tr>
        <w:trPr>
          <w:trHeight w:val="431"/>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Listing and Trading</w:t>
            </w: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7"/>
              </w:rPr>
              <w:t>We intend to apply to list each series of the notes on NASDAQ. The listing applications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will be subject to approval by NASDAQ. If such listings are obtained, we have no</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3"/>
              </w:rPr>
              <w:t>obligation to maintain such listings for any series of the notes and we may delist any series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8"/>
              </w:rPr>
              <w:t>of the notes at any time. We currently expect trading in the notes on NASDAQ to begin</w:t>
            </w:r>
          </w:p>
        </w:tc>
      </w:tr>
      <w:tr>
        <w:trPr>
          <w:trHeight w:val="230"/>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within 30 days after the original issue date.</w:t>
            </w:r>
          </w:p>
        </w:tc>
      </w:tr>
      <w:tr>
        <w:trPr>
          <w:trHeight w:val="432"/>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Common Code / CUSIP / ISIN</w:t>
            </w:r>
          </w:p>
        </w:tc>
        <w:tc>
          <w:tcPr>
            <w:tcW w:w="2000" w:type="dxa"/>
            <w:vAlign w:val="bottom"/>
          </w:tcPr>
          <w:p>
            <w:pPr>
              <w:ind w:left="16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 Notes due 20</w:t>
            </w:r>
          </w:p>
        </w:tc>
      </w:tr>
      <w:tr>
        <w:trPr>
          <w:trHeight w:val="445"/>
        </w:trPr>
        <w:tc>
          <w:tcPr>
            <w:tcW w:w="3320" w:type="dxa"/>
            <w:vAlign w:val="bottom"/>
            <w:tcBorders>
              <w:left w:val="single" w:sz="8" w:color="auto"/>
            </w:tcBorders>
          </w:tcPr>
          <w:p>
            <w:pPr>
              <w:spacing w:after="0"/>
              <w:rPr>
                <w:sz w:val="24"/>
                <w:szCs w:val="24"/>
                <w:color w:val="auto"/>
              </w:rPr>
            </w:pPr>
          </w:p>
        </w:tc>
        <w:tc>
          <w:tcPr>
            <w:tcW w:w="2000" w:type="dxa"/>
            <w:vAlign w:val="bottom"/>
          </w:tcPr>
          <w:p>
            <w:pPr>
              <w:ind w:left="16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 Notes due 20</w:t>
            </w:r>
          </w:p>
        </w:tc>
      </w:tr>
      <w:tr>
        <w:trPr>
          <w:trHeight w:val="253"/>
        </w:trPr>
        <w:tc>
          <w:tcPr>
            <w:tcW w:w="3320" w:type="dxa"/>
            <w:vAlign w:val="bottom"/>
            <w:tcBorders>
              <w:left w:val="single" w:sz="8" w:color="auto"/>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spacing w:after="0"/>
              <w:rPr>
                <w:sz w:val="22"/>
                <w:szCs w:val="22"/>
                <w:color w:val="auto"/>
              </w:rPr>
            </w:pPr>
          </w:p>
        </w:tc>
      </w:tr>
      <w:tr>
        <w:trPr>
          <w:trHeight w:val="361"/>
        </w:trPr>
        <w:tc>
          <w:tcPr>
            <w:tcW w:w="3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20" w:type="dxa"/>
            <w:vAlign w:val="bottom"/>
          </w:tcPr>
          <w:p>
            <w:pPr>
              <w:jc w:val="right"/>
              <w:ind w:right="830"/>
              <w:spacing w:after="0"/>
              <w:rPr>
                <w:sz w:val="20"/>
                <w:szCs w:val="20"/>
                <w:color w:val="auto"/>
              </w:rPr>
            </w:pPr>
            <w:r>
              <w:rPr>
                <w:rFonts w:ascii="Arial" w:cs="Arial" w:eastAsia="Arial" w:hAnsi="Arial"/>
                <w:sz w:val="18"/>
                <w:szCs w:val="18"/>
                <w:color w:val="auto"/>
                <w:w w:val="99"/>
              </w:rPr>
              <w:t>S-4</w:t>
            </w:r>
          </w:p>
        </w:tc>
        <w:tc>
          <w:tcPr>
            <w:tcW w:w="44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i w:val="1"/>
          <w:iCs w:val="1"/>
          <w:color w:val="auto"/>
        </w:rPr>
        <w:t>An investment in the notes involves risks. Before deciding whether to purchase the notes, you should consider the risks discussed below or elsewhere in this prospectus supplement, including those set forth in our filings with the SEC that we have incorporated by reference in this prospectus supplement and the accompanying prospectus. Additional risks and uncertainties not presently known to us or that we currently believe to be immaterial may also impair our business operations.</w:t>
      </w:r>
    </w:p>
    <w:p>
      <w:pPr>
        <w:spacing w:after="0" w:line="146"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i w:val="1"/>
          <w:iCs w:val="1"/>
          <w:color w:val="auto"/>
        </w:rPr>
        <w:t>Any of the risks discussed below or elsewhere in this prospectus supplement or in our SEC filings incorporated by reference in this prospectus supplement and the accompanying prospectus, and other risks we have not anticipated or discussed, could have a material impact on our business, prospects, financial condition or results of operations. In that case, our ability to pay interest on the notes when due or to repay the notes at maturity could be adversely affected, and the trading price of the notes could decline substantially.</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 investment in the notes by a holder whose home currency is not the euro entails significant risks.</w:t>
      </w:r>
    </w:p>
    <w:p>
      <w:pPr>
        <w:spacing w:after="0" w:line="202"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An investment in the notes by a holder whose home currency is not the euro entails significant risks. These risks include the possibility of significant changes in rates of exchange between the holder’s functional currency and the euro, the possibility of the imposition or subsequent modification of foreign exchange controls and tax consequences as a result of any foreign exchange gains resulting from an investment in the notes. These risks generally depend on factors over which we have no control, such as economic, financial and political events and the supply of and demand for the relevant currencies. In recent years, rates of exchange between the euro, on the one hand, and certain currencies, on the other, have been highly volatile, and each holder should be aware that volatility may be expected to continue in the future. Fluctuations in any particular rate of exchange that have occurred in the past, however, are not necessarily indicative of fluctuations in the rate that may occur during the term of the notes. Depreciation of the euro against the holder’s functional currency would result in a decrease in the effective yield of the notes below the coupon rate and, in certain circumstances, could result in a loss to the holder.</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permit us to make payments in U.S. dollars if we are unable to obtain euro.</w:t>
      </w:r>
    </w:p>
    <w:p>
      <w:pPr>
        <w:spacing w:after="0" w:line="18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If the euro is unavailable to us due to the imposition of exchange controls or other circumstances beyond our control, or if the euro is no longer used by the member states of the European Economic and Monetary Union that have adopted the euro as their currency or for the settlement of transactions by public institutions within the international banking community, then all payments in respect of the notes will be made in U.S. dollars until the euro is again available to us or so used. The amount payable on any date in euro will be converted into U.S. dollars at the Market Exchange Rate (as defined below) or, if such Market Exchange Rate is not then available, on the basis of the then most recent U.S. dollar/euro exchange rate. Any payment in respect of the notes so made in U.S. dollars will not constitute an event of default under the indenture.</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a lawsuit for payment on the notes, holders of the notes may bear currency exchange risk.</w:t>
      </w:r>
    </w:p>
    <w:p>
      <w:pPr>
        <w:spacing w:after="0" w:line="18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indenture is, and the notes will be, governed by the laws of the State of New York. A New York state statute presently in effect, but subject to amendment, would require a New York state court hearing such a lawsuit to render its decision or award in euro. The judgment entered on that award, however, will be denominated in U.S. dollars, and converted at the exchange rate prevailing on the date of entry of the judgment. Consequently, in a lawsuit for payment on the notes, holders of such notes would bear currency exchange risk until a New York state court judgment is entered, which could be a long time. A federal court sitting in New York with diversity jurisdiction over a dispute arising in connection with the notes would apply the foregoing New York law.</w:t>
      </w:r>
    </w:p>
    <w:p>
      <w:pPr>
        <w:spacing w:after="0" w:line="15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courts outside of New York, investors may not be able to obtain a judgment in a currency other than U.S. dollars. For example, a judgment for money in an action based on the notes in many other U.S. federal or state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courts ordinarily would be enforced in the United States only in U.S. dollars. The date used to determine the rate of conversion of euro into U.S. dollars would depend upon various factors, including which court renders the judgment and when the judgment is rendered.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There may be no public trading market for the notes.</w:t>
      </w:r>
    </w:p>
    <w:p>
      <w:pPr>
        <w:spacing w:after="0" w:line="18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notes are new issues of securities for which there is currently no established trading market. A market for the notes may not develop or, if one does develop, it may not be maintained. If a market develops, the notes could trade at prices that may be higher or lower than the initial offering price or the price at which you purchased the notes, depending on many factors, including prevailing interest rates, our financial performance, the amount of indebtedness we have outstanding, the market for similar securities, the redemption and repayment features of the notes and the time remaining to maturity of the notes. Although we intend to apply for listing the notes for trading on the NASDAQ, no assurance can be given as to the liquidity of, or trading markets for, the notes. The listing applications will be subject to approval by NASDAQ. If such listings are obtained, we may delist any series of the notes at any time. If an active market for the notes fails to develop or be sustained, the trading price and liquidity of the notes could be adversely affected.</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Trading in the clearing systems is subject to minimum denomination requirements.</w:t>
      </w:r>
    </w:p>
    <w:p>
      <w:pPr>
        <w:spacing w:after="0" w:line="202"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notes will be issued only in minimum denominations of €100,000 and integral multiples of €1,000 in excess thereof. It is possible that the clearing systems may process trades that could result in amounts being held in denominations smaller than the minimum denominations. If definitive notes are required to be issued in relation to such notes in accordance with the provisions of the relevant global notes, a beneficial owner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 of the notes will receive payments in euro.</w:t>
      </w:r>
    </w:p>
    <w:p>
      <w:pPr>
        <w:spacing w:after="0" w:line="189"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All payments of principal, premium, if any, and interest in respect of the notes will be paid in euro, subject to certain limited exceptions, as described in this prospectus supplement. We, the underwriters, the trustee and the paying agent with respect to the notes will not be obligated to convert, or to assist any registered owner or beneficial owner of the notes in converting payments of interest, principal, premium or any redemption price in euro made with respect to such notes into U.S. dollars or any other currency.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intend to use the net proceeds from the offering, after deducting underwriters’ discount and expenses, for the refinancing of Sky’s 1.500% guaranteed notes due September 15, 2021 (€1.5 billion principal amount outstanding as of the date hereof) and any excess proceeds for the repayment of other debt.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00"/>
          </w:cols>
          <w:pgMar w:left="320" w:top="459" w:right="4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jc w:val="right"/>
              <w:ind w:right="120"/>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5500" w:type="dxa"/>
            <w:vAlign w:val="bottom"/>
          </w:tcPr>
          <w:p>
            <w:pPr>
              <w:spacing w:after="0"/>
              <w:rPr>
                <w:sz w:val="17"/>
                <w:szCs w:val="17"/>
                <w:color w:val="auto"/>
              </w:rPr>
            </w:pPr>
          </w:p>
        </w:tc>
        <w:tc>
          <w:tcPr>
            <w:tcW w:w="410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tcPr>
          <w:p>
            <w:pPr>
              <w:ind w:left="2840"/>
              <w:spacing w:after="0"/>
              <w:rPr>
                <w:sz w:val="20"/>
                <w:szCs w:val="20"/>
                <w:color w:val="auto"/>
              </w:rPr>
            </w:pPr>
            <w:r>
              <w:rPr>
                <w:rFonts w:ascii="Arial" w:cs="Arial" w:eastAsia="Arial" w:hAnsi="Arial"/>
                <w:sz w:val="18"/>
                <w:szCs w:val="18"/>
                <w:b w:val="1"/>
                <w:bCs w:val="1"/>
                <w:color w:val="auto"/>
              </w:rPr>
              <w:t>DESCRIPTION OF THE NOTES</w:t>
            </w:r>
          </w:p>
        </w:tc>
        <w:tc>
          <w:tcPr>
            <w:tcW w:w="4100" w:type="dxa"/>
            <w:vAlign w:val="bottom"/>
          </w:tcPr>
          <w:p>
            <w:pPr>
              <w:spacing w:after="0"/>
              <w:rPr>
                <w:sz w:val="24"/>
                <w:szCs w:val="24"/>
                <w:color w:val="auto"/>
              </w:rPr>
            </w:pPr>
          </w:p>
        </w:tc>
      </w:tr>
      <w:tr>
        <w:trPr>
          <w:trHeight w:val="391"/>
        </w:trPr>
        <w:tc>
          <w:tcPr>
            <w:tcW w:w="14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w w:val="97"/>
              </w:rPr>
              <w:t>We are offering €</w:t>
            </w:r>
          </w:p>
        </w:tc>
        <w:tc>
          <w:tcPr>
            <w:tcW w:w="5500" w:type="dxa"/>
            <w:vAlign w:val="bottom"/>
          </w:tcPr>
          <w:p>
            <w:pPr>
              <w:ind w:left="460"/>
              <w:spacing w:after="0"/>
              <w:rPr>
                <w:sz w:val="20"/>
                <w:szCs w:val="20"/>
                <w:color w:val="auto"/>
              </w:rPr>
            </w:pPr>
            <w:r>
              <w:rPr>
                <w:rFonts w:ascii="Arial" w:cs="Arial" w:eastAsia="Arial" w:hAnsi="Arial"/>
                <w:sz w:val="18"/>
                <w:szCs w:val="18"/>
                <w:i w:val="1"/>
                <w:iCs w:val="1"/>
                <w:color w:val="auto"/>
              </w:rPr>
              <w:t>aggregate principal amount of our   % Notes due 20   and €</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w w:val="95"/>
              </w:rPr>
              <w:t>aggregate principal amount of our   % Notes due 20  .</w:t>
            </w:r>
          </w:p>
        </w:tc>
      </w:tr>
      <w:tr>
        <w:trPr>
          <w:trHeight w:val="230"/>
        </w:trPr>
        <w:tc>
          <w:tcPr>
            <w:tcW w:w="14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5"/>
              </w:rPr>
              <w:t>The Notes due 20</w:t>
            </w:r>
          </w:p>
        </w:tc>
        <w:tc>
          <w:tcPr>
            <w:tcW w:w="9600" w:type="dxa"/>
            <w:vAlign w:val="bottom"/>
            <w:gridSpan w:val="2"/>
          </w:tcPr>
          <w:p>
            <w:pPr>
              <w:ind w:left="120"/>
              <w:spacing w:after="0"/>
              <w:rPr>
                <w:sz w:val="20"/>
                <w:szCs w:val="20"/>
                <w:color w:val="auto"/>
              </w:rPr>
            </w:pPr>
            <w:r>
              <w:rPr>
                <w:rFonts w:ascii="Arial" w:cs="Arial" w:eastAsia="Arial" w:hAnsi="Arial"/>
                <w:sz w:val="18"/>
                <w:szCs w:val="18"/>
                <w:i w:val="1"/>
                <w:iCs w:val="1"/>
                <w:color w:val="auto"/>
                <w:w w:val="94"/>
              </w:rPr>
              <w:t>and the Notes due 20   will each be a separate series of securities issued under a senior indenture dated September 18, 2013,</w:t>
            </w:r>
          </w:p>
        </w:tc>
      </w:tr>
    </w:tbl>
    <w:p>
      <w:pPr>
        <w:ind w:left="120" w:right="40"/>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provided that if such additional notes are not fungible with the notes of the applicable series offered hereby for U.S. federal income tax purposes, such additional notes will have one or more separate Common Code, ISIN and CUSIP numbers. Copies of the indenture and the form of notes are available from us upon request.</w:t>
      </w:r>
    </w:p>
    <w:p>
      <w:pPr>
        <w:spacing w:after="0" w:line="132"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i w:val="1"/>
          <w:iCs w:val="1"/>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Basic Terms of the Notes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980" w:right="340" w:hanging="432"/>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rank equally with all of our other unsecured and unsubordinated debt and will be entitled to the benefits of the guarantees described below;</w:t>
      </w:r>
    </w:p>
    <w:p>
      <w:pPr>
        <w:spacing w:after="0" w:line="170"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gridSpan w:val="5"/>
          </w:tcPr>
          <w:p>
            <w:pPr>
              <w:ind w:left="180"/>
              <w:spacing w:after="0"/>
              <w:rPr>
                <w:sz w:val="20"/>
                <w:szCs w:val="20"/>
                <w:color w:val="auto"/>
              </w:rPr>
            </w:pPr>
            <w:r>
              <w:rPr>
                <w:rFonts w:ascii="Arial" w:cs="Arial" w:eastAsia="Arial" w:hAnsi="Arial"/>
                <w:sz w:val="18"/>
                <w:szCs w:val="18"/>
                <w:color w:val="auto"/>
                <w:w w:val="98"/>
              </w:rPr>
              <w:t>will be issued in initial aggregate principal amounts of €</w:t>
            </w:r>
          </w:p>
        </w:tc>
        <w:tc>
          <w:tcPr>
            <w:tcW w:w="2240" w:type="dxa"/>
            <w:vAlign w:val="bottom"/>
            <w:gridSpan w:val="3"/>
          </w:tcPr>
          <w:p>
            <w:pPr>
              <w:ind w:left="300"/>
              <w:spacing w:after="0"/>
              <w:rPr>
                <w:sz w:val="20"/>
                <w:szCs w:val="20"/>
                <w:color w:val="auto"/>
              </w:rPr>
            </w:pPr>
            <w:r>
              <w:rPr>
                <w:rFonts w:ascii="Arial" w:cs="Arial" w:eastAsia="Arial" w:hAnsi="Arial"/>
                <w:sz w:val="18"/>
                <w:szCs w:val="18"/>
                <w:color w:val="auto"/>
              </w:rPr>
              <w:t>comprised as follows:</w:t>
            </w:r>
          </w:p>
        </w:tc>
        <w:tc>
          <w:tcPr>
            <w:tcW w:w="62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18"/>
        </w:trPr>
        <w:tc>
          <w:tcPr>
            <w:tcW w:w="260" w:type="dxa"/>
            <w:vAlign w:val="bottom"/>
          </w:tcPr>
          <w:p>
            <w:pPr>
              <w:spacing w:after="0"/>
              <w:rPr>
                <w:sz w:val="24"/>
                <w:szCs w:val="24"/>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p>
        </w:tc>
        <w:tc>
          <w:tcPr>
            <w:tcW w:w="3100" w:type="dxa"/>
            <w:vAlign w:val="bottom"/>
            <w:gridSpan w:val="2"/>
          </w:tcPr>
          <w:p>
            <w:pPr>
              <w:ind w:left="360"/>
              <w:spacing w:after="0"/>
              <w:rPr>
                <w:sz w:val="20"/>
                <w:szCs w:val="20"/>
                <w:color w:val="auto"/>
              </w:rPr>
            </w:pPr>
            <w:r>
              <w:rPr>
                <w:rFonts w:ascii="Arial" w:cs="Arial" w:eastAsia="Arial" w:hAnsi="Arial"/>
                <w:sz w:val="18"/>
                <w:szCs w:val="18"/>
                <w:color w:val="auto"/>
                <w:w w:val="95"/>
              </w:rPr>
              <w:t>initial aggregate principal amount of</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w w:val="93"/>
              </w:rPr>
              <w:t>% Notes due 20</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 maturing on</w:t>
            </w:r>
          </w:p>
        </w:tc>
        <w:tc>
          <w:tcPr>
            <w:tcW w:w="620" w:type="dxa"/>
            <w:vAlign w:val="bottom"/>
          </w:tcPr>
          <w:p>
            <w:pPr>
              <w:jc w:val="right"/>
              <w:spacing w:after="0"/>
              <w:rPr>
                <w:sz w:val="20"/>
                <w:szCs w:val="20"/>
                <w:color w:val="auto"/>
              </w:rPr>
            </w:pPr>
            <w:r>
              <w:rPr>
                <w:rFonts w:ascii="Arial" w:cs="Arial" w:eastAsia="Arial" w:hAnsi="Arial"/>
                <w:sz w:val="18"/>
                <w:szCs w:val="18"/>
                <w:color w:val="auto"/>
              </w:rPr>
              <w:t>, 20</w:t>
            </w:r>
          </w:p>
        </w:tc>
        <w:tc>
          <w:tcPr>
            <w:tcW w:w="2940" w:type="dxa"/>
            <w:vAlign w:val="bottom"/>
          </w:tcPr>
          <w:p>
            <w:pPr>
              <w:ind w:left="100"/>
              <w:spacing w:after="0"/>
              <w:rPr>
                <w:sz w:val="20"/>
                <w:szCs w:val="20"/>
                <w:color w:val="auto"/>
              </w:rPr>
            </w:pPr>
            <w:r>
              <w:rPr>
                <w:rFonts w:ascii="Arial" w:cs="Arial" w:eastAsia="Arial" w:hAnsi="Arial"/>
                <w:sz w:val="18"/>
                <w:szCs w:val="18"/>
                <w:color w:val="auto"/>
                <w:w w:val="89"/>
              </w:rPr>
              <w:t>, with interest payable annually on each</w:t>
            </w:r>
          </w:p>
        </w:tc>
      </w:tr>
      <w:tr>
        <w:trPr>
          <w:trHeight w:val="230"/>
        </w:trPr>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ind w:left="400"/>
              <w:spacing w:after="0"/>
              <w:rPr>
                <w:sz w:val="20"/>
                <w:szCs w:val="20"/>
                <w:color w:val="auto"/>
              </w:rPr>
            </w:pPr>
            <w:r>
              <w:rPr>
                <w:rFonts w:ascii="Arial" w:cs="Arial" w:eastAsia="Arial" w:hAnsi="Arial"/>
                <w:sz w:val="18"/>
                <w:szCs w:val="18"/>
                <w:color w:val="auto"/>
              </w:rPr>
              <w:t>, beginning</w:t>
            </w:r>
          </w:p>
        </w:tc>
        <w:tc>
          <w:tcPr>
            <w:tcW w:w="3940" w:type="dxa"/>
            <w:vAlign w:val="bottom"/>
            <w:gridSpan w:val="4"/>
          </w:tcPr>
          <w:p>
            <w:pPr>
              <w:ind w:left="700"/>
              <w:spacing w:after="0"/>
              <w:rPr>
                <w:sz w:val="20"/>
                <w:szCs w:val="20"/>
                <w:color w:val="auto"/>
              </w:rPr>
            </w:pPr>
            <w:r>
              <w:rPr>
                <w:rFonts w:ascii="Arial" w:cs="Arial" w:eastAsia="Arial" w:hAnsi="Arial"/>
                <w:sz w:val="18"/>
                <w:szCs w:val="18"/>
                <w:color w:val="auto"/>
                <w:w w:val="93"/>
              </w:rPr>
              <w:t>, 20  , to holders of record on the preceding</w:t>
            </w:r>
          </w:p>
        </w:tc>
        <w:tc>
          <w:tcPr>
            <w:tcW w:w="46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 and</w:t>
            </w:r>
          </w:p>
        </w:tc>
        <w:tc>
          <w:tcPr>
            <w:tcW w:w="2940" w:type="dxa"/>
            <w:vAlign w:val="bottom"/>
          </w:tcPr>
          <w:p>
            <w:pPr>
              <w:spacing w:after="0"/>
              <w:rPr>
                <w:sz w:val="20"/>
                <w:szCs w:val="20"/>
                <w:color w:val="auto"/>
              </w:rPr>
            </w:pPr>
          </w:p>
        </w:tc>
      </w:tr>
      <w:tr>
        <w:trPr>
          <w:trHeight w:val="418"/>
        </w:trPr>
        <w:tc>
          <w:tcPr>
            <w:tcW w:w="260" w:type="dxa"/>
            <w:vAlign w:val="bottom"/>
          </w:tcPr>
          <w:p>
            <w:pPr>
              <w:spacing w:after="0"/>
              <w:rPr>
                <w:sz w:val="24"/>
                <w:szCs w:val="24"/>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p>
        </w:tc>
        <w:tc>
          <w:tcPr>
            <w:tcW w:w="3100" w:type="dxa"/>
            <w:vAlign w:val="bottom"/>
            <w:gridSpan w:val="2"/>
          </w:tcPr>
          <w:p>
            <w:pPr>
              <w:ind w:left="360"/>
              <w:spacing w:after="0"/>
              <w:rPr>
                <w:sz w:val="20"/>
                <w:szCs w:val="20"/>
                <w:color w:val="auto"/>
              </w:rPr>
            </w:pPr>
            <w:r>
              <w:rPr>
                <w:rFonts w:ascii="Arial" w:cs="Arial" w:eastAsia="Arial" w:hAnsi="Arial"/>
                <w:sz w:val="18"/>
                <w:szCs w:val="18"/>
                <w:color w:val="auto"/>
                <w:w w:val="95"/>
              </w:rPr>
              <w:t>initial aggregate principal amount of</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w w:val="93"/>
              </w:rPr>
              <w:t>% Notes due 20</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 maturing on</w:t>
            </w:r>
          </w:p>
        </w:tc>
        <w:tc>
          <w:tcPr>
            <w:tcW w:w="620" w:type="dxa"/>
            <w:vAlign w:val="bottom"/>
          </w:tcPr>
          <w:p>
            <w:pPr>
              <w:jc w:val="right"/>
              <w:spacing w:after="0"/>
              <w:rPr>
                <w:sz w:val="20"/>
                <w:szCs w:val="20"/>
                <w:color w:val="auto"/>
              </w:rPr>
            </w:pPr>
            <w:r>
              <w:rPr>
                <w:rFonts w:ascii="Arial" w:cs="Arial" w:eastAsia="Arial" w:hAnsi="Arial"/>
                <w:sz w:val="18"/>
                <w:szCs w:val="18"/>
                <w:color w:val="auto"/>
              </w:rPr>
              <w:t>, 20</w:t>
            </w:r>
          </w:p>
        </w:tc>
        <w:tc>
          <w:tcPr>
            <w:tcW w:w="2940" w:type="dxa"/>
            <w:vAlign w:val="bottom"/>
          </w:tcPr>
          <w:p>
            <w:pPr>
              <w:ind w:left="100"/>
              <w:spacing w:after="0"/>
              <w:rPr>
                <w:sz w:val="20"/>
                <w:szCs w:val="20"/>
                <w:color w:val="auto"/>
              </w:rPr>
            </w:pPr>
            <w:r>
              <w:rPr>
                <w:rFonts w:ascii="Arial" w:cs="Arial" w:eastAsia="Arial" w:hAnsi="Arial"/>
                <w:sz w:val="18"/>
                <w:szCs w:val="18"/>
                <w:color w:val="auto"/>
                <w:w w:val="89"/>
              </w:rPr>
              <w:t>, with interest payable annually on each</w:t>
            </w:r>
          </w:p>
        </w:tc>
      </w:tr>
      <w:tr>
        <w:trPr>
          <w:trHeight w:val="230"/>
        </w:trPr>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ind w:left="220"/>
              <w:spacing w:after="0"/>
              <w:rPr>
                <w:sz w:val="20"/>
                <w:szCs w:val="20"/>
                <w:color w:val="auto"/>
              </w:rPr>
            </w:pPr>
            <w:r>
              <w:rPr>
                <w:rFonts w:ascii="Arial" w:cs="Arial" w:eastAsia="Arial" w:hAnsi="Arial"/>
                <w:sz w:val="18"/>
                <w:szCs w:val="18"/>
                <w:color w:val="auto"/>
              </w:rPr>
              <w:t>, beginning</w:t>
            </w:r>
          </w:p>
        </w:tc>
        <w:tc>
          <w:tcPr>
            <w:tcW w:w="3940" w:type="dxa"/>
            <w:vAlign w:val="bottom"/>
            <w:gridSpan w:val="4"/>
          </w:tcPr>
          <w:p>
            <w:pPr>
              <w:ind w:left="200"/>
              <w:spacing w:after="0"/>
              <w:rPr>
                <w:sz w:val="20"/>
                <w:szCs w:val="20"/>
                <w:color w:val="auto"/>
              </w:rPr>
            </w:pPr>
            <w:r>
              <w:rPr>
                <w:rFonts w:ascii="Arial" w:cs="Arial" w:eastAsia="Arial" w:hAnsi="Arial"/>
                <w:sz w:val="18"/>
                <w:szCs w:val="18"/>
                <w:color w:val="auto"/>
              </w:rPr>
              <w:t>, 20  , to holders of record on the preceding</w:t>
            </w:r>
          </w:p>
        </w:tc>
        <w:tc>
          <w:tcPr>
            <w:tcW w:w="460" w:type="dxa"/>
            <w:vAlign w:val="bottom"/>
          </w:tcPr>
          <w:p>
            <w:pPr>
              <w:ind w:left="40"/>
              <w:spacing w:after="0"/>
              <w:rPr>
                <w:sz w:val="20"/>
                <w:szCs w:val="20"/>
                <w:color w:val="auto"/>
              </w:rPr>
            </w:pPr>
            <w:r>
              <w:rPr>
                <w:rFonts w:ascii="Arial" w:cs="Arial" w:eastAsia="Arial" w:hAnsi="Arial"/>
                <w:sz w:val="18"/>
                <w:szCs w:val="18"/>
                <w:color w:val="auto"/>
                <w:w w:val="99"/>
              </w:rPr>
              <w:t>; and</w:t>
            </w:r>
          </w:p>
        </w:tc>
        <w:tc>
          <w:tcPr>
            <w:tcW w:w="620" w:type="dxa"/>
            <w:vAlign w:val="bottom"/>
          </w:tcPr>
          <w:p>
            <w:pPr>
              <w:spacing w:after="0"/>
              <w:rPr>
                <w:sz w:val="20"/>
                <w:szCs w:val="20"/>
                <w:color w:val="auto"/>
              </w:rPr>
            </w:pPr>
          </w:p>
        </w:tc>
        <w:tc>
          <w:tcPr>
            <w:tcW w:w="2940" w:type="dxa"/>
            <w:vAlign w:val="bottom"/>
          </w:tcPr>
          <w:p>
            <w:pPr>
              <w:spacing w:after="0"/>
              <w:rPr>
                <w:sz w:val="20"/>
                <w:szCs w:val="20"/>
                <w:color w:val="auto"/>
              </w:rPr>
            </w:pPr>
          </w:p>
        </w:tc>
      </w:tr>
    </w:tbl>
    <w:p>
      <w:pPr>
        <w:spacing w:after="0" w:line="202" w:lineRule="exact"/>
        <w:rPr>
          <w:sz w:val="20"/>
          <w:szCs w:val="20"/>
          <w:color w:val="auto"/>
        </w:rPr>
      </w:pPr>
    </w:p>
    <w:p>
      <w:pPr>
        <w:ind w:left="980" w:hanging="432"/>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€100,000 and in multiples of €1,000 in excess thereof.</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Payments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Interest on the notes will be computed on the basis of the actual number of days in the period for which interest is being calculated and the actual</w:t>
      </w:r>
    </w:p>
    <w:p>
      <w:pPr>
        <w:spacing w:after="0" w:line="3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number of days from and including the last date to which interest was paid on the notes (or , 2021 if no interest has been paid on the notes), to but excluding the next scheduled interest payment date. This payment convention is referred to as ACTUAL/ACTUAL (ICMA) as defined in the rulebook of the International Capital Market Association.</w:t>
      </w:r>
    </w:p>
    <w:p>
      <w:pPr>
        <w:spacing w:after="0" w:line="163"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4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term “business day” means any day other than a Saturday or Sunday (i) which is not a day on which banking institutions in The City of New York or London are authorized or obligated by law, regulation or executive order to close and (ii) on which the Trans-European Automated Real-Time Gross Settlement Express Transfer System (the TARGET2 system) or any successor thereto is open.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in Euro</w:t>
      </w:r>
    </w:p>
    <w:p>
      <w:pPr>
        <w:spacing w:after="0" w:line="189"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Principal, premium, if any, and interest payments in respect of the notes will be payable in euro. If euro is unavailable to us due to the imposition of exchange controls or other circumstances beyond our control, then all payments in respect of the notes will be made in U.S. dollars until euro is again available to us. The amount payable on any date in euro will be converted into U.S. dollars at the Market Exchange Rate (as defined below) or, if such Market Exchange Rate is not then available, on the basis of the most recently available market exchange rate for euro. Any payment in respect of the notes so made in U.S. dollars will not constitute an event of default under the indenture.</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amount payable on any date in euro will be converted into U.S. dollars at the Market Exchange Rate (as defined below) or, if such Market Exchange Rate is not then available, on the basis of the then most recent U.S. dollar/euro exchange rate. Any payment in respect of the notes so made in U.S. dollars will not constitute an event of default under the indenture. Neither the trustee nor the paying agent will be responsible for obtaining exchange rates, effecting currency conversions or otherwise handling re-denominations.</w:t>
      </w:r>
    </w:p>
    <w:p>
      <w:pPr>
        <w:spacing w:after="0" w:line="14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“Market Exchange Rate” means the noon buying rate in The City of New York for cable transfers of euro as certified for customs purposes (or, if not so certified, as otherwise determined) by the Federal Reserve Bank of New York.</w:t>
      </w:r>
    </w:p>
    <w:p>
      <w:pPr>
        <w:spacing w:after="0" w:line="130"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color w:val="auto"/>
        </w:rPr>
        <w:t>Investors will be subject to foreign exchange risks as to payments of principal of, and premium, if any, and interest on, the notes that may have important economic and tax consequences to them. See “Risk Factors” and “Material U.S. Federal Income Tax Consequences.”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September 3, 2021, the euro/USD rate of exchange was €1.19/U.S.$1.00, as reported by Bloomberg L.P.</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8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notes constitute new issues of securities for which there are no established trading markets. We intend to apply to list each series of the notes on NASDAQ. The listing applications will be subject to approval by NASDAQ. If such listings are obtained, we have no obligation to maintain such listings for any series of the notes, and we may delist any series of the notes at any time. We currently expect trading in the notes on NASDAQ to begin within 30 days after the original issue date.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w:t>
      </w:r>
    </w:p>
    <w:p>
      <w:pPr>
        <w:spacing w:after="0" w:line="18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3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8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We will have the right at our option to redeem any of the notes of each series in whole or in part, at any time or from time to time prior to their maturity, on at least 15 days, but not more than 30 days, prior notice delivered electronically or mailed to the registered address of each holder of notes, at the applicable Redemption Price. We will calculate the Redemption Price in connection with any redemption hereunder.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0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533"/>
        </w:trPr>
        <w:tc>
          <w:tcPr>
            <w:tcW w:w="3380" w:type="dxa"/>
            <w:vAlign w:val="bottom"/>
            <w:gridSpan w:val="3"/>
          </w:tcPr>
          <w:p>
            <w:pPr>
              <w:ind w:left="120"/>
              <w:spacing w:after="0"/>
              <w:rPr>
                <w:sz w:val="20"/>
                <w:szCs w:val="20"/>
                <w:color w:val="auto"/>
              </w:rPr>
            </w:pPr>
            <w:r>
              <w:rPr>
                <w:rFonts w:ascii="Arial" w:cs="Arial" w:eastAsia="Arial" w:hAnsi="Arial"/>
                <w:sz w:val="18"/>
                <w:szCs w:val="18"/>
                <w:color w:val="auto"/>
              </w:rPr>
              <w:t>“Redemption Price” means:</w:t>
            </w:r>
          </w:p>
        </w:tc>
        <w:tc>
          <w:tcPr>
            <w:tcW w:w="2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8"/>
        </w:trPr>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580" w:type="dxa"/>
            <w:vAlign w:val="bottom"/>
            <w:gridSpan w:val="2"/>
          </w:tcPr>
          <w:p>
            <w:pPr>
              <w:ind w:left="180"/>
              <w:spacing w:after="0"/>
              <w:rPr>
                <w:sz w:val="20"/>
                <w:szCs w:val="20"/>
                <w:color w:val="auto"/>
              </w:rPr>
            </w:pPr>
            <w:r>
              <w:rPr>
                <w:rFonts w:ascii="Arial" w:cs="Arial" w:eastAsia="Arial" w:hAnsi="Arial"/>
                <w:sz w:val="18"/>
                <w:szCs w:val="18"/>
                <w:color w:val="auto"/>
                <w:w w:val="92"/>
              </w:rPr>
              <w:t>with respect to the Notes due 20</w:t>
            </w:r>
          </w:p>
        </w:tc>
        <w:tc>
          <w:tcPr>
            <w:tcW w:w="2200" w:type="dxa"/>
            <w:vAlign w:val="bottom"/>
          </w:tcPr>
          <w:p>
            <w:pPr>
              <w:ind w:left="100"/>
              <w:spacing w:after="0"/>
              <w:rPr>
                <w:sz w:val="20"/>
                <w:szCs w:val="20"/>
                <w:color w:val="auto"/>
              </w:rPr>
            </w:pPr>
            <w:r>
              <w:rPr>
                <w:rFonts w:ascii="Arial" w:cs="Arial" w:eastAsia="Arial" w:hAnsi="Arial"/>
                <w:sz w:val="18"/>
                <w:szCs w:val="18"/>
                <w:color w:val="auto"/>
              </w:rPr>
              <w:t>, at any time prior to</w:t>
            </w:r>
          </w:p>
        </w:tc>
        <w:tc>
          <w:tcPr>
            <w:tcW w:w="580" w:type="dxa"/>
            <w:vAlign w:val="bottom"/>
          </w:tcPr>
          <w:p>
            <w:pPr>
              <w:jc w:val="right"/>
              <w:spacing w:after="0"/>
              <w:rPr>
                <w:sz w:val="20"/>
                <w:szCs w:val="20"/>
                <w:color w:val="auto"/>
              </w:rPr>
            </w:pPr>
            <w:r>
              <w:rPr>
                <w:rFonts w:ascii="Arial" w:cs="Arial" w:eastAsia="Arial" w:hAnsi="Arial"/>
                <w:sz w:val="18"/>
                <w:szCs w:val="18"/>
                <w:color w:val="auto"/>
              </w:rPr>
              <w:t>, 20</w:t>
            </w: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w w:val="93"/>
              </w:rPr>
              <w:t>(  months prior to the maturity of the Notes due 20</w:t>
            </w:r>
          </w:p>
        </w:tc>
        <w:tc>
          <w:tcPr>
            <w:tcW w:w="920" w:type="dxa"/>
            <w:vAlign w:val="bottom"/>
          </w:tcPr>
          <w:p>
            <w:pPr>
              <w:ind w:left="160"/>
              <w:spacing w:after="0"/>
              <w:rPr>
                <w:sz w:val="20"/>
                <w:szCs w:val="20"/>
                <w:color w:val="auto"/>
              </w:rPr>
            </w:pPr>
            <w:r>
              <w:rPr>
                <w:rFonts w:ascii="Arial" w:cs="Arial" w:eastAsia="Arial" w:hAnsi="Arial"/>
                <w:sz w:val="18"/>
                <w:szCs w:val="18"/>
                <w:color w:val="auto"/>
              </w:rPr>
              <w:t>) (the “20</w:t>
            </w:r>
          </w:p>
        </w:tc>
      </w:tr>
      <w:tr>
        <w:trPr>
          <w:trHeight w:val="216"/>
        </w:trPr>
        <w:tc>
          <w:tcPr>
            <w:tcW w:w="80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1"/>
              </w:rPr>
              <w:t>Par Call Date”), the greater of (i) 100% of the principal amount of such notes and (ii) the sum of the present values of the principal amount</w:t>
            </w:r>
          </w:p>
        </w:tc>
      </w:tr>
      <w:tr>
        <w:trPr>
          <w:trHeight w:val="216"/>
        </w:trPr>
        <w:tc>
          <w:tcPr>
            <w:tcW w:w="80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0"/>
              </w:rPr>
              <w:t>of such notes and the scheduled payments of interest thereon (exclusive of interest accrued to the date of redemption) from the redemption</w:t>
            </w:r>
          </w:p>
        </w:tc>
      </w:tr>
      <w:tr>
        <w:trPr>
          <w:trHeight w:val="216"/>
        </w:trPr>
        <w:tc>
          <w:tcPr>
            <w:tcW w:w="80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3"/>
              </w:rPr>
              <w:t>date to the 20   Par Call Date, in each case discounted to the redemption date on an actual (ACTUAL/ACTUAL (ICMA)) basis at a rate</w:t>
            </w:r>
          </w:p>
        </w:tc>
      </w:tr>
      <w:tr>
        <w:trPr>
          <w:trHeight w:val="216"/>
        </w:trPr>
        <w:tc>
          <w:tcPr>
            <w:tcW w:w="800" w:type="dxa"/>
            <w:vAlign w:val="bottom"/>
          </w:tcPr>
          <w:p>
            <w:pPr>
              <w:spacing w:after="0"/>
              <w:rPr>
                <w:sz w:val="18"/>
                <w:szCs w:val="18"/>
                <w:color w:val="auto"/>
              </w:rPr>
            </w:pPr>
          </w:p>
        </w:tc>
        <w:tc>
          <w:tcPr>
            <w:tcW w:w="4780" w:type="dxa"/>
            <w:vAlign w:val="bottom"/>
            <w:gridSpan w:val="3"/>
          </w:tcPr>
          <w:p>
            <w:pPr>
              <w:ind w:left="180"/>
              <w:spacing w:after="0"/>
              <w:rPr>
                <w:sz w:val="20"/>
                <w:szCs w:val="20"/>
                <w:color w:val="auto"/>
              </w:rPr>
            </w:pPr>
            <w:r>
              <w:rPr>
                <w:rFonts w:ascii="Arial" w:cs="Arial" w:eastAsia="Arial" w:hAnsi="Arial"/>
                <w:sz w:val="18"/>
                <w:szCs w:val="18"/>
                <w:color w:val="auto"/>
                <w:w w:val="91"/>
              </w:rPr>
              <w:t>equal to the applicable comparable government bond rate plus</w:t>
            </w:r>
          </w:p>
        </w:tc>
        <w:tc>
          <w:tcPr>
            <w:tcW w:w="3920" w:type="dxa"/>
            <w:vAlign w:val="bottom"/>
            <w:gridSpan w:val="2"/>
          </w:tcPr>
          <w:p>
            <w:pPr>
              <w:ind w:left="460"/>
              <w:spacing w:after="0"/>
              <w:rPr>
                <w:sz w:val="20"/>
                <w:szCs w:val="20"/>
                <w:color w:val="auto"/>
              </w:rPr>
            </w:pPr>
            <w:r>
              <w:rPr>
                <w:rFonts w:ascii="Arial" w:cs="Arial" w:eastAsia="Arial" w:hAnsi="Arial"/>
                <w:sz w:val="18"/>
                <w:szCs w:val="18"/>
                <w:color w:val="auto"/>
                <w:w w:val="92"/>
              </w:rPr>
              <w:t>basis points; provided that, if the Notes due 20</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w w:val="86"/>
              </w:rPr>
              <w:t>are redeemed on or</w:t>
            </w:r>
          </w:p>
        </w:tc>
      </w:tr>
      <w:tr>
        <w:trPr>
          <w:trHeight w:val="230"/>
        </w:trPr>
        <w:tc>
          <w:tcPr>
            <w:tcW w:w="800" w:type="dxa"/>
            <w:vAlign w:val="bottom"/>
          </w:tcPr>
          <w:p>
            <w:pPr>
              <w:spacing w:after="0"/>
              <w:rPr>
                <w:sz w:val="20"/>
                <w:szCs w:val="20"/>
                <w:color w:val="auto"/>
              </w:rPr>
            </w:pPr>
          </w:p>
        </w:tc>
        <w:tc>
          <w:tcPr>
            <w:tcW w:w="8700" w:type="dxa"/>
            <w:vAlign w:val="bottom"/>
            <w:gridSpan w:val="5"/>
          </w:tcPr>
          <w:p>
            <w:pPr>
              <w:ind w:left="180"/>
              <w:spacing w:after="0"/>
              <w:rPr>
                <w:sz w:val="20"/>
                <w:szCs w:val="20"/>
                <w:color w:val="auto"/>
              </w:rPr>
            </w:pPr>
            <w:r>
              <w:rPr>
                <w:rFonts w:ascii="Arial" w:cs="Arial" w:eastAsia="Arial" w:hAnsi="Arial"/>
                <w:sz w:val="18"/>
                <w:szCs w:val="18"/>
                <w:color w:val="auto"/>
                <w:w w:val="98"/>
              </w:rPr>
              <w:t>after the 20   Par Call Date, the Redemption Price will equal 100% of the principal amount of such notes; and</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580" w:type="dxa"/>
            <w:vAlign w:val="bottom"/>
            <w:gridSpan w:val="2"/>
          </w:tcPr>
          <w:p>
            <w:pPr>
              <w:ind w:left="180"/>
              <w:spacing w:after="0"/>
              <w:rPr>
                <w:sz w:val="20"/>
                <w:szCs w:val="20"/>
                <w:color w:val="auto"/>
              </w:rPr>
            </w:pPr>
            <w:r>
              <w:rPr>
                <w:rFonts w:ascii="Arial" w:cs="Arial" w:eastAsia="Arial" w:hAnsi="Arial"/>
                <w:sz w:val="18"/>
                <w:szCs w:val="18"/>
                <w:color w:val="auto"/>
                <w:w w:val="92"/>
              </w:rPr>
              <w:t>with respect to the Notes due 20</w:t>
            </w:r>
          </w:p>
        </w:tc>
        <w:tc>
          <w:tcPr>
            <w:tcW w:w="2200" w:type="dxa"/>
            <w:vAlign w:val="bottom"/>
          </w:tcPr>
          <w:p>
            <w:pPr>
              <w:ind w:left="100"/>
              <w:spacing w:after="0"/>
              <w:rPr>
                <w:sz w:val="20"/>
                <w:szCs w:val="20"/>
                <w:color w:val="auto"/>
              </w:rPr>
            </w:pPr>
            <w:r>
              <w:rPr>
                <w:rFonts w:ascii="Arial" w:cs="Arial" w:eastAsia="Arial" w:hAnsi="Arial"/>
                <w:sz w:val="18"/>
                <w:szCs w:val="18"/>
                <w:color w:val="auto"/>
              </w:rPr>
              <w:t>, at any time prior to</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 20</w:t>
            </w:r>
          </w:p>
        </w:tc>
        <w:tc>
          <w:tcPr>
            <w:tcW w:w="3920" w:type="dxa"/>
            <w:vAlign w:val="bottom"/>
            <w:gridSpan w:val="2"/>
          </w:tcPr>
          <w:p>
            <w:pPr>
              <w:ind w:left="40"/>
              <w:spacing w:after="0"/>
              <w:rPr>
                <w:sz w:val="20"/>
                <w:szCs w:val="20"/>
                <w:color w:val="auto"/>
              </w:rPr>
            </w:pPr>
            <w:r>
              <w:rPr>
                <w:rFonts w:ascii="Arial" w:cs="Arial" w:eastAsia="Arial" w:hAnsi="Arial"/>
                <w:sz w:val="18"/>
                <w:szCs w:val="18"/>
                <w:color w:val="auto"/>
                <w:w w:val="97"/>
              </w:rPr>
              <w:t>(  months prior to the maturity of the Notes due 20</w:t>
            </w:r>
          </w:p>
        </w:tc>
        <w:tc>
          <w:tcPr>
            <w:tcW w:w="920" w:type="dxa"/>
            <w:vAlign w:val="bottom"/>
          </w:tcPr>
          <w:p>
            <w:pPr>
              <w:ind w:left="20"/>
              <w:spacing w:after="0"/>
              <w:rPr>
                <w:sz w:val="20"/>
                <w:szCs w:val="20"/>
                <w:color w:val="auto"/>
              </w:rPr>
            </w:pPr>
            <w:r>
              <w:rPr>
                <w:rFonts w:ascii="Arial" w:cs="Arial" w:eastAsia="Arial" w:hAnsi="Arial"/>
                <w:sz w:val="18"/>
                <w:szCs w:val="18"/>
                <w:color w:val="auto"/>
              </w:rPr>
              <w:t>) (the “20</w:t>
            </w:r>
          </w:p>
        </w:tc>
      </w:tr>
      <w:tr>
        <w:trPr>
          <w:trHeight w:val="216"/>
        </w:trPr>
        <w:tc>
          <w:tcPr>
            <w:tcW w:w="80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1"/>
              </w:rPr>
              <w:t>Par Call Date”), the greater of (i) 100% of the principal amount of such notes and (ii) the sum of the present values of the principal amount</w:t>
            </w:r>
          </w:p>
        </w:tc>
      </w:tr>
      <w:tr>
        <w:trPr>
          <w:trHeight w:val="216"/>
        </w:trPr>
        <w:tc>
          <w:tcPr>
            <w:tcW w:w="80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0"/>
              </w:rPr>
              <w:t>of such notes and the scheduled payments of interest thereon (exclusive of interest accrued to the date of redemption) from the redemption</w:t>
            </w:r>
          </w:p>
        </w:tc>
      </w:tr>
      <w:tr>
        <w:trPr>
          <w:trHeight w:val="216"/>
        </w:trPr>
        <w:tc>
          <w:tcPr>
            <w:tcW w:w="800" w:type="dxa"/>
            <w:vAlign w:val="bottom"/>
          </w:tcPr>
          <w:p>
            <w:pPr>
              <w:spacing w:after="0"/>
              <w:rPr>
                <w:sz w:val="18"/>
                <w:szCs w:val="18"/>
                <w:color w:val="auto"/>
              </w:rPr>
            </w:pPr>
          </w:p>
        </w:tc>
        <w:tc>
          <w:tcPr>
            <w:tcW w:w="10200" w:type="dxa"/>
            <w:vAlign w:val="bottom"/>
            <w:gridSpan w:val="7"/>
          </w:tcPr>
          <w:p>
            <w:pPr>
              <w:ind w:left="180"/>
              <w:spacing w:after="0"/>
              <w:rPr>
                <w:sz w:val="20"/>
                <w:szCs w:val="20"/>
                <w:color w:val="auto"/>
              </w:rPr>
            </w:pPr>
            <w:r>
              <w:rPr>
                <w:rFonts w:ascii="Arial" w:cs="Arial" w:eastAsia="Arial" w:hAnsi="Arial"/>
                <w:sz w:val="18"/>
                <w:szCs w:val="18"/>
                <w:color w:val="auto"/>
                <w:w w:val="93"/>
              </w:rPr>
              <w:t>date to the 20   Par Call Date, in each case discounted to the redemption date on an actual (ACTUAL/ACTUAL (ICMA)) basis at a rate</w:t>
            </w:r>
          </w:p>
        </w:tc>
      </w:tr>
      <w:tr>
        <w:trPr>
          <w:trHeight w:val="230"/>
        </w:trPr>
        <w:tc>
          <w:tcPr>
            <w:tcW w:w="800" w:type="dxa"/>
            <w:vAlign w:val="bottom"/>
          </w:tcPr>
          <w:p>
            <w:pPr>
              <w:spacing w:after="0"/>
              <w:rPr>
                <w:sz w:val="20"/>
                <w:szCs w:val="20"/>
                <w:color w:val="auto"/>
              </w:rPr>
            </w:pPr>
          </w:p>
        </w:tc>
        <w:tc>
          <w:tcPr>
            <w:tcW w:w="4780" w:type="dxa"/>
            <w:vAlign w:val="bottom"/>
            <w:gridSpan w:val="3"/>
          </w:tcPr>
          <w:p>
            <w:pPr>
              <w:ind w:left="180"/>
              <w:spacing w:after="0"/>
              <w:rPr>
                <w:sz w:val="20"/>
                <w:szCs w:val="20"/>
                <w:color w:val="auto"/>
              </w:rPr>
            </w:pPr>
            <w:r>
              <w:rPr>
                <w:rFonts w:ascii="Arial" w:cs="Arial" w:eastAsia="Arial" w:hAnsi="Arial"/>
                <w:sz w:val="18"/>
                <w:szCs w:val="18"/>
                <w:color w:val="auto"/>
                <w:w w:val="91"/>
              </w:rPr>
              <w:t>equal to the applicable comparable government bond rate plus</w:t>
            </w:r>
          </w:p>
        </w:tc>
        <w:tc>
          <w:tcPr>
            <w:tcW w:w="3920" w:type="dxa"/>
            <w:vAlign w:val="bottom"/>
            <w:gridSpan w:val="2"/>
          </w:tcPr>
          <w:p>
            <w:pPr>
              <w:ind w:left="460"/>
              <w:spacing w:after="0"/>
              <w:rPr>
                <w:sz w:val="20"/>
                <w:szCs w:val="20"/>
                <w:color w:val="auto"/>
              </w:rPr>
            </w:pPr>
            <w:r>
              <w:rPr>
                <w:rFonts w:ascii="Arial" w:cs="Arial" w:eastAsia="Arial" w:hAnsi="Arial"/>
                <w:sz w:val="18"/>
                <w:szCs w:val="18"/>
                <w:color w:val="auto"/>
                <w:w w:val="92"/>
              </w:rPr>
              <w:t>basis points; provided that, if the Notes due 20</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w w:val="86"/>
              </w:rPr>
              <w:t>are redeemed on or</w:t>
            </w:r>
          </w:p>
        </w:tc>
      </w:tr>
    </w:tbl>
    <w:p>
      <w:pPr>
        <w:ind w:left="980"/>
        <w:spacing w:after="0"/>
        <w:tabs>
          <w:tab w:leader="none" w:pos="2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20</w:t>
      </w:r>
      <w:r>
        <w:rPr>
          <w:sz w:val="20"/>
          <w:szCs w:val="20"/>
          <w:color w:val="auto"/>
        </w:rPr>
        <w:tab/>
      </w:r>
      <w:r>
        <w:rPr>
          <w:rFonts w:ascii="Arial" w:cs="Arial" w:eastAsia="Arial" w:hAnsi="Arial"/>
          <w:sz w:val="16"/>
          <w:szCs w:val="16"/>
          <w:color w:val="auto"/>
        </w:rPr>
        <w:t>Par Call Date, the Redemption Price will equal 100% of the principal amount of such notes;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plus, in each case, accrued and unpaid interest thereon to the date of redemption.</w:t>
      </w:r>
    </w:p>
    <w:p>
      <w:pPr>
        <w:spacing w:after="0" w:line="18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term “comparable government bond” means, in relation to any comparable government bond rate calculation, at the discretion of an independent investment banker selected by us, a German government bond whose maturity is closest to the maturity of the applicable series of notes to be redeemed (assuming for this purpose that each series of notes matured on the related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us, determine to be appropriate for determining the comparable government bond rate.</w:t>
      </w:r>
    </w:p>
    <w:p>
      <w:pPr>
        <w:spacing w:after="0" w:line="152"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term “comparable government bond rate”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us.</w:t>
      </w:r>
    </w:p>
    <w:p>
      <w:pPr>
        <w:spacing w:after="0" w:line="16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term “independent investment banker” means each of Barclays Bank PLC and Deutsche Bank AG, London Branch (or their respective successors), or if each such firm is unwilling or unable to select the comparable government bond, an independent investment banking institution of international standing appointed by us.</w:t>
      </w:r>
    </w:p>
    <w:p>
      <w:pPr>
        <w:spacing w:after="0" w:line="143"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or the paying agent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lottery provided that notes represented by a Global Note will be selected for redemption by the applicable depositary in accordance with its standard procedures therefor). See also “—Book-Entry System” below. Additionally, we may at any time repurchase notes in the open market and may hold or surrender such notes to the trustee for cancellation.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4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The notes are also subject to redemption prior to maturity if certain events occur involving United States taxation. If any of these special tax events occur, the notes may be redeemed at a redemption price of 100% of their principal amount plus accrued and unpaid interest to the date fixed for redemption. See “</w:t>
      </w:r>
      <w:r>
        <w:rPr>
          <w:rFonts w:ascii="Arial" w:cs="Arial" w:eastAsia="Arial" w:hAnsi="Arial"/>
          <w:sz w:val="18"/>
          <w:szCs w:val="18"/>
          <w:b w:val="1"/>
          <w:bCs w:val="1"/>
          <w:color w:val="auto"/>
        </w:rPr>
        <w:t>—</w:t>
      </w:r>
      <w:r>
        <w:rPr>
          <w:rFonts w:ascii="Arial" w:cs="Arial" w:eastAsia="Arial" w:hAnsi="Arial"/>
          <w:sz w:val="18"/>
          <w:szCs w:val="18"/>
          <w:color w:val="auto"/>
        </w:rPr>
        <w:t>Redemption for Tax Reasons.”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of Additional Amounts</w:t>
      </w:r>
    </w:p>
    <w:p>
      <w:pPr>
        <w:spacing w:after="0" w:line="18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We will, subject to the exceptions and limitations set forth below, pay as additional interest in respect of the notes such additional amounts as are necessary in order that the net payment by us or our paying agent of the principal of and interest in respect of the notes to a beneficial owner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176" w:lineRule="exact"/>
        <w:rPr>
          <w:sz w:val="20"/>
          <w:szCs w:val="20"/>
          <w:color w:val="auto"/>
        </w:rPr>
      </w:pPr>
    </w:p>
    <w:p>
      <w:pPr>
        <w:ind w:left="980" w:right="260" w:hanging="432"/>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any tax, assessment or other governmental charge that is imposed by reason of the holder (or the beneficial owner for whose benefit such holder holds such note),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186" w:lineRule="exact"/>
        <w:rPr>
          <w:rFonts w:ascii="Arial" w:cs="Arial" w:eastAsia="Arial" w:hAnsi="Arial"/>
          <w:sz w:val="18"/>
          <w:szCs w:val="18"/>
          <w:color w:val="auto"/>
        </w:rPr>
      </w:pPr>
    </w:p>
    <w:p>
      <w:pPr>
        <w:ind w:left="1540" w:right="220" w:hanging="439"/>
        <w:spacing w:after="0" w:line="277"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170" w:lineRule="exact"/>
        <w:rPr>
          <w:rFonts w:ascii="Arial" w:cs="Arial" w:eastAsia="Arial" w:hAnsi="Arial"/>
          <w:sz w:val="18"/>
          <w:szCs w:val="18"/>
          <w:color w:val="auto"/>
        </w:rPr>
      </w:pPr>
    </w:p>
    <w:p>
      <w:pPr>
        <w:ind w:left="1540" w:right="200" w:hanging="439"/>
        <w:spacing w:after="0" w:line="263"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183" w:lineRule="exact"/>
        <w:rPr>
          <w:rFonts w:ascii="Arial" w:cs="Arial" w:eastAsia="Arial" w:hAnsi="Arial"/>
          <w:sz w:val="18"/>
          <w:szCs w:val="18"/>
          <w:color w:val="auto"/>
        </w:rPr>
      </w:pPr>
    </w:p>
    <w:p>
      <w:pPr>
        <w:jc w:val="both"/>
        <w:ind w:left="1540" w:hanging="439"/>
        <w:spacing w:after="0" w:line="263"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183" w:lineRule="exact"/>
        <w:rPr>
          <w:rFonts w:ascii="Arial" w:cs="Arial" w:eastAsia="Arial" w:hAnsi="Arial"/>
          <w:sz w:val="18"/>
          <w:szCs w:val="18"/>
          <w:color w:val="auto"/>
        </w:rPr>
      </w:pPr>
    </w:p>
    <w:p>
      <w:pPr>
        <w:ind w:left="1540" w:right="160" w:hanging="439"/>
        <w:spacing w:after="0" w:line="277"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being or having been a “10-percent shareholder” of Comcast or the applicable guarantor as defined in section 871(h)(3) of the U.S. Internal Revenue Code of 1986, as amended (the “Code”), or any successor provision; or</w:t>
      </w:r>
    </w:p>
    <w:p>
      <w:pPr>
        <w:spacing w:after="0" w:line="170" w:lineRule="exact"/>
        <w:rPr>
          <w:rFonts w:ascii="Arial" w:cs="Arial" w:eastAsia="Arial" w:hAnsi="Arial"/>
          <w:sz w:val="18"/>
          <w:szCs w:val="18"/>
          <w:color w:val="auto"/>
        </w:rPr>
      </w:pPr>
    </w:p>
    <w:p>
      <w:pPr>
        <w:ind w:left="1540" w:right="120" w:hanging="439"/>
        <w:spacing w:after="0" w:line="277"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 as described in Section 881(c)(3) of the Code or any successor provision;</w:t>
      </w:r>
    </w:p>
    <w:p>
      <w:pPr>
        <w:spacing w:after="0" w:line="170" w:lineRule="exact"/>
        <w:rPr>
          <w:rFonts w:ascii="Arial" w:cs="Arial" w:eastAsia="Arial" w:hAnsi="Arial"/>
          <w:sz w:val="18"/>
          <w:szCs w:val="18"/>
          <w:color w:val="auto"/>
        </w:rPr>
      </w:pPr>
    </w:p>
    <w:p>
      <w:pPr>
        <w:ind w:left="980" w:right="120" w:hanging="432"/>
        <w:spacing w:after="0" w:line="25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notes, or a portion of the notes,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187" w:lineRule="exact"/>
        <w:rPr>
          <w:rFonts w:ascii="Arial" w:cs="Arial" w:eastAsia="Arial" w:hAnsi="Arial"/>
          <w:sz w:val="18"/>
          <w:szCs w:val="18"/>
          <w:color w:val="auto"/>
        </w:rPr>
      </w:pPr>
    </w:p>
    <w:p>
      <w:pPr>
        <w:ind w:left="980" w:right="120" w:hanging="432"/>
        <w:spacing w:after="0" w:line="275"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the extent any tax, assessment or other governmental charge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or reduction in such tax, assessment or other governmental charge;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is imposed otherwise than by withholding by us or an applicable withholding agent from the payment;</w:t>
      </w:r>
    </w:p>
    <w:p>
      <w:pPr>
        <w:spacing w:after="0" w:line="170" w:lineRule="exact"/>
        <w:rPr>
          <w:rFonts w:ascii="Arial" w:cs="Arial" w:eastAsia="Arial" w:hAnsi="Arial"/>
          <w:sz w:val="18"/>
          <w:szCs w:val="18"/>
          <w:color w:val="auto"/>
        </w:rPr>
      </w:pPr>
    </w:p>
    <w:p>
      <w:pPr>
        <w:jc w:val="both"/>
        <w:ind w:left="980" w:right="20" w:hanging="432"/>
        <w:spacing w:after="0" w:line="26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83" w:lineRule="exact"/>
        <w:rPr>
          <w:rFonts w:ascii="Arial" w:cs="Arial" w:eastAsia="Arial" w:hAnsi="Arial"/>
          <w:sz w:val="18"/>
          <w:szCs w:val="18"/>
          <w:color w:val="auto"/>
        </w:rPr>
      </w:pPr>
    </w:p>
    <w:p>
      <w:pPr>
        <w:ind w:left="980" w:right="540" w:hanging="432"/>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tax or similar tax, assessment or other governmental charge or excise tax imposed on the transfer of notes;</w:t>
      </w:r>
    </w:p>
    <w:p>
      <w:pPr>
        <w:spacing w:after="0" w:line="170" w:lineRule="exact"/>
        <w:rPr>
          <w:rFonts w:ascii="Arial" w:cs="Arial" w:eastAsia="Arial" w:hAnsi="Arial"/>
          <w:sz w:val="18"/>
          <w:szCs w:val="18"/>
          <w:color w:val="auto"/>
        </w:rPr>
      </w:pPr>
    </w:p>
    <w:p>
      <w:pPr>
        <w:ind w:left="980" w:right="500" w:hanging="432"/>
        <w:spacing w:after="0" w:line="30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46" w:lineRule="exact"/>
        <w:rPr>
          <w:rFonts w:ascii="Arial" w:cs="Arial" w:eastAsia="Arial" w:hAnsi="Arial"/>
          <w:sz w:val="17"/>
          <w:szCs w:val="17"/>
          <w:color w:val="auto"/>
        </w:rPr>
      </w:pPr>
    </w:p>
    <w:p>
      <w:pPr>
        <w:ind w:left="980" w:right="40" w:hanging="432"/>
        <w:spacing w:after="0" w:line="26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183"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that is imposed or withheld solely by reason of the beneficial owner being a bank</w:t>
      </w:r>
    </w:p>
    <w:p>
      <w:pPr>
        <w:spacing w:after="0" w:line="46" w:lineRule="exact"/>
        <w:rPr>
          <w:rFonts w:ascii="Arial" w:cs="Arial" w:eastAsia="Arial" w:hAnsi="Arial"/>
          <w:sz w:val="16"/>
          <w:szCs w:val="16"/>
          <w:color w:val="auto"/>
        </w:rPr>
      </w:pPr>
    </w:p>
    <w:p>
      <w:pPr>
        <w:ind w:left="980"/>
        <w:spacing w:after="0" w:line="290" w:lineRule="auto"/>
        <w:rPr>
          <w:rFonts w:ascii="Arial" w:cs="Arial" w:eastAsia="Arial" w:hAnsi="Arial"/>
          <w:sz w:val="16"/>
          <w:szCs w:val="16"/>
          <w:color w:val="auto"/>
        </w:rPr>
      </w:pPr>
      <w:r>
        <w:rPr>
          <w:rFonts w:ascii="Arial" w:cs="Arial" w:eastAsia="Arial" w:hAnsi="Arial"/>
          <w:sz w:val="17"/>
          <w:szCs w:val="17"/>
          <w:color w:val="auto"/>
        </w:rPr>
        <w:t>(i) purchasing the notes in the ordinary course of its lending business or (ii) that is neither (A) buying the notes for investment purposes only nor (B) buying the notes for resale to a third party that either is not a bank or holding the notes for investment purposes only;</w:t>
      </w:r>
    </w:p>
    <w:p>
      <w:pPr>
        <w:spacing w:after="0" w:line="161" w:lineRule="exact"/>
        <w:rPr>
          <w:rFonts w:ascii="Arial" w:cs="Arial" w:eastAsia="Arial" w:hAnsi="Arial"/>
          <w:sz w:val="16"/>
          <w:szCs w:val="16"/>
          <w:color w:val="auto"/>
        </w:rPr>
      </w:pPr>
    </w:p>
    <w:p>
      <w:pPr>
        <w:ind w:left="980" w:hanging="432"/>
        <w:spacing w:after="0" w:line="25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187"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any combination of items (1) through (10) above.</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we are required to pay additional amounts with respect to the notes, we will notify the trustee and paying agent pursuant to an officer’s certificate that specifies the amount of such additional amounts payable and the time when such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6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notes are also subject to redemption prior to maturity if certain events occur involving U.S. taxation. If any of these special tax events occur, the notes may be redeemed at a redemption price of 100% of their principal amount plus accrued and unpaid interest to the date fixed for redemption. See “—Redemption for Tax Reasons.”</w:t>
      </w:r>
    </w:p>
    <w:p>
      <w:pPr>
        <w:spacing w:after="0" w:line="143"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0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As used under this heading “—Payment of Additional Amounts” and under the heading “—Redemption for Tax Reasons,” the term “United States” means the United States of America, the states of the United States, and the District of Columbia,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for Tax Reasons</w:t>
      </w:r>
    </w:p>
    <w:p>
      <w:pPr>
        <w:spacing w:after="0" w:line="20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under the heading “—Payment of Additional Amounts” with respect to the notes, then we may at any time at our option redeem, in whole, but not in part, the notes on not less than 15 nor more than 30 days’ prior notice, at a redemption price equal to 100% of their principal amount, together with accrued and unpaid interest on the notes to, but not including, the date fixed for redemption.</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Debt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System</w:t>
      </w:r>
    </w:p>
    <w:p>
      <w:pPr>
        <w:spacing w:after="0" w:line="20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systems could change their rules and procedures at any time.</w:t>
      </w:r>
    </w:p>
    <w:p>
      <w:pPr>
        <w:spacing w:after="0" w:line="146"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notes will initially be represented by one or more fully registered global notes. Each such global note will be deposited with, or on behalf of, a common depositary, and registered in the name of the nominee of the common depositary for the accounts of Clearstream and Euroclear. You may hold your interests in the global notes in Europe through Clearstream or Euroclear, either as a participant in such systems or indirectly through organizations that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w:t>
      </w:r>
    </w:p>
    <w:p>
      <w:pPr>
        <w:spacing w:after="0" w:line="12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distribution of the notes will be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euro, except as described above under “—Issuance in Euro.”</w:t>
      </w:r>
    </w:p>
    <w:p>
      <w:pPr>
        <w:spacing w:after="0" w:line="15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Clearstream and Euroclear have established electronic securities and payment transfer, processing, depositary and custodial links among themselves and others, either directly or through custodians and depositaries. These links allow book-entry interests in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 The policies of Clearstream and Euroclear will govern payments, transfers, exchange and other matters relating to the investor’s interest in the notes held by them. Neither we nor the trustee or paying agent have any responsibility for any aspect of the records kept by Clearstream or Euroclear or any of their direct or indirect participants. We, the paying agent and the trustee also do not supervise these systems in any way.</w:t>
      </w:r>
    </w:p>
    <w:p>
      <w:pPr>
        <w:spacing w:after="0" w:line="13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Clearstream and Euroclear and their participants perform these clearance and settlement functions under agreements they have made with one another or with their customers. You should be aware that they are not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obligated to perform or continue to perform these procedures and may modify them or discontinue them at any time.</w:t>
      </w:r>
    </w:p>
    <w:p>
      <w:pPr>
        <w:spacing w:after="0" w:line="198"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Euroclear and Clearstream and, if such person is not a participant, on the procedures of the participant through which such person owns its interest, in order to exercise any rights of a holder of notes.</w:t>
      </w:r>
    </w:p>
    <w:p>
      <w:pPr>
        <w:spacing w:after="0" w:line="13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description of the clearing systems in this section reflects our understanding of the rules and procedures of Clearstream and Euroclear as they are currently in effect. These systems could change their rules and procedures at any time. We have obtained the information in this section concerning Clearstream and Euroclear and their book-entry systems and procedures from sources that we believe to be reliable, but we take no responsibility for the accuracy of this information.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Clearstream</w:t>
      </w:r>
    </w:p>
    <w:p>
      <w:pPr>
        <w:spacing w:after="0" w:line="19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Clearstream has advised that it is incorporated under the laws of Luxembourg as a professional depositary. Clearstream holds securities for its participating organizations (“Clearstream Participants”). Clearstream facilitates the clearance and settlement of securities transactions between Clearstream Participants through electronic book-entry changes in accounts of Clearstream Participants, thereby eliminating the need for physical movement of certificates. Clearstream, Luxembourg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w:t>
      </w:r>
      <w:r>
        <w:rPr>
          <w:rFonts w:ascii="Arial" w:cs="Arial" w:eastAsia="Arial" w:hAnsi="Arial"/>
          <w:sz w:val="17"/>
          <w:szCs w:val="17"/>
          <w:i w:val="1"/>
          <w:iCs w:val="1"/>
          <w:color w:val="auto"/>
        </w:rPr>
        <w:t>Commission de Surveillance du Secteur Financier</w:t>
      </w:r>
      <w:r>
        <w:rPr>
          <w:rFonts w:ascii="Arial" w:cs="Arial" w:eastAsia="Arial" w:hAnsi="Arial"/>
          <w:sz w:val="17"/>
          <w:szCs w:val="17"/>
          <w:color w:val="auto"/>
        </w:rPr>
        <w:t>).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145"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Distributions with respect to interests in the global notes held beneficially through Clearstream will be credited to cash accounts of Clearstream Participants in accordance with its rules and procedures.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Euroclear</w:t>
      </w:r>
    </w:p>
    <w:p>
      <w:pPr>
        <w:spacing w:after="0" w:line="198"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Euroclear has advised that it was created in 1968 to hold securities for its participants (“Euroclear Participants”) and to clear and settle transactions between Euroclear Participants through simultaneous electronic book-entry delivery against payment, thereby eliminating the need for physical movement of certificates and eliminating any risk from lack of simultaneous transfers of securities and cash. Euroclear provides various other services, including securities lending and borrowing and interfaces with domestic markets in several countries.</w:t>
      </w:r>
    </w:p>
    <w:p>
      <w:pPr>
        <w:spacing w:after="0" w:line="13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Euroclear is operated by Euroclear Bank S.A./N.V.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4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Terms and Conditions Governing Use of Euroclear and the related Operating Procedures of the Euroclear System, or the Euroclear Terms and Conditions, and applicable Belgian law govern securities clearance accounts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and cash accounts with the Euroclear Operator. Specifically, these terms and conditions govern transfers of securities and cash within Euroclear, withdrawals of securities and cash from Euroclear, and receipt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30"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Distributions with respect to interests in the Global Notes held beneficially through Euroclear will be credited to the cash accounts of Euroclear Participants in accordance with the Euroclear Terms and Conditions.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Clearance and Settlement Procedures</w:t>
      </w:r>
    </w:p>
    <w:p>
      <w:pPr>
        <w:spacing w:after="0" w:line="18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w:t>
      </w:r>
    </w:p>
    <w:p>
      <w:pPr>
        <w:spacing w:after="0" w:line="16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4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w:t>
      </w:r>
    </w:p>
    <w:p>
      <w:pPr>
        <w:spacing w:after="0" w:line="143"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addition, because of time-zone differences, there may be problems with completing transactions involving Clearstream and Euroclear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6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Clearstream or Euroclear will credit payments to the cash accounts of Clearstream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or Euroclear Participant only in accordance with its relevant rules and procedures.</w:t>
      </w:r>
    </w:p>
    <w:p>
      <w:pPr>
        <w:spacing w:after="0" w:line="14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Clearstream and Euroclear have agreed to the foregoing procedures in order to facilitate transfers of interests in the notes among participants of Clearstream and Euroclear. However, they are under no obligation to perform or continue to perform those procedures, and they may discontinue those procedures at any time.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9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If Clearstream or Euroclear is at any time unwilling or unable to continue as depositary, and a successor depositary is not appointed by us within 90 days, we will issue notes of like tenor in minimum denominations of €100,000 principal amount and integral multiples of €1,000 in excess thereof in definitive form in exchange for an applicable registered global note that had been held by the depositary. Any notes issued in definitive form in exchange for a registered global note will be registered in the name or names that the depositary gives to the trustee or other relevant agent of the trustee. It is expected that the depositary’s instructions will be based upon directions received by the depositary from participants with respect to ownership of beneficial interests in the applicable registered global note that had been held by the depositary. In addition, we may at any time determine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that the notes of an applicable series shall no longer be represented by a global note and will issue notes in definitive form in exchange for such global note pursuant to the procedure described above.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8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3"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Payments (including principal, premium and interest) and transfers with respect to notes in certificated form may be executed at the office or agency maintained for such purpose within the City of London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paying agent for the notes will initially be The Bank of New York Mellon, London Branch.</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040"/>
          </w:cols>
          <w:pgMar w:left="320" w:top="459" w:right="5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0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170" w:lineRule="exact"/>
        <w:rPr>
          <w:sz w:val="20"/>
          <w:szCs w:val="20"/>
          <w:color w:val="auto"/>
        </w:rPr>
      </w:pPr>
    </w:p>
    <w:p>
      <w:pPr>
        <w:ind w:left="980" w:hanging="432"/>
        <w:spacing w:after="0" w:line="28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they are held by those initial holders who purchased such notes in this offering at the “issue price,” which will be equal to the first price to the public (not including bond houses, brokers or similar persons or organizations acting in the capacity of underwriters, placement agents or wholesalers) at which a substantial amount of the applicable series of notes is sold for money; and</w:t>
      </w:r>
    </w:p>
    <w:p>
      <w:pPr>
        <w:spacing w:after="0" w:line="165" w:lineRule="exact"/>
        <w:rPr>
          <w:rFonts w:ascii="Arial" w:cs="Arial" w:eastAsia="Arial" w:hAnsi="Arial"/>
          <w:sz w:val="17"/>
          <w:szCs w:val="17"/>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held as capital assets.</w:t>
      </w:r>
    </w:p>
    <w:p>
      <w:pPr>
        <w:spacing w:after="0" w:line="18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170" w:lineRule="exact"/>
        <w:rPr>
          <w:sz w:val="20"/>
          <w:szCs w:val="20"/>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dealers or traders in securities or foreign currencies using a mark-to-market method of tax accounting;</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w:t>
      </w:r>
    </w:p>
    <w:p>
      <w:pPr>
        <w:spacing w:after="0" w:line="225" w:lineRule="exact"/>
        <w:rPr>
          <w:rFonts w:ascii="Arial" w:cs="Arial" w:eastAsia="Arial" w:hAnsi="Arial"/>
          <w:sz w:val="18"/>
          <w:szCs w:val="18"/>
          <w:color w:val="auto"/>
        </w:rPr>
      </w:pPr>
    </w:p>
    <w:p>
      <w:pPr>
        <w:ind w:left="980" w:right="200" w:hanging="432"/>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with respect to the notes to their financial statements under Section 451 of the Code.</w:t>
      </w:r>
    </w:p>
    <w:p>
      <w:pPr>
        <w:spacing w:after="0" w:line="130"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If a partnership or other entity or arrangement classified as a partnership for U.S. federal income tax purposes holds notes, the tax treatment of a partner will generally depend upon the status of the partner and the activities of the partnership. A partner of a partnership holding notes is urged to consult his, her or its tax advisor.</w:t>
      </w:r>
    </w:p>
    <w:p>
      <w:pPr>
        <w:spacing w:after="0" w:line="157" w:lineRule="exact"/>
        <w:rPr>
          <w:sz w:val="20"/>
          <w:szCs w:val="20"/>
          <w:color w:val="auto"/>
        </w:rPr>
      </w:pPr>
    </w:p>
    <w:p>
      <w:pPr>
        <w:ind w:left="120" w:right="240"/>
        <w:spacing w:after="0" w:line="293" w:lineRule="auto"/>
        <w:rPr>
          <w:sz w:val="20"/>
          <w:szCs w:val="20"/>
          <w:color w:val="auto"/>
        </w:rPr>
      </w:pPr>
      <w:r>
        <w:rPr>
          <w:rFonts w:ascii="Arial" w:cs="Arial" w:eastAsia="Arial" w:hAnsi="Arial"/>
          <w:sz w:val="16"/>
          <w:szCs w:val="16"/>
          <w:color w:val="auto"/>
        </w:rPr>
        <w:t>This summary is based on the Code, administrative pronouncements, judicial decisions and final, temporary and proposed Treasury Regulations as of the date hereof,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for U.S. Holders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 the term “U.S. Holder” means a beneficial owner of a note that is, for U.S. federal income tax purposes:</w:t>
      </w:r>
    </w:p>
    <w:p>
      <w:pPr>
        <w:spacing w:after="0" w:line="225" w:lineRule="exact"/>
        <w:rPr>
          <w:sz w:val="20"/>
          <w:szCs w:val="20"/>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25" w:lineRule="exact"/>
        <w:rPr>
          <w:rFonts w:ascii="Arial" w:cs="Arial" w:eastAsia="Arial" w:hAnsi="Arial"/>
          <w:sz w:val="18"/>
          <w:szCs w:val="18"/>
          <w:color w:val="auto"/>
        </w:rPr>
      </w:pPr>
    </w:p>
    <w:p>
      <w:pPr>
        <w:ind w:left="980" w:right="140" w:hanging="432"/>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of the District of Columbia; or</w:t>
      </w:r>
    </w:p>
    <w:p>
      <w:pPr>
        <w:spacing w:after="0" w:line="170"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Interest paid on a note will be taxable to a U.S. Holder as ordinary interest income at the time it accrues or is received in accordance with the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method of accounting for U.S. federal income tax purposes.</w:t>
      </w:r>
    </w:p>
    <w:p>
      <w:pPr>
        <w:spacing w:after="0" w:line="170"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A U.S. Holder that uses the cash method of accounting and that receives a payment of interest (or receives proceeds from a sale, exchange or other disposition attributable to accrued interest) in euro will be required to include in income the U.S. dollar value of the euro payment (determined based on the spot rate on the date the payment is received), and this U.S. dollar value will be the U.S. Holder’s tax basis in the euro received.</w:t>
      </w:r>
    </w:p>
    <w:p>
      <w:pPr>
        <w:spacing w:after="0" w:line="10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 U.S. Holder that uses the accrual method of tax accounting will be required to include in income the U.S. dollar value of the amount of interest income that accrues with respect to a note during an accrual period. The U.S. dollar value of the accrued income will generally be determined by translating the income at the average rate of exchange for the accrual period or, with respect to an accrual period that spans two taxable years, at the average rate for the partial period within the relevant taxable year. A U.S. Holder that uses the accrual method of tax accounting may elect to translate interest income for an interest accrual period into U.S. dollars at the spot rate on the last day of the interest accrual period (or, in the case of a partial accrual period, the spot rate on the last day of the taxable year) or, if the date of receipt is within five business days of the last day of the interest accrual period, the spot rate on the date of receipt. A U.S. Holder that makes this election must apply it consistently to all debt instruments from year to year and cannot change the election without the consent of the Internal Revenue Service (the “IRS”).</w:t>
      </w:r>
    </w:p>
    <w:p>
      <w:pPr>
        <w:spacing w:after="0" w:line="15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An accrual method U.S. Holder will generally recognize any foreign currency gain or loss (which will be treated as U.S. source ordinary income or loss) with respect to accrued interest on the date the interest payment (or proceeds from a sale, exchange or other disposition attributable to accrued interest) is received. The amount of ordinary income or loss recognized will generally be equal to the difference between the U.S. dollar value of the euro payment received (determined based on the spot rate on the date the payment is received) in respect of the accrual period and the U.S. dollar value of interest income that has accrued during the accrual period (as determined above). The U.S. Holder’s tax basis in the euro received will generally be equal to the U.S. dollar value of the euro based on the spot rate on the date the payment is received. As discussed below under “—Sale, Exchange or Retirement of the Notes,” the amount of foreign currency gain or loss recognized with respect to accrued but unpaid interest upon a taxable disposition of a note may be limited by the total amount of gain or loss realized upon such disposition.</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or Retirement of the Notes</w:t>
      </w:r>
    </w:p>
    <w:p>
      <w:pPr>
        <w:spacing w:after="0" w:line="18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 U.S. Holder’s tax basis in a note will generally be the U.S. dollar value of the euro amount paid for the note, determined on the date of the purchase. A U.S. Holder who purchases a note with previously owned euro will generally recognize ordinary income or loss in an amount equal to the difference, if any, between such U.S. Holder’s tax basis in the euro and the U.S. dollar value of the note on the date of purchase. If the notes are traded on an established securities market (as determined under applicable regulations), a cash method taxpayer who buys a note will have a tax basis in the note equal to the U.S. dollar value of the euro amount paid for the note, determined on the settlement date, and such a taxpayer will recognize ordinary income or loss on any previously owned euro based on such value. An accrual method taxpayer may elect the same treatment for all purchases (and sales, as discussed below) of notes traded on an established securities market. This election by accrual method taxpayers cannot be changed without the consent of the IRS.</w:t>
      </w:r>
    </w:p>
    <w:p>
      <w:pPr>
        <w:spacing w:after="0" w:line="16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Upon the sale, exchange or retirement of a note, a U.S. Holder will recognize taxable gain or loss equal to the difference between the amount realized on the sale, exchange or retirement and the U.S. Holder’s tax basis in the note. For these purposes, the amount realized does not include any amount attributable to accrued interest. Amounts attributable to accrued interest are treated as interest as described under “Payments of Interest” above. If a note is sold, exchanged or otherwise disposed of in a taxable transaction for an amount denominated in euro, a U.S. Holder’s amount realized generally will be equal to the U.S. dollar value of the euro received in the sale,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exchange or other taxable disposition calculated at the spot rate in effect on the date of the disposition. If the notes are traded on an established securities market (as determined under applicable regulations), a cash method taxpayer who buys or sells a note is required to translate units of euro paid or received into U.S. dollars at the spot rate on the settlement date of the purchase or sale and an accrual method taxpayer may elect the same treatment for all purchases and sales of notes. This election by accrual method taxpayers cannot be changed without the consent of the IRS. Except to the extent of foreign currency gain or loss (as described below), gain or loss recognized on the sale, exchange or retirement of a note will generally be capital gain or loss. Such capital gain or loss will be long-term capital gain or loss if at the time of the sale, exchange or retirement the note has been held by the U.S. Holder for more than one year. The deductibility of capital losses is subject to limitations under the Code.</w:t>
      </w:r>
    </w:p>
    <w:p>
      <w:pPr>
        <w:spacing w:after="0" w:line="13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 U.S. Holder may recognize foreign currency gain or loss upon the sale, exchange or other taxable disposition of a note as a result of fluctuations in the euro-U.S. dollar exchange rate. Gain or loss attributable to such fluctuations will be equal to the difference between (i) the U.S. dollar value of the U.S. Holder’s purchase price in euro of the note, determined using the spot rate on the date the note is disposed of, and (ii) the U.S. dollar value of the U.S. Holder’s purchase price in euro of the note, determined using the spot rate on the date the U.S. Holder acquired the note (although if the notes are traded on an established securities market (as determined under applicable regulations), such gain or loss will, in the case of a cash method or electing accrual method taxpayer, be determined based on the spot rates on the settlement dates of such disposition and acquisition). The foreign currency gain or loss (together with any foreign currency gain or loss with respect to accrued but unpaid interest) will be recognized only to the extent of the total gain or loss realized by a U.S. Holder on the sale, exchange or other taxable disposition of the note. Any such gain or loss generally will be U.S. source ordinary income or loss. If a U.S. Holder recognizes a loss upon a sale, exchange or other taxable disposition of a note and such loss is above certain thresholds (which thresholds are, in the case of individuals and trusts, significantly lower for foreign currency losses than for other loss transactions), the U.S. Holder may be required to file a disclosure statement with the IRS. U.S. Holders should consult their tax advisors regarding this reporting obligation.</w:t>
      </w:r>
    </w:p>
    <w:p>
      <w:pPr>
        <w:spacing w:after="0" w:line="13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 U.S. Holder will have a tax basis in any euro received on the sale, exchange or other taxable disposition of a note equal to the U.S. dollar value of the euro, determined on the date of receipt of the euro. Any gain or loss realized by a U.S. Holder on a sale or other taxable disposition of euro (including its exchange for U.S. dollars) will generally be treated as U.S. source ordinary income or loss.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98"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Information returns generally will be filed with the IRS in connection with payments on the notes and the proceeds from a sale or other disposition of the notes. A U.S. Holder will be subject to backup withholding on these payments if the U.S. Holder fails to provide its correct taxpayer identification number to the applicable withholding agent and comply with certain certification procedures or otherwise establish an exemption from backup withholding. Backup withholding is not an additional tax. Any amount withheld under the backup withholding rules from a payment to a U.S. Holder will be allowed as a credit against the U.S. Holder’s U.S. federal income tax liability and may entitle the U.S. Holder to a refund, provided that the required information is timely furnished to the IRS.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for Non-U.S. Holders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225" w:lineRule="exact"/>
        <w:rPr>
          <w:sz w:val="20"/>
          <w:szCs w:val="20"/>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term “Non-U.S. Holder” does not include a beneficial owner who is an individual present in the United States for 183 days or more in the taxable year of disposition or a former citizen or former resident of the United States. Such a beneficial owner is urged to consult his or her own tax advisor regarding the U.S. federal income tax consequences of the sale, exchange or other disposition of a note.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on a Note</w:t>
      </w:r>
    </w:p>
    <w:p>
      <w:pPr>
        <w:spacing w:after="0" w:line="18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Subject to the discussions below concerning backup withholding and FATCA (as defined below), payments of principal, premium, if any, and interest on the notes by us or any paying agent to a Non-U.S. Holder generally will not be subject to U.S. federal withholding tax, provided that, in the case of interest not effectively connected with the conduct of a trade or business in the United States:</w:t>
      </w:r>
    </w:p>
    <w:p>
      <w:pPr>
        <w:spacing w:after="0" w:line="184" w:lineRule="exact"/>
        <w:rPr>
          <w:sz w:val="20"/>
          <w:szCs w:val="20"/>
          <w:color w:val="auto"/>
        </w:rPr>
      </w:pPr>
    </w:p>
    <w:p>
      <w:pPr>
        <w:ind w:left="980" w:right="240" w:hanging="432"/>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holder does not own, actually or constructively, 10% or more of the total combined voting power of all classes of our stock entitled to vote and is not a controlled foreign corporation related, directly or indirectly, to us through stock ownership; and</w:t>
      </w:r>
    </w:p>
    <w:p>
      <w:pPr>
        <w:spacing w:after="0" w:line="146" w:lineRule="exact"/>
        <w:rPr>
          <w:rFonts w:ascii="Arial" w:cs="Arial" w:eastAsia="Arial" w:hAnsi="Arial"/>
          <w:sz w:val="17"/>
          <w:szCs w:val="17"/>
          <w:color w:val="auto"/>
        </w:rPr>
      </w:pPr>
    </w:p>
    <w:p>
      <w:pPr>
        <w:ind w:left="980" w:hanging="43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8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IRS Form W-8BEN or W-8BEN-E (or successor form), as appropriate, under penalties of perjury, that it is not a U.S. person.</w:t>
      </w:r>
    </w:p>
    <w:p>
      <w:pPr>
        <w:spacing w:after="0" w:line="143" w:lineRule="exact"/>
        <w:rPr>
          <w:sz w:val="20"/>
          <w:szCs w:val="20"/>
          <w:color w:val="auto"/>
        </w:rPr>
      </w:pPr>
    </w:p>
    <w:p>
      <w:pPr>
        <w:ind w:left="120" w:right="240"/>
        <w:spacing w:after="0" w:line="273" w:lineRule="auto"/>
        <w:rPr>
          <w:sz w:val="20"/>
          <w:szCs w:val="20"/>
          <w:color w:val="auto"/>
        </w:rPr>
      </w:pPr>
      <w:r>
        <w:rPr>
          <w:rFonts w:ascii="Arial" w:cs="Arial" w:eastAsia="Arial" w:hAnsi="Arial"/>
          <w:sz w:val="17"/>
          <w:szCs w:val="17"/>
          <w:color w:val="auto"/>
        </w:rPr>
        <w:t>If a Non-U.S. Holder is engaged in a trade or business in the United States, and if interest on a note is effectively connected with the conduct of such trade or business, the Non-U.S. Holder will generally not be subject to the withholding discussed in the preceding paragraphs if a properly executed, applicable Form W-8 (generally an IRS Form W-8ECI) is provided to us or an applicable withholding agent.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Redemption or Other Disposition of a Note</w:t>
      </w:r>
    </w:p>
    <w:p>
      <w:pPr>
        <w:spacing w:after="0" w:line="18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Subject to the discussions below concerning backup withholding and FATCA, a Non-U.S. Holder will not be subject to U.S. federal income tax on gain realized on the sale, exchange, redemption or other disposition of a note, unless the gain is effectively connected with the conduct by the Non-U.S. Holder of a trade or business in the United States.</w:t>
      </w:r>
    </w:p>
    <w:p>
      <w:pPr>
        <w:spacing w:after="0" w:line="15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If a Non-U.S. Holder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8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Information returns generally will be filed with the IRS in connection with interest payments on the notes. Unless a Non-U.S. Holder complies with certification procedures to establish that it is not a U.S. person, information returns may be filed with the IRS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59" w:lineRule="auto"/>
        <w:rPr>
          <w:sz w:val="20"/>
          <w:szCs w:val="20"/>
          <w:color w:val="auto"/>
        </w:rPr>
      </w:pPr>
      <w:r>
        <w:rPr>
          <w:rFonts w:ascii="Arial" w:cs="Arial" w:eastAsia="Arial" w:hAnsi="Arial"/>
          <w:sz w:val="18"/>
          <w:szCs w:val="18"/>
          <w:color w:val="auto"/>
        </w:rPr>
        <w:t>exemption from withholding tax on interest described above will satisfy the certification requirements necessary to avoid backup withholding as well. Backup withholding is not an additional tax. Any amount withheld under the backup withholding rules from a payment to a Non-U.S. Holder will be allowed as a credit against the Non-U.S. Holder’s U.S. federal income tax liability and may entitle the Non-U.S. Holder to a refund, provided that the required information is timely furnished to the IRS.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FATCA</w:t>
      </w:r>
    </w:p>
    <w:p>
      <w:pPr>
        <w:spacing w:after="0" w:line="18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Provisions commonly referred to as “FATCA” generally impose withholding of 30% on payments of U.S.-source interest and, subject to the discussion of certain proposed U.S. Treasury regulations below, payments of gross proceeds of the sale, exchange, redemption, or other disposition of a note to “foreign financial institutions” (which term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w:t>
      </w:r>
    </w:p>
    <w:p>
      <w:pPr>
        <w:spacing w:after="0" w:line="140"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U.S. Treasury Department has released proposed regulations which, if finalized in their present form, would eliminate FATCA withholding on the gross proceeds of a sale, exchange, redemption or other disposition of a note. In the preamble to the proposed regulations, the U.S. Treasury Department indicated that taxpayers may rely on the proposed regulations until final regulations are issued.</w:t>
      </w:r>
    </w:p>
    <w:p>
      <w:pPr>
        <w:spacing w:after="0" w:line="138"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Prospective investors should consult their tax advisors regarding the effects of FATCA on their investment in the notes. We will not pay additional amounts with respect to any withholding taxes imposed under FATCA.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0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and not jointly have agreed to purchase from us, the principal amount of the notes listed opposite their names below.</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Principal</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8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 of</w:t>
            </w: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8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Euro Notes</w:t>
            </w: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9"/>
              </w:rPr>
              <w:t>Euro Notes</w:t>
            </w:r>
          </w:p>
        </w:tc>
        <w:tc>
          <w:tcPr>
            <w:tcW w:w="0" w:type="dxa"/>
            <w:vAlign w:val="bottom"/>
          </w:tcPr>
          <w:p>
            <w:pPr>
              <w:spacing w:after="0"/>
              <w:rPr>
                <w:sz w:val="1"/>
                <w:szCs w:val="1"/>
                <w:color w:val="auto"/>
              </w:rPr>
            </w:pPr>
          </w:p>
        </w:tc>
      </w:tr>
      <w:tr>
        <w:trPr>
          <w:trHeight w:val="148"/>
        </w:trPr>
        <w:tc>
          <w:tcPr>
            <w:tcW w:w="8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Due 20</w:t>
            </w: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Due 20</w:t>
            </w:r>
          </w:p>
        </w:tc>
        <w:tc>
          <w:tcPr>
            <w:tcW w:w="0" w:type="dxa"/>
            <w:vAlign w:val="bottom"/>
          </w:tcPr>
          <w:p>
            <w:pPr>
              <w:spacing w:after="0"/>
              <w:rPr>
                <w:sz w:val="1"/>
                <w:szCs w:val="1"/>
                <w:color w:val="auto"/>
              </w:rPr>
            </w:pPr>
          </w:p>
        </w:tc>
      </w:tr>
      <w:tr>
        <w:trPr>
          <w:trHeight w:val="148"/>
        </w:trPr>
        <w:tc>
          <w:tcPr>
            <w:tcW w:w="9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0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To Be</w:t>
            </w:r>
          </w:p>
        </w:tc>
        <w:tc>
          <w:tcPr>
            <w:tcW w:w="7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To Be</w:t>
            </w:r>
          </w:p>
        </w:tc>
        <w:tc>
          <w:tcPr>
            <w:tcW w:w="0" w:type="dxa"/>
            <w:vAlign w:val="bottom"/>
          </w:tcPr>
          <w:p>
            <w:pPr>
              <w:spacing w:after="0"/>
              <w:rPr>
                <w:sz w:val="1"/>
                <w:szCs w:val="1"/>
                <w:color w:val="auto"/>
              </w:rPr>
            </w:pPr>
          </w:p>
        </w:tc>
      </w:tr>
      <w:tr>
        <w:trPr>
          <w:trHeight w:val="171"/>
        </w:trPr>
        <w:tc>
          <w:tcPr>
            <w:tcW w:w="9180" w:type="dxa"/>
            <w:vAlign w:val="bottom"/>
            <w:gridSpan w:val="2"/>
            <w:vMerge w:val="continue"/>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Purchased</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210"/>
        </w:trPr>
        <w:tc>
          <w:tcPr>
            <w:tcW w:w="8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Deutsche Bank AG, London Branch</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Commerzbank Aktiengesellschaft</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Banco Santander, S.A.</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4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4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 2021, which is the business day following the date hereof (such settlement cycle being referred to as “T+ ”).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preceding the settlement date will be required, by virtue of the fact that the notes initially will settle in T+ , to specify an alternative settlement cycle at the time of any such trade to prevent failed settlement and should consult their own advisors.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02" w:lineRule="exact"/>
        <w:rPr>
          <w:sz w:val="20"/>
          <w:szCs w:val="20"/>
          <w:color w:val="auto"/>
        </w:rPr>
      </w:pPr>
    </w:p>
    <w:p>
      <w:pPr>
        <w:ind w:left="120" w:right="240"/>
        <w:spacing w:after="0" w:line="287" w:lineRule="auto"/>
        <w:rPr>
          <w:sz w:val="20"/>
          <w:szCs w:val="20"/>
          <w:color w:val="auto"/>
        </w:rPr>
      </w:pPr>
      <w:r>
        <w:rPr>
          <w:rFonts w:ascii="Arial" w:cs="Arial" w:eastAsia="Arial" w:hAnsi="Arial"/>
          <w:sz w:val="16"/>
          <w:szCs w:val="16"/>
          <w:color w:val="auto"/>
        </w:rPr>
        <w:t>The underwriters have advised us that they propose initially to offer the notes to the public at the public offering price on the cover page of this prospectus supplement, and to dealers at that price less a concession not in excess of % and % of the principal amount of the Notes due 20 and the Notes due 20 , respectively. The underwriters may allow, and the dealers may reallow, a discount not in excess of % and % of the principal</w:t>
      </w:r>
    </w:p>
    <w:p>
      <w:pPr>
        <w:spacing w:after="0" w:line="2" w:lineRule="exact"/>
        <w:rPr>
          <w:sz w:val="20"/>
          <w:szCs w:val="20"/>
          <w:color w:val="auto"/>
        </w:rPr>
      </w:pPr>
    </w:p>
    <w:p>
      <w:pPr>
        <w:ind w:left="120" w:right="700"/>
        <w:spacing w:after="0" w:line="260" w:lineRule="auto"/>
        <w:rPr>
          <w:sz w:val="20"/>
          <w:szCs w:val="20"/>
          <w:color w:val="auto"/>
        </w:rPr>
      </w:pPr>
      <w:r>
        <w:rPr>
          <w:rFonts w:ascii="Arial" w:cs="Arial" w:eastAsia="Arial" w:hAnsi="Arial"/>
          <w:sz w:val="18"/>
          <w:szCs w:val="18"/>
          <w:color w:val="auto"/>
        </w:rPr>
        <w:t>amount of the Notes due 20 and the Notes due 20 , respectively, to other dealers. After the initial public offering, the public offering prices, concessions and discounts may be changed.</w:t>
      </w:r>
    </w:p>
    <w:p>
      <w:pPr>
        <w:sectPr>
          <w:pgSz w:w="11900" w:h="16838" w:orient="portrait"/>
          <w:cols w:equalWidth="0" w:num="1">
            <w:col w:w="11140"/>
          </w:cols>
          <w:pgMar w:left="320" w:top="459" w:right="439" w:bottom="1440" w:gutter="0" w:footer="0" w:header="0"/>
        </w:sectPr>
      </w:pP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expenses of the offering, not including the underwriting discount, are estimated to be $</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for the notes and are payable by us.</w:t>
      </w:r>
    </w:p>
    <w:p>
      <w:pPr>
        <w:spacing w:after="0" w:line="192" w:lineRule="exact"/>
        <w:rPr>
          <w:sz w:val="20"/>
          <w:szCs w:val="20"/>
          <w:color w:val="auto"/>
        </w:rPr>
      </w:pPr>
    </w:p>
    <w:p>
      <w:pPr>
        <w:sectPr>
          <w:pgSz w:w="11900" w:h="16838" w:orient="portrait"/>
          <w:cols w:equalWidth="0" w:num="2">
            <w:col w:w="6680" w:space="600"/>
            <w:col w:w="386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S-22</w:t>
      </w:r>
    </w:p>
    <w:p>
      <w:pPr>
        <w:sectPr>
          <w:pgSz w:w="11900" w:h="16838" w:orient="portrait"/>
          <w:cols w:equalWidth="0" w:num="1">
            <w:col w:w="11140"/>
          </w:cols>
          <w:pgMar w:left="320" w:top="459" w:right="4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Issue of Notes</w:t>
      </w:r>
    </w:p>
    <w:p>
      <w:pPr>
        <w:spacing w:after="0" w:line="202"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notes are a new issue of securities with no established trading market. We intend to apply to list the notes on the NASDAQ. The listing application will be subject to approval by the NASDAQ. If such a listing is obtained, we have no obligation to maintain such listing, and we may delist the notes at any time. Although the underwriters have informed us that they currently intend to make a market in the notes after we complete the offering, they have no obligation to do so and may discontinue making a market at any time without notice. We cannot assure you that liquid trading markets for the notes will develop, that you will be able to sell your notes at a particular time or that the price you receive when you sell will be favorable.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8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50"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8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w:t>
      </w:r>
    </w:p>
    <w:p>
      <w:pPr>
        <w:spacing w:after="0" w:line="130"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Certain of the underwriters or their affiliates may be holders of Sky’s 1.500% guaranteed notes due September 15, 2021 and may therefore receive a portion of the proceeds of this offering.</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85"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3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30"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8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8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(11) of Article 4(1) of MiFID II as it forms part of domestic law by virtue of the European Union (Withdrawal) Act 2018 (“EUWA”); (ii) a customer within the meaning of the provisions of the Financial Services and Markets Act 2000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4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communication of this prospectus supplement and the accompanying prospectus and any other document or materials relating to the issue of the notes offered hereby is not being made, and such documents and/or materials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have not been approved, by an authorized person for the purposes of section 21 of the United Kingdom’s Financial Services and Markets Act 2000, as amended (the “FSMA”). Accordingly, such documents and/or materials are not being distributed to, and must not be passed on to, the general public in the United Kingdom. The communication of such documents and/or materials as a financial promotion is only being made to and directed at persons outside the United Kingdom and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“Financial Promotion Order”)), or who fall within Article 49(2)(a) to (d) of the Financial Promotion Order, or who are any other persons to whom it may otherwise lawfully be made under the Financial Promotion Order (all such persons together being referred to as “relevant persons”). In the United Kingdom, the notes offered hereby are only available to, and any investment or investment activity to which this prospectus supplement and the accompanying prospectus relates will be engaged only with, relevant persons. Any person in the United Kingdom that is not a relevant person should not act or rely on this prospectus supplement and the accompanying prospectus or any of its contents.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8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9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Korea</w:t>
      </w:r>
    </w:p>
    <w:p>
      <w:pPr>
        <w:spacing w:after="0" w:line="18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8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offered or sold, or be made the subject of an invitation for subscription or purchase, whether directly or indirectly, to persons in Singapore other than:</w:t>
      </w:r>
    </w:p>
    <w:p>
      <w:pPr>
        <w:spacing w:after="0" w:line="221" w:lineRule="exact"/>
        <w:rPr>
          <w:sz w:val="20"/>
          <w:szCs w:val="20"/>
          <w:color w:val="auto"/>
        </w:rPr>
      </w:pPr>
    </w:p>
    <w:p>
      <w:pPr>
        <w:ind w:left="460" w:hanging="344"/>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84" w:lineRule="exact"/>
        <w:rPr>
          <w:rFonts w:ascii="Arial" w:cs="Arial" w:eastAsia="Arial" w:hAnsi="Arial"/>
          <w:sz w:val="18"/>
          <w:szCs w:val="18"/>
          <w:color w:val="auto"/>
        </w:rPr>
      </w:pPr>
    </w:p>
    <w:p>
      <w:pPr>
        <w:ind w:left="520" w:hanging="404"/>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207" w:lineRule="exact"/>
        <w:rPr>
          <w:rFonts w:ascii="Arial" w:cs="Arial" w:eastAsia="Arial" w:hAnsi="Arial"/>
          <w:sz w:val="16"/>
          <w:szCs w:val="16"/>
          <w:color w:val="auto"/>
        </w:rPr>
      </w:pPr>
    </w:p>
    <w:p>
      <w:pPr>
        <w:ind w:left="560" w:hanging="444"/>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185" w:lineRule="exact"/>
        <w:rPr>
          <w:sz w:val="20"/>
          <w:szCs w:val="20"/>
          <w:color w:val="auto"/>
        </w:rPr>
      </w:pPr>
    </w:p>
    <w:p>
      <w:pPr>
        <w:ind w:left="120" w:right="120" w:hanging="4"/>
        <w:spacing w:after="0" w:line="277" w:lineRule="auto"/>
        <w:tabs>
          <w:tab w:leader="none" w:pos="4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29" w:lineRule="exact"/>
        <w:rPr>
          <w:rFonts w:ascii="Arial" w:cs="Arial" w:eastAsia="Arial" w:hAnsi="Arial"/>
          <w:sz w:val="18"/>
          <w:szCs w:val="18"/>
          <w:color w:val="auto"/>
        </w:rPr>
      </w:pPr>
    </w:p>
    <w:p>
      <w:pPr>
        <w:ind w:left="120" w:right="100" w:hanging="4"/>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43"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43" w:lineRule="exact"/>
        <w:rPr>
          <w:sz w:val="20"/>
          <w:szCs w:val="20"/>
          <w:color w:val="auto"/>
        </w:rPr>
      </w:pPr>
    </w:p>
    <w:p>
      <w:pPr>
        <w:ind w:left="120" w:right="140" w:hanging="4"/>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29" w:lineRule="exact"/>
        <w:rPr>
          <w:rFonts w:ascii="Arial" w:cs="Arial" w:eastAsia="Arial" w:hAnsi="Arial"/>
          <w:sz w:val="18"/>
          <w:szCs w:val="18"/>
          <w:color w:val="auto"/>
        </w:rPr>
      </w:pPr>
    </w:p>
    <w:p>
      <w:pPr>
        <w:ind w:left="500" w:hanging="384"/>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98" w:lineRule="exact"/>
        <w:rPr>
          <w:rFonts w:ascii="Arial" w:cs="Arial" w:eastAsia="Arial" w:hAnsi="Arial"/>
          <w:sz w:val="18"/>
          <w:szCs w:val="18"/>
          <w:color w:val="auto"/>
        </w:rPr>
      </w:pPr>
    </w:p>
    <w:p>
      <w:pPr>
        <w:ind w:left="500" w:hanging="384"/>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4" w:lineRule="exact"/>
        <w:rPr>
          <w:rFonts w:ascii="Arial" w:cs="Arial" w:eastAsia="Arial" w:hAnsi="Arial"/>
          <w:sz w:val="18"/>
          <w:szCs w:val="18"/>
          <w:color w:val="auto"/>
        </w:rPr>
      </w:pPr>
    </w:p>
    <w:p>
      <w:pPr>
        <w:ind w:left="500" w:hanging="384"/>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84" w:lineRule="exact"/>
        <w:rPr>
          <w:rFonts w:ascii="Arial" w:cs="Arial" w:eastAsia="Arial" w:hAnsi="Arial"/>
          <w:sz w:val="18"/>
          <w:szCs w:val="18"/>
          <w:color w:val="auto"/>
        </w:rPr>
      </w:pPr>
    </w:p>
    <w:p>
      <w:pPr>
        <w:ind w:left="500" w:hanging="384"/>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210"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i w:val="1"/>
          <w:iCs w:val="1"/>
          <w:color w:val="auto"/>
        </w:rPr>
        <w:t>Singapore Securities and Futures Act Product Classification</w:t>
      </w:r>
      <w:r>
        <w:rPr>
          <w:rFonts w:ascii="Arial" w:cs="Arial" w:eastAsia="Arial" w:hAnsi="Arial"/>
          <w:sz w:val="16"/>
          <w:szCs w:val="16"/>
          <w:color w:val="auto"/>
        </w:rPr>
        <w:t>—Solely for the purposes of our obligations pursuant to Sections 309(B)(1)(a) and 309(B)</w:t>
      </w:r>
      <w:r>
        <w:rPr>
          <w:rFonts w:ascii="Arial" w:cs="Arial" w:eastAsia="Arial" w:hAnsi="Arial"/>
          <w:sz w:val="16"/>
          <w:szCs w:val="16"/>
          <w:i w:val="1"/>
          <w:iCs w:val="1"/>
          <w:color w:val="auto"/>
        </w:rPr>
        <w:t xml:space="preserve"> </w:t>
      </w:r>
      <w:r>
        <w:rPr>
          <w:rFonts w:ascii="Arial" w:cs="Arial" w:eastAsia="Arial" w:hAnsi="Arial"/>
          <w:sz w:val="16"/>
          <w:szCs w:val="16"/>
          <w:color w:val="auto"/>
        </w:rPr>
        <w:t>(1)(c) of the SFA, we have determined, and hereby notify all relevant persons (as defined in Section 309A(1) of the SFA) that the notes are “prescribed capital markets 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 Any reference to any term as defined in the SFA, or any provision in the SFA is a reference to that term as modified or amended from time to time including by such of its subsidiary legislation as may be applicable at the relevant time.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85"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This prospectus supplement is not intended to constitute an offer or solicitation to purchase or invest in the notes described herein.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98"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The offering of the notes has not been approved or licensed by the UAE Central Bank, the UAE Securities and Commodities Authority (“SCA”), the Dubai Financial Services Authority (“DFSA”) or any other relevant licensing authorities in the UAE, and the notes may not be offered to the public in the UAE (including the DIFC). This prospectus supplement is being issued to a limited number of institutional and individual investors:</w:t>
      </w:r>
    </w:p>
    <w:p>
      <w:pPr>
        <w:spacing w:after="0" w:line="125" w:lineRule="exact"/>
        <w:rPr>
          <w:sz w:val="20"/>
          <w:szCs w:val="20"/>
          <w:color w:val="auto"/>
        </w:rPr>
      </w:pPr>
    </w:p>
    <w:p>
      <w:pPr>
        <w:ind w:left="500" w:hanging="384"/>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who meet the criteria of a “Qualified Investor” as defined in the SCA Board of Directors Decision No. 3 R.M. of 2017 (but excluding subparagraph</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1(d) in the “Qualified Investor” definition relating to natural persons);</w:t>
      </w:r>
    </w:p>
    <w:p>
      <w:pPr>
        <w:spacing w:after="0" w:line="170" w:lineRule="exact"/>
        <w:rPr>
          <w:rFonts w:ascii="Arial" w:cs="Arial" w:eastAsia="Arial" w:hAnsi="Arial"/>
          <w:sz w:val="16"/>
          <w:szCs w:val="16"/>
          <w:color w:val="auto"/>
        </w:rPr>
      </w:pPr>
    </w:p>
    <w:p>
      <w:pPr>
        <w:ind w:left="120" w:right="140" w:hanging="4"/>
        <w:spacing w:after="0" w:line="277" w:lineRule="auto"/>
        <w:tabs>
          <w:tab w:leader="none" w:pos="5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143" w:lineRule="exact"/>
        <w:rPr>
          <w:rFonts w:ascii="Arial" w:cs="Arial" w:eastAsia="Arial" w:hAnsi="Arial"/>
          <w:sz w:val="18"/>
          <w:szCs w:val="18"/>
          <w:color w:val="auto"/>
        </w:rPr>
      </w:pPr>
    </w:p>
    <w:p>
      <w:pPr>
        <w:ind w:left="120" w:right="200" w:hanging="4"/>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Investors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purchaser and holder of the notes (or any interest therein) will be deemed to have represented by its purchase or holding of the notes that either</w:t>
      </w:r>
    </w:p>
    <w:p>
      <w:pPr>
        <w:spacing w:after="0" w:line="46" w:lineRule="exact"/>
        <w:rPr>
          <w:sz w:val="20"/>
          <w:szCs w:val="20"/>
          <w:color w:val="auto"/>
        </w:rPr>
      </w:pPr>
    </w:p>
    <w:p>
      <w:pPr>
        <w:ind w:left="120" w:right="40" w:hanging="4"/>
        <w:spacing w:after="0" w:line="269" w:lineRule="auto"/>
        <w:tabs>
          <w:tab w:leader="none" w:pos="3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it is not, and its purchase and holding of the notes is not made on behalf of or with assets of, (i) an employee benefit plan that is subject to Title I of the Employee Retirement Income Security Act of 1974, as amended (“ERISA”), (ii) a plan, account or other arrangement that is subject to Section 4975 of the Internal Revenue Code of 1986, as amended (the “Code”), (iii) an entity whose underlying assets include the assets of any such employee benefit plan, plan, account or arrangement or (iv) a governmental, church or non-U.S. plan that is subject to any state, local or other federal law or non-U.S. law that is substantially similar to the provisions of Title I of ERISA or Section 4975 of the Code (“Similar Law”), or (b) its purchase, holding and subsequent disposition of the notes will not constitute or result in a non-exempt prohibited transaction under Section 406 of ERISA or Section 4975 of the Code or violate any Similar Law.</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02"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 xml:space="preserve">Various legal matters relating to the offering will be passed upon for us by Elizabeth Wideman, Esquire, Senior Vice President, Senior Deputy General Counsel and Assistant Secretary, Francis M. Buono, Esquire, Senior Vice President, Legal Regulatory Affairs and Senior Deputy General Counsel of Comcast Corporation, and by Davis Polk &amp; Wardwell LLP, New York, New York. Cahill Gordon &amp; Reindel </w:t>
      </w:r>
      <w:r>
        <w:rPr>
          <w:rFonts w:ascii="Arial" w:cs="Arial" w:eastAsia="Arial" w:hAnsi="Arial"/>
          <w:sz w:val="14"/>
          <w:szCs w:val="14"/>
          <w:color w:val="auto"/>
        </w:rPr>
        <w:t>LLP</w:t>
      </w:r>
      <w:r>
        <w:rPr>
          <w:rFonts w:ascii="Arial" w:cs="Arial" w:eastAsia="Arial" w:hAnsi="Arial"/>
          <w:sz w:val="18"/>
          <w:szCs w:val="18"/>
          <w:color w:val="auto"/>
        </w:rPr>
        <w:t>, New York, New York, is representing the underwriters.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consolidated financial statements of Comcast Corporation and subsidiaries, incorporated herein by reference from Comcast Corporation’s Annual Report on Form 10-K for the year ended December 31, 2020, and the effectiveness of Comcast Corporation’s internal control over financial reporting have been audited by Deloitte &amp; Touche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194945</wp:posOffset>
            </wp:positionV>
            <wp:extent cx="1397000" cy="488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620" w:type="dxa"/>
            <w:vAlign w:val="bottom"/>
          </w:tcPr>
          <w:p>
            <w:pPr>
              <w:ind w:left="150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620" w:type="dxa"/>
            <w:vAlign w:val="bottom"/>
          </w:tcPr>
          <w:p>
            <w:pPr>
              <w:ind w:left="150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Purchase contracts</w:t>
            </w:r>
          </w:p>
        </w:tc>
        <w:tc>
          <w:tcPr>
            <w:tcW w:w="1620" w:type="dxa"/>
            <w:vAlign w:val="bottom"/>
          </w:tcPr>
          <w:p>
            <w:pPr>
              <w:ind w:left="150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w w:val="87"/>
              </w:rPr>
              <w:t>Class A common stock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Units</w:t>
            </w:r>
          </w:p>
        </w:tc>
        <w:tc>
          <w:tcPr>
            <w:tcW w:w="162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156" w:lineRule="exact"/>
        <w:rPr>
          <w:sz w:val="20"/>
          <w:szCs w:val="20"/>
          <w:color w:val="auto"/>
        </w:rPr>
      </w:pPr>
    </w:p>
    <w:p>
      <w:pPr>
        <w:ind w:left="120" w:right="440" w:firstLine="440"/>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31, 2019, the reported last sale price on the Nasdaq Global Select Market for our Class A common stock was $43.17.</w:t>
      </w:r>
    </w:p>
    <w:p>
      <w:pPr>
        <w:spacing w:after="0" w:line="132"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Maturity</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Dividends</w:t>
            </w:r>
          </w:p>
        </w:tc>
        <w:tc>
          <w:tcPr>
            <w:tcW w:w="2980" w:type="dxa"/>
            <w:vAlign w:val="bottom"/>
            <w:gridSpan w:val="2"/>
          </w:tcPr>
          <w:p>
            <w:pPr>
              <w:ind w:left="660"/>
              <w:spacing w:after="0"/>
              <w:rPr>
                <w:sz w:val="20"/>
                <w:szCs w:val="20"/>
                <w:color w:val="auto"/>
              </w:rPr>
            </w:pPr>
            <w:r>
              <w:rPr>
                <w:rFonts w:ascii="Arial" w:cs="Arial" w:eastAsia="Arial" w:hAnsi="Arial"/>
                <w:sz w:val="18"/>
                <w:szCs w:val="18"/>
                <w:color w:val="auto"/>
                <w:w w:val="90"/>
              </w:rPr>
              <w:t>• 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780" w:type="dxa"/>
            <w:vAlign w:val="bottom"/>
          </w:tcPr>
          <w:p>
            <w:pPr>
              <w:ind w:left="66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Listing on a securities exchange</w:t>
            </w:r>
          </w:p>
        </w:tc>
        <w:tc>
          <w:tcPr>
            <w:tcW w:w="780" w:type="dxa"/>
            <w:vAlign w:val="bottom"/>
          </w:tcPr>
          <w:p>
            <w:pPr>
              <w:ind w:left="66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Currency of payments</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Amount payable at maturity</w:t>
            </w: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189865</wp:posOffset>
            </wp:positionV>
            <wp:extent cx="1474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20" w:right="380" w:firstLine="440"/>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21 of Comcast’s and NBCUniversal’s combined annual report on Form 10-K for the year ended December 31, 2018, which is incorporated by reference herein.</w:t>
      </w:r>
    </w:p>
    <w:p>
      <w:pPr>
        <w:spacing w:after="0" w:line="7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2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August 1, 2019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940" w:type="dxa"/>
            <w:vAlign w:val="bottom"/>
            <w:gridSpan w:val="3"/>
          </w:tcPr>
          <w:p>
            <w:pPr>
              <w:ind w:left="5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040" w:type="dxa"/>
            <w:vAlign w:val="bottom"/>
            <w:gridSpan w:val="11"/>
            <w:vMerge w:val="restart"/>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The Companies</w:t>
              </w:r>
            </w:hyperlink>
          </w:p>
        </w:tc>
        <w:tc>
          <w:tcPr>
            <w:tcW w:w="660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3"/>
                <w:szCs w:val="13"/>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156"/>
        </w:trPr>
        <w:tc>
          <w:tcPr>
            <w:tcW w:w="4040" w:type="dxa"/>
            <w:vAlign w:val="bottom"/>
            <w:gridSpan w:val="11"/>
            <w:vMerge w:val="continue"/>
          </w:tcPr>
          <w:p>
            <w:pPr>
              <w:spacing w:after="0"/>
              <w:rPr>
                <w:sz w:val="13"/>
                <w:szCs w:val="13"/>
                <w:color w:val="auto"/>
              </w:rPr>
            </w:pPr>
          </w:p>
        </w:tc>
        <w:tc>
          <w:tcPr>
            <w:tcW w:w="6600" w:type="dxa"/>
            <w:vAlign w:val="bottom"/>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Caution Concerning Forward-Looking Statements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4"/>
              </w:rPr>
            </w:pPr>
            <w:hyperlink w:anchor="page40">
              <w:r>
                <w:rPr>
                  <w:rFonts w:ascii="Arial" w:cs="Arial" w:eastAsia="Arial" w:hAnsi="Arial"/>
                  <w:sz w:val="18"/>
                  <w:szCs w:val="18"/>
                  <w:color w:val="0000EE"/>
                  <w:w w:val="84"/>
                </w:rPr>
                <w:t>Use of Proceeds</w:t>
              </w:r>
            </w:hyperlink>
          </w:p>
        </w:tc>
        <w:tc>
          <w:tcPr>
            <w:tcW w:w="2380" w:type="dxa"/>
            <w:vAlign w:val="bottom"/>
            <w:tcBorders>
              <w:top w:val="single" w:sz="8" w:color="0000EE"/>
            </w:tcBorders>
            <w:gridSpan w:val="6"/>
          </w:tcPr>
          <w:p>
            <w:pPr>
              <w:spacing w:after="0"/>
              <w:rPr>
                <w:sz w:val="17"/>
                <w:szCs w:val="17"/>
                <w:color w:val="auto"/>
              </w:rPr>
            </w:pPr>
          </w:p>
        </w:tc>
        <w:tc>
          <w:tcPr>
            <w:tcW w:w="520" w:type="dxa"/>
            <w:vAlign w:val="bottom"/>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40" w:type="dxa"/>
            <w:vAlign w:val="bottom"/>
            <w:gridSpan w:val="1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Dividend Policy</w:t>
              </w:r>
            </w:hyperlink>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Description of Debt Securities and Guarantees</w:t>
              </w:r>
            </w:hyperlink>
          </w:p>
        </w:tc>
        <w:tc>
          <w:tcPr>
            <w:tcW w:w="780" w:type="dxa"/>
            <w:vAlign w:val="bottom"/>
            <w:gridSpan w:val="2"/>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040" w:type="dxa"/>
            <w:vAlign w:val="bottom"/>
            <w:gridSpan w:val="1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Global Securities</w:t>
              </w:r>
            </w:hyperlink>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Description of Capital Stock</w:t>
              </w:r>
            </w:hyperlink>
          </w:p>
        </w:tc>
        <w:tc>
          <w:tcPr>
            <w:tcW w:w="2040" w:type="dxa"/>
            <w:vAlign w:val="bottom"/>
            <w:gridSpan w:val="3"/>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Plan of Distribution</w:t>
              </w:r>
            </w:hyperlink>
          </w:p>
        </w:tc>
        <w:tc>
          <w:tcPr>
            <w:tcW w:w="2640" w:type="dxa"/>
            <w:vAlign w:val="bottom"/>
            <w:gridSpan w:val="5"/>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Legal Matters</w:t>
              </w:r>
            </w:hyperlink>
          </w:p>
        </w:tc>
        <w:tc>
          <w:tcPr>
            <w:tcW w:w="3060" w:type="dxa"/>
            <w:vAlign w:val="bottom"/>
            <w:gridSpan w:val="9"/>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59">
              <w:r>
                <w:rPr>
                  <w:rFonts w:ascii="Arial" w:cs="Arial" w:eastAsia="Arial" w:hAnsi="Arial"/>
                  <w:sz w:val="18"/>
                  <w:szCs w:val="18"/>
                  <w:color w:val="0000EE"/>
                  <w:w w:val="85"/>
                </w:rPr>
                <w:t>Experts</w:t>
              </w:r>
            </w:hyperlink>
          </w:p>
        </w:tc>
        <w:tc>
          <w:tcPr>
            <w:tcW w:w="3500" w:type="dxa"/>
            <w:vAlign w:val="bottom"/>
            <w:gridSpan w:val="10"/>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040" w:type="dxa"/>
            <w:vAlign w:val="bottom"/>
            <w:gridSpan w:val="1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Available Information</w:t>
              </w:r>
            </w:hyperlink>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540" w:type="dxa"/>
            <w:vAlign w:val="bottom"/>
            <w:gridSpan w:val="7"/>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Incorporation of Certain Documents by Reference</w:t>
              </w:r>
            </w:hyperlink>
          </w:p>
        </w:tc>
        <w:tc>
          <w:tcPr>
            <w:tcW w:w="520" w:type="dxa"/>
            <w:vAlign w:val="bottom"/>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20" w:right="80" w:firstLine="440"/>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15"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We refer to Comcast Corporation in this prospectus as “Comcast,” and Comcast and its consolidated subsidiaries as “we,” “us,” “our” or comparable terms; Comcast Holdings Corporation as “Comcast Holdings” and Sky Limited (formerly Sky plc) and its consolidated subsidiaries as “Sky.” We refer to NBCUniversal Media, LLC and its consolidated subsidiaries as “NBCUniversal,” Comcast Cable Communications, LLC and its consolidated subsidiaries as “Comcast Cable,” and both of them collectively as the “Guarantors.”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We are a global media and technology company with three primary businesses, Comcast Cable, NBCUniversal and Sky. We present our operations for</w:t>
      </w:r>
    </w:p>
    <w:p>
      <w:pPr>
        <w:spacing w:after="0" w:line="50" w:lineRule="exact"/>
        <w:rPr>
          <w:sz w:val="20"/>
          <w:szCs w:val="20"/>
          <w:color w:val="auto"/>
        </w:rPr>
      </w:pPr>
    </w:p>
    <w:p>
      <w:pPr>
        <w:ind w:left="120" w:right="60" w:hanging="4"/>
        <w:spacing w:after="0" w:line="255" w:lineRule="auto"/>
        <w:tabs>
          <w:tab w:leader="none" w:pos="3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56" w:lineRule="exact"/>
        <w:rPr>
          <w:rFonts w:ascii="Arial" w:cs="Arial" w:eastAsia="Arial" w:hAnsi="Arial"/>
          <w:sz w:val="18"/>
          <w:szCs w:val="18"/>
          <w:color w:val="auto"/>
        </w:rPr>
      </w:pPr>
    </w:p>
    <w:p>
      <w:pPr>
        <w:ind w:left="1080" w:right="180" w:hanging="424"/>
        <w:spacing w:after="0" w:line="262"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video, voice, wireless, and security and automation services (“cable services”) to residential customers under the XFINITY brand; we also provide these and other services to business customers and sell advertising.</w:t>
      </w:r>
    </w:p>
    <w:p>
      <w:pPr>
        <w:spacing w:after="0" w:line="51" w:lineRule="exact"/>
        <w:rPr>
          <w:rFonts w:ascii="Arial" w:cs="Arial" w:eastAsia="Arial" w:hAnsi="Arial"/>
          <w:sz w:val="18"/>
          <w:szCs w:val="18"/>
          <w:color w:val="auto"/>
        </w:rPr>
      </w:pPr>
    </w:p>
    <w:p>
      <w:pPr>
        <w:ind w:left="1080" w:right="100" w:hanging="424"/>
        <w:spacing w:after="0" w:line="262"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51" w:lineRule="exact"/>
        <w:rPr>
          <w:rFonts w:ascii="Arial" w:cs="Arial" w:eastAsia="Arial" w:hAnsi="Arial"/>
          <w:sz w:val="18"/>
          <w:szCs w:val="18"/>
          <w:color w:val="auto"/>
        </w:rPr>
      </w:pPr>
    </w:p>
    <w:p>
      <w:pPr>
        <w:ind w:left="1080" w:right="240" w:hanging="424"/>
        <w:spacing w:after="0" w:line="262"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the NBC Universo national cable network, our broadcast television studio production operations, and various digital properties.</w:t>
      </w:r>
    </w:p>
    <w:p>
      <w:pPr>
        <w:spacing w:after="0" w:line="51" w:lineRule="exact"/>
        <w:rPr>
          <w:rFonts w:ascii="Arial" w:cs="Arial" w:eastAsia="Arial" w:hAnsi="Arial"/>
          <w:sz w:val="18"/>
          <w:szCs w:val="18"/>
          <w:color w:val="auto"/>
        </w:rPr>
      </w:pPr>
    </w:p>
    <w:p>
      <w:pPr>
        <w:ind w:left="1080" w:right="140" w:hanging="424"/>
        <w:spacing w:after="0" w:line="334" w:lineRule="auto"/>
        <w:tabs>
          <w:tab w:leader="none" w:pos="1080" w:val="left"/>
        </w:tabs>
        <w:numPr>
          <w:ilvl w:val="1"/>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Filmed Entertainment: </w:t>
      </w:r>
      <w:r>
        <w:rPr>
          <w:rFonts w:ascii="Arial" w:cs="Arial" w:eastAsia="Arial" w:hAnsi="Arial"/>
          <w:sz w:val="16"/>
          <w:szCs w:val="16"/>
          <w:color w:val="auto"/>
        </w:rPr>
        <w:t>Consists primarily of the operations of Universal Pictures, which produces, acquires, markets and distributes filmed</w:t>
      </w:r>
      <w:r>
        <w:rPr>
          <w:rFonts w:ascii="Arial" w:cs="Arial" w:eastAsia="Arial" w:hAnsi="Arial"/>
          <w:sz w:val="16"/>
          <w:szCs w:val="16"/>
          <w:b w:val="1"/>
          <w:bCs w:val="1"/>
          <w:color w:val="auto"/>
        </w:rPr>
        <w:t xml:space="preserve"> </w:t>
      </w:r>
      <w:r>
        <w:rPr>
          <w:rFonts w:ascii="Arial" w:cs="Arial" w:eastAsia="Arial" w:hAnsi="Arial"/>
          <w:sz w:val="16"/>
          <w:szCs w:val="16"/>
          <w:color w:val="auto"/>
        </w:rPr>
        <w:t>entertainment worldwide; our films are also produced under the Illumination, DreamWorks Animation and Focus Features names.</w:t>
      </w:r>
    </w:p>
    <w:p>
      <w:pPr>
        <w:ind w:left="1080" w:right="260" w:hanging="424"/>
        <w:spacing w:after="0" w:line="334" w:lineRule="auto"/>
        <w:tabs>
          <w:tab w:leader="none" w:pos="1080" w:val="left"/>
        </w:tabs>
        <w:numPr>
          <w:ilvl w:val="1"/>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Theme Parks: </w:t>
      </w:r>
      <w:r>
        <w:rPr>
          <w:rFonts w:ascii="Arial" w:cs="Arial" w:eastAsia="Arial" w:hAnsi="Arial"/>
          <w:sz w:val="16"/>
          <w:szCs w:val="16"/>
          <w:color w:val="auto"/>
        </w:rPr>
        <w:t>Consists primarily of our Universal theme parks in Orlando, Florida; Hollywood, California; and Osaka, Japan. 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along with a consortium of Chinese state-owned companies, we are developing a Universal theme park and resort in Beijing, China.</w:t>
      </w:r>
    </w:p>
    <w:p>
      <w:pPr>
        <w:ind w:left="1080" w:right="180" w:hanging="424"/>
        <w:spacing w:after="0" w:line="262"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Consists of the operations of Sky, one of Europe’s leading entertainment companies, which primarily includes a direct-to-consumer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providing video, high-speed internet, voice and wireless phone services, and a content business, operating entertainment networks, the Sky News broadcast network and Sky Sports networks.</w:t>
      </w:r>
    </w:p>
    <w:p>
      <w:pPr>
        <w:spacing w:after="0" w:line="13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w:t>
      </w:r>
    </w:p>
    <w:p>
      <w:pPr>
        <w:spacing w:after="0" w:line="132" w:lineRule="exact"/>
        <w:rPr>
          <w:sz w:val="20"/>
          <w:szCs w:val="20"/>
          <w:color w:val="auto"/>
        </w:rPr>
      </w:pPr>
    </w:p>
    <w:p>
      <w:pPr>
        <w:ind w:left="120" w:right="40" w:firstLine="440"/>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80" w:hanging="424"/>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left="120" w:right="300" w:firstLine="440"/>
        <w:spacing w:after="0" w:line="268"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97790</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0"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459" w:right="5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2018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1080" w:right="22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1080" w:right="32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could adversely affect our businesses and challenge existing business models;</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impose additional costs and restrictions on our businesses;</w:t>
      </w:r>
    </w:p>
    <w:p>
      <w:pPr>
        <w:spacing w:after="0" w:line="113" w:lineRule="exact"/>
        <w:rPr>
          <w:rFonts w:ascii="Arial" w:cs="Arial" w:eastAsia="Arial" w:hAnsi="Arial"/>
          <w:sz w:val="16"/>
          <w:szCs w:val="16"/>
          <w:color w:val="auto"/>
        </w:rPr>
      </w:pPr>
    </w:p>
    <w:p>
      <w:pPr>
        <w:ind w:left="1080" w:right="48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Cable Communications’ and Sky’s video businesses;</w:t>
      </w:r>
    </w:p>
    <w:p>
      <w:pPr>
        <w:spacing w:after="0" w:line="50" w:lineRule="exact"/>
        <w:rPr>
          <w:rFonts w:ascii="Arial" w:cs="Arial" w:eastAsia="Arial" w:hAnsi="Arial"/>
          <w:sz w:val="18"/>
          <w:szCs w:val="18"/>
          <w:color w:val="auto"/>
        </w:rPr>
      </w:pPr>
    </w:p>
    <w:p>
      <w:pPr>
        <w:ind w:left="1080" w:right="180" w:hanging="424"/>
        <w:spacing w:after="0" w:line="331"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5" w:lineRule="exact"/>
        <w:rPr>
          <w:rFonts w:ascii="Arial" w:cs="Arial" w:eastAsia="Arial" w:hAnsi="Arial"/>
          <w:sz w:val="16"/>
          <w:szCs w:val="16"/>
          <w:color w:val="auto"/>
        </w:rPr>
      </w:pPr>
    </w:p>
    <w:p>
      <w:pPr>
        <w:ind w:left="108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1080" w:right="32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less favorable regulation, the loss of Sky’s transmission agreements with satellite or telecommunications providers or the renewal of these agreements on less favorable terms, could adversely affect Sky’s businesses;</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loss of Sky’s wholesale distribution agreements with traditional multichannel video providers could adversely affect Sky’s businesses;</w:t>
      </w:r>
    </w:p>
    <w:p>
      <w:pPr>
        <w:spacing w:after="0" w:line="113" w:lineRule="exact"/>
        <w:rPr>
          <w:rFonts w:ascii="Arial" w:cs="Arial" w:eastAsia="Arial" w:hAnsi="Arial"/>
          <w:sz w:val="16"/>
          <w:szCs w:val="16"/>
          <w:color w:val="auto"/>
        </w:rPr>
      </w:pPr>
    </w:p>
    <w:p>
      <w:pPr>
        <w:ind w:left="1080" w:right="54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1080" w:right="44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1080" w:right="36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acquisitions, including our acquisitions of Sky, and other strategic initiatives present many risks, and we may not realize the financial and strategic goals that we had contemplated;</w:t>
      </w:r>
    </w:p>
    <w:p>
      <w:pPr>
        <w:spacing w:after="0" w:line="50" w:lineRule="exact"/>
        <w:rPr>
          <w:rFonts w:ascii="Arial" w:cs="Arial" w:eastAsia="Arial" w:hAnsi="Arial"/>
          <w:sz w:val="18"/>
          <w:szCs w:val="18"/>
          <w:color w:val="auto"/>
        </w:rPr>
      </w:pPr>
    </w:p>
    <w:p>
      <w:pPr>
        <w:ind w:left="1080" w:right="76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litigation or governmental investigation results could require us to pay significant amounts or lead to onerous operating procedures;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loss of key management personnel or popular on-air and creative talent could have an adverse effect on our businesses;</w:t>
      </w:r>
    </w:p>
    <w:p>
      <w:pPr>
        <w:spacing w:after="0" w:line="113"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1080" w:hanging="424"/>
        <w:spacing w:after="0" w:line="331"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320" w:top="459" w:right="7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Our Board of Directors retains the right to change our dividend policy at any time.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459"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171"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40"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rate or rates, if any, per year, at which the debt securities will bear interest, or the method of determining such rate or rates;</w:t>
      </w:r>
    </w:p>
    <w:p>
      <w:pPr>
        <w:spacing w:after="0" w:line="113" w:lineRule="exact"/>
        <w:rPr>
          <w:rFonts w:ascii="Arial" w:cs="Arial" w:eastAsia="Arial" w:hAnsi="Arial"/>
          <w:sz w:val="16"/>
          <w:szCs w:val="16"/>
          <w:color w:val="auto"/>
        </w:rPr>
      </w:pPr>
    </w:p>
    <w:p>
      <w:pPr>
        <w:ind w:left="1080" w:right="100" w:hanging="424"/>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8"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right="320" w:hanging="424"/>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1080" w:right="200" w:hanging="424"/>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1080" w:right="380" w:hanging="424"/>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1080" w:right="520" w:hanging="424"/>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1080" w:right="280" w:hanging="424"/>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1080" w:right="100" w:hanging="424"/>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“Aggregate Debt” means, with respect to an Obligor, the sum of the following as of the date of determination:</w:t>
      </w:r>
    </w:p>
    <w:p>
      <w:pPr>
        <w:spacing w:after="0" w:line="90" w:lineRule="exact"/>
        <w:rPr>
          <w:sz w:val="20"/>
          <w:szCs w:val="20"/>
          <w:color w:val="auto"/>
        </w:rPr>
      </w:pPr>
    </w:p>
    <w:p>
      <w:pPr>
        <w:ind w:left="120" w:right="160" w:firstLine="436"/>
        <w:spacing w:after="0" w:line="268" w:lineRule="auto"/>
        <w:tabs>
          <w:tab w:leader="none" w:pos="7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“—Limitation on Liens Securing Indebtedness”; and</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00" w:firstLine="436"/>
        <w:spacing w:after="0" w:line="268" w:lineRule="auto"/>
        <w:tabs>
          <w:tab w:leader="none" w:pos="8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“—Limitation on Sale and Lease-Back Transactions.”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“Attributable Liens” means in connection with a sale and lease-back transaction of an Obligor the lesser of:</w:t>
      </w:r>
    </w:p>
    <w:p>
      <w:pPr>
        <w:spacing w:after="0" w:line="90" w:lineRule="exact"/>
        <w:rPr>
          <w:sz w:val="20"/>
          <w:szCs w:val="20"/>
          <w:color w:val="auto"/>
        </w:rPr>
      </w:pPr>
    </w:p>
    <w:p>
      <w:pPr>
        <w:ind w:left="120" w:right="80" w:firstLine="436"/>
        <w:spacing w:after="0" w:line="268" w:lineRule="auto"/>
        <w:tabs>
          <w:tab w:leader="none" w:pos="7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left="120" w:right="380" w:firstLine="436"/>
        <w:spacing w:after="0" w:line="306" w:lineRule="auto"/>
        <w:tabs>
          <w:tab w:leader="none" w:pos="80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06" w:lineRule="exact"/>
        <w:rPr>
          <w:sz w:val="20"/>
          <w:szCs w:val="20"/>
          <w:color w:val="auto"/>
        </w:rPr>
      </w:pPr>
    </w:p>
    <w:p>
      <w:pPr>
        <w:jc w:val="both"/>
        <w:ind w:left="120" w:firstLine="440"/>
        <w:spacing w:after="0" w:line="306" w:lineRule="auto"/>
        <w:rPr>
          <w:sz w:val="20"/>
          <w:szCs w:val="20"/>
          <w:color w:val="auto"/>
        </w:rPr>
      </w:pPr>
      <w:r>
        <w:rPr>
          <w:rFonts w:ascii="Arial" w:cs="Arial" w:eastAsia="Arial" w:hAnsi="Arial"/>
          <w:sz w:val="16"/>
          <w:szCs w:val="16"/>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0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32" w:lineRule="exact"/>
        <w:rPr>
          <w:sz w:val="20"/>
          <w:szCs w:val="20"/>
          <w:color w:val="auto"/>
        </w:rPr>
      </w:pPr>
    </w:p>
    <w:p>
      <w:pPr>
        <w:ind w:left="120" w:right="180" w:firstLine="440"/>
        <w:spacing w:after="0" w:line="303" w:lineRule="auto"/>
        <w:rPr>
          <w:sz w:val="20"/>
          <w:szCs w:val="20"/>
          <w:color w:val="auto"/>
        </w:rPr>
      </w:pPr>
      <w:r>
        <w:rPr>
          <w:rFonts w:ascii="Arial" w:cs="Arial" w:eastAsia="Arial" w:hAnsi="Arial"/>
          <w:sz w:val="15"/>
          <w:szCs w:val="15"/>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w:t>
      </w:r>
    </w:p>
    <w:p>
      <w:pPr>
        <w:spacing w:after="0" w:line="1" w:lineRule="exact"/>
        <w:rPr>
          <w:sz w:val="20"/>
          <w:szCs w:val="20"/>
          <w:color w:val="auto"/>
        </w:rPr>
      </w:pPr>
    </w:p>
    <w:p>
      <w:pPr>
        <w:ind w:left="120" w:hanging="4"/>
        <w:spacing w:after="0" w:line="260" w:lineRule="auto"/>
        <w:tabs>
          <w:tab w:leader="none" w:pos="3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of the senior indenture, for purposes of the definition of “Capital Lease” and (ii) the date of determination, for all other purposes under the senior indenture.</w:t>
      </w:r>
    </w:p>
    <w:p>
      <w:pPr>
        <w:spacing w:after="0" w:line="13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19" w:lineRule="exact"/>
        <w:rPr>
          <w:sz w:val="20"/>
          <w:szCs w:val="20"/>
          <w:color w:val="auto"/>
        </w:rPr>
      </w:pPr>
    </w:p>
    <w:p>
      <w:pPr>
        <w:ind w:left="120" w:right="240" w:firstLine="440"/>
        <w:spacing w:after="0" w:line="294" w:lineRule="auto"/>
        <w:rPr>
          <w:sz w:val="20"/>
          <w:szCs w:val="20"/>
          <w:color w:val="auto"/>
        </w:rPr>
      </w:pPr>
      <w:r>
        <w:rPr>
          <w:rFonts w:ascii="Arial" w:cs="Arial" w:eastAsia="Arial" w:hAnsi="Arial"/>
          <w:sz w:val="16"/>
          <w:szCs w:val="16"/>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15" w:lineRule="exact"/>
        <w:rPr>
          <w:sz w:val="20"/>
          <w:szCs w:val="20"/>
          <w:color w:val="auto"/>
        </w:rPr>
      </w:pPr>
    </w:p>
    <w:p>
      <w:pPr>
        <w:ind w:left="120" w:right="300" w:firstLine="440"/>
        <w:spacing w:after="0" w:line="268" w:lineRule="auto"/>
        <w:rPr>
          <w:sz w:val="20"/>
          <w:szCs w:val="20"/>
          <w:color w:val="auto"/>
        </w:rPr>
      </w:pPr>
      <w:r>
        <w:rPr>
          <w:rFonts w:ascii="Arial" w:cs="Arial" w:eastAsia="Arial" w:hAnsi="Arial"/>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“Obligor” means us and the Guarantors.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“Permitted Liens” means, with respect to an Obligor:</w:t>
      </w:r>
    </w:p>
    <w:p>
      <w:pPr>
        <w:spacing w:after="0" w:line="90" w:lineRule="exact"/>
        <w:rPr>
          <w:sz w:val="20"/>
          <w:szCs w:val="20"/>
          <w:color w:val="auto"/>
        </w:rPr>
      </w:pPr>
    </w:p>
    <w:p>
      <w:pPr>
        <w:jc w:val="both"/>
        <w:ind w:left="120" w:right="180" w:firstLine="436"/>
        <w:spacing w:after="0" w:line="259" w:lineRule="auto"/>
        <w:tabs>
          <w:tab w:leader="none" w:pos="7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39" w:lineRule="exact"/>
        <w:rPr>
          <w:rFonts w:ascii="Arial" w:cs="Arial" w:eastAsia="Arial" w:hAnsi="Arial"/>
          <w:sz w:val="18"/>
          <w:szCs w:val="18"/>
          <w:color w:val="auto"/>
        </w:rPr>
      </w:pPr>
    </w:p>
    <w:p>
      <w:pPr>
        <w:ind w:left="120" w:right="40" w:firstLine="436"/>
        <w:spacing w:after="0" w:line="291" w:lineRule="auto"/>
        <w:tabs>
          <w:tab w:leader="none" w:pos="809"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19" w:lineRule="exact"/>
        <w:rPr>
          <w:rFonts w:ascii="Arial" w:cs="Arial" w:eastAsia="Arial" w:hAnsi="Arial"/>
          <w:sz w:val="16"/>
          <w:szCs w:val="16"/>
          <w:color w:val="auto"/>
        </w:rPr>
      </w:pPr>
    </w:p>
    <w:p>
      <w:pPr>
        <w:ind w:left="120" w:right="840" w:firstLine="436"/>
        <w:spacing w:after="0" w:line="268" w:lineRule="auto"/>
        <w:tabs>
          <w:tab w:leader="none" w:pos="7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31" w:lineRule="exact"/>
        <w:rPr>
          <w:rFonts w:ascii="Arial" w:cs="Arial" w:eastAsia="Arial" w:hAnsi="Arial"/>
          <w:sz w:val="18"/>
          <w:szCs w:val="18"/>
          <w:color w:val="auto"/>
        </w:rPr>
      </w:pPr>
    </w:p>
    <w:p>
      <w:pPr>
        <w:ind w:left="120" w:right="460" w:firstLine="436"/>
        <w:spacing w:after="0" w:line="268" w:lineRule="auto"/>
        <w:tabs>
          <w:tab w:leader="none" w:pos="8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left="120" w:right="200" w:firstLine="436"/>
        <w:spacing w:after="0" w:line="268" w:lineRule="auto"/>
        <w:tabs>
          <w:tab w:leader="none" w:pos="7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left="120" w:right="400" w:firstLine="436"/>
        <w:spacing w:after="0" w:line="306" w:lineRule="auto"/>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06" w:lineRule="exact"/>
        <w:rPr>
          <w:rFonts w:ascii="Arial" w:cs="Arial" w:eastAsia="Arial" w:hAnsi="Arial"/>
          <w:sz w:val="16"/>
          <w:szCs w:val="16"/>
          <w:color w:val="auto"/>
        </w:rPr>
      </w:pPr>
    </w:p>
    <w:p>
      <w:pPr>
        <w:ind w:left="800" w:hanging="244"/>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jc w:val="both"/>
        <w:ind w:left="120" w:right="140" w:firstLine="436"/>
        <w:spacing w:after="0" w:line="259" w:lineRule="auto"/>
        <w:tabs>
          <w:tab w:leader="none" w:pos="8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39" w:lineRule="exact"/>
        <w:rPr>
          <w:rFonts w:ascii="Arial" w:cs="Arial" w:eastAsia="Arial" w:hAnsi="Arial"/>
          <w:sz w:val="18"/>
          <w:szCs w:val="18"/>
          <w:color w:val="auto"/>
        </w:rPr>
      </w:pPr>
    </w:p>
    <w:p>
      <w:pPr>
        <w:ind w:left="120" w:right="120" w:firstLine="436"/>
        <w:spacing w:after="0" w:line="268" w:lineRule="auto"/>
        <w:tabs>
          <w:tab w:leader="none" w:pos="7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left="120" w:firstLine="436"/>
        <w:spacing w:after="0" w:line="268" w:lineRule="auto"/>
        <w:tabs>
          <w:tab w:leader="none" w:pos="7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left="120" w:right="20" w:firstLine="436"/>
        <w:spacing w:after="0" w:line="259" w:lineRule="auto"/>
        <w:tabs>
          <w:tab w:leader="none" w:pos="8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39" w:lineRule="exact"/>
        <w:rPr>
          <w:rFonts w:ascii="Arial" w:cs="Arial" w:eastAsia="Arial" w:hAnsi="Arial"/>
          <w:sz w:val="18"/>
          <w:szCs w:val="18"/>
          <w:color w:val="auto"/>
        </w:rPr>
      </w:pPr>
    </w:p>
    <w:p>
      <w:pPr>
        <w:ind w:left="760" w:hanging="204"/>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436"/>
        <w:spacing w:after="0" w:line="268" w:lineRule="auto"/>
        <w:tabs>
          <w:tab w:leader="none" w:pos="8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800" w:hanging="244"/>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left="120" w:right="160" w:firstLine="436"/>
        <w:spacing w:after="0" w:line="268" w:lineRule="auto"/>
        <w:tabs>
          <w:tab w:leader="none" w:pos="8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left="120" w:right="260" w:firstLine="436"/>
        <w:spacing w:after="0" w:line="268" w:lineRule="auto"/>
        <w:tabs>
          <w:tab w:leader="none" w:pos="8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left="120" w:right="200" w:firstLine="436"/>
        <w:spacing w:after="0" w:line="369" w:lineRule="auto"/>
        <w:tabs>
          <w:tab w:leader="none" w:pos="809" w:val="left"/>
        </w:tabs>
        <w:numPr>
          <w:ilvl w:val="0"/>
          <w:numId w:val="32"/>
        </w:numPr>
        <w:rPr>
          <w:rFonts w:ascii="Arial" w:cs="Arial" w:eastAsia="Arial" w:hAnsi="Arial"/>
          <w:sz w:val="15"/>
          <w:szCs w:val="15"/>
          <w:color w:val="auto"/>
        </w:rPr>
      </w:pPr>
      <w:r>
        <w:rPr>
          <w:rFonts w:ascii="Arial" w:cs="Arial" w:eastAsia="Arial" w:hAnsi="Arial"/>
          <w:sz w:val="15"/>
          <w:szCs w:val="15"/>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3" w:lineRule="exact"/>
        <w:rPr>
          <w:rFonts w:ascii="Arial" w:cs="Arial" w:eastAsia="Arial" w:hAnsi="Arial"/>
          <w:sz w:val="15"/>
          <w:szCs w:val="15"/>
          <w:color w:val="auto"/>
        </w:rPr>
      </w:pPr>
    </w:p>
    <w:p>
      <w:pPr>
        <w:ind w:left="120" w:right="220" w:firstLine="436"/>
        <w:spacing w:after="0" w:line="306"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06" w:lineRule="exact"/>
        <w:rPr>
          <w:rFonts w:ascii="Arial" w:cs="Arial" w:eastAsia="Arial" w:hAnsi="Arial"/>
          <w:sz w:val="16"/>
          <w:szCs w:val="16"/>
          <w:color w:val="auto"/>
        </w:rPr>
      </w:pPr>
    </w:p>
    <w:p>
      <w:pPr>
        <w:ind w:left="780" w:hanging="224"/>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71" w:lineRule="exact"/>
        <w:rPr>
          <w:sz w:val="20"/>
          <w:szCs w:val="20"/>
          <w:color w:val="auto"/>
        </w:rPr>
      </w:pPr>
    </w:p>
    <w:p>
      <w:pPr>
        <w:ind w:left="120" w:right="980" w:firstLine="440"/>
        <w:spacing w:after="0" w:line="331" w:lineRule="auto"/>
        <w:rPr>
          <w:sz w:val="20"/>
          <w:szCs w:val="20"/>
          <w:color w:val="auto"/>
        </w:rPr>
      </w:pPr>
      <w:r>
        <w:rPr>
          <w:rFonts w:ascii="Arial" w:cs="Arial" w:eastAsia="Arial" w:hAnsi="Arial"/>
          <w:sz w:val="16"/>
          <w:szCs w:val="16"/>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87" w:lineRule="exact"/>
        <w:rPr>
          <w:sz w:val="20"/>
          <w:szCs w:val="20"/>
          <w:color w:val="auto"/>
        </w:rPr>
      </w:pPr>
    </w:p>
    <w:p>
      <w:pPr>
        <w:ind w:left="120" w:right="400" w:firstLine="440"/>
        <w:spacing w:after="0" w:line="268" w:lineRule="auto"/>
        <w:rPr>
          <w:sz w:val="20"/>
          <w:szCs w:val="20"/>
          <w:color w:val="auto"/>
        </w:rPr>
      </w:pPr>
      <w:r>
        <w:rPr>
          <w:rFonts w:ascii="Arial" w:cs="Arial" w:eastAsia="Arial" w:hAnsi="Arial"/>
          <w:sz w:val="18"/>
          <w:szCs w:val="18"/>
          <w:color w:val="auto"/>
        </w:rPr>
        <w:t>“Property” means with respect to any Person any property or asset, whether real, personal or mixed, or tangible or intangible, including shares of capital stock.</w:t>
      </w:r>
    </w:p>
    <w:p>
      <w:pPr>
        <w:spacing w:after="0" w:line="132" w:lineRule="exact"/>
        <w:rPr>
          <w:sz w:val="20"/>
          <w:szCs w:val="20"/>
          <w:color w:val="auto"/>
        </w:rPr>
      </w:pPr>
    </w:p>
    <w:p>
      <w:pPr>
        <w:ind w:left="120" w:right="340" w:firstLine="440"/>
        <w:spacing w:after="0" w:line="256" w:lineRule="auto"/>
        <w:rPr>
          <w:sz w:val="20"/>
          <w:szCs w:val="20"/>
          <w:color w:val="auto"/>
        </w:rPr>
      </w:pPr>
      <w:r>
        <w:rPr>
          <w:rFonts w:ascii="Arial" w:cs="Arial" w:eastAsia="Arial" w:hAnsi="Arial"/>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left="120" w:right="120" w:firstLine="440"/>
        <w:spacing w:after="0" w:line="369"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80" w:right="100" w:hanging="424"/>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color w:val="auto"/>
        </w:rPr>
        <w:t>Limitation on Liens Securing Indebtedness. 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62"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1080" w:hanging="424"/>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1080" w:right="160" w:hanging="424"/>
        <w:spacing w:after="0" w:line="254"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6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left="120" w:firstLine="440"/>
        <w:spacing w:after="0" w:line="312" w:lineRule="auto"/>
        <w:rPr>
          <w:sz w:val="20"/>
          <w:szCs w:val="20"/>
          <w:color w:val="auto"/>
        </w:rPr>
      </w:pPr>
      <w:r>
        <w:rPr>
          <w:rFonts w:ascii="Arial" w:cs="Arial" w:eastAsia="Arial" w:hAnsi="Arial"/>
          <w:sz w:val="15"/>
          <w:szCs w:val="15"/>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04"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Limitation on Sale and Lease-Back Transactions. 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right="140" w:hanging="424"/>
        <w:spacing w:after="0" w:line="306"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25" w:lineRule="exact"/>
        <w:rPr>
          <w:rFonts w:ascii="Arial" w:cs="Arial" w:eastAsia="Arial" w:hAnsi="Arial"/>
          <w:sz w:val="16"/>
          <w:szCs w:val="16"/>
          <w:color w:val="auto"/>
        </w:rPr>
      </w:pPr>
    </w:p>
    <w:p>
      <w:pPr>
        <w:ind w:left="1080" w:right="120" w:hanging="424"/>
        <w:spacing w:after="0" w:line="256"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7" w:lineRule="exact"/>
        <w:rPr>
          <w:sz w:val="20"/>
          <w:szCs w:val="20"/>
          <w:color w:val="auto"/>
        </w:rPr>
      </w:pPr>
    </w:p>
    <w:p>
      <w:pPr>
        <w:ind w:left="120" w:right="400" w:firstLine="440"/>
        <w:spacing w:after="0" w:line="306"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We will not consolidate or combine with or merge with or into or, directly or indirectly, sell, assign,</w:t>
      </w:r>
      <w:r>
        <w:rPr>
          <w:rFonts w:ascii="Arial" w:cs="Arial" w:eastAsia="Arial" w:hAnsi="Arial"/>
          <w:sz w:val="16"/>
          <w:szCs w:val="16"/>
          <w:i w:val="1"/>
          <w:iCs w:val="1"/>
          <w:color w:val="auto"/>
        </w:rPr>
        <w:t xml:space="preserve"> </w:t>
      </w:r>
      <w:r>
        <w:rPr>
          <w:rFonts w:ascii="Arial" w:cs="Arial" w:eastAsia="Arial" w:hAnsi="Arial"/>
          <w:sz w:val="16"/>
          <w:szCs w:val="16"/>
          <w:color w:val="auto"/>
        </w:rPr>
        <w:t>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25" w:lineRule="exact"/>
        <w:rPr>
          <w:sz w:val="20"/>
          <w:szCs w:val="20"/>
          <w:color w:val="auto"/>
        </w:rPr>
      </w:pPr>
    </w:p>
    <w:p>
      <w:pPr>
        <w:ind w:left="1080" w:right="100" w:hanging="424"/>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8" w:lineRule="exact"/>
        <w:rPr>
          <w:rFonts w:ascii="Arial" w:cs="Arial" w:eastAsia="Arial" w:hAnsi="Arial"/>
          <w:sz w:val="18"/>
          <w:szCs w:val="18"/>
          <w:color w:val="auto"/>
        </w:rPr>
      </w:pPr>
    </w:p>
    <w:p>
      <w:pPr>
        <w:ind w:left="1080" w:right="760" w:hanging="424"/>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1080" w:right="280" w:hanging="424"/>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or series of transactions on a pro forma basis, no default has occurred and is continuing; and</w:t>
      </w:r>
    </w:p>
    <w:p>
      <w:pPr>
        <w:spacing w:after="0" w:line="50" w:lineRule="exact"/>
        <w:rPr>
          <w:rFonts w:ascii="Arial" w:cs="Arial" w:eastAsia="Arial" w:hAnsi="Arial"/>
          <w:sz w:val="18"/>
          <w:szCs w:val="18"/>
          <w:color w:val="auto"/>
        </w:rPr>
      </w:pPr>
    </w:p>
    <w:p>
      <w:pPr>
        <w:jc w:val="both"/>
        <w:ind w:left="1080" w:right="120" w:hanging="424"/>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1080" w:right="340" w:hanging="424"/>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20"/>
        <w:spacing w:after="0" w:line="331" w:lineRule="auto"/>
        <w:rPr>
          <w:sz w:val="20"/>
          <w:szCs w:val="20"/>
          <w:color w:val="auto"/>
        </w:rPr>
      </w:pPr>
      <w:r>
        <w:rPr>
          <w:rFonts w:ascii="Arial" w:cs="Arial" w:eastAsia="Arial" w:hAnsi="Arial"/>
          <w:sz w:val="16"/>
          <w:szCs w:val="16"/>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87" w:lineRule="exact"/>
        <w:rPr>
          <w:sz w:val="20"/>
          <w:szCs w:val="20"/>
          <w:color w:val="auto"/>
        </w:rPr>
      </w:pPr>
    </w:p>
    <w:p>
      <w:pPr>
        <w:ind w:left="120" w:right="80" w:firstLine="440"/>
        <w:spacing w:after="0" w:line="306" w:lineRule="auto"/>
        <w:rPr>
          <w:sz w:val="20"/>
          <w:szCs w:val="20"/>
          <w:color w:val="auto"/>
        </w:rPr>
      </w:pPr>
      <w:r>
        <w:rPr>
          <w:rFonts w:ascii="Arial" w:cs="Arial" w:eastAsia="Arial" w:hAnsi="Arial"/>
          <w:sz w:val="16"/>
          <w:szCs w:val="16"/>
          <w:i w:val="1"/>
          <w:iCs w:val="1"/>
          <w:color w:val="auto"/>
        </w:rPr>
        <w:t>Existence</w:t>
      </w:r>
      <w:r>
        <w:rPr>
          <w:rFonts w:ascii="Arial" w:cs="Arial" w:eastAsia="Arial" w:hAnsi="Arial"/>
          <w:sz w:val="16"/>
          <w:szCs w:val="16"/>
          <w:color w:val="auto"/>
        </w:rPr>
        <w:t>. Except as permitted under “—Consolidation, Merger and Sale of Assets,” the indenture requires us to do or cause to be done all things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0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i w:val="1"/>
          <w:iCs w:val="1"/>
          <w:color w:val="auto"/>
        </w:rPr>
        <w:t>Information</w:t>
      </w:r>
      <w:r>
        <w:rPr>
          <w:rFonts w:ascii="Arial" w:cs="Arial" w:eastAsia="Arial" w:hAnsi="Arial"/>
          <w:sz w:val="16"/>
          <w:szCs w:val="16"/>
          <w:color w:val="auto"/>
        </w:rPr>
        <w:t>. We will furnish to the trustee any document or report we are required to file with the SEC pursuant to Section 13 or Section 15(d)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default in paying interest on the senior debt securities of such series when it becomes due and the default continues for a period of 30 days or</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more;</w:t>
      </w:r>
    </w:p>
    <w:p>
      <w:pPr>
        <w:spacing w:after="0" w:line="165" w:lineRule="exact"/>
        <w:rPr>
          <w:sz w:val="20"/>
          <w:szCs w:val="20"/>
          <w:color w:val="auto"/>
        </w:rPr>
      </w:pPr>
    </w:p>
    <w:p>
      <w:pPr>
        <w:ind w:left="800" w:hanging="24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left="120" w:right="260" w:firstLine="436"/>
        <w:spacing w:after="0" w:line="298" w:lineRule="auto"/>
        <w:tabs>
          <w:tab w:leader="none" w:pos="799"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12" w:lineRule="exact"/>
        <w:rPr>
          <w:rFonts w:ascii="Arial" w:cs="Arial" w:eastAsia="Arial" w:hAnsi="Arial"/>
          <w:sz w:val="16"/>
          <w:szCs w:val="16"/>
          <w:color w:val="auto"/>
        </w:rPr>
      </w:pPr>
    </w:p>
    <w:p>
      <w:pPr>
        <w:ind w:left="800" w:hanging="244"/>
        <w:spacing w:after="0"/>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800" w:hanging="24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2" w:lineRule="exact"/>
        <w:rPr>
          <w:sz w:val="20"/>
          <w:szCs w:val="20"/>
          <w:color w:val="auto"/>
        </w:rPr>
      </w:pPr>
    </w:p>
    <w:p>
      <w:pPr>
        <w:jc w:val="both"/>
        <w:ind w:left="120" w:right="180" w:firstLine="440"/>
        <w:spacing w:after="0" w:line="369" w:lineRule="auto"/>
        <w:rPr>
          <w:sz w:val="20"/>
          <w:szCs w:val="20"/>
          <w:color w:val="auto"/>
        </w:rPr>
      </w:pPr>
      <w:r>
        <w:rPr>
          <w:rFonts w:ascii="Arial" w:cs="Arial" w:eastAsia="Arial" w:hAnsi="Arial"/>
          <w:sz w:val="15"/>
          <w:szCs w:val="15"/>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64"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After a declaration of acceleration or any automatic acceleration under clause (d) described above, the holders of a majority in principal amount of the outstanding senior debt securities of any series (each such series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0"/>
        <w:spacing w:after="0" w:line="294" w:lineRule="auto"/>
        <w:rPr>
          <w:sz w:val="20"/>
          <w:szCs w:val="20"/>
          <w:color w:val="auto"/>
        </w:rPr>
      </w:pPr>
      <w:r>
        <w:rPr>
          <w:rFonts w:ascii="Arial" w:cs="Arial" w:eastAsia="Arial" w:hAnsi="Arial"/>
          <w:sz w:val="16"/>
          <w:szCs w:val="16"/>
          <w:color w:val="auto"/>
        </w:rPr>
        <w:t>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15" w:lineRule="exact"/>
        <w:rPr>
          <w:sz w:val="20"/>
          <w:szCs w:val="20"/>
          <w:color w:val="auto"/>
        </w:rPr>
      </w:pPr>
    </w:p>
    <w:p>
      <w:pPr>
        <w:ind w:left="120" w:right="440" w:firstLine="440"/>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24" w:lineRule="exact"/>
        <w:rPr>
          <w:sz w:val="20"/>
          <w:szCs w:val="20"/>
          <w:color w:val="auto"/>
        </w:rPr>
      </w:pPr>
    </w:p>
    <w:p>
      <w:pPr>
        <w:jc w:val="both"/>
        <w:ind w:left="120" w:right="40" w:firstLine="440"/>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6"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51"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080" w:right="540" w:hanging="424"/>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080" w:right="60" w:hanging="424"/>
        <w:spacing w:after="0" w:line="294"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1080" w:right="280" w:hanging="424"/>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1080" w:hanging="424"/>
        <w:spacing w:after="0" w:line="369" w:lineRule="auto"/>
        <w:tabs>
          <w:tab w:leader="none" w:pos="10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4" w:lineRule="exact"/>
        <w:rPr>
          <w:sz w:val="20"/>
          <w:szCs w:val="20"/>
          <w:color w:val="auto"/>
        </w:rPr>
      </w:pPr>
    </w:p>
    <w:p>
      <w:pPr>
        <w:jc w:val="both"/>
        <w:ind w:left="120" w:right="60" w:firstLine="440"/>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5"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1080" w:right="380" w:hanging="424"/>
        <w:spacing w:after="0" w:line="306"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25" w:lineRule="exact"/>
        <w:rPr>
          <w:rFonts w:ascii="Arial" w:cs="Arial" w:eastAsia="Arial" w:hAnsi="Arial"/>
          <w:sz w:val="16"/>
          <w:szCs w:val="16"/>
          <w:color w:val="auto"/>
        </w:rPr>
      </w:pPr>
    </w:p>
    <w:p>
      <w:pPr>
        <w:ind w:left="1080" w:right="100" w:hanging="424"/>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 Events of Default” will no longer constitute an event of default for that series.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1080" w:right="240" w:hanging="424"/>
        <w:spacing w:after="0" w:line="356" w:lineRule="auto"/>
        <w:tabs>
          <w:tab w:leader="none" w:pos="10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1" w:lineRule="exact"/>
        <w:rPr>
          <w:rFonts w:ascii="Arial" w:cs="Arial" w:eastAsia="Arial" w:hAnsi="Arial"/>
          <w:sz w:val="15"/>
          <w:szCs w:val="15"/>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100" w:right="8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1080" w:right="100" w:hanging="424"/>
        <w:spacing w:after="0" w:line="298"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1080" w:right="100" w:hanging="424"/>
        <w:spacing w:after="0" w:line="256"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61" w:lineRule="exact"/>
        <w:rPr>
          <w:rFonts w:ascii="Arial" w:cs="Arial" w:eastAsia="Arial" w:hAnsi="Arial"/>
          <w:sz w:val="18"/>
          <w:szCs w:val="18"/>
          <w:color w:val="auto"/>
        </w:rPr>
      </w:pPr>
    </w:p>
    <w:p>
      <w:pPr>
        <w:ind w:left="1080" w:right="40" w:hanging="424"/>
        <w:spacing w:after="0" w:line="254"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65" w:lineRule="exact"/>
        <w:rPr>
          <w:rFonts w:ascii="Arial" w:cs="Arial" w:eastAsia="Arial" w:hAnsi="Arial"/>
          <w:sz w:val="18"/>
          <w:szCs w:val="18"/>
          <w:color w:val="auto"/>
        </w:rPr>
      </w:pPr>
    </w:p>
    <w:p>
      <w:pPr>
        <w:ind w:left="1080" w:right="160" w:hanging="424"/>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8" w:lineRule="exact"/>
        <w:rPr>
          <w:rFonts w:ascii="Arial" w:cs="Arial" w:eastAsia="Arial" w:hAnsi="Arial"/>
          <w:sz w:val="18"/>
          <w:szCs w:val="18"/>
          <w:color w:val="auto"/>
        </w:rPr>
      </w:pPr>
    </w:p>
    <w:p>
      <w:pPr>
        <w:jc w:val="both"/>
        <w:ind w:left="1080" w:right="240" w:hanging="424"/>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58" w:lineRule="exact"/>
        <w:rPr>
          <w:rFonts w:ascii="Arial" w:cs="Arial" w:eastAsia="Arial" w:hAnsi="Arial"/>
          <w:sz w:val="18"/>
          <w:szCs w:val="18"/>
          <w:color w:val="auto"/>
        </w:rPr>
      </w:pPr>
    </w:p>
    <w:p>
      <w:pPr>
        <w:ind w:left="1080" w:hanging="424"/>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120" w:right="540" w:firstLine="440"/>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1080" w:right="260" w:hanging="424"/>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1080" w:right="780" w:hanging="424"/>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7" w:lineRule="exact"/>
        <w:rPr>
          <w:sz w:val="20"/>
          <w:szCs w:val="20"/>
          <w:color w:val="auto"/>
        </w:rPr>
      </w:pPr>
    </w:p>
    <w:p>
      <w:pPr>
        <w:ind w:left="1080" w:right="720" w:hanging="424"/>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1080" w:hanging="424"/>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1080" w:right="780" w:hanging="424"/>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20"/>
        <w:spacing w:after="0" w:line="298" w:lineRule="auto"/>
        <w:rPr>
          <w:sz w:val="20"/>
          <w:szCs w:val="20"/>
          <w:color w:val="auto"/>
        </w:rPr>
      </w:pPr>
      <w:r>
        <w:rPr>
          <w:rFonts w:ascii="Arial" w:cs="Arial" w:eastAsia="Arial" w:hAnsi="Arial"/>
          <w:sz w:val="16"/>
          <w:szCs w:val="16"/>
          <w:color w:val="auto"/>
        </w:rPr>
        <w:t>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left="120" w:right="80" w:firstLine="440"/>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The senior indenture, including any Guarantee, and each senior debt security is governed by and construed in accordance with the laws of the State of New York.</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left="120" w:right="360" w:firstLine="440"/>
        <w:spacing w:after="0" w:line="369" w:lineRule="auto"/>
        <w:rPr>
          <w:sz w:val="20"/>
          <w:szCs w:val="20"/>
          <w:color w:val="auto"/>
        </w:rPr>
      </w:pPr>
      <w:r>
        <w:rPr>
          <w:rFonts w:ascii="Arial" w:cs="Arial" w:eastAsia="Arial" w:hAnsi="Arial"/>
          <w:sz w:val="15"/>
          <w:szCs w:val="15"/>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6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19" w:lineRule="exact"/>
        <w:rPr>
          <w:sz w:val="20"/>
          <w:szCs w:val="20"/>
          <w:color w:val="auto"/>
        </w:rPr>
      </w:pPr>
    </w:p>
    <w:p>
      <w:pPr>
        <w:ind w:left="120" w:firstLine="440"/>
        <w:spacing w:after="0" w:line="306" w:lineRule="auto"/>
        <w:rPr>
          <w:sz w:val="20"/>
          <w:szCs w:val="20"/>
          <w:color w:val="auto"/>
        </w:rPr>
      </w:pPr>
      <w:r>
        <w:rPr>
          <w:rFonts w:ascii="Arial" w:cs="Arial" w:eastAsia="Arial" w:hAnsi="Arial"/>
          <w:sz w:val="15"/>
          <w:szCs w:val="15"/>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15" w:lineRule="exact"/>
        <w:rPr>
          <w:sz w:val="20"/>
          <w:szCs w:val="20"/>
          <w:color w:val="auto"/>
        </w:rPr>
      </w:pPr>
    </w:p>
    <w:p>
      <w:pPr>
        <w:jc w:val="both"/>
        <w:ind w:left="120" w:right="60" w:firstLine="440"/>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left="120" w:right="140" w:firstLine="440"/>
        <w:spacing w:after="0" w:line="306" w:lineRule="auto"/>
        <w:rPr>
          <w:sz w:val="20"/>
          <w:szCs w:val="20"/>
          <w:color w:val="auto"/>
        </w:rPr>
      </w:pPr>
      <w:r>
        <w:rPr>
          <w:rFonts w:ascii="Arial" w:cs="Arial" w:eastAsia="Arial" w:hAnsi="Arial"/>
          <w:sz w:val="16"/>
          <w:szCs w:val="16"/>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0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120" w:firstLine="440"/>
        <w:spacing w:after="0" w:line="306" w:lineRule="auto"/>
        <w:rPr>
          <w:sz w:val="20"/>
          <w:szCs w:val="20"/>
          <w:color w:val="auto"/>
        </w:rPr>
      </w:pPr>
      <w:r>
        <w:rPr>
          <w:rFonts w:ascii="Arial" w:cs="Arial" w:eastAsia="Arial" w:hAnsi="Arial"/>
          <w:sz w:val="16"/>
          <w:szCs w:val="16"/>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0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7"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See “Dividend Policy” above.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20" w:right="340"/>
        <w:spacing w:after="0" w:line="306" w:lineRule="auto"/>
        <w:rPr>
          <w:sz w:val="20"/>
          <w:szCs w:val="20"/>
          <w:color w:val="auto"/>
        </w:rPr>
      </w:pPr>
      <w:r>
        <w:rPr>
          <w:rFonts w:ascii="Arial" w:cs="Arial" w:eastAsia="Arial" w:hAnsi="Arial"/>
          <w:sz w:val="16"/>
          <w:szCs w:val="16"/>
          <w:color w:val="auto"/>
        </w:rPr>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2019, if Mr. Roberts were to convert the Class B common stock he beneficially owns into Class A common stock, Mr. Roberts would beneficially own 43,588,528 shares of Class A common stock, which is approximately 1% of the Class A common stock that would be outstanding after the conversion.</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Class B common stock is convertible share for share into Class A common stock, subject to certain restrictions.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left="120" w:right="200" w:firstLine="440"/>
        <w:spacing w:after="0" w:line="256"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43"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The transfer agent and registrar for our Class A common stock is Equiniti Trust Company D/B/A EQ Shareowner Services, P.O. Box 64854, St. Paul, Minnesota 55164-0854. Its telephone number is (888) 883-8903.</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right"/>
        <w:ind w:right="442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right"/>
        <w:ind w:right="4380"/>
        <w:spacing w:after="0"/>
        <w:rPr>
          <w:sz w:val="20"/>
          <w:szCs w:val="20"/>
          <w:color w:val="auto"/>
        </w:rPr>
      </w:pPr>
      <w:r>
        <w:rPr>
          <w:rFonts w:ascii="Arial" w:cs="Arial" w:eastAsia="Arial" w:hAnsi="Arial"/>
          <w:sz w:val="16"/>
          <w:szCs w:val="16"/>
          <w:color w:val="auto"/>
        </w:rPr>
        <w:t>We or selling security holders may sell the securities being offered hereby in four ways:</w:t>
      </w:r>
    </w:p>
    <w:p>
      <w:pPr>
        <w:spacing w:after="0" w:line="113"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jc w:val="both"/>
        <w:ind w:left="120" w:right="260" w:firstLine="440"/>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6" w:lineRule="exact"/>
        <w:rPr>
          <w:sz w:val="20"/>
          <w:szCs w:val="20"/>
          <w:color w:val="auto"/>
        </w:rPr>
      </w:pPr>
    </w:p>
    <w:p>
      <w:pPr>
        <w:ind w:left="120" w:right="20" w:firstLine="440"/>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4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24" w:lineRule="exact"/>
        <w:rPr>
          <w:sz w:val="20"/>
          <w:szCs w:val="20"/>
          <w:color w:val="auto"/>
        </w:rPr>
      </w:pPr>
    </w:p>
    <w:p>
      <w:pPr>
        <w:ind w:left="120" w:right="260" w:firstLine="440"/>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As to matters governed by Pennsylvania law, Elizabeth Wideman, Esquire, Vice President, Senior Deputy General Counsel and Assistant Secretary,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Comcast Corporation and subsidiaries (for purposes of this paragraph only, “Comcast Corporation”),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44" w:lineRule="exact"/>
        <w:rPr>
          <w:sz w:val="20"/>
          <w:szCs w:val="20"/>
          <w:color w:val="auto"/>
        </w:rPr>
      </w:pPr>
    </w:p>
    <w:p>
      <w:pPr>
        <w:ind w:left="120" w:right="220" w:firstLine="440"/>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NBCUniversal Media, LLC and subsidiaries (for purposes of this paragraph only, “NBCUniversal Media, LLC”),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5"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consolidated financial statements of Sky plc as of and for the year ended June 30, 2018, incorporated by reference in this Prospectus from Comcast Corporation’s Form 8-K/A filed on December 18, 2018, have been audited by Deloitte LLP, independent auditors, as stated in their report incorporated herein by reference (which report expresses a qualified opinion on the financial statements relating to the lack of presentation of comparative information for the preceding period and includes an emphasis-of-matter paragraph referring to the use of a basis of accounting different from accounting principles generally accepted in the United States). Such consolidated financial statements are incorporated by reference in reliance upon the report of such firm given upon their authority as experts in accounting and auditing.</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2" w:lineRule="exact"/>
        <w:rPr>
          <w:sz w:val="20"/>
          <w:szCs w:val="20"/>
          <w:color w:val="auto"/>
        </w:rPr>
      </w:pPr>
    </w:p>
    <w:p>
      <w:pPr>
        <w:jc w:val="both"/>
        <w:ind w:left="120" w:right="60" w:firstLine="440"/>
        <w:spacing w:after="0" w:line="284"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w:t>
      </w:r>
    </w:p>
    <w:p>
      <w:pPr>
        <w:spacing w:after="0" w:line="1"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Our and NBCUniversal’s SEC filings, including the complete registration statement and all of the exhibits to it, are available through the SEC’s website at http://www.sec.gov.</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Comcast’s and NBCUniversal’s combined Annual Report on </w:t>
      </w:r>
      <w:hyperlink r:id="rId86">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2018, filed on January 31, 2019.</w:t>
      </w:r>
    </w:p>
    <w:p>
      <w:pPr>
        <w:spacing w:after="0" w:line="113" w:lineRule="exact"/>
        <w:rPr>
          <w:rFonts w:ascii="Arial" w:cs="Arial" w:eastAsia="Arial" w:hAnsi="Arial"/>
          <w:sz w:val="16"/>
          <w:szCs w:val="16"/>
          <w:color w:val="auto"/>
        </w:rPr>
      </w:pPr>
    </w:p>
    <w:p>
      <w:pPr>
        <w:ind w:left="1080" w:right="180" w:hanging="424"/>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Comcast’s and NBCUniversal’s combined Quarterly Reports on Form 10-Q for the quarters ended </w:t>
      </w:r>
      <w:hyperlink r:id="rId87">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8">
        <w:r>
          <w:rPr>
            <w:rFonts w:ascii="Arial" w:cs="Arial" w:eastAsia="Arial" w:hAnsi="Arial"/>
            <w:sz w:val="18"/>
            <w:szCs w:val="18"/>
            <w:u w:val="single" w:color="auto"/>
            <w:color w:val="0000EE"/>
          </w:rPr>
          <w:t>June 30, 2019</w:t>
        </w:r>
      </w:hyperlink>
      <w:r>
        <w:rPr>
          <w:rFonts w:ascii="Arial" w:cs="Arial" w:eastAsia="Arial" w:hAnsi="Arial"/>
          <w:sz w:val="18"/>
          <w:szCs w:val="18"/>
          <w:color w:val="auto"/>
        </w:rPr>
        <w:t xml:space="preserve">, filed on </w:t>
      </w:r>
      <w:hyperlink r:id="rId87">
        <w:r>
          <w:rPr>
            <w:rFonts w:ascii="Arial" w:cs="Arial" w:eastAsia="Arial" w:hAnsi="Arial"/>
            <w:sz w:val="18"/>
            <w:szCs w:val="18"/>
            <w:u w:val="single" w:color="auto"/>
            <w:color w:val="0000EE"/>
          </w:rPr>
          <w:t>April 25,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9">
        <w:r>
          <w:rPr>
            <w:rFonts w:ascii="Arial" w:cs="Arial" w:eastAsia="Arial" w:hAnsi="Arial"/>
            <w:sz w:val="18"/>
            <w:szCs w:val="18"/>
            <w:u w:val="single" w:color="auto"/>
            <w:color w:val="0000EE"/>
          </w:rPr>
          <w:t>July 25, 2019</w:t>
        </w:r>
      </w:hyperlink>
      <w:r>
        <w:rPr>
          <w:rFonts w:ascii="Arial" w:cs="Arial" w:eastAsia="Arial" w:hAnsi="Arial"/>
          <w:sz w:val="18"/>
          <w:szCs w:val="18"/>
          <w:color w:val="auto"/>
        </w:rPr>
        <w:t>, respectively.</w:t>
      </w:r>
    </w:p>
    <w:p>
      <w:pPr>
        <w:spacing w:after="0" w:line="50" w:lineRule="exact"/>
        <w:rPr>
          <w:rFonts w:ascii="Arial" w:cs="Arial" w:eastAsia="Arial" w:hAnsi="Arial"/>
          <w:sz w:val="18"/>
          <w:szCs w:val="18"/>
          <w:color w:val="auto"/>
        </w:rPr>
      </w:pPr>
    </w:p>
    <w:p>
      <w:pPr>
        <w:ind w:left="1080" w:right="780" w:hanging="424"/>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Comcast’s Current Reports on Form 8-K filed on </w:t>
      </w:r>
      <w:hyperlink r:id="rId90">
        <w:r>
          <w:rPr>
            <w:rFonts w:ascii="Arial" w:cs="Arial" w:eastAsia="Arial" w:hAnsi="Arial"/>
            <w:sz w:val="18"/>
            <w:szCs w:val="18"/>
            <w:u w:val="single" w:color="auto"/>
            <w:color w:val="0000EE"/>
          </w:rPr>
          <w:t>May 14, 2019</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EE"/>
          </w:rPr>
          <w:t>June 7,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92">
        <w:r>
          <w:rPr>
            <w:rFonts w:ascii="Arial" w:cs="Arial" w:eastAsia="Arial" w:hAnsi="Arial"/>
            <w:sz w:val="18"/>
            <w:szCs w:val="18"/>
            <w:u w:val="single" w:color="auto"/>
            <w:color w:val="0000EE"/>
          </w:rPr>
          <w:t>June 20,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7.01 thereto) and Form 8-K/A filed on </w:t>
      </w:r>
      <w:hyperlink r:id="rId93">
        <w:r>
          <w:rPr>
            <w:rFonts w:ascii="Arial" w:cs="Arial" w:eastAsia="Arial" w:hAnsi="Arial"/>
            <w:sz w:val="18"/>
            <w:szCs w:val="18"/>
            <w:u w:val="single" w:color="auto"/>
            <w:color w:val="0000EE"/>
          </w:rPr>
          <w:t>August 1, 2019</w:t>
        </w:r>
      </w:hyperlink>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080" w:right="660" w:hanging="424"/>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sections of Comcast’s </w:t>
      </w:r>
      <w:hyperlink r:id="rId94">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on </w:t>
      </w:r>
      <w:hyperlink r:id="rId94">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2019 annual meeting of shareholders incorporated by reference in Comcast’s Annual Report on Form 10-K for the year ended December 31, 2018.</w:t>
      </w:r>
    </w:p>
    <w:p>
      <w:pPr>
        <w:spacing w:after="0" w:line="50" w:lineRule="exact"/>
        <w:rPr>
          <w:rFonts w:ascii="Arial" w:cs="Arial" w:eastAsia="Arial" w:hAnsi="Arial"/>
          <w:sz w:val="18"/>
          <w:szCs w:val="18"/>
          <w:color w:val="auto"/>
        </w:rPr>
      </w:pPr>
    </w:p>
    <w:p>
      <w:pPr>
        <w:ind w:left="1080" w:right="360" w:hanging="424"/>
        <w:spacing w:after="0" w:line="331"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description of our capital stock included in Item 3.02 under the caption “Amended and Restated Description of our Class A Common Stock” in Comcast’s Current Report on </w:t>
      </w:r>
      <w:hyperlink r:id="rId95">
        <w:r>
          <w:rPr>
            <w:rFonts w:ascii="Arial" w:cs="Arial" w:eastAsia="Arial" w:hAnsi="Arial"/>
            <w:sz w:val="16"/>
            <w:szCs w:val="16"/>
            <w:u w:val="single" w:color="auto"/>
            <w:color w:val="0000EE"/>
          </w:rPr>
          <w:t>Form 8-K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December 15, 2015, as the same may be further amended from time to time.</w:t>
      </w:r>
    </w:p>
    <w:p>
      <w:pPr>
        <w:spacing w:after="0" w:line="87" w:lineRule="exact"/>
        <w:rPr>
          <w:rFonts w:ascii="Arial" w:cs="Arial" w:eastAsia="Arial" w:hAnsi="Arial"/>
          <w:sz w:val="18"/>
          <w:szCs w:val="18"/>
          <w:color w:val="auto"/>
        </w:rPr>
      </w:pPr>
    </w:p>
    <w:p>
      <w:pPr>
        <w:ind w:left="120" w:firstLine="440"/>
        <w:spacing w:after="0" w:line="283"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w:t>
      </w:r>
    </w:p>
    <w:p>
      <w:pPr>
        <w:spacing w:after="0" w:line="2"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286-1700.</w:t>
      </w:r>
    </w:p>
    <w:p>
      <w:pPr>
        <w:spacing w:after="0" w:line="151"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205740</wp:posOffset>
            </wp:positionV>
            <wp:extent cx="1397000" cy="4883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20" w:hanging="1132"/>
        <w:spacing w:after="0"/>
        <w:tabs>
          <w:tab w:leader="none" w:pos="5220" w:val="left"/>
        </w:tabs>
        <w:numPr>
          <w:ilvl w:val="0"/>
          <w:numId w:val="49"/>
        </w:numPr>
        <w:rPr>
          <w:rFonts w:ascii="Arial" w:cs="Arial" w:eastAsia="Arial" w:hAnsi="Arial"/>
          <w:sz w:val="25"/>
          <w:szCs w:val="25"/>
          <w:b w:val="1"/>
          <w:bCs w:val="1"/>
          <w:color w:val="auto"/>
        </w:rPr>
      </w:pPr>
      <w:r>
        <w:rPr>
          <w:rFonts w:ascii="Arial" w:cs="Arial" w:eastAsia="Arial" w:hAnsi="Arial"/>
          <w:sz w:val="25"/>
          <w:szCs w:val="25"/>
          <w:b w:val="1"/>
          <w:bCs w:val="1"/>
          <w:color w:val="auto"/>
        </w:rPr>
        <w:t>% Notes due 20</w:t>
      </w:r>
    </w:p>
    <w:p>
      <w:pPr>
        <w:spacing w:after="0" w:line="117" w:lineRule="exact"/>
        <w:rPr>
          <w:rFonts w:ascii="Arial" w:cs="Arial" w:eastAsia="Arial" w:hAnsi="Arial"/>
          <w:sz w:val="25"/>
          <w:szCs w:val="25"/>
          <w:b w:val="1"/>
          <w:bCs w:val="1"/>
          <w:color w:val="auto"/>
        </w:rPr>
      </w:pPr>
    </w:p>
    <w:p>
      <w:pPr>
        <w:ind w:left="5220" w:hanging="1132"/>
        <w:spacing w:after="0"/>
        <w:tabs>
          <w:tab w:leader="none" w:pos="5220" w:val="left"/>
        </w:tabs>
        <w:numPr>
          <w:ilvl w:val="0"/>
          <w:numId w:val="49"/>
        </w:numPr>
        <w:rPr>
          <w:rFonts w:ascii="Arial" w:cs="Arial" w:eastAsia="Arial" w:hAnsi="Arial"/>
          <w:sz w:val="25"/>
          <w:szCs w:val="25"/>
          <w:b w:val="1"/>
          <w:bCs w:val="1"/>
          <w:color w:val="auto"/>
        </w:rPr>
      </w:pPr>
      <w:r>
        <w:rPr>
          <w:rFonts w:ascii="Arial" w:cs="Arial" w:eastAsia="Arial" w:hAnsi="Arial"/>
          <w:sz w:val="25"/>
          <w:szCs w:val="25"/>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1623695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ind w:right="2219"/>
        <w:spacing w:after="0"/>
        <w:rPr>
          <w:sz w:val="20"/>
          <w:szCs w:val="20"/>
          <w:color w:val="auto"/>
        </w:rPr>
      </w:pPr>
      <w:r>
        <w:rPr>
          <w:rFonts w:ascii="Arial" w:cs="Arial" w:eastAsia="Arial" w:hAnsi="Arial"/>
          <w:sz w:val="22"/>
          <w:szCs w:val="22"/>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b w:val="1"/>
          <w:bCs w:val="1"/>
          <w:i w:val="1"/>
          <w:iCs w:val="1"/>
          <w:color w:val="auto"/>
        </w:rPr>
        <w:t>Joint Book-Running Managers</w:t>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2420"/>
        <w:spacing w:after="0"/>
        <w:rPr>
          <w:sz w:val="20"/>
          <w:szCs w:val="20"/>
          <w:color w:val="auto"/>
        </w:rPr>
      </w:pPr>
      <w:r>
        <w:rPr>
          <w:rFonts w:ascii="Arial" w:cs="Arial" w:eastAsia="Arial" w:hAnsi="Arial"/>
          <w:sz w:val="22"/>
          <w:szCs w:val="22"/>
          <w:b w:val="1"/>
          <w:bCs w:val="1"/>
          <w:color w:val="auto"/>
        </w:rPr>
        <w:t>Barclays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Deutsche Bank</w:t>
      </w:r>
    </w:p>
    <w:p>
      <w:pPr>
        <w:spacing w:after="0" w:line="148" w:lineRule="exact"/>
        <w:rPr>
          <w:sz w:val="20"/>
          <w:szCs w:val="20"/>
          <w:color w:val="auto"/>
        </w:rPr>
      </w:pPr>
    </w:p>
    <w:p>
      <w:pPr>
        <w:sectPr>
          <w:pgSz w:w="11900" w:h="16838" w:orient="portrait"/>
          <w:cols w:equalWidth="0" w:num="2">
            <w:col w:w="6920" w:space="720"/>
            <w:col w:w="2499"/>
          </w:cols>
          <w:pgMar w:left="320" w:top="459" w:right="1440" w:bottom="1440" w:gutter="0" w:footer="0" w:header="0"/>
          <w:type w:val="continuous"/>
        </w:sectPr>
      </w:pPr>
    </w:p>
    <w:p>
      <w:pPr>
        <w:ind w:left="2180"/>
        <w:spacing w:after="0"/>
        <w:rPr>
          <w:sz w:val="20"/>
          <w:szCs w:val="20"/>
          <w:color w:val="auto"/>
        </w:rPr>
      </w:pPr>
      <w:r>
        <w:rPr>
          <w:rFonts w:ascii="Arial" w:cs="Arial" w:eastAsia="Arial" w:hAnsi="Arial"/>
          <w:sz w:val="19"/>
          <w:szCs w:val="19"/>
          <w:b w:val="1"/>
          <w:bCs w:val="1"/>
          <w:color w:val="auto"/>
        </w:rPr>
        <w:t>Commerzbank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572770</wp:posOffset>
            </wp:positionV>
            <wp:extent cx="27260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Santander</w:t>
      </w:r>
    </w:p>
    <w:p>
      <w:pPr>
        <w:spacing w:after="0" w:line="200" w:lineRule="exact"/>
        <w:rPr>
          <w:sz w:val="20"/>
          <w:szCs w:val="20"/>
          <w:color w:val="auto"/>
        </w:rPr>
      </w:pPr>
    </w:p>
    <w:p>
      <w:pPr>
        <w:sectPr>
          <w:pgSz w:w="11900" w:h="16838" w:orient="portrait"/>
          <w:cols w:equalWidth="0" w:num="2">
            <w:col w:w="7240" w:space="720"/>
            <w:col w:w="2179"/>
          </w:cols>
          <w:pgMar w:left="320" w:top="45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 2021</w:t>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lowerRoman"/>
      <w:start w:val="2"/>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215"/>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start w:val="1"/>
    </w:lvl>
    <w:lvl w:ilvl="1">
      <w:lvlJc w:val="left"/>
      <w:lvlText w:val="(%2)"/>
      <w:numFmt w:val="lowerLetter"/>
      <w:start w:val="1"/>
    </w:lvl>
  </w:abstractNum>
  <w:abstractNum w:abstractNumId="9">
    <w:nsid w:val="3A95F874"/>
    <w:multiLevelType w:val="hybridMultilevel"/>
    <w:lvl w:ilvl="0">
      <w:lvlJc w:val="left"/>
      <w:lvlText w:val="(%1)"/>
      <w:numFmt w:val="decimal"/>
      <w:start w:val="4"/>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lowerRoman"/>
      <w:start w:val="1"/>
    </w:lvl>
  </w:abstractNum>
  <w:abstractNum w:abstractNumId="16">
    <w:nsid w:val="4516DDE9"/>
    <w:multiLevelType w:val="hybridMultilevel"/>
    <w:lvl w:ilvl="0">
      <w:lvlJc w:val="left"/>
      <w:lvlText w:val="(%1)"/>
      <w:numFmt w:val="lowerRoman"/>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decimal"/>
      <w:start w:val="1"/>
    </w:lvl>
    <w:lvl w:ilvl="1">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2"/>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Roman"/>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13"/>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lowerLetter"/>
      <w:start w:val="2"/>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jpe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jpe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6" Type="http://schemas.openxmlformats.org/officeDocument/2006/relationships/hyperlink" Target="http://www.sec.gov/Archives/edgar/data/1166691/000116669121000008/cmcsa-20201231.htm" TargetMode="External"/><Relationship Id="rId17" Type="http://schemas.openxmlformats.org/officeDocument/2006/relationships/hyperlink" Target="http://www.sec.gov/Archives/edgar/data/1166691/000116669121000029/cmcsa-20210630.htm" TargetMode="External"/><Relationship Id="rId18" Type="http://schemas.openxmlformats.org/officeDocument/2006/relationships/hyperlink" Target="http://www.sec.gov/Archives/edgar/data/1166691/000095010321005001/dp148717_8k.htm" TargetMode="External"/><Relationship Id="rId19" Type="http://schemas.openxmlformats.org/officeDocument/2006/relationships/hyperlink" Target="http://www.sec.gov/Archives/edgar/data/1166691/000116669121000022/cmcsa-20210602.htm" TargetMode="External"/><Relationship Id="rId20" Type="http://schemas.openxmlformats.org/officeDocument/2006/relationships/hyperlink" Target="http://www.sec.gov/Archives/edgar/data/1166691/000095010321011713/dp155589_8k.htm" TargetMode="External"/><Relationship Id="rId21" Type="http://schemas.openxmlformats.org/officeDocument/2006/relationships/hyperlink" Target="http://www.sec.gov/Archives/edgar/data/1166691/000095010321012399/dp156195_8k.htm" TargetMode="External"/><Relationship Id="rId22" Type="http://schemas.openxmlformats.org/officeDocument/2006/relationships/hyperlink" Target="http://www.sec.gov/Archives/edgar/data/1166691/000095010321012610/dp156478_8k.htm" TargetMode="External"/><Relationship Id="rId23" Type="http://schemas.openxmlformats.org/officeDocument/2006/relationships/hyperlink" Target="http://www.sec.gov/Archives/edgar/data/1166691/000120677421001222/cmcsa3829211-def14a.htm" TargetMode="External"/><Relationship Id="rId86" Type="http://schemas.openxmlformats.org/officeDocument/2006/relationships/hyperlink" Target="http://www.sec.gov/Archives/edgar/data/902739/000116669119000005/cmcsa-12312018x10k.htm" TargetMode="External"/><Relationship Id="rId87" Type="http://schemas.openxmlformats.org/officeDocument/2006/relationships/hyperlink" Target="http://www.sec.gov/Archives/edgar/data/902739/000116669119000010/cmcsa-3312019x10q.htm" TargetMode="External"/><Relationship Id="rId88" Type="http://schemas.openxmlformats.org/officeDocument/2006/relationships/hyperlink" Target="http://www.sec.gov/ix?doc=/Archives/edgar/data/902739/000116669119000015/cmcsa-6302019x10q.htm" TargetMode="External"/><Relationship Id="rId89" Type="http://schemas.openxmlformats.org/officeDocument/2006/relationships/hyperlink" Target="http://www.sec.gov/Archives/edgar/data/902739/000116669119000015/cmcsa-6302019x10q.htm" TargetMode="External"/><Relationship Id="rId90" Type="http://schemas.openxmlformats.org/officeDocument/2006/relationships/hyperlink" Target="http://www.sec.gov/Archives/edgar/data/902739/000095010319006331/dp106765_8k.htm" TargetMode="External"/><Relationship Id="rId91" Type="http://schemas.openxmlformats.org/officeDocument/2006/relationships/hyperlink" Target="http://www.sec.gov/Archives/edgar/data/1166691/000095010319007912/dp108319_8k.htm" TargetMode="External"/><Relationship Id="rId92" Type="http://schemas.openxmlformats.org/officeDocument/2006/relationships/hyperlink" Target="http://www.sec.gov/Archives/edgar/data/902739/000095010319008213/dp108508_8k.htm" TargetMode="External"/><Relationship Id="rId93" Type="http://schemas.openxmlformats.org/officeDocument/2006/relationships/hyperlink" Target="http://www.sec.gov/Archives/edgar/data/1166691/000119312519210443/d736987d8ka.htm" TargetMode="External"/><Relationship Id="rId94" Type="http://schemas.openxmlformats.org/officeDocument/2006/relationships/hyperlink" Target="http://www.sec.gov/Archives/edgar/data/1166691/000119312519121456/d696198ddef14a.htm" TargetMode="External"/><Relationship Id="rId95" Type="http://schemas.openxmlformats.org/officeDocument/2006/relationships/hyperlink" Target="http://www.sec.gov/Archives/edgar/data/1166691/000095010315009516/dp6183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2021-09-07T05:12:52Z</dcterms:created>
  <dcterms:modified xsi:type="dcterms:W3CDTF">2021-09-07T05:12:52Z</dcterms:modified>
</cp:coreProperties>
</file>