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Filed Pursuant to Rule 424(B)(5)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333-104034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 prospectus dated March 26,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74295</wp:posOffset>
            </wp:positionV>
            <wp:extent cx="1440815"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60" w:hanging="192"/>
        <w:spacing w:after="0"/>
        <w:tabs>
          <w:tab w:leader="none" w:pos="3960" w:val="left"/>
        </w:tabs>
        <w:numPr>
          <w:ilvl w:val="0"/>
          <w:numId w:val="1"/>
        </w:numPr>
        <w:rPr>
          <w:rFonts w:ascii="Arial" w:cs="Arial" w:eastAsia="Arial" w:hAnsi="Arial"/>
          <w:sz w:val="25"/>
          <w:szCs w:val="25"/>
          <w:b w:val="1"/>
          <w:bCs w:val="1"/>
          <w:color w:val="auto"/>
        </w:rPr>
      </w:pPr>
      <w:r>
        <w:rPr>
          <w:rFonts w:ascii="Arial" w:cs="Arial" w:eastAsia="Arial" w:hAnsi="Arial"/>
          <w:sz w:val="25"/>
          <w:szCs w:val="25"/>
          <w:b w:val="1"/>
          <w:bCs w:val="1"/>
          <w:color w:val="auto"/>
        </w:rPr>
        <w:t>500,000,000 5.45% Notes due 2010</w:t>
      </w:r>
    </w:p>
    <w:p>
      <w:pPr>
        <w:spacing w:after="0" w:line="37" w:lineRule="exact"/>
        <w:rPr>
          <w:rFonts w:ascii="Arial" w:cs="Arial" w:eastAsia="Arial" w:hAnsi="Arial"/>
          <w:sz w:val="25"/>
          <w:szCs w:val="25"/>
          <w:b w:val="1"/>
          <w:bCs w:val="1"/>
          <w:color w:val="auto"/>
        </w:rPr>
      </w:pPr>
    </w:p>
    <w:p>
      <w:pPr>
        <w:jc w:val="both"/>
        <w:ind w:left="3700" w:right="3700" w:firstLine="68"/>
        <w:spacing w:after="0" w:line="327" w:lineRule="auto"/>
        <w:tabs>
          <w:tab w:leader="none" w:pos="395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750,000,000 5.85% Notes due 2015 $1,000,000,000 6.50% Notes due 2035</w:t>
      </w:r>
    </w:p>
    <w:p>
      <w:pPr>
        <w:spacing w:after="0" w:line="48"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We will pay interest on the notes on November 15 and May 15 of each year beginning on May 15, 2006. The notes due 2010 will bear interest at a rate of 5.45% per year and will mature on November 15, 2010. The notes due 2015 will bear interest at a rate of 5.85% per year and will mature on November 15, 2015. The notes due 2035 will bear interest at a rate of 6.50% per year and will mature on November 15, 2035. 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spacing w:after="0" w:line="80"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We may redeem any of the notes at any time by paying the greater of the principal amount of the notes or a “make-whole” amount, plus, in each case, accrued interest. See “Description of the Notes and the Cable Guarantees—Optional Redemption.”</w:t>
      </w:r>
    </w:p>
    <w:p>
      <w:pPr>
        <w:spacing w:after="0" w:line="49" w:lineRule="exact"/>
        <w:rPr>
          <w:sz w:val="20"/>
          <w:szCs w:val="20"/>
          <w:color w:val="auto"/>
        </w:rPr>
      </w:pPr>
    </w:p>
    <w:p>
      <w:pPr>
        <w:ind w:right="740" w:firstLine="378"/>
        <w:spacing w:after="0" w:line="256" w:lineRule="auto"/>
        <w:rPr>
          <w:sz w:val="20"/>
          <w:szCs w:val="20"/>
          <w:color w:val="auto"/>
        </w:rPr>
      </w:pPr>
      <w:r>
        <w:rPr>
          <w:rFonts w:ascii="Arial" w:cs="Arial" w:eastAsia="Arial" w:hAnsi="Arial"/>
          <w:sz w:val="22"/>
          <w:szCs w:val="22"/>
          <w:b w:val="1"/>
          <w:bCs w:val="1"/>
          <w:color w:val="auto"/>
        </w:rPr>
        <w:t>Investing in the notes involves risks that are described in the “Risk Factors” section beginning on page 13 of our Annual Report on Form 10-K for the year ended December 31, 2004.</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Price to</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Underwriters’</w:t>
            </w:r>
          </w:p>
        </w:tc>
        <w:tc>
          <w:tcPr>
            <w:tcW w:w="240" w:type="dxa"/>
            <w:vAlign w:val="bottom"/>
          </w:tcPr>
          <w:p>
            <w:pPr>
              <w:spacing w:after="0"/>
              <w:rPr>
                <w:sz w:val="14"/>
                <w:szCs w:val="14"/>
                <w:color w:val="auto"/>
              </w:rPr>
            </w:pPr>
          </w:p>
        </w:tc>
        <w:tc>
          <w:tcPr>
            <w:tcW w:w="21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Proceeds to Us</w:t>
            </w:r>
          </w:p>
        </w:tc>
      </w:tr>
      <w:tr>
        <w:trPr>
          <w:trHeight w:val="178"/>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Investors(1)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Discount</w:t>
            </w:r>
          </w:p>
        </w:tc>
        <w:tc>
          <w:tcPr>
            <w:tcW w:w="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Before Expenses</w:t>
            </w:r>
          </w:p>
        </w:tc>
        <w:tc>
          <w:tcPr>
            <w:tcW w:w="6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2010</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99.913%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0.259%</w:t>
            </w:r>
          </w:p>
        </w:tc>
        <w:tc>
          <w:tcPr>
            <w:tcW w:w="2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99.654%</w:t>
            </w:r>
          </w:p>
        </w:tc>
      </w:tr>
      <w:tr>
        <w:trPr>
          <w:trHeight w:val="216"/>
        </w:trPr>
        <w:tc>
          <w:tcPr>
            <w:tcW w:w="20" w:type="dxa"/>
            <w:vAlign w:val="bottom"/>
          </w:tcPr>
          <w:p>
            <w:pPr>
              <w:spacing w:after="0"/>
              <w:rPr>
                <w:sz w:val="18"/>
                <w:szCs w:val="18"/>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499,565,000</w:t>
            </w:r>
          </w:p>
        </w:tc>
        <w:tc>
          <w:tcPr>
            <w:tcW w:w="4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880"/>
              <w:spacing w:after="0"/>
              <w:rPr>
                <w:sz w:val="20"/>
                <w:szCs w:val="20"/>
                <w:color w:val="auto"/>
              </w:rPr>
            </w:pPr>
            <w:r>
              <w:rPr>
                <w:rFonts w:ascii="Arial" w:cs="Arial" w:eastAsia="Arial" w:hAnsi="Arial"/>
                <w:sz w:val="18"/>
                <w:szCs w:val="18"/>
                <w:color w:val="auto"/>
              </w:rPr>
              <w:t>1,295,000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498,270,000</w:t>
            </w: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2015</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99.992%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0.149%</w:t>
            </w:r>
          </w:p>
        </w:tc>
        <w:tc>
          <w:tcPr>
            <w:tcW w:w="2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99.843%</w:t>
            </w:r>
          </w:p>
        </w:tc>
      </w:tr>
      <w:tr>
        <w:trPr>
          <w:trHeight w:val="216"/>
        </w:trPr>
        <w:tc>
          <w:tcPr>
            <w:tcW w:w="20" w:type="dxa"/>
            <w:vAlign w:val="bottom"/>
          </w:tcPr>
          <w:p>
            <w:pPr>
              <w:spacing w:after="0"/>
              <w:rPr>
                <w:sz w:val="18"/>
                <w:szCs w:val="18"/>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749,940,000</w:t>
            </w:r>
          </w:p>
        </w:tc>
        <w:tc>
          <w:tcPr>
            <w:tcW w:w="4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880"/>
              <w:spacing w:after="0"/>
              <w:rPr>
                <w:sz w:val="20"/>
                <w:szCs w:val="20"/>
                <w:color w:val="auto"/>
              </w:rPr>
            </w:pPr>
            <w:r>
              <w:rPr>
                <w:rFonts w:ascii="Arial" w:cs="Arial" w:eastAsia="Arial" w:hAnsi="Arial"/>
                <w:sz w:val="18"/>
                <w:szCs w:val="18"/>
                <w:color w:val="auto"/>
              </w:rPr>
              <w:t>1,117,500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748,822,500</w:t>
            </w: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2035</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99.751%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0.651%</w:t>
            </w:r>
          </w:p>
        </w:tc>
        <w:tc>
          <w:tcPr>
            <w:tcW w:w="2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99.100%</w:t>
            </w:r>
          </w:p>
        </w:tc>
      </w:tr>
      <w:tr>
        <w:trPr>
          <w:trHeight w:val="230"/>
        </w:trPr>
        <w:tc>
          <w:tcPr>
            <w:tcW w:w="20" w:type="dxa"/>
            <w:vAlign w:val="bottom"/>
          </w:tcPr>
          <w:p>
            <w:pPr>
              <w:spacing w:after="0"/>
              <w:rPr>
                <w:sz w:val="20"/>
                <w:szCs w:val="20"/>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997,510,000</w:t>
            </w:r>
          </w:p>
        </w:tc>
        <w:tc>
          <w:tcPr>
            <w:tcW w:w="44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880"/>
              <w:spacing w:after="0"/>
              <w:rPr>
                <w:sz w:val="20"/>
                <w:szCs w:val="20"/>
                <w:color w:val="auto"/>
              </w:rPr>
            </w:pPr>
            <w:r>
              <w:rPr>
                <w:rFonts w:ascii="Arial" w:cs="Arial" w:eastAsia="Arial" w:hAnsi="Arial"/>
                <w:sz w:val="18"/>
                <w:szCs w:val="18"/>
                <w:color w:val="auto"/>
              </w:rPr>
              <w:t>6,510,000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991,000,000</w:t>
            </w:r>
          </w:p>
        </w:tc>
        <w:tc>
          <w:tcPr>
            <w:tcW w:w="640" w:type="dxa"/>
            <w:vAlign w:val="bottom"/>
          </w:tcPr>
          <w:p>
            <w:pPr>
              <w:spacing w:after="0"/>
              <w:rPr>
                <w:sz w:val="20"/>
                <w:szCs w:val="20"/>
                <w:color w:val="auto"/>
              </w:rPr>
            </w:pPr>
          </w:p>
        </w:tc>
      </w:tr>
    </w:tbl>
    <w:p>
      <w:pPr>
        <w:spacing w:after="0" w:line="79" w:lineRule="exact"/>
        <w:rPr>
          <w:sz w:val="20"/>
          <w:szCs w:val="20"/>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if any, from November 14, 2005, if settlement occurs after that date.</w:t>
      </w:r>
    </w:p>
    <w:p>
      <w:pPr>
        <w:spacing w:after="0" w:line="117"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6"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and Clearstream, in book-entry form on or about November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48895</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4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Barclays Capital</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JPMorgan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80" w:type="dxa"/>
            <w:vAlign w:val="bottom"/>
            <w:gridSpan w:val="4"/>
          </w:tcPr>
          <w:p>
            <w:pPr>
              <w:ind w:left="640"/>
              <w:spacing w:after="0"/>
              <w:rPr>
                <w:sz w:val="20"/>
                <w:szCs w:val="20"/>
                <w:color w:val="auto"/>
              </w:rPr>
            </w:pPr>
            <w:r>
              <w:rPr>
                <w:rFonts w:ascii="Arial" w:cs="Arial" w:eastAsia="Arial" w:hAnsi="Arial"/>
                <w:sz w:val="23"/>
                <w:szCs w:val="23"/>
                <w:b w:val="1"/>
                <w:bCs w:val="1"/>
                <w:color w:val="auto"/>
                <w:w w:val="92"/>
              </w:rPr>
              <w:t>UBS Investment Bank</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900" w:type="dxa"/>
            <w:vAlign w:val="bottom"/>
            <w:gridSpan w:val="6"/>
          </w:tcPr>
          <w:p>
            <w:pPr>
              <w:jc w:val="center"/>
              <w:ind w:left="110"/>
              <w:spacing w:after="0"/>
              <w:rPr>
                <w:sz w:val="20"/>
                <w:szCs w:val="20"/>
                <w:color w:val="auto"/>
              </w:rPr>
            </w:pPr>
            <w:r>
              <w:rPr>
                <w:rFonts w:ascii="Arial" w:cs="Arial" w:eastAsia="Arial" w:hAnsi="Arial"/>
                <w:sz w:val="18"/>
                <w:szCs w:val="18"/>
                <w:color w:val="auto"/>
                <w:w w:val="89"/>
              </w:rPr>
              <w:t>The date of this prospectus supplement is November 8, 2005.</w:t>
            </w:r>
          </w:p>
        </w:tc>
        <w:tc>
          <w:tcPr>
            <w:tcW w:w="1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7"/>
        </w:trPr>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4"/>
          </w:tcPr>
          <w:p>
            <w:pPr>
              <w:jc w:val="center"/>
              <w:ind w:right="1060"/>
              <w:spacing w:after="0"/>
              <w:rPr>
                <w:sz w:val="20"/>
                <w:szCs w:val="20"/>
                <w:color w:val="auto"/>
              </w:rPr>
            </w:pPr>
            <w:r>
              <w:rPr>
                <w:rFonts w:ascii="Arial" w:cs="Arial" w:eastAsia="Arial" w:hAnsi="Arial"/>
                <w:sz w:val="18"/>
                <w:szCs w:val="18"/>
                <w:b w:val="1"/>
                <w:bCs w:val="1"/>
                <w:color w:val="auto"/>
                <w:w w:val="98"/>
              </w:rPr>
              <w:t>TABLE OF CONTENTS</w:t>
            </w:r>
          </w:p>
        </w:tc>
        <w:tc>
          <w:tcPr>
            <w:tcW w:w="1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4"/>
          </w:tcPr>
          <w:p>
            <w:pPr>
              <w:jc w:val="center"/>
              <w:ind w:right="1060"/>
              <w:spacing w:after="0"/>
              <w:rPr>
                <w:sz w:val="20"/>
                <w:szCs w:val="20"/>
                <w:color w:val="auto"/>
              </w:rPr>
            </w:pPr>
            <w:r>
              <w:rPr>
                <w:rFonts w:ascii="Arial" w:cs="Arial" w:eastAsia="Arial" w:hAnsi="Arial"/>
                <w:sz w:val="18"/>
                <w:szCs w:val="18"/>
                <w:b w:val="1"/>
                <w:bCs w:val="1"/>
                <w:color w:val="auto"/>
                <w:w w:val="87"/>
              </w:rPr>
              <w:t>Prospectus Supplement</w:t>
            </w:r>
          </w:p>
        </w:tc>
        <w:tc>
          <w:tcPr>
            <w:tcW w:w="1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8500" w:type="dxa"/>
            <w:vAlign w:val="bottom"/>
            <w:gridSpan w:val="19"/>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18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Borders>
              <w:top w:val="single" w:sz="8" w:color="CCEEFF"/>
            </w:tcBorders>
          </w:tcPr>
          <w:p>
            <w:pPr>
              <w:spacing w:after="0"/>
              <w:rPr>
                <w:sz w:val="15"/>
                <w:szCs w:val="15"/>
                <w:color w:val="auto"/>
              </w:rPr>
            </w:pPr>
          </w:p>
        </w:tc>
        <w:tc>
          <w:tcPr>
            <w:tcW w:w="242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6080" w:type="dxa"/>
            <w:vAlign w:val="bottom"/>
            <w:tcBorders>
              <w:top w:val="single" w:sz="8" w:color="CCEEFF"/>
            </w:tcBorders>
            <w:gridSpan w:val="9"/>
          </w:tcPr>
          <w:p>
            <w:pPr>
              <w:spacing w:after="0"/>
              <w:rPr>
                <w:sz w:val="15"/>
                <w:szCs w:val="15"/>
                <w:color w:val="auto"/>
              </w:rPr>
            </w:pPr>
          </w:p>
        </w:tc>
        <w:tc>
          <w:tcPr>
            <w:tcW w:w="18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gridSpan w:val="2"/>
          </w:tcPr>
          <w:p>
            <w:pPr>
              <w:jc w:val="right"/>
              <w:ind w:right="340"/>
              <w:spacing w:after="0" w:line="176" w:lineRule="exact"/>
              <w:rPr>
                <w:sz w:val="20"/>
                <w:szCs w:val="20"/>
                <w:color w:val="auto"/>
              </w:rPr>
            </w:pPr>
            <w:r>
              <w:rPr>
                <w:rFonts w:ascii="Arial" w:cs="Arial" w:eastAsia="Arial" w:hAnsi="Arial"/>
                <w:sz w:val="18"/>
                <w:szCs w:val="18"/>
                <w:color w:val="auto"/>
              </w:rPr>
              <w:t>S-4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Ratio of Earnings to Fixed Charges</w:t>
              </w:r>
            </w:hyperlink>
          </w:p>
        </w:tc>
        <w:tc>
          <w:tcPr>
            <w:tcW w:w="5960" w:type="dxa"/>
            <w:vAlign w:val="bottom"/>
            <w:tcBorders>
              <w:bottom w:val="single" w:sz="8" w:color="CCEEFF"/>
            </w:tcBorders>
            <w:gridSpan w:val="7"/>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S-4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Description of the Notes and the Cable Guarantees</w:t>
              </w:r>
            </w:hyperlink>
          </w:p>
        </w:tc>
        <w:tc>
          <w:tcPr>
            <w:tcW w:w="1840" w:type="dxa"/>
            <w:vAlign w:val="bottom"/>
          </w:tcPr>
          <w:p>
            <w:pPr>
              <w:spacing w:after="0"/>
              <w:rPr>
                <w:sz w:val="15"/>
                <w:szCs w:val="15"/>
                <w:color w:val="auto"/>
              </w:rPr>
            </w:pPr>
          </w:p>
        </w:tc>
        <w:tc>
          <w:tcPr>
            <w:tcW w:w="102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S-4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8500" w:type="dxa"/>
            <w:vAlign w:val="bottom"/>
            <w:gridSpan w:val="19"/>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Material U.S. Federal Income Tax Consequences for Non-U.S. Holders</w:t>
              </w:r>
            </w:hyperlink>
          </w:p>
        </w:tc>
        <w:tc>
          <w:tcPr>
            <w:tcW w:w="18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S-9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Borders>
              <w:top w:val="single" w:sz="8" w:color="CCEEFF"/>
            </w:tcBorders>
          </w:tcPr>
          <w:p>
            <w:pPr>
              <w:spacing w:after="0"/>
              <w:rPr>
                <w:sz w:val="15"/>
                <w:szCs w:val="15"/>
                <w:color w:val="auto"/>
              </w:rPr>
            </w:pPr>
          </w:p>
        </w:tc>
        <w:tc>
          <w:tcPr>
            <w:tcW w:w="512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Underwriting</w:t>
              </w:r>
            </w:hyperlink>
          </w:p>
        </w:tc>
        <w:tc>
          <w:tcPr>
            <w:tcW w:w="3380" w:type="dxa"/>
            <w:vAlign w:val="bottom"/>
            <w:tcBorders>
              <w:top w:val="single" w:sz="8" w:color="CCEEFF"/>
            </w:tcBorders>
            <w:gridSpan w:val="3"/>
          </w:tcPr>
          <w:p>
            <w:pPr>
              <w:spacing w:after="0"/>
              <w:rPr>
                <w:sz w:val="15"/>
                <w:szCs w:val="15"/>
                <w:color w:val="auto"/>
              </w:rPr>
            </w:pPr>
          </w:p>
        </w:tc>
        <w:tc>
          <w:tcPr>
            <w:tcW w:w="18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gridSpan w:val="2"/>
          </w:tcPr>
          <w:p>
            <w:pPr>
              <w:jc w:val="right"/>
              <w:ind w:right="340"/>
              <w:spacing w:after="0" w:line="176" w:lineRule="exact"/>
              <w:rPr>
                <w:sz w:val="20"/>
                <w:szCs w:val="20"/>
                <w:color w:val="auto"/>
              </w:rPr>
            </w:pPr>
            <w:r>
              <w:rPr>
                <w:rFonts w:ascii="Arial" w:cs="Arial" w:eastAsia="Arial" w:hAnsi="Arial"/>
                <w:sz w:val="18"/>
                <w:szCs w:val="18"/>
                <w:color w:val="auto"/>
              </w:rPr>
              <w:t>S-11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8500" w:type="dxa"/>
            <w:vAlign w:val="bottom"/>
            <w:gridSpan w:val="19"/>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Legal Matters</w:t>
              </w:r>
            </w:hyperlink>
          </w:p>
        </w:tc>
        <w:tc>
          <w:tcPr>
            <w:tcW w:w="18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S-13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Borders>
              <w:top w:val="single" w:sz="8" w:color="CCEEFF"/>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4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2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3360" w:type="dxa"/>
            <w:vAlign w:val="bottom"/>
            <w:tcBorders>
              <w:top w:val="single" w:sz="8" w:color="CCEEFF"/>
            </w:tcBorders>
            <w:gridSpan w:val="2"/>
          </w:tcPr>
          <w:p>
            <w:pPr>
              <w:jc w:val="center"/>
              <w:ind w:right="2320"/>
              <w:spacing w:after="0"/>
              <w:rPr>
                <w:sz w:val="20"/>
                <w:szCs w:val="20"/>
                <w:color w:val="auto"/>
              </w:rPr>
            </w:pPr>
            <w:r>
              <w:rPr>
                <w:rFonts w:ascii="Arial" w:cs="Arial" w:eastAsia="Arial" w:hAnsi="Arial"/>
                <w:sz w:val="18"/>
                <w:szCs w:val="18"/>
                <w:b w:val="1"/>
                <w:bCs w:val="1"/>
                <w:color w:val="auto"/>
                <w:w w:val="85"/>
              </w:rPr>
              <w:t>Prospectus</w:t>
            </w:r>
          </w:p>
        </w:tc>
        <w:tc>
          <w:tcPr>
            <w:tcW w:w="1840" w:type="dxa"/>
            <w:vAlign w:val="bottom"/>
            <w:tcBorders>
              <w:top w:val="single" w:sz="8" w:color="CCEEFF"/>
            </w:tcBorders>
          </w:tcPr>
          <w:p>
            <w:pPr>
              <w:spacing w:after="0"/>
              <w:rPr>
                <w:sz w:val="20"/>
                <w:szCs w:val="20"/>
                <w:color w:val="auto"/>
              </w:rPr>
            </w:pPr>
          </w:p>
        </w:tc>
        <w:tc>
          <w:tcPr>
            <w:tcW w:w="68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8"/>
              </w:rPr>
              <w:t>Summary</w:t>
            </w:r>
          </w:p>
        </w:tc>
        <w:tc>
          <w:tcPr>
            <w:tcW w:w="7800" w:type="dxa"/>
            <w:vAlign w:val="bottom"/>
            <w:tcBorders>
              <w:bottom w:val="single" w:sz="8" w:color="CCEEFF"/>
            </w:tcBorders>
            <w:gridSpan w:val="18"/>
            <w:shd w:val="clear" w:color="auto" w:fill="CCEEFF"/>
          </w:tcPr>
          <w:p>
            <w:pPr>
              <w:spacing w:after="0"/>
              <w:rPr>
                <w:sz w:val="17"/>
                <w:szCs w:val="17"/>
                <w:color w:val="auto"/>
              </w:rPr>
            </w:pPr>
          </w:p>
        </w:tc>
        <w:tc>
          <w:tcPr>
            <w:tcW w:w="2860" w:type="dxa"/>
            <w:vAlign w:val="bottom"/>
            <w:tcBorders>
              <w:bottom w:val="single" w:sz="8" w:color="CCEEFF"/>
            </w:tcBorders>
            <w:gridSpan w:val="3"/>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8500" w:type="dxa"/>
            <w:vAlign w:val="bottom"/>
            <w:gridSpan w:val="19"/>
          </w:tcPr>
          <w:p>
            <w:pPr>
              <w:spacing w:after="0" w:line="176" w:lineRule="exact"/>
              <w:rPr>
                <w:sz w:val="20"/>
                <w:szCs w:val="20"/>
                <w:color w:val="auto"/>
              </w:rPr>
            </w:pPr>
            <w:r>
              <w:rPr>
                <w:rFonts w:ascii="Arial" w:cs="Arial" w:eastAsia="Arial" w:hAnsi="Arial"/>
                <w:sz w:val="18"/>
                <w:szCs w:val="18"/>
                <w:color w:val="0000EE"/>
              </w:rPr>
              <w:t>Risk Factors</w:t>
            </w:r>
          </w:p>
        </w:tc>
        <w:tc>
          <w:tcPr>
            <w:tcW w:w="2860" w:type="dxa"/>
            <w:vAlign w:val="bottom"/>
            <w:gridSpan w:val="3"/>
          </w:tcPr>
          <w:p>
            <w:pPr>
              <w:jc w:val="right"/>
              <w:ind w:right="340"/>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90"/>
              </w:rPr>
              <w:t>Special Note Regarding Forward-Looking Statements</w:t>
            </w:r>
          </w:p>
        </w:tc>
        <w:tc>
          <w:tcPr>
            <w:tcW w:w="4620" w:type="dxa"/>
            <w:vAlign w:val="bottom"/>
            <w:tcBorders>
              <w:bottom w:val="single" w:sz="8" w:color="CCEEFF"/>
            </w:tcBorders>
            <w:gridSpan w:val="4"/>
            <w:shd w:val="clear" w:color="auto" w:fill="CCEEFF"/>
          </w:tcPr>
          <w:p>
            <w:pPr>
              <w:spacing w:after="0"/>
              <w:rPr>
                <w:sz w:val="17"/>
                <w:szCs w:val="17"/>
                <w:color w:val="auto"/>
              </w:rPr>
            </w:pPr>
          </w:p>
        </w:tc>
        <w:tc>
          <w:tcPr>
            <w:tcW w:w="2860" w:type="dxa"/>
            <w:vAlign w:val="bottom"/>
            <w:tcBorders>
              <w:bottom w:val="single" w:sz="8" w:color="CCEEFF"/>
            </w:tcBorders>
            <w:gridSpan w:val="3"/>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8500" w:type="dxa"/>
            <w:vAlign w:val="bottom"/>
            <w:gridSpan w:val="19"/>
          </w:tcPr>
          <w:p>
            <w:pPr>
              <w:spacing w:after="0" w:line="176" w:lineRule="exact"/>
              <w:rPr>
                <w:sz w:val="20"/>
                <w:szCs w:val="20"/>
                <w:color w:val="auto"/>
              </w:rPr>
            </w:pPr>
            <w:r>
              <w:rPr>
                <w:rFonts w:ascii="Arial" w:cs="Arial" w:eastAsia="Arial" w:hAnsi="Arial"/>
                <w:sz w:val="18"/>
                <w:szCs w:val="18"/>
                <w:color w:val="0000EE"/>
              </w:rPr>
              <w:t>Use of Proceeds</w:t>
            </w:r>
          </w:p>
        </w:tc>
        <w:tc>
          <w:tcPr>
            <w:tcW w:w="2860" w:type="dxa"/>
            <w:vAlign w:val="bottom"/>
            <w:gridSpan w:val="3"/>
          </w:tcPr>
          <w:p>
            <w:pPr>
              <w:jc w:val="right"/>
              <w:ind w:right="340"/>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85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Dividend Policy</w:t>
            </w:r>
          </w:p>
        </w:tc>
        <w:tc>
          <w:tcPr>
            <w:tcW w:w="2860" w:type="dxa"/>
            <w:vAlign w:val="bottom"/>
            <w:gridSpan w:val="3"/>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8500" w:type="dxa"/>
            <w:vAlign w:val="bottom"/>
            <w:gridSpan w:val="19"/>
          </w:tcPr>
          <w:p>
            <w:pPr>
              <w:spacing w:after="0" w:line="176" w:lineRule="exact"/>
              <w:rPr>
                <w:sz w:val="20"/>
                <w:szCs w:val="20"/>
                <w:color w:val="auto"/>
              </w:rPr>
            </w:pPr>
            <w:r>
              <w:rPr>
                <w:rFonts w:ascii="Arial" w:cs="Arial" w:eastAsia="Arial" w:hAnsi="Arial"/>
                <w:sz w:val="18"/>
                <w:szCs w:val="18"/>
                <w:color w:val="0000EE"/>
              </w:rPr>
              <w:t>Ratios of Earnings to Fixed Charges</w:t>
            </w:r>
          </w:p>
        </w:tc>
        <w:tc>
          <w:tcPr>
            <w:tcW w:w="2860" w:type="dxa"/>
            <w:vAlign w:val="bottom"/>
            <w:gridSpan w:val="3"/>
          </w:tcPr>
          <w:p>
            <w:pPr>
              <w:jc w:val="right"/>
              <w:ind w:right="340"/>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0"/>
              </w:rPr>
              <w:t>Ratio of Earnings to Combined Fixed Charges and Preferred Dividends</w:t>
            </w:r>
          </w:p>
        </w:tc>
        <w:tc>
          <w:tcPr>
            <w:tcW w:w="3360" w:type="dxa"/>
            <w:vAlign w:val="bottom"/>
            <w:tcBorders>
              <w:bottom w:val="single" w:sz="8" w:color="CCEEFF"/>
            </w:tcBorders>
            <w:gridSpan w:val="2"/>
            <w:shd w:val="clear" w:color="auto" w:fill="CCEEFF"/>
          </w:tcPr>
          <w:p>
            <w:pPr>
              <w:spacing w:after="0"/>
              <w:rPr>
                <w:sz w:val="17"/>
                <w:szCs w:val="17"/>
                <w:color w:val="auto"/>
              </w:rPr>
            </w:pPr>
          </w:p>
        </w:tc>
        <w:tc>
          <w:tcPr>
            <w:tcW w:w="2860" w:type="dxa"/>
            <w:vAlign w:val="bottom"/>
            <w:tcBorders>
              <w:bottom w:val="single" w:sz="8" w:color="CCEEFF"/>
            </w:tcBorders>
            <w:gridSpan w:val="3"/>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8500" w:type="dxa"/>
            <w:vAlign w:val="bottom"/>
            <w:gridSpan w:val="19"/>
          </w:tcPr>
          <w:p>
            <w:pPr>
              <w:spacing w:after="0" w:line="176" w:lineRule="exact"/>
              <w:rPr>
                <w:sz w:val="20"/>
                <w:szCs w:val="20"/>
                <w:color w:val="auto"/>
              </w:rPr>
            </w:pPr>
            <w:r>
              <w:rPr>
                <w:rFonts w:ascii="Arial" w:cs="Arial" w:eastAsia="Arial" w:hAnsi="Arial"/>
                <w:sz w:val="18"/>
                <w:szCs w:val="18"/>
                <w:color w:val="0000EE"/>
              </w:rPr>
              <w:t>Unaudited Pro Forma Combined Condensed Statement of Operations of Comcast Corporation</w:t>
            </w:r>
          </w:p>
        </w:tc>
        <w:tc>
          <w:tcPr>
            <w:tcW w:w="2860" w:type="dxa"/>
            <w:vAlign w:val="bottom"/>
            <w:gridSpan w:val="3"/>
          </w:tcPr>
          <w:p>
            <w:pPr>
              <w:jc w:val="right"/>
              <w:ind w:right="340"/>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85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Description of the Senior Debt Securities, Subordinated Debt Securities and Cable Guarantees</w:t>
            </w:r>
          </w:p>
        </w:tc>
        <w:tc>
          <w:tcPr>
            <w:tcW w:w="2860" w:type="dxa"/>
            <w:vAlign w:val="bottom"/>
            <w:gridSpan w:val="3"/>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Borders>
              <w:top w:val="single" w:sz="8" w:color="CCEEFF"/>
            </w:tcBorders>
          </w:tcPr>
          <w:p>
            <w:pPr>
              <w:spacing w:after="0"/>
              <w:rPr>
                <w:sz w:val="15"/>
                <w:szCs w:val="15"/>
                <w:color w:val="auto"/>
              </w:rPr>
            </w:pPr>
          </w:p>
        </w:tc>
        <w:tc>
          <w:tcPr>
            <w:tcW w:w="6780" w:type="dxa"/>
            <w:vAlign w:val="bottom"/>
            <w:tcBorders>
              <w:top w:val="single" w:sz="8" w:color="0000EE"/>
            </w:tcBorders>
            <w:gridSpan w:val="18"/>
          </w:tcPr>
          <w:p>
            <w:pPr>
              <w:spacing w:after="0" w:line="176" w:lineRule="exact"/>
              <w:rPr>
                <w:sz w:val="20"/>
                <w:szCs w:val="20"/>
                <w:color w:val="auto"/>
              </w:rPr>
            </w:pPr>
            <w:r>
              <w:rPr>
                <w:rFonts w:ascii="Arial" w:cs="Arial" w:eastAsia="Arial" w:hAnsi="Arial"/>
                <w:sz w:val="18"/>
                <w:szCs w:val="18"/>
                <w:color w:val="0000EE"/>
              </w:rPr>
              <w:t>Description of Warrants</w:t>
            </w:r>
          </w:p>
        </w:tc>
        <w:tc>
          <w:tcPr>
            <w:tcW w:w="1720" w:type="dxa"/>
            <w:vAlign w:val="bottom"/>
            <w:tcBorders>
              <w:top w:val="single" w:sz="8" w:color="CCEEFF"/>
            </w:tcBorders>
          </w:tcPr>
          <w:p>
            <w:pPr>
              <w:spacing w:after="0"/>
              <w:rPr>
                <w:sz w:val="15"/>
                <w:szCs w:val="15"/>
                <w:color w:val="auto"/>
              </w:rPr>
            </w:pPr>
          </w:p>
        </w:tc>
        <w:tc>
          <w:tcPr>
            <w:tcW w:w="2860" w:type="dxa"/>
            <w:vAlign w:val="bottom"/>
            <w:tcBorders>
              <w:top w:val="single" w:sz="8" w:color="CCEEFF"/>
            </w:tcBorders>
            <w:gridSpan w:val="3"/>
          </w:tcPr>
          <w:p>
            <w:pPr>
              <w:jc w:val="right"/>
              <w:ind w:right="340"/>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89"/>
              </w:rPr>
              <w:t>Description of Purchase Contracts</w:t>
            </w:r>
          </w:p>
        </w:tc>
        <w:tc>
          <w:tcPr>
            <w:tcW w:w="6040" w:type="dxa"/>
            <w:vAlign w:val="bottom"/>
            <w:tcBorders>
              <w:bottom w:val="single" w:sz="8" w:color="CCEEFF"/>
            </w:tcBorders>
            <w:gridSpan w:val="8"/>
            <w:shd w:val="clear" w:color="auto" w:fill="CCEEFF"/>
          </w:tcPr>
          <w:p>
            <w:pPr>
              <w:spacing w:after="0"/>
              <w:rPr>
                <w:sz w:val="17"/>
                <w:szCs w:val="17"/>
                <w:color w:val="auto"/>
              </w:rPr>
            </w:pPr>
          </w:p>
        </w:tc>
        <w:tc>
          <w:tcPr>
            <w:tcW w:w="2860" w:type="dxa"/>
            <w:vAlign w:val="bottom"/>
            <w:tcBorders>
              <w:bottom w:val="single" w:sz="8" w:color="CCEEFF"/>
            </w:tcBorders>
            <w:gridSpan w:val="3"/>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8500" w:type="dxa"/>
            <w:vAlign w:val="bottom"/>
            <w:gridSpan w:val="19"/>
          </w:tcPr>
          <w:p>
            <w:pPr>
              <w:spacing w:after="0" w:line="176" w:lineRule="exact"/>
              <w:rPr>
                <w:sz w:val="20"/>
                <w:szCs w:val="20"/>
                <w:color w:val="auto"/>
              </w:rPr>
            </w:pPr>
            <w:r>
              <w:rPr>
                <w:rFonts w:ascii="Arial" w:cs="Arial" w:eastAsia="Arial" w:hAnsi="Arial"/>
                <w:sz w:val="18"/>
                <w:szCs w:val="18"/>
                <w:color w:val="0000EE"/>
              </w:rPr>
              <w:t>Description of Units</w:t>
            </w:r>
          </w:p>
        </w:tc>
        <w:tc>
          <w:tcPr>
            <w:tcW w:w="2860" w:type="dxa"/>
            <w:vAlign w:val="bottom"/>
            <w:gridSpan w:val="3"/>
          </w:tcPr>
          <w:p>
            <w:pPr>
              <w:jc w:val="right"/>
              <w:ind w:right="340"/>
              <w:spacing w:after="0" w:line="17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89"/>
              </w:rPr>
              <w:t>Global Securities</w:t>
            </w:r>
          </w:p>
        </w:tc>
        <w:tc>
          <w:tcPr>
            <w:tcW w:w="7260" w:type="dxa"/>
            <w:vAlign w:val="bottom"/>
            <w:tcBorders>
              <w:bottom w:val="single" w:sz="8" w:color="CCEEFF"/>
            </w:tcBorders>
            <w:gridSpan w:val="13"/>
            <w:shd w:val="clear" w:color="auto" w:fill="CCEEFF"/>
          </w:tcPr>
          <w:p>
            <w:pPr>
              <w:spacing w:after="0"/>
              <w:rPr>
                <w:sz w:val="17"/>
                <w:szCs w:val="17"/>
                <w:color w:val="auto"/>
              </w:rPr>
            </w:pPr>
          </w:p>
        </w:tc>
        <w:tc>
          <w:tcPr>
            <w:tcW w:w="2860" w:type="dxa"/>
            <w:vAlign w:val="bottom"/>
            <w:tcBorders>
              <w:bottom w:val="single" w:sz="8" w:color="CCEEFF"/>
            </w:tcBorders>
            <w:gridSpan w:val="3"/>
            <w:shd w:val="clear" w:color="auto" w:fill="CCEEFF"/>
          </w:tcPr>
          <w:p>
            <w:pPr>
              <w:jc w:val="right"/>
              <w:ind w:right="340"/>
              <w:spacing w:after="0" w:line="17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8500" w:type="dxa"/>
            <w:vAlign w:val="bottom"/>
            <w:gridSpan w:val="19"/>
          </w:tcPr>
          <w:p>
            <w:pPr>
              <w:spacing w:after="0" w:line="176" w:lineRule="exact"/>
              <w:rPr>
                <w:sz w:val="20"/>
                <w:szCs w:val="20"/>
                <w:color w:val="auto"/>
              </w:rPr>
            </w:pPr>
            <w:r>
              <w:rPr>
                <w:rFonts w:ascii="Arial" w:cs="Arial" w:eastAsia="Arial" w:hAnsi="Arial"/>
                <w:sz w:val="18"/>
                <w:szCs w:val="18"/>
                <w:color w:val="0000EE"/>
              </w:rPr>
              <w:t>Description of Preferred Stock</w:t>
            </w:r>
          </w:p>
        </w:tc>
        <w:tc>
          <w:tcPr>
            <w:tcW w:w="2860" w:type="dxa"/>
            <w:vAlign w:val="bottom"/>
            <w:gridSpan w:val="3"/>
          </w:tcPr>
          <w:p>
            <w:pPr>
              <w:jc w:val="right"/>
              <w:ind w:right="340"/>
              <w:spacing w:after="0" w:line="17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-3967480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-3967480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2"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1"/>
        </w:trPr>
        <w:tc>
          <w:tcPr>
            <w:tcW w:w="60" w:type="dxa"/>
            <w:vAlign w:val="bottom"/>
            <w:shd w:val="clear" w:color="auto" w:fill="CCEEFF"/>
          </w:tcPr>
          <w:p>
            <w:pPr>
              <w:spacing w:after="0"/>
              <w:rPr>
                <w:sz w:val="20"/>
                <w:szCs w:val="20"/>
                <w:color w:val="auto"/>
              </w:rPr>
            </w:pPr>
          </w:p>
        </w:tc>
        <w:tc>
          <w:tcPr>
            <w:tcW w:w="3600" w:type="dxa"/>
            <w:vAlign w:val="bottom"/>
            <w:gridSpan w:val="8"/>
            <w:shd w:val="clear" w:color="auto" w:fill="CCEEFF"/>
          </w:tcPr>
          <w:p>
            <w:pPr>
              <w:spacing w:after="0"/>
              <w:rPr>
                <w:sz w:val="20"/>
                <w:szCs w:val="20"/>
                <w:color w:val="auto"/>
              </w:rPr>
            </w:pPr>
            <w:r>
              <w:rPr>
                <w:rFonts w:ascii="Arial" w:cs="Arial" w:eastAsia="Arial" w:hAnsi="Arial"/>
                <w:sz w:val="18"/>
                <w:szCs w:val="18"/>
                <w:color w:val="0000EE"/>
              </w:rPr>
              <w:t>Description of Depositary Shares</w:t>
            </w:r>
          </w:p>
        </w:tc>
        <w:tc>
          <w:tcPr>
            <w:tcW w:w="7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33</w:t>
            </w:r>
          </w:p>
        </w:tc>
      </w:tr>
      <w:tr>
        <w:trPr>
          <w:trHeight w:val="176"/>
        </w:trPr>
        <w:tc>
          <w:tcPr>
            <w:tcW w:w="60" w:type="dxa"/>
            <w:vAlign w:val="bottom"/>
            <w:tcBorders>
              <w:top w:val="single" w:sz="8" w:color="CCEEFF"/>
            </w:tcBorders>
          </w:tcPr>
          <w:p>
            <w:pPr>
              <w:spacing w:after="0"/>
              <w:rPr>
                <w:sz w:val="15"/>
                <w:szCs w:val="15"/>
                <w:color w:val="auto"/>
              </w:rPr>
            </w:pPr>
          </w:p>
        </w:tc>
        <w:tc>
          <w:tcPr>
            <w:tcW w:w="238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w w:val="99"/>
              </w:rPr>
              <w:t>Description of Common Stock</w:t>
            </w:r>
          </w:p>
        </w:tc>
        <w:tc>
          <w:tcPr>
            <w:tcW w:w="1220" w:type="dxa"/>
            <w:vAlign w:val="bottom"/>
            <w:tcBorders>
              <w:top w:val="single" w:sz="8" w:color="CCEEFF"/>
            </w:tcBorders>
            <w:gridSpan w:val="2"/>
          </w:tcPr>
          <w:p>
            <w:pPr>
              <w:spacing w:after="0"/>
              <w:rPr>
                <w:sz w:val="15"/>
                <w:szCs w:val="15"/>
                <w:color w:val="auto"/>
              </w:rPr>
            </w:pPr>
          </w:p>
        </w:tc>
        <w:tc>
          <w:tcPr>
            <w:tcW w:w="7760" w:type="dxa"/>
            <w:vAlign w:val="bottom"/>
            <w:tcBorders>
              <w:top w:val="single" w:sz="8" w:color="CCEEFF"/>
            </w:tcBorders>
          </w:tcPr>
          <w:p>
            <w:pPr>
              <w:jc w:val="right"/>
              <w:ind w:right="250"/>
              <w:spacing w:after="0" w:line="176" w:lineRule="exact"/>
              <w:rPr>
                <w:sz w:val="20"/>
                <w:szCs w:val="20"/>
                <w:color w:val="auto"/>
              </w:rPr>
            </w:pPr>
            <w:r>
              <w:rPr>
                <w:rFonts w:ascii="Arial" w:cs="Arial" w:eastAsia="Arial" w:hAnsi="Arial"/>
                <w:sz w:val="18"/>
                <w:szCs w:val="18"/>
                <w:color w:val="auto"/>
              </w:rPr>
              <w:t>35</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360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Description of Shareholder Rights Plan</w:t>
            </w:r>
          </w:p>
        </w:tc>
        <w:tc>
          <w:tcPr>
            <w:tcW w:w="776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38</w:t>
            </w:r>
          </w:p>
        </w:tc>
      </w:tr>
      <w:tr>
        <w:trPr>
          <w:trHeight w:val="176"/>
        </w:trPr>
        <w:tc>
          <w:tcPr>
            <w:tcW w:w="60" w:type="dxa"/>
            <w:vAlign w:val="bottom"/>
            <w:tcBorders>
              <w:top w:val="single" w:sz="8" w:color="CCEEFF"/>
            </w:tcBorders>
          </w:tcPr>
          <w:p>
            <w:pPr>
              <w:spacing w:after="0"/>
              <w:rPr>
                <w:sz w:val="15"/>
                <w:szCs w:val="15"/>
                <w:color w:val="auto"/>
              </w:rPr>
            </w:pPr>
          </w:p>
        </w:tc>
        <w:tc>
          <w:tcPr>
            <w:tcW w:w="2820" w:type="dxa"/>
            <w:vAlign w:val="bottom"/>
            <w:tcBorders>
              <w:top w:val="single" w:sz="8" w:color="0000EE"/>
            </w:tcBorders>
            <w:gridSpan w:val="7"/>
          </w:tcPr>
          <w:p>
            <w:pPr>
              <w:spacing w:after="0" w:line="176" w:lineRule="exact"/>
              <w:rPr>
                <w:sz w:val="20"/>
                <w:szCs w:val="20"/>
                <w:color w:val="auto"/>
              </w:rPr>
            </w:pPr>
            <w:r>
              <w:rPr>
                <w:rFonts w:ascii="Arial" w:cs="Arial" w:eastAsia="Arial" w:hAnsi="Arial"/>
                <w:sz w:val="18"/>
                <w:szCs w:val="18"/>
                <w:color w:val="0000EE"/>
              </w:rPr>
              <w:t>Plan of Distribution</w:t>
            </w:r>
          </w:p>
        </w:tc>
        <w:tc>
          <w:tcPr>
            <w:tcW w:w="780" w:type="dxa"/>
            <w:vAlign w:val="bottom"/>
            <w:tcBorders>
              <w:top w:val="single" w:sz="8" w:color="CCEEFF"/>
            </w:tcBorders>
          </w:tcPr>
          <w:p>
            <w:pPr>
              <w:spacing w:after="0"/>
              <w:rPr>
                <w:sz w:val="15"/>
                <w:szCs w:val="15"/>
                <w:color w:val="auto"/>
              </w:rPr>
            </w:pPr>
          </w:p>
        </w:tc>
        <w:tc>
          <w:tcPr>
            <w:tcW w:w="7760" w:type="dxa"/>
            <w:vAlign w:val="bottom"/>
            <w:tcBorders>
              <w:top w:val="single" w:sz="8" w:color="CCEEFF"/>
            </w:tcBorders>
          </w:tcPr>
          <w:p>
            <w:pPr>
              <w:jc w:val="right"/>
              <w:ind w:right="250"/>
              <w:spacing w:after="0" w:line="176" w:lineRule="exact"/>
              <w:rPr>
                <w:sz w:val="20"/>
                <w:szCs w:val="20"/>
                <w:color w:val="auto"/>
              </w:rPr>
            </w:pPr>
            <w:r>
              <w:rPr>
                <w:rFonts w:ascii="Arial" w:cs="Arial" w:eastAsia="Arial" w:hAnsi="Arial"/>
                <w:sz w:val="18"/>
                <w:szCs w:val="18"/>
                <w:color w:val="auto"/>
              </w:rPr>
              <w:t>41</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89"/>
              </w:rPr>
              <w:t>Legal Matters</w:t>
            </w:r>
          </w:p>
        </w:tc>
        <w:tc>
          <w:tcPr>
            <w:tcW w:w="2600" w:type="dxa"/>
            <w:vAlign w:val="bottom"/>
            <w:tcBorders>
              <w:bottom w:val="single" w:sz="8" w:color="CCEEFF"/>
            </w:tcBorders>
            <w:gridSpan w:val="6"/>
            <w:shd w:val="clear" w:color="auto" w:fill="CCEEFF"/>
          </w:tcPr>
          <w:p>
            <w:pPr>
              <w:spacing w:after="0"/>
              <w:rPr>
                <w:sz w:val="17"/>
                <w:szCs w:val="17"/>
                <w:color w:val="auto"/>
              </w:rPr>
            </w:pPr>
          </w:p>
        </w:tc>
        <w:tc>
          <w:tcPr>
            <w:tcW w:w="7760" w:type="dxa"/>
            <w:vAlign w:val="bottom"/>
            <w:tcBorders>
              <w:bottom w:val="single" w:sz="8" w:color="CCEEFF"/>
            </w:tcBorders>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41</w:t>
            </w:r>
          </w:p>
        </w:tc>
      </w:tr>
      <w:tr>
        <w:trPr>
          <w:trHeight w:val="176"/>
        </w:trPr>
        <w:tc>
          <w:tcPr>
            <w:tcW w:w="60" w:type="dxa"/>
            <w:vAlign w:val="bottom"/>
          </w:tcPr>
          <w:p>
            <w:pPr>
              <w:spacing w:after="0"/>
              <w:rPr>
                <w:sz w:val="15"/>
                <w:szCs w:val="15"/>
                <w:color w:val="auto"/>
              </w:rPr>
            </w:pPr>
          </w:p>
        </w:tc>
        <w:tc>
          <w:tcPr>
            <w:tcW w:w="3600" w:type="dxa"/>
            <w:vAlign w:val="bottom"/>
            <w:gridSpan w:val="8"/>
          </w:tcPr>
          <w:p>
            <w:pPr>
              <w:spacing w:after="0" w:line="176" w:lineRule="exact"/>
              <w:rPr>
                <w:sz w:val="20"/>
                <w:szCs w:val="20"/>
                <w:color w:val="auto"/>
              </w:rPr>
            </w:pPr>
            <w:r>
              <w:rPr>
                <w:rFonts w:ascii="Arial" w:cs="Arial" w:eastAsia="Arial" w:hAnsi="Arial"/>
                <w:sz w:val="18"/>
                <w:szCs w:val="18"/>
                <w:color w:val="0000EE"/>
              </w:rPr>
              <w:t>Experts</w:t>
            </w:r>
          </w:p>
        </w:tc>
        <w:tc>
          <w:tcPr>
            <w:tcW w:w="7760" w:type="dxa"/>
            <w:vAlign w:val="bottom"/>
          </w:tcPr>
          <w:p>
            <w:pPr>
              <w:jc w:val="right"/>
              <w:ind w:right="250"/>
              <w:spacing w:after="0" w:line="176" w:lineRule="exact"/>
              <w:rPr>
                <w:sz w:val="20"/>
                <w:szCs w:val="20"/>
                <w:color w:val="auto"/>
              </w:rPr>
            </w:pPr>
            <w:r>
              <w:rPr>
                <w:rFonts w:ascii="Arial" w:cs="Arial" w:eastAsia="Arial" w:hAnsi="Arial"/>
                <w:sz w:val="18"/>
                <w:szCs w:val="18"/>
                <w:color w:val="auto"/>
              </w:rPr>
              <w:t>42</w:t>
            </w:r>
          </w:p>
        </w:tc>
      </w:tr>
      <w:tr>
        <w:trPr>
          <w:trHeight w:val="21"/>
        </w:trPr>
        <w:tc>
          <w:tcPr>
            <w:tcW w:w="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360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Available Information</w:t>
            </w:r>
          </w:p>
        </w:tc>
        <w:tc>
          <w:tcPr>
            <w:tcW w:w="776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42</w:t>
            </w: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7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3600" w:type="dxa"/>
            <w:vAlign w:val="bottom"/>
            <w:tcBorders>
              <w:bottom w:val="single" w:sz="8" w:color="0000EE"/>
            </w:tcBorders>
            <w:gridSpan w:val="8"/>
          </w:tcPr>
          <w:p>
            <w:pPr>
              <w:spacing w:after="0" w:line="176" w:lineRule="exact"/>
              <w:rPr>
                <w:sz w:val="20"/>
                <w:szCs w:val="20"/>
                <w:color w:val="auto"/>
              </w:rPr>
            </w:pPr>
            <w:r>
              <w:rPr>
                <w:rFonts w:ascii="Arial" w:cs="Arial" w:eastAsia="Arial" w:hAnsi="Arial"/>
                <w:sz w:val="18"/>
                <w:szCs w:val="18"/>
                <w:color w:val="0000EE"/>
                <w:w w:val="90"/>
              </w:rPr>
              <w:t>Incorporation of Certain Documents by Reference</w:t>
            </w:r>
          </w:p>
        </w:tc>
        <w:tc>
          <w:tcPr>
            <w:tcW w:w="7760" w:type="dxa"/>
            <w:vAlign w:val="bottom"/>
          </w:tcPr>
          <w:p>
            <w:pPr>
              <w:jc w:val="right"/>
              <w:ind w:right="250"/>
              <w:spacing w:after="0" w:line="176" w:lineRule="exact"/>
              <w:rPr>
                <w:sz w:val="20"/>
                <w:szCs w:val="20"/>
                <w:color w:val="auto"/>
              </w:rPr>
            </w:pPr>
            <w:r>
              <w:rPr>
                <w:rFonts w:ascii="Arial" w:cs="Arial" w:eastAsia="Arial" w:hAnsi="Arial"/>
                <w:sz w:val="18"/>
                <w:szCs w:val="18"/>
                <w:color w:val="auto"/>
              </w:rPr>
              <w:t>43</w:t>
            </w:r>
          </w:p>
        </w:tc>
      </w:tr>
    </w:tbl>
    <w:p>
      <w:pPr>
        <w:spacing w:after="0" w:line="121" w:lineRule="exact"/>
        <w:rPr>
          <w:sz w:val="20"/>
          <w:szCs w:val="20"/>
          <w:color w:val="auto"/>
        </w:rPr>
      </w:pPr>
    </w:p>
    <w:p>
      <w:pPr>
        <w:ind w:right="60" w:firstLine="263"/>
        <w:spacing w:after="0" w:line="255"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2759"/>
        <w:spacing w:after="0"/>
        <w:rPr>
          <w:sz w:val="20"/>
          <w:szCs w:val="20"/>
          <w:color w:val="auto"/>
        </w:rPr>
      </w:pPr>
      <w:r>
        <w:rPr>
          <w:rFonts w:ascii="Arial" w:cs="Arial" w:eastAsia="Arial" w:hAnsi="Arial"/>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 SUMMARY</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jc w:val="right"/>
        <w:ind w:right="9640"/>
        <w:spacing w:after="0"/>
        <w:rPr>
          <w:sz w:val="20"/>
          <w:szCs w:val="20"/>
          <w:color w:val="auto"/>
        </w:rPr>
      </w:pPr>
      <w:r>
        <w:rPr>
          <w:rFonts w:ascii="Arial" w:cs="Arial" w:eastAsia="Arial" w:hAnsi="Arial"/>
          <w:sz w:val="16"/>
          <w:szCs w:val="16"/>
          <w:b w:val="1"/>
          <w:bCs w:val="1"/>
          <w:color w:val="auto"/>
        </w:rPr>
        <w:t>Comcast Corporation</w:t>
      </w:r>
    </w:p>
    <w:p>
      <w:pPr>
        <w:spacing w:after="0" w:line="144"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We are involved in:</w:t>
      </w:r>
    </w:p>
    <w:p>
      <w:pPr>
        <w:spacing w:after="0" w:line="117" w:lineRule="exact"/>
        <w:rPr>
          <w:sz w:val="20"/>
          <w:szCs w:val="20"/>
          <w:color w:val="auto"/>
        </w:rPr>
      </w:pPr>
    </w:p>
    <w:p>
      <w:pPr>
        <w:ind w:left="460" w:right="380" w:hanging="101"/>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 through the development, management and operation of broadband communications networks, including video, high-speed Internet and phone services, and regional sports and news networks,</w:t>
      </w:r>
    </w:p>
    <w:p>
      <w:pPr>
        <w:spacing w:after="0" w:line="75" w:lineRule="exact"/>
        <w:rPr>
          <w:rFonts w:ascii="Arial" w:cs="Arial" w:eastAsia="Arial" w:hAnsi="Arial"/>
          <w:sz w:val="18"/>
          <w:szCs w:val="18"/>
          <w:color w:val="auto"/>
        </w:rPr>
      </w:pPr>
    </w:p>
    <w:p>
      <w:pPr>
        <w:ind w:left="460" w:right="160" w:hanging="101"/>
        <w:spacing w:after="0" w:line="30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Content — through our consolidated programming investments, including our national cable television networks, E! Entertainment Television, Style Network, The Golf Channel, Outdoor Life Network, G4 and AZN Television (formerly known as International Channel), and</w:t>
      </w:r>
    </w:p>
    <w:p>
      <w:pPr>
        <w:spacing w:after="0" w:line="51" w:lineRule="exact"/>
        <w:rPr>
          <w:rFonts w:ascii="Arial" w:cs="Arial" w:eastAsia="Arial" w:hAnsi="Arial"/>
          <w:sz w:val="17"/>
          <w:szCs w:val="17"/>
          <w:color w:val="auto"/>
        </w:rPr>
      </w:pPr>
    </w:p>
    <w:p>
      <w:pPr>
        <w:ind w:left="460" w:right="400" w:hanging="101"/>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business and programming interests — primarily Comcast-Spectacor, our group of businesses that perform live sporting events and own or manage facilities for sporting events, concerts and other special events.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are the largest cable operator in the United States. As of September 30, 2005, our consolidated cable operations served 21.4 million subscribers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35 states, passed 41.4 million homes, and provided digital cable to 9.4 million subscribers, high-speed Internet to 8.1 million subscribers and phone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1.2 million subscribers.</w:t>
      </w:r>
    </w:p>
    <w:p>
      <w:pPr>
        <w:spacing w:after="0" w:line="103"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9" w:lineRule="exact"/>
        <w:rPr>
          <w:sz w:val="20"/>
          <w:szCs w:val="20"/>
          <w:color w:val="auto"/>
        </w:rPr>
      </w:pPr>
    </w:p>
    <w:p>
      <w:pPr>
        <w:ind w:right="60" w:firstLine="267"/>
        <w:spacing w:after="0" w:line="264" w:lineRule="auto"/>
        <w:rPr>
          <w:sz w:val="20"/>
          <w:szCs w:val="20"/>
          <w:color w:val="auto"/>
        </w:rPr>
      </w:pPr>
      <w:r>
        <w:rPr>
          <w:rFonts w:ascii="Arial" w:cs="Arial" w:eastAsia="Arial" w:hAnsi="Arial"/>
          <w:sz w:val="18"/>
          <w:szCs w:val="18"/>
          <w:color w:val="auto"/>
        </w:rPr>
        <w:t>We are a Pennsylvania corporation incorporated in 2001. Our principal executive office is located at 1500 Market Street, Philadelphia, Pennsylvania 19102-2148. Our telephone number is (215) 665-1700. The address of our web site is www.comcast.com. The information on our web site is not part of this prospectus supplement or the accompanying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67"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Our obligations, including the payment of principal, premium, if any, and interest on the notes will be fully and unconditionally guaranteed by each of Comcast Cable, Comcast Cable Communications Holdings, Comcast Cable Holdings, Comcast MO Group and Comcast MO of Delaware. In this prospectus supplement, we refer to these guarantors as the cable guarantors and to these guarantees as the cable guarantees.</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7" w:lineRule="exact"/>
        <w:rPr>
          <w:sz w:val="20"/>
          <w:szCs w:val="20"/>
          <w:color w:val="auto"/>
        </w:rPr>
      </w:pPr>
    </w:p>
    <w:p>
      <w:pPr>
        <w:ind w:left="920" w:right="320" w:hanging="331"/>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75" w:lineRule="exact"/>
        <w:rPr>
          <w:rFonts w:ascii="Arial" w:cs="Arial" w:eastAsia="Arial" w:hAnsi="Arial"/>
          <w:sz w:val="18"/>
          <w:szCs w:val="18"/>
          <w:color w:val="auto"/>
        </w:rPr>
      </w:pPr>
    </w:p>
    <w:p>
      <w:pPr>
        <w:ind w:left="920" w:hanging="331"/>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117"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our indirect wholly-owned subsidiary.</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117"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Comcast Cable Communications Holdings is a Delaware corporation (formerly known as AT&amp;T Broadband Corp.) incorporated in 2001 and our wholly-owned subsidiary. As part of the AT&amp;T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transaction, AT&amp;T transferred to Comcast Cable Communications Holdings substantially all of the assets, liabilities and businesses represented by AT&amp;T Broadband Group, the integrated broadband business of AT&amp;T.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117"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117"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117"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wholly-owned subsidiary of Comcast MO Group.</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0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360" w:type="dxa"/>
            <w:vAlign w:val="bottom"/>
          </w:tcPr>
          <w:p>
            <w:pPr>
              <w:spacing w:after="0"/>
              <w:rPr>
                <w:sz w:val="17"/>
                <w:szCs w:val="17"/>
                <w:color w:val="auto"/>
              </w:rPr>
            </w:pPr>
          </w:p>
        </w:tc>
      </w:tr>
      <w:tr>
        <w:trPr>
          <w:trHeight w:val="560"/>
        </w:trPr>
        <w:tc>
          <w:tcPr>
            <w:tcW w:w="136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8360" w:type="dxa"/>
            <w:vAlign w:val="bottom"/>
          </w:tcPr>
          <w:p>
            <w:pPr>
              <w:ind w:left="2160"/>
              <w:spacing w:after="0"/>
              <w:rPr>
                <w:sz w:val="20"/>
                <w:szCs w:val="20"/>
                <w:color w:val="auto"/>
              </w:rPr>
            </w:pPr>
            <w:r>
              <w:rPr>
                <w:rFonts w:ascii="Arial" w:cs="Arial" w:eastAsia="Arial" w:hAnsi="Arial"/>
                <w:sz w:val="18"/>
                <w:szCs w:val="18"/>
                <w:b w:val="1"/>
                <w:bCs w:val="1"/>
                <w:color w:val="auto"/>
              </w:rPr>
              <w:t>The Offering</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Issuer</w:t>
            </w:r>
          </w:p>
        </w:tc>
        <w:tc>
          <w:tcPr>
            <w:tcW w:w="8360" w:type="dxa"/>
            <w:vAlign w:val="bottom"/>
          </w:tcPr>
          <w:p>
            <w:pPr>
              <w:ind w:left="1520"/>
              <w:spacing w:after="0"/>
              <w:rPr>
                <w:sz w:val="20"/>
                <w:szCs w:val="20"/>
                <w:color w:val="auto"/>
              </w:rPr>
            </w:pPr>
            <w:r>
              <w:rPr>
                <w:rFonts w:ascii="Arial" w:cs="Arial" w:eastAsia="Arial" w:hAnsi="Arial"/>
                <w:sz w:val="18"/>
                <w:szCs w:val="18"/>
                <w:color w:val="auto"/>
              </w:rPr>
              <w:t>Comcast Corporation.</w:t>
            </w:r>
          </w:p>
        </w:tc>
      </w:tr>
      <w:tr>
        <w:trPr>
          <w:trHeight w:val="432"/>
        </w:trPr>
        <w:tc>
          <w:tcPr>
            <w:tcW w:w="3060" w:type="dxa"/>
            <w:vAlign w:val="bottom"/>
            <w:gridSpan w:val="2"/>
          </w:tcPr>
          <w:p>
            <w:pPr>
              <w:spacing w:after="0"/>
              <w:rPr>
                <w:sz w:val="20"/>
                <w:szCs w:val="20"/>
                <w:color w:val="auto"/>
              </w:rPr>
            </w:pPr>
            <w:r>
              <w:rPr>
                <w:rFonts w:ascii="Arial" w:cs="Arial" w:eastAsia="Arial" w:hAnsi="Arial"/>
                <w:sz w:val="18"/>
                <w:szCs w:val="18"/>
                <w:color w:val="auto"/>
              </w:rPr>
              <w:t>Securities Offered</w:t>
            </w:r>
          </w:p>
        </w:tc>
        <w:tc>
          <w:tcPr>
            <w:tcW w:w="8360" w:type="dxa"/>
            <w:vAlign w:val="bottom"/>
          </w:tcPr>
          <w:p>
            <w:pPr>
              <w:ind w:left="1520"/>
              <w:spacing w:after="0"/>
              <w:rPr>
                <w:sz w:val="20"/>
                <w:szCs w:val="20"/>
                <w:color w:val="auto"/>
              </w:rPr>
            </w:pPr>
            <w:r>
              <w:rPr>
                <w:rFonts w:ascii="Arial" w:cs="Arial" w:eastAsia="Arial" w:hAnsi="Arial"/>
                <w:sz w:val="18"/>
                <w:szCs w:val="18"/>
                <w:color w:val="auto"/>
              </w:rPr>
              <w:t>$500,000,000 aggregate principal amount of 5.45% Notes due 2010.</w:t>
            </w:r>
          </w:p>
        </w:tc>
      </w:tr>
      <w:tr>
        <w:trPr>
          <w:trHeight w:val="432"/>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rPr>
              <w:t>$750,000,000 aggregate principal amount of 5.85% Notes due 2015.</w:t>
            </w:r>
          </w:p>
        </w:tc>
      </w:tr>
      <w:tr>
        <w:trPr>
          <w:trHeight w:val="432"/>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rPr>
              <w:t>$1,000,000,000 aggregate principal amount of 6.50% Notes due 2035.</w:t>
            </w: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8360" w:type="dxa"/>
            <w:vAlign w:val="bottom"/>
          </w:tcPr>
          <w:p>
            <w:pPr>
              <w:ind w:left="1520"/>
              <w:spacing w:after="0"/>
              <w:rPr>
                <w:sz w:val="20"/>
                <w:szCs w:val="20"/>
                <w:color w:val="auto"/>
              </w:rPr>
            </w:pPr>
            <w:r>
              <w:rPr>
                <w:rFonts w:ascii="Arial" w:cs="Arial" w:eastAsia="Arial" w:hAnsi="Arial"/>
                <w:sz w:val="18"/>
                <w:szCs w:val="18"/>
                <w:color w:val="auto"/>
                <w:w w:val="92"/>
              </w:rPr>
              <w:t>The notes due in 2010 will mature on November 15, 2010. The notes due in 2015 will mature</w:t>
            </w:r>
          </w:p>
        </w:tc>
      </w:tr>
      <w:tr>
        <w:trPr>
          <w:trHeight w:val="230"/>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rPr>
              <w:t>on November 15, 2015. The notes due in 2035 will mature on November 15, 2035.</w:t>
            </w: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8360" w:type="dxa"/>
            <w:vAlign w:val="bottom"/>
          </w:tcPr>
          <w:p>
            <w:pPr>
              <w:ind w:left="1520"/>
              <w:spacing w:after="0"/>
              <w:rPr>
                <w:sz w:val="20"/>
                <w:szCs w:val="20"/>
                <w:color w:val="auto"/>
              </w:rPr>
            </w:pPr>
            <w:r>
              <w:rPr>
                <w:rFonts w:ascii="Arial" w:cs="Arial" w:eastAsia="Arial" w:hAnsi="Arial"/>
                <w:sz w:val="18"/>
                <w:szCs w:val="18"/>
                <w:color w:val="auto"/>
                <w:w w:val="96"/>
              </w:rPr>
              <w:t>Interest on the notes due in 2010 will accrue at the rate of 5.45% per year, payable semi-</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1"/>
              </w:rPr>
              <w:t>annually in cash in arrears on November 15 and May 15, beginning on May 15, 2006. Interest</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3"/>
              </w:rPr>
              <w:t>on the notes due in 2015 will accrue at the rate of 5.85% per year, payable semi-annually in</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0"/>
              </w:rPr>
              <w:t>cash in arrears on November 15 and May 15, beginning on May 15, 2006. Interest on the notes</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1"/>
              </w:rPr>
              <w:t>due in 2035 will accrue at the rate of 6.50% per year, payable semi-annually in cash in arrears</w:t>
            </w:r>
          </w:p>
        </w:tc>
      </w:tr>
      <w:tr>
        <w:trPr>
          <w:trHeight w:val="230"/>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rPr>
              <w:t>on November 15 and May 15, beginning on May 15, 2006.</w:t>
            </w: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Ranking</w:t>
            </w:r>
          </w:p>
        </w:tc>
        <w:tc>
          <w:tcPr>
            <w:tcW w:w="8360" w:type="dxa"/>
            <w:vAlign w:val="bottom"/>
          </w:tcPr>
          <w:p>
            <w:pPr>
              <w:ind w:left="1520"/>
              <w:spacing w:after="0"/>
              <w:rPr>
                <w:sz w:val="20"/>
                <w:szCs w:val="20"/>
                <w:color w:val="auto"/>
              </w:rPr>
            </w:pPr>
            <w:r>
              <w:rPr>
                <w:rFonts w:ascii="Arial" w:cs="Arial" w:eastAsia="Arial" w:hAnsi="Arial"/>
                <w:sz w:val="18"/>
                <w:szCs w:val="18"/>
                <w:color w:val="auto"/>
              </w:rPr>
              <w:t>The notes will be unsecured and will rank equally with all of our unsecured and</w:t>
            </w:r>
          </w:p>
        </w:tc>
      </w:tr>
      <w:tr>
        <w:trPr>
          <w:trHeight w:val="230"/>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rPr>
              <w:t>unsubordinated indebtedness.</w:t>
            </w: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Cable Guarantors</w:t>
            </w:r>
          </w:p>
        </w:tc>
        <w:tc>
          <w:tcPr>
            <w:tcW w:w="8360" w:type="dxa"/>
            <w:vAlign w:val="bottom"/>
          </w:tcPr>
          <w:p>
            <w:pPr>
              <w:ind w:left="1520"/>
              <w:spacing w:after="0"/>
              <w:rPr>
                <w:sz w:val="20"/>
                <w:szCs w:val="20"/>
                <w:color w:val="auto"/>
              </w:rPr>
            </w:pPr>
            <w:r>
              <w:rPr>
                <w:rFonts w:ascii="Arial" w:cs="Arial" w:eastAsia="Arial" w:hAnsi="Arial"/>
                <w:sz w:val="18"/>
                <w:szCs w:val="18"/>
                <w:color w:val="auto"/>
                <w:w w:val="97"/>
              </w:rPr>
              <w:t>Comcast Cable Communications, LLC, Comcast Cable Communications Holdings, Inc.,</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7"/>
              </w:rPr>
              <w:t>Comcast Cable Holdings, LLC, Comcast MO Group, Inc. and Comcast MO of Delaware,</w:t>
            </w:r>
          </w:p>
        </w:tc>
      </w:tr>
      <w:tr>
        <w:trPr>
          <w:trHeight w:val="230"/>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rPr>
              <w:t>LLC.</w:t>
            </w: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Cable Guarantees</w:t>
            </w:r>
          </w:p>
        </w:tc>
        <w:tc>
          <w:tcPr>
            <w:tcW w:w="8360" w:type="dxa"/>
            <w:vAlign w:val="bottom"/>
          </w:tcPr>
          <w:p>
            <w:pPr>
              <w:ind w:left="1520"/>
              <w:spacing w:after="0"/>
              <w:rPr>
                <w:sz w:val="20"/>
                <w:szCs w:val="20"/>
                <w:color w:val="auto"/>
              </w:rPr>
            </w:pPr>
            <w:r>
              <w:rPr>
                <w:rFonts w:ascii="Arial" w:cs="Arial" w:eastAsia="Arial" w:hAnsi="Arial"/>
                <w:sz w:val="18"/>
                <w:szCs w:val="18"/>
                <w:color w:val="auto"/>
                <w:w w:val="91"/>
              </w:rPr>
              <w:t>The cable guarantors will fully and unconditionally guarantee the notes, including the payment</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7"/>
              </w:rPr>
              <w:t>of principal, premium, if any, and interest. The cable guarantees will rank equally with all</w:t>
            </w:r>
          </w:p>
        </w:tc>
      </w:tr>
      <w:tr>
        <w:trPr>
          <w:trHeight w:val="230"/>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rPr>
              <w:t>other general unsecured and unsubordinated obligations of the cable guarantors.</w:t>
            </w: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Optional Redemption</w:t>
            </w:r>
          </w:p>
        </w:tc>
        <w:tc>
          <w:tcPr>
            <w:tcW w:w="8360" w:type="dxa"/>
            <w:vAlign w:val="bottom"/>
          </w:tcPr>
          <w:p>
            <w:pPr>
              <w:ind w:left="1520"/>
              <w:spacing w:after="0"/>
              <w:rPr>
                <w:sz w:val="20"/>
                <w:szCs w:val="20"/>
                <w:color w:val="auto"/>
              </w:rPr>
            </w:pPr>
            <w:r>
              <w:rPr>
                <w:rFonts w:ascii="Arial" w:cs="Arial" w:eastAsia="Arial" w:hAnsi="Arial"/>
                <w:sz w:val="18"/>
                <w:szCs w:val="18"/>
                <w:color w:val="auto"/>
                <w:w w:val="90"/>
              </w:rPr>
              <w:t>We may redeem all or part of the notes at our option at a redemption price equal to the greater</w:t>
            </w:r>
          </w:p>
        </w:tc>
      </w:tr>
      <w:tr>
        <w:trPr>
          <w:trHeight w:val="230"/>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rPr>
              <w:t>of:</w:t>
            </w:r>
          </w:p>
        </w:tc>
      </w:tr>
      <w:tr>
        <w:trPr>
          <w:trHeight w:val="432"/>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rPr>
              <w:t>• 100% of the principal amount of the notes being redeemed; and</w:t>
            </w:r>
          </w:p>
        </w:tc>
      </w:tr>
      <w:tr>
        <w:trPr>
          <w:trHeight w:val="418"/>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rPr>
              <w:t>• the Make-Whole Amount, as defined in “Description of the Notes and the Cable</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8"/>
              </w:rPr>
              <w:t>Guarantees — Optional Redemption” in this prospectus supplement for the notes being</w:t>
            </w:r>
          </w:p>
        </w:tc>
      </w:tr>
      <w:tr>
        <w:trPr>
          <w:trHeight w:val="230"/>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rPr>
              <w:t>redeemed; plus, in each case, accrued interest to the redemption date.</w:t>
            </w: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8360" w:type="dxa"/>
            <w:vAlign w:val="bottom"/>
          </w:tcPr>
          <w:p>
            <w:pPr>
              <w:ind w:left="1520"/>
              <w:spacing w:after="0"/>
              <w:rPr>
                <w:sz w:val="20"/>
                <w:szCs w:val="20"/>
                <w:color w:val="auto"/>
              </w:rPr>
            </w:pPr>
            <w:r>
              <w:rPr>
                <w:rFonts w:ascii="Arial" w:cs="Arial" w:eastAsia="Arial" w:hAnsi="Arial"/>
                <w:sz w:val="18"/>
                <w:szCs w:val="18"/>
                <w:color w:val="auto"/>
                <w:w w:val="91"/>
              </w:rPr>
              <w:t>We intend to use the proceeds from this offering, after deducting fees and expenses related to</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2"/>
              </w:rPr>
              <w:t>this offering, for working capital and general corporate purposes, including for the repayment</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2"/>
              </w:rPr>
              <w:t>of commercial paper obligations. As of September 30, 2005, our indebtedness, excluding the</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rPr>
              <w:t>derivative component for our indexed debt instruments (“Exchangeable Notes” and</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3"/>
              </w:rPr>
              <w:t>“ZONES”) whose changes in fair value are recorded to investment income (loss), net, had a</w:t>
            </w:r>
          </w:p>
        </w:tc>
      </w:tr>
      <w:tr>
        <w:trPr>
          <w:trHeight w:val="230"/>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9"/>
              </w:rPr>
              <w:t>weighted average annual interest rate of 7.34% and an average maturity date in 2015.</w:t>
            </w: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Book Entry</w:t>
            </w:r>
          </w:p>
        </w:tc>
        <w:tc>
          <w:tcPr>
            <w:tcW w:w="8360" w:type="dxa"/>
            <w:vAlign w:val="bottom"/>
          </w:tcPr>
          <w:p>
            <w:pPr>
              <w:ind w:left="1520"/>
              <w:spacing w:after="0"/>
              <w:rPr>
                <w:sz w:val="20"/>
                <w:szCs w:val="20"/>
                <w:color w:val="auto"/>
              </w:rPr>
            </w:pPr>
            <w:r>
              <w:rPr>
                <w:rFonts w:ascii="Arial" w:cs="Arial" w:eastAsia="Arial" w:hAnsi="Arial"/>
                <w:sz w:val="18"/>
                <w:szCs w:val="18"/>
                <w:color w:val="auto"/>
                <w:w w:val="91"/>
              </w:rPr>
              <w:t>The notes will be issued in book-entry form and will be represented by global notes deposited</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7"/>
              </w:rPr>
              <w:t>with, or on behalf of, DTC and registered in the name of DTC or its nominees. Beneficial</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6"/>
              </w:rPr>
              <w:t>interests in any of the notes will be shown on, and transfers will be effected only through,</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rPr>
              <w:t>records maintained by DTC or its nominee, and these beneficial interests may not be</w:t>
            </w:r>
          </w:p>
        </w:tc>
      </w:tr>
      <w:tr>
        <w:trPr>
          <w:trHeight w:val="216"/>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6"/>
              </w:rPr>
              <w:t>exchanged for certificated notes, except in limited circumstances. See “Description of the</w:t>
            </w:r>
          </w:p>
        </w:tc>
      </w:tr>
      <w:tr>
        <w:trPr>
          <w:trHeight w:val="230"/>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360" w:type="dxa"/>
            <w:vAlign w:val="bottom"/>
          </w:tcPr>
          <w:p>
            <w:pPr>
              <w:ind w:left="1520"/>
              <w:spacing w:after="0"/>
              <w:rPr>
                <w:sz w:val="20"/>
                <w:szCs w:val="20"/>
                <w:color w:val="auto"/>
              </w:rPr>
            </w:pPr>
            <w:r>
              <w:rPr>
                <w:rFonts w:ascii="Arial" w:cs="Arial" w:eastAsia="Arial" w:hAnsi="Arial"/>
                <w:sz w:val="18"/>
                <w:szCs w:val="18"/>
                <w:color w:val="auto"/>
                <w:w w:val="97"/>
              </w:rPr>
              <w:t>Notes and the Cable Guarantees — Book-Entry System” in this prospectus supplement.</w:t>
            </w:r>
          </w:p>
        </w:tc>
      </w:tr>
      <w:tr>
        <w:trPr>
          <w:trHeight w:val="405"/>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360" w:type="dxa"/>
            <w:vAlign w:val="bottom"/>
          </w:tcPr>
          <w:p>
            <w:pPr>
              <w:ind w:left="2520"/>
              <w:spacing w:after="0"/>
              <w:rPr>
                <w:sz w:val="20"/>
                <w:szCs w:val="20"/>
                <w:color w:val="auto"/>
              </w:rPr>
            </w:pPr>
            <w:r>
              <w:rPr>
                <w:rFonts w:ascii="Arial" w:cs="Arial" w:eastAsia="Arial" w:hAnsi="Arial"/>
                <w:sz w:val="18"/>
                <w:szCs w:val="18"/>
                <w:color w:val="auto"/>
              </w:rPr>
              <w:t>S-3</w:t>
            </w:r>
          </w:p>
        </w:tc>
      </w:tr>
      <w:tr>
        <w:trPr>
          <w:trHeight w:val="226"/>
        </w:trPr>
        <w:tc>
          <w:tcPr>
            <w:tcW w:w="13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We intend to use the proceeds from this offering, after deducting fees and expenses related to this offering, for working capital and general corporate purposes, including for the repayment of commercial paper obligations. As of September 30, 2005, our indebtedness, excluding the derivative component for the Exchangeable Notes and the ZONES whose changes in fair value are recorded to investment income (loss), net, had a weighted average annual interest rate of 7.34% and an average maturity date in 2015.</w:t>
      </w:r>
    </w:p>
    <w:p>
      <w:pPr>
        <w:spacing w:after="0" w:line="291" w:lineRule="exact"/>
        <w:rPr>
          <w:sz w:val="20"/>
          <w:szCs w:val="20"/>
          <w:color w:val="auto"/>
        </w:rPr>
      </w:pPr>
    </w:p>
    <w:p>
      <w:pPr>
        <w:ind w:left="280" w:right="3860" w:firstLine="3582"/>
        <w:spacing w:after="0" w:line="381" w:lineRule="auto"/>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18"/>
          <w:szCs w:val="18"/>
          <w:color w:val="auto"/>
        </w:rPr>
        <w:t>Our ratio of earnings to fixed charges was as follows for the respective periods indicated:</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60" w:type="dxa"/>
            <w:vAlign w:val="bottom"/>
            <w:gridSpan w:val="4"/>
          </w:tcPr>
          <w:p>
            <w:pPr>
              <w:jc w:val="center"/>
              <w:ind w:left="804"/>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Borders>
              <w:bottom w:val="single" w:sz="8" w:color="auto"/>
            </w:tcBorders>
            <w:gridSpan w:val="4"/>
          </w:tcPr>
          <w:p>
            <w:pPr>
              <w:jc w:val="center"/>
              <w:ind w:left="804"/>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Borders>
              <w:bottom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2004</w:t>
            </w:r>
          </w:p>
        </w:tc>
        <w:tc>
          <w:tcPr>
            <w:tcW w:w="98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2002</w:t>
            </w:r>
          </w:p>
        </w:tc>
        <w:tc>
          <w:tcPr>
            <w:tcW w:w="72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2001</w:t>
            </w:r>
          </w:p>
        </w:tc>
        <w:tc>
          <w:tcPr>
            <w:tcW w:w="72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2.02x</w:t>
            </w:r>
          </w:p>
        </w:tc>
        <w:tc>
          <w:tcPr>
            <w:tcW w:w="1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1.75x</w:t>
            </w:r>
          </w:p>
        </w:tc>
        <w:tc>
          <w:tcPr>
            <w:tcW w:w="15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1.98x</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w:t>
            </w:r>
          </w:p>
        </w:tc>
        <w:tc>
          <w:tcPr>
            <w:tcW w:w="15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1.33x</w:t>
            </w: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5.16x</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years ended December 31, 2003 and 2002, we had a $76 million and $490 million deficiency, respectively, of earnings to fixed charges.</w:t>
      </w:r>
    </w:p>
    <w:p>
      <w:pPr>
        <w:spacing w:after="0" w:line="129" w:lineRule="exact"/>
        <w:rPr>
          <w:sz w:val="20"/>
          <w:szCs w:val="20"/>
          <w:color w:val="auto"/>
        </w:rPr>
      </w:pPr>
    </w:p>
    <w:p>
      <w:pPr>
        <w:ind w:right="80" w:firstLine="270"/>
        <w:spacing w:after="0" w:line="286" w:lineRule="auto"/>
        <w:rPr>
          <w:sz w:val="20"/>
          <w:szCs w:val="20"/>
          <w:color w:val="auto"/>
        </w:rPr>
      </w:pPr>
      <w:r>
        <w:rPr>
          <w:rFonts w:ascii="Arial" w:cs="Arial" w:eastAsia="Arial" w:hAnsi="Arial"/>
          <w:sz w:val="17"/>
          <w:szCs w:val="17"/>
          <w:color w:val="auto"/>
        </w:rPr>
        <w:t>For purposes of calculating the ratio of earnings to fixed charges, earnings consist of income (loss) from continuing operations before income taxes, cumulative effect of accounting change, minority interest, equity in net (income) losses of affiliates, fixed charges and distributed income of equity investees. Fixed charges consist of interest expense, an estimate of interest within rental expense and preference security dividends.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 AND THE CABLE GUARANTEES</w:t>
      </w:r>
    </w:p>
    <w:p>
      <w:pPr>
        <w:spacing w:after="0" w:line="121" w:lineRule="exact"/>
        <w:rPr>
          <w:sz w:val="20"/>
          <w:szCs w:val="20"/>
          <w:color w:val="auto"/>
        </w:rPr>
      </w:pPr>
    </w:p>
    <w:p>
      <w:pPr>
        <w:ind w:right="20" w:firstLine="267"/>
        <w:spacing w:after="0" w:line="270" w:lineRule="auto"/>
        <w:rPr>
          <w:sz w:val="20"/>
          <w:szCs w:val="20"/>
          <w:color w:val="auto"/>
        </w:rPr>
      </w:pPr>
      <w:r>
        <w:rPr>
          <w:rFonts w:ascii="Arial" w:cs="Arial" w:eastAsia="Arial" w:hAnsi="Arial"/>
          <w:sz w:val="17"/>
          <w:szCs w:val="17"/>
          <w:color w:val="auto"/>
        </w:rPr>
        <w:t>We are offering $500,000,000 aggregate principal amount of our 5.45% Notes due 2010, $750,000,000 aggregate principal amount of our 5.85% Notes due 2015 and $1,000,000,000 aggregate principal amount of our 6.50% Notes due 2035. The notes due 2010, the notes due 2015 and the notes due 2035 will each be a separate series of securities issued under an indenture, dated as of January 7, 2003 among us, the cable guarantors and The Bank of New York, as trustee. The notes will be our direct unsecured and unsubordinated obligations and will be fully and unconditionally guaranteed by Comcast Cable, Comcast Cable Communications Holdings, Comcast Cable Holdings, Comcast MO Group and Comcast MO of Delaware,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than those of the notes, to “reopen” a previous issue of a series of securities (including the notes) and to issue additional securities of any series (including the notes). Copies of the indenture and the form of notes are available from us upon request.</w:t>
      </w:r>
    </w:p>
    <w:p>
      <w:pPr>
        <w:spacing w:after="0" w:line="74" w:lineRule="exact"/>
        <w:rPr>
          <w:sz w:val="20"/>
          <w:szCs w:val="20"/>
          <w:color w:val="auto"/>
        </w:rPr>
      </w:pPr>
    </w:p>
    <w:p>
      <w:pPr>
        <w:ind w:right="240" w:firstLine="267"/>
        <w:spacing w:after="0" w:line="312" w:lineRule="auto"/>
        <w:rPr>
          <w:sz w:val="20"/>
          <w:szCs w:val="20"/>
          <w:color w:val="auto"/>
        </w:rPr>
      </w:pPr>
      <w:r>
        <w:rPr>
          <w:rFonts w:ascii="Arial" w:cs="Arial" w:eastAsia="Arial" w:hAnsi="Arial"/>
          <w:sz w:val="16"/>
          <w:szCs w:val="16"/>
          <w:color w:val="auto"/>
        </w:rPr>
        <w:t>The following, along with the additional information contained in the accompanying prospectus under “Description of the Senior Debt Securities, Subordinated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notes:</w:t>
      </w:r>
    </w:p>
    <w:p>
      <w:pPr>
        <w:spacing w:after="0" w:line="117" w:lineRule="exact"/>
        <w:rPr>
          <w:sz w:val="20"/>
          <w:szCs w:val="20"/>
          <w:color w:val="auto"/>
        </w:rPr>
      </w:pPr>
    </w:p>
    <w:p>
      <w:pPr>
        <w:ind w:left="460" w:hanging="101"/>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will rank equally with all of our other unsecured and unsubordinated debt and will be entitled to the benefits of the cable guarantees described below;</w:t>
      </w:r>
    </w:p>
    <w:p>
      <w:pPr>
        <w:spacing w:after="0" w:line="207"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$2,250,000,000, comprised as follows:</w:t>
      </w:r>
    </w:p>
    <w:p>
      <w:pPr>
        <w:spacing w:after="0" w:line="117" w:lineRule="exact"/>
        <w:rPr>
          <w:rFonts w:ascii="Arial" w:cs="Arial" w:eastAsia="Arial" w:hAnsi="Arial"/>
          <w:sz w:val="18"/>
          <w:szCs w:val="18"/>
          <w:color w:val="auto"/>
        </w:rPr>
      </w:pPr>
    </w:p>
    <w:p>
      <w:pPr>
        <w:ind w:left="700" w:right="400" w:hanging="111"/>
        <w:spacing w:after="0" w:line="308" w:lineRule="auto"/>
        <w:tabs>
          <w:tab w:leader="none" w:pos="700" w:val="left"/>
        </w:tabs>
        <w:numPr>
          <w:ilvl w:val="1"/>
          <w:numId w:val="7"/>
        </w:numPr>
        <w:rPr>
          <w:rFonts w:ascii="Arial" w:cs="Arial" w:eastAsia="Arial" w:hAnsi="Arial"/>
          <w:sz w:val="17"/>
          <w:szCs w:val="17"/>
          <w:color w:val="auto"/>
        </w:rPr>
      </w:pPr>
      <w:r>
        <w:rPr>
          <w:rFonts w:ascii="Arial" w:cs="Arial" w:eastAsia="Arial" w:hAnsi="Arial"/>
          <w:sz w:val="17"/>
          <w:szCs w:val="17"/>
          <w:color w:val="auto"/>
        </w:rPr>
        <w:t>$500,000,000 initial aggregate amount of 5.45% Notes due 2010, maturing on November 15, 2010, with interest payable semiannually on each November 15 and May 15, beginning May 15, 2006, to holders of record on the preceding November 1 and May 1;</w:t>
      </w:r>
    </w:p>
    <w:p>
      <w:pPr>
        <w:spacing w:after="0" w:line="51" w:lineRule="exact"/>
        <w:rPr>
          <w:rFonts w:ascii="Arial" w:cs="Arial" w:eastAsia="Arial" w:hAnsi="Arial"/>
          <w:sz w:val="17"/>
          <w:szCs w:val="17"/>
          <w:color w:val="auto"/>
        </w:rPr>
      </w:pPr>
    </w:p>
    <w:p>
      <w:pPr>
        <w:ind w:left="700" w:right="400" w:hanging="111"/>
        <w:spacing w:after="0" w:line="308" w:lineRule="auto"/>
        <w:tabs>
          <w:tab w:leader="none" w:pos="700" w:val="left"/>
        </w:tabs>
        <w:numPr>
          <w:ilvl w:val="1"/>
          <w:numId w:val="7"/>
        </w:numPr>
        <w:rPr>
          <w:rFonts w:ascii="Arial" w:cs="Arial" w:eastAsia="Arial" w:hAnsi="Arial"/>
          <w:sz w:val="17"/>
          <w:szCs w:val="17"/>
          <w:color w:val="auto"/>
        </w:rPr>
      </w:pPr>
      <w:r>
        <w:rPr>
          <w:rFonts w:ascii="Arial" w:cs="Arial" w:eastAsia="Arial" w:hAnsi="Arial"/>
          <w:sz w:val="17"/>
          <w:szCs w:val="17"/>
          <w:color w:val="auto"/>
        </w:rPr>
        <w:t>$750,000,000 initial aggregate amount of 5.85% Notes due 2015, maturing on November 15, 2015, with interest payable semiannually on each November 15 and May 15, beginning May 15, 2006, to holders of record on the preceding November 1 and May 1;</w:t>
      </w:r>
    </w:p>
    <w:p>
      <w:pPr>
        <w:spacing w:after="0" w:line="51" w:lineRule="exact"/>
        <w:rPr>
          <w:rFonts w:ascii="Arial" w:cs="Arial" w:eastAsia="Arial" w:hAnsi="Arial"/>
          <w:sz w:val="17"/>
          <w:szCs w:val="17"/>
          <w:color w:val="auto"/>
        </w:rPr>
      </w:pPr>
    </w:p>
    <w:p>
      <w:pPr>
        <w:ind w:left="700" w:right="260" w:hanging="111"/>
        <w:spacing w:after="0" w:line="308" w:lineRule="auto"/>
        <w:tabs>
          <w:tab w:leader="none" w:pos="700" w:val="left"/>
        </w:tabs>
        <w:numPr>
          <w:ilvl w:val="1"/>
          <w:numId w:val="7"/>
        </w:numPr>
        <w:rPr>
          <w:rFonts w:ascii="Arial" w:cs="Arial" w:eastAsia="Arial" w:hAnsi="Arial"/>
          <w:sz w:val="17"/>
          <w:szCs w:val="17"/>
          <w:color w:val="auto"/>
        </w:rPr>
      </w:pPr>
      <w:r>
        <w:rPr>
          <w:rFonts w:ascii="Arial" w:cs="Arial" w:eastAsia="Arial" w:hAnsi="Arial"/>
          <w:sz w:val="17"/>
          <w:szCs w:val="17"/>
          <w:color w:val="auto"/>
        </w:rPr>
        <w:t>$1,000,000,000 initial aggregate amount of 6.50% Notes due 2035, maturing on November 15, 2035, with interest payable semiannually on each November 15 and May 15, beginning May 15, 2006, to holders of record on the preceding November 1 and May 1; and</w:t>
      </w:r>
    </w:p>
    <w:p>
      <w:pPr>
        <w:spacing w:after="0" w:line="38" w:lineRule="exact"/>
        <w:rPr>
          <w:rFonts w:ascii="Arial" w:cs="Arial" w:eastAsia="Arial" w:hAnsi="Arial"/>
          <w:sz w:val="17"/>
          <w:szCs w:val="17"/>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$1,000 and multiples thereof.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the date of original issuance, or from the most recent interest payment date to which interest has been paid and will be payable semiannually on interest payment dates described for each year.</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Comcast Cable, Comcast Cable Communications, Comcast Cable Holdings, Comcast MO Group and Comcast MO of Delaware.</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cable guarantees will rank equally with all other general unsecured and unsubordinated obligations of the cable guarantors.</w:t>
      </w:r>
    </w:p>
    <w:p>
      <w:pPr>
        <w:spacing w:after="0" w:line="117" w:lineRule="exact"/>
        <w:rPr>
          <w:sz w:val="20"/>
          <w:szCs w:val="20"/>
          <w:color w:val="auto"/>
        </w:rPr>
      </w:pPr>
    </w:p>
    <w:p>
      <w:pPr>
        <w:ind w:right="80" w:firstLine="267"/>
        <w:spacing w:after="0" w:line="264"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will have the right at our option to redeem any of the notes in whole or in part, at any time or from time to time prior to their maturity, on at least</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30 days, but not more than 60 days, prior notice mailed to the registered address of each holder of the applicable series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in each case, the Treasury Rate plus 15 basis points for the 2010 Notes (the “2010 Make-Whole Amount”), 20 basis points for the 2015 Notes (the “2015 Make-Whole Amount”) and 25 basis points for the 2035 Notes (the “2035 Make-Whole Amount” and, together with the 2010 Make-Whole Amount and the 2015 Make-Whole Amount, the “Make-Whole Amount”), plus in each case accrued interest thereon to the date of redemption.</w:t>
      </w:r>
    </w:p>
    <w:p>
      <w:pPr>
        <w:spacing w:after="0" w:line="85"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270"/>
        <w:spacing w:after="0" w:line="312"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1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73"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“Reference Treasury Dealer” means each of Barclays Capital Inc., J.P. Morgan Securities Inc. and UBS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79" w:lineRule="exact"/>
        <w:rPr>
          <w:sz w:val="20"/>
          <w:szCs w:val="20"/>
          <w:color w:val="auto"/>
        </w:rPr>
      </w:pPr>
    </w:p>
    <w:p>
      <w:pPr>
        <w:jc w:val="both"/>
        <w:ind w:right="100" w:firstLine="270"/>
        <w:spacing w:after="0" w:line="312" w:lineRule="auto"/>
        <w:rPr>
          <w:sz w:val="20"/>
          <w:szCs w:val="20"/>
          <w:color w:val="auto"/>
        </w:rPr>
      </w:pPr>
      <w:r>
        <w:rPr>
          <w:rFonts w:ascii="Arial" w:cs="Arial" w:eastAsia="Arial" w:hAnsi="Arial"/>
          <w:sz w:val="16"/>
          <w:szCs w:val="16"/>
          <w:color w:val="auto"/>
        </w:rPr>
        <w:t>“Reference Treasury Dealer Quotation”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39"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interest to the redemption date on the notes to be redeemed on such date. If less than all of the notes of any series are to be redeemed, the notes to be redeemed shall be selected by the trustee by such method as the trustee shall deem fair and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jc w:val="both"/>
        <w:ind w:right="140" w:firstLine="267"/>
        <w:spacing w:after="0" w:line="302"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ind w:right="360" w:firstLine="270"/>
        <w:spacing w:after="0" w:line="259"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46" w:lineRule="exact"/>
        <w:rPr>
          <w:sz w:val="20"/>
          <w:szCs w:val="20"/>
          <w:color w:val="auto"/>
        </w:rPr>
      </w:pPr>
    </w:p>
    <w:p>
      <w:pPr>
        <w:ind w:right="60" w:firstLine="267"/>
        <w:spacing w:after="0" w:line="273" w:lineRule="auto"/>
        <w:rPr>
          <w:sz w:val="20"/>
          <w:szCs w:val="20"/>
          <w:color w:val="auto"/>
        </w:rPr>
      </w:pPr>
      <w:r>
        <w:rPr>
          <w:rFonts w:ascii="Arial" w:cs="Arial" w:eastAsia="Arial" w:hAnsi="Arial"/>
          <w:sz w:val="17"/>
          <w:szCs w:val="17"/>
          <w:color w:val="auto"/>
        </w:rPr>
        <w:t>We expect that pursuant to procedures established by DTC, upon the deposit of the Global Notes with DTC, DTC will credit on its book 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70" w:lineRule="exact"/>
        <w:rPr>
          <w:sz w:val="20"/>
          <w:szCs w:val="20"/>
          <w:color w:val="auto"/>
        </w:rPr>
      </w:pPr>
    </w:p>
    <w:p>
      <w:pPr>
        <w:ind w:right="300" w:firstLine="267"/>
        <w:spacing w:after="0" w:line="277"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62"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59"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62" w:lineRule="exact"/>
        <w:rPr>
          <w:sz w:val="20"/>
          <w:szCs w:val="20"/>
          <w:color w:val="auto"/>
        </w:rPr>
      </w:pPr>
    </w:p>
    <w:p>
      <w:pPr>
        <w:ind w:firstLine="267"/>
        <w:spacing w:after="0" w:line="289"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59" w:lineRule="exact"/>
        <w:rPr>
          <w:sz w:val="20"/>
          <w:szCs w:val="20"/>
          <w:color w:val="auto"/>
        </w:rPr>
      </w:pPr>
    </w:p>
    <w:p>
      <w:pPr>
        <w:ind w:right="60" w:firstLine="260"/>
        <w:spacing w:after="0" w:line="264" w:lineRule="auto"/>
        <w:rPr>
          <w:sz w:val="20"/>
          <w:szCs w:val="20"/>
          <w:color w:val="auto"/>
        </w:rPr>
      </w:pPr>
      <w:r>
        <w:rPr>
          <w:rFonts w:ascii="Arial" w:cs="Arial" w:eastAsia="Arial" w:hAnsi="Arial"/>
          <w:sz w:val="18"/>
          <w:szCs w:val="18"/>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right="720" w:firstLine="270"/>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denominations of $1,000 principal amount and multiples thereof if:</w:t>
      </w:r>
    </w:p>
    <w:p>
      <w:pPr>
        <w:spacing w:after="0" w:line="8" w:lineRule="exact"/>
        <w:rPr>
          <w:sz w:val="20"/>
          <w:szCs w:val="20"/>
          <w:color w:val="auto"/>
        </w:rPr>
      </w:pPr>
    </w:p>
    <w:p>
      <w:pPr>
        <w:ind w:left="1040" w:right="200" w:hanging="451"/>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21" w:lineRule="exact"/>
        <w:rPr>
          <w:rFonts w:ascii="Arial" w:cs="Arial" w:eastAsia="Arial" w:hAnsi="Arial"/>
          <w:sz w:val="18"/>
          <w:szCs w:val="18"/>
          <w:color w:val="auto"/>
        </w:rPr>
      </w:pPr>
    </w:p>
    <w:p>
      <w:pPr>
        <w:ind w:left="1040" w:hanging="451"/>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76" w:lineRule="exact"/>
        <w:rPr>
          <w:rFonts w:ascii="Arial" w:cs="Arial" w:eastAsia="Arial" w:hAnsi="Arial"/>
          <w:sz w:val="18"/>
          <w:szCs w:val="18"/>
          <w:color w:val="auto"/>
        </w:rPr>
      </w:pPr>
    </w:p>
    <w:p>
      <w:pPr>
        <w:ind w:left="1040" w:hanging="451"/>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17" w:lineRule="exact"/>
        <w:rPr>
          <w:sz w:val="20"/>
          <w:szCs w:val="20"/>
          <w:color w:val="auto"/>
        </w:rPr>
      </w:pPr>
    </w:p>
    <w:p>
      <w:pPr>
        <w:jc w:val="both"/>
        <w:ind w:right="80" w:firstLine="260"/>
        <w:spacing w:after="0" w:line="264"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17"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73"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21" w:lineRule="exact"/>
        <w:rPr>
          <w:sz w:val="20"/>
          <w:szCs w:val="20"/>
          <w:color w:val="auto"/>
        </w:rPr>
      </w:pPr>
    </w:p>
    <w:p>
      <w:pPr>
        <w:ind w:right="100" w:firstLine="267"/>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62" w:lineRule="exact"/>
        <w:rPr>
          <w:sz w:val="20"/>
          <w:szCs w:val="20"/>
          <w:color w:val="auto"/>
        </w:rPr>
      </w:pPr>
    </w:p>
    <w:p>
      <w:pPr>
        <w:ind w:left="460" w:right="340" w:hanging="101"/>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purchased by those initial holders who purchase notes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86"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17"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62"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17" w:lineRule="exact"/>
        <w:rPr>
          <w:sz w:val="20"/>
          <w:szCs w:val="20"/>
          <w:color w:val="auto"/>
        </w:rPr>
      </w:pPr>
    </w:p>
    <w:p>
      <w:pPr>
        <w:jc w:val="both"/>
        <w:ind w:firstLine="267"/>
        <w:spacing w:after="0" w:line="302" w:lineRule="auto"/>
        <w:rPr>
          <w:sz w:val="20"/>
          <w:szCs w:val="20"/>
          <w:color w:val="auto"/>
        </w:rPr>
      </w:pPr>
      <w:r>
        <w:rPr>
          <w:rFonts w:ascii="Arial" w:cs="Arial" w:eastAsia="Arial" w:hAnsi="Arial"/>
          <w:sz w:val="16"/>
          <w:szCs w:val="16"/>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Persons considering the purchase of notes are urged to consult their tax advisers with regard to the application of the U.S. federal income tax laws to their particular situations as well as any tax consequences arising under the laws of any state, local or foreign taxing jurisdiction.</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117"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who is classified as a nonresident for U.S. federal income tax purposes;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17"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Such a holder is urged to consult his or her own tax advisor regarding the U.S. federal income tax consequences of the sale, exchange or other disposition of a note.</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Subject to the discussion below concerning backup withholding:</w:t>
      </w:r>
    </w:p>
    <w:p>
      <w:pPr>
        <w:spacing w:after="0" w:line="117" w:lineRule="exact"/>
        <w:rPr>
          <w:sz w:val="20"/>
          <w:szCs w:val="20"/>
          <w:color w:val="auto"/>
        </w:rPr>
      </w:pPr>
    </w:p>
    <w:p>
      <w:pPr>
        <w:ind w:left="460" w:right="720" w:hanging="101"/>
        <w:spacing w:after="0" w:line="34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payments of principal, interest and premium on the notes by us or any paying agent to any Non-U.S. Holder will not be subject to U.S. federal withholding tax, provided that, in the case of interest not effectively connected with the conduct of a trade or business in the United States,</w:t>
      </w:r>
    </w:p>
    <w:p>
      <w:pPr>
        <w:spacing w:after="0" w:line="15" w:lineRule="exact"/>
        <w:rPr>
          <w:rFonts w:ascii="Arial" w:cs="Arial" w:eastAsia="Arial" w:hAnsi="Arial"/>
          <w:sz w:val="16"/>
          <w:szCs w:val="16"/>
          <w:color w:val="auto"/>
        </w:rPr>
      </w:pPr>
    </w:p>
    <w:p>
      <w:pPr>
        <w:ind w:left="700" w:right="60" w:hanging="111"/>
        <w:spacing w:after="0" w:line="277" w:lineRule="auto"/>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5" w:lineRule="exact"/>
        <w:rPr>
          <w:rFonts w:ascii="Arial" w:cs="Arial" w:eastAsia="Arial" w:hAnsi="Arial"/>
          <w:sz w:val="18"/>
          <w:szCs w:val="18"/>
          <w:color w:val="auto"/>
        </w:rPr>
      </w:pPr>
    </w:p>
    <w:p>
      <w:pPr>
        <w:ind w:left="700" w:hanging="111"/>
        <w:spacing w:after="0"/>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17" w:lineRule="exact"/>
        <w:rPr>
          <w:rFonts w:ascii="Arial" w:cs="Arial" w:eastAsia="Arial" w:hAnsi="Arial"/>
          <w:sz w:val="18"/>
          <w:szCs w:val="18"/>
          <w:color w:val="auto"/>
        </w:rPr>
      </w:pPr>
    </w:p>
    <w:p>
      <w:pPr>
        <w:ind w:left="460" w:right="420" w:hanging="101"/>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Non-U.S. Holder of a note will not be subject to U.S. federal income tax on gain realized on the sale, exchange or other disposition of such note, unless the gain is effectively connected with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conduct by the holder of a trade or business in the United States, subject to an applicable income tax treaty providing otherwise.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Certification Requirement</w:t>
      </w:r>
    </w:p>
    <w:p>
      <w:pPr>
        <w:spacing w:after="0" w:line="117" w:lineRule="exact"/>
        <w:rPr>
          <w:sz w:val="20"/>
          <w:szCs w:val="20"/>
          <w:color w:val="auto"/>
        </w:rPr>
      </w:pPr>
    </w:p>
    <w:p>
      <w:pPr>
        <w:ind w:right="720" w:firstLine="270"/>
        <w:spacing w:after="0" w:line="342" w:lineRule="auto"/>
        <w:rPr>
          <w:sz w:val="20"/>
          <w:szCs w:val="20"/>
          <w:color w:val="auto"/>
        </w:rPr>
      </w:pPr>
      <w:r>
        <w:rPr>
          <w:rFonts w:ascii="Arial" w:cs="Arial" w:eastAsia="Arial" w:hAnsi="Arial"/>
          <w:sz w:val="16"/>
          <w:szCs w:val="16"/>
          <w:color w:val="auto"/>
        </w:rPr>
        <w:t>Interest not effectively connected with the conduct of a trade or business in the United States will not be exempt from withholding tax unless the beneficial owner of that note certifies on Internal Revenue Service Form W-8BEN, under penalties of perjury, that it is not a U.S. person.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or gain with respect to the note is effectively connected with the conduct of this trade or business, the Non-U.S. Holder, although exempt from the withholding tax discussed in the preceding paragraph, will generally be taxed in the same manner as a U.S. person, subject to an applicable income tax treaty providing otherwise, except that the holder will be required to provide to us a properly executed Internal Revenue Service Form W-8ECI in order to claim an exemption from withholding tax with respect to interest. These holders should consult their own tax advisors with respect to other U.S. tax consequences of the ownership and disposition of notes including the possible imposition of a 30% branch profits tax.</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color w:val="auto"/>
        </w:rPr>
        <w:t>Information returns will be filed with the U.S. Internal Revenue Service in connection with payments on the notes. Unless the Non-U.S. Holder complies with certification procedures to establish that it is not a U.S. person, information returns may be filed with the U.S. Internal Revenue Service in connection with the proceeds from a sale or other disposition and the Non-U.S. Holder may be subject to U.S. backup withholding tax on payments on the notes or on the proceeds from a sale or other disposition of the notes. The certification procedures required to claim the exemption from withholding tax on interest described above will satisfy the certification requirements necessary to avoid the backup withholding tax as well. The amount of any backup withholding from a payment to a Non-U.S. Holder will be allowed as a credit against the Non-U.S. Holder’s U.S. federal income tax liability and may entitle the Non-U.S. Holder to a refund, provided that the required information is furnished to the Internal Revenue Service.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jc w:val="both"/>
        <w:ind w:right="20" w:firstLine="267"/>
        <w:spacing w:after="0" w:line="264"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2010 Notes</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2015 Notes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2"/>
          </w:tcPr>
          <w:p>
            <w:pPr>
              <w:ind w:left="200"/>
              <w:spacing w:after="0"/>
              <w:rPr>
                <w:sz w:val="20"/>
                <w:szCs w:val="20"/>
                <w:color w:val="auto"/>
              </w:rPr>
            </w:pPr>
            <w:r>
              <w:rPr>
                <w:rFonts w:ascii="Arial" w:cs="Arial" w:eastAsia="Arial" w:hAnsi="Arial"/>
                <w:sz w:val="14"/>
                <w:szCs w:val="14"/>
                <w:b w:val="1"/>
                <w:bCs w:val="1"/>
                <w:color w:val="auto"/>
              </w:rPr>
              <w:t>2035 Notes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5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166,667,000</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250,000,000</w:t>
            </w:r>
          </w:p>
        </w:tc>
        <w:tc>
          <w:tcPr>
            <w:tcW w:w="6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333,333,000</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J.P. Morgan Securities Inc.</w:t>
            </w:r>
          </w:p>
        </w:tc>
        <w:tc>
          <w:tcPr>
            <w:tcW w:w="5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166,666,000</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250,000,000</w:t>
            </w:r>
          </w:p>
        </w:tc>
        <w:tc>
          <w:tcPr>
            <w:tcW w:w="6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333,334,000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5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166,667,000</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250,000,000</w:t>
            </w:r>
          </w:p>
        </w:tc>
        <w:tc>
          <w:tcPr>
            <w:tcW w:w="6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333,333,000</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500,000,000</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7"/>
              </w:rPr>
              <w:t>750,000,000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1,000,000,000</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720" w:firstLine="267"/>
        <w:spacing w:after="0" w:line="26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73"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62" w:lineRule="exact"/>
        <w:rPr>
          <w:sz w:val="20"/>
          <w:szCs w:val="20"/>
          <w:color w:val="auto"/>
        </w:rPr>
      </w:pPr>
    </w:p>
    <w:p>
      <w:pPr>
        <w:jc w:val="both"/>
        <w:ind w:right="120" w:firstLine="267"/>
        <w:spacing w:after="0" w:line="312" w:lineRule="auto"/>
        <w:rPr>
          <w:sz w:val="20"/>
          <w:szCs w:val="20"/>
          <w:color w:val="auto"/>
        </w:rPr>
      </w:pPr>
      <w:r>
        <w:rPr>
          <w:rFonts w:ascii="Arial" w:cs="Arial" w:eastAsia="Arial" w:hAnsi="Arial"/>
          <w:sz w:val="16"/>
          <w:szCs w:val="16"/>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117" w:lineRule="exact"/>
        <w:rPr>
          <w:sz w:val="20"/>
          <w:szCs w:val="20"/>
          <w:color w:val="auto"/>
        </w:rPr>
      </w:pPr>
    </w:p>
    <w:p>
      <w:pPr>
        <w:ind w:left="360" w:right="20" w:firstLine="269"/>
        <w:spacing w:after="0" w:line="255" w:lineRule="auto"/>
        <w:tabs>
          <w:tab w:leader="none" w:pos="8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81" w:lineRule="exact"/>
        <w:rPr>
          <w:rFonts w:ascii="Arial" w:cs="Arial" w:eastAsia="Arial" w:hAnsi="Arial"/>
          <w:sz w:val="18"/>
          <w:szCs w:val="18"/>
          <w:color w:val="auto"/>
        </w:rPr>
      </w:pPr>
    </w:p>
    <w:p>
      <w:pPr>
        <w:ind w:left="700" w:right="320" w:firstLine="267"/>
        <w:spacing w:after="0" w:line="277" w:lineRule="auto"/>
        <w:tabs>
          <w:tab w:leader="none" w:pos="118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75" w:lineRule="exact"/>
        <w:rPr>
          <w:rFonts w:ascii="Arial" w:cs="Arial" w:eastAsia="Arial" w:hAnsi="Arial"/>
          <w:sz w:val="18"/>
          <w:szCs w:val="18"/>
          <w:color w:val="auto"/>
        </w:rPr>
      </w:pPr>
    </w:p>
    <w:p>
      <w:pPr>
        <w:ind w:left="700" w:right="140" w:firstLine="267"/>
        <w:spacing w:after="0" w:line="342" w:lineRule="auto"/>
        <w:tabs>
          <w:tab w:leader="none" w:pos="1235" w:val="left"/>
        </w:tabs>
        <w:numPr>
          <w:ilvl w:val="1"/>
          <w:numId w:val="13"/>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29" w:lineRule="exact"/>
        <w:rPr>
          <w:rFonts w:ascii="Arial" w:cs="Arial" w:eastAsia="Arial" w:hAnsi="Arial"/>
          <w:sz w:val="16"/>
          <w:szCs w:val="16"/>
          <w:color w:val="auto"/>
        </w:rPr>
      </w:pPr>
    </w:p>
    <w:p>
      <w:pPr>
        <w:ind w:left="700" w:right="640" w:firstLine="267"/>
        <w:spacing w:after="0" w:line="277" w:lineRule="auto"/>
        <w:tabs>
          <w:tab w:leader="none" w:pos="1285"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the Issuer of a prospectus pursuant to Article 3 of the Prospectus Directive.</w:t>
      </w:r>
    </w:p>
    <w:p>
      <w:pPr>
        <w:spacing w:after="0" w:line="62" w:lineRule="exact"/>
        <w:rPr>
          <w:sz w:val="20"/>
          <w:szCs w:val="20"/>
          <w:color w:val="auto"/>
        </w:rPr>
      </w:pPr>
    </w:p>
    <w:p>
      <w:pPr>
        <w:ind w:right="380" w:firstLine="270"/>
        <w:spacing w:after="0" w:line="259" w:lineRule="auto"/>
        <w:rPr>
          <w:sz w:val="20"/>
          <w:szCs w:val="20"/>
          <w:color w:val="auto"/>
        </w:rPr>
      </w:pPr>
      <w:r>
        <w:rPr>
          <w:rFonts w:ascii="Arial" w:cs="Arial" w:eastAsia="Arial" w:hAnsi="Arial"/>
          <w:sz w:val="18"/>
          <w:szCs w:val="18"/>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means Directive 2003/7l/EC and includes any relevant implementing measure in each Relevant Member State.</w:t>
      </w:r>
    </w:p>
    <w:p>
      <w:pPr>
        <w:spacing w:after="0" w:line="117" w:lineRule="exact"/>
        <w:rPr>
          <w:sz w:val="20"/>
          <w:szCs w:val="20"/>
          <w:color w:val="auto"/>
        </w:rPr>
      </w:pPr>
    </w:p>
    <w:p>
      <w:pPr>
        <w:ind w:left="360" w:right="80" w:firstLine="269"/>
        <w:spacing w:after="0" w:line="312" w:lineRule="auto"/>
        <w:tabs>
          <w:tab w:leader="none" w:pos="8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w:t>
      </w:r>
    </w:p>
    <w:p>
      <w:pPr>
        <w:spacing w:after="0" w:line="52" w:lineRule="exact"/>
        <w:rPr>
          <w:rFonts w:ascii="Arial" w:cs="Arial" w:eastAsia="Arial" w:hAnsi="Arial"/>
          <w:sz w:val="16"/>
          <w:szCs w:val="16"/>
          <w:color w:val="auto"/>
        </w:rPr>
      </w:pPr>
    </w:p>
    <w:p>
      <w:pPr>
        <w:ind w:left="360" w:right="140" w:firstLine="269"/>
        <w:spacing w:after="0" w:line="277" w:lineRule="auto"/>
        <w:tabs>
          <w:tab w:leader="none" w:pos="8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notes in, from or otherwise involving the United Kingdom.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firstLine="267"/>
        <w:spacing w:after="0" w:line="291" w:lineRule="auto"/>
        <w:rPr>
          <w:sz w:val="20"/>
          <w:szCs w:val="20"/>
          <w:color w:val="auto"/>
        </w:rPr>
      </w:pPr>
      <w:r>
        <w:rPr>
          <w:rFonts w:ascii="Arial" w:cs="Arial" w:eastAsia="Arial" w:hAnsi="Arial"/>
          <w:sz w:val="16"/>
          <w:szCs w:val="16"/>
          <w:color w:val="auto"/>
        </w:rPr>
        <w:t>The underwriters have advised us that they propose initially to offer the notes to the public at the respective public offering prices on the cover page of this prospectus supplement, and to dealers at that price less a concession not in excess of 0.159% of the principal amount of the 2010 Notes, not in excess of</w:t>
      </w:r>
    </w:p>
    <w:p>
      <w:pPr>
        <w:ind w:right="40"/>
        <w:spacing w:after="0" w:line="254" w:lineRule="auto"/>
        <w:rPr>
          <w:sz w:val="20"/>
          <w:szCs w:val="20"/>
          <w:color w:val="auto"/>
        </w:rPr>
      </w:pPr>
      <w:r>
        <w:rPr>
          <w:rFonts w:ascii="Arial" w:cs="Arial" w:eastAsia="Arial" w:hAnsi="Arial"/>
          <w:sz w:val="18"/>
          <w:szCs w:val="18"/>
          <w:color w:val="auto"/>
        </w:rPr>
        <w:t>0.119% of the principal amount of the 2015 Notes and not in excess of 0.401% of the principal amount of the 2035 Notes. The underwriters may allow, and the dealers may reallow, a discount not in excess of 0.095% of the principal amount of the 2010 Notes, not in excess of 0.050% of the principal amount of the 2015 Notes and not in excess of 0.250% of the principal amount of the 2035 Notes to other dealers. After the initial public offering, the public offering prices, concessions and discounts may be changed.</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expenses of the offering, not including the underwriting discount, are estimated to be $150,000 and are payable by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right="20" w:firstLine="267"/>
        <w:spacing w:after="0" w:line="297" w:lineRule="auto"/>
        <w:rPr>
          <w:sz w:val="20"/>
          <w:szCs w:val="20"/>
          <w:color w:val="auto"/>
        </w:rPr>
      </w:pPr>
      <w:r>
        <w:rPr>
          <w:rFonts w:ascii="Arial" w:cs="Arial" w:eastAsia="Arial" w:hAnsi="Arial"/>
          <w:sz w:val="16"/>
          <w:szCs w:val="16"/>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in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80" w:lineRule="exact"/>
        <w:rPr>
          <w:sz w:val="20"/>
          <w:szCs w:val="20"/>
          <w:color w:val="auto"/>
        </w:rPr>
      </w:pPr>
    </w:p>
    <w:p>
      <w:pPr>
        <w:ind w:right="280" w:firstLine="270"/>
        <w:spacing w:after="0" w:line="286" w:lineRule="auto"/>
        <w:rPr>
          <w:sz w:val="20"/>
          <w:szCs w:val="20"/>
          <w:color w:val="auto"/>
        </w:rPr>
      </w:pPr>
      <w:r>
        <w:rPr>
          <w:rFonts w:ascii="Arial" w:cs="Arial" w:eastAsia="Arial" w:hAnsi="Arial"/>
          <w:sz w:val="17"/>
          <w:szCs w:val="17"/>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100" w:firstLine="267"/>
        <w:spacing w:after="0" w:line="277"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Stephen B. Burke, our Executive Vice President and Chief Operating Officer and the President of Comcast Cable and Comcast Cable Communications Holdings, is a member of the board of directors of JPMorgan Chase &amp; Co., an affiliate of J.P. Morgan Securities Inc.</w:t>
      </w: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Menlo Park, California. Cahill Gordon &amp; Reindel </w:t>
      </w:r>
      <w:r>
        <w:rPr>
          <w:rFonts w:ascii="Arial" w:cs="Arial" w:eastAsia="Arial" w:hAnsi="Arial"/>
          <w:sz w:val="12"/>
          <w:szCs w:val="12"/>
          <w:color w:val="auto"/>
        </w:rPr>
        <w:t>LLP</w:t>
      </w:r>
      <w:r>
        <w:rPr>
          <w:rFonts w:ascii="Arial" w:cs="Arial" w:eastAsia="Arial" w:hAnsi="Arial"/>
          <w:sz w:val="18"/>
          <w:szCs w:val="18"/>
          <w:color w:val="auto"/>
        </w:rPr>
        <w:t>, New York, New York, is representing the underwriters.</w:t>
      </w:r>
    </w:p>
    <w:p>
      <w:pPr>
        <w:spacing w:after="0" w:line="15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March 26, 2003</w:t>
      </w:r>
    </w:p>
    <w:p>
      <w:pPr>
        <w:spacing w:after="0" w:line="8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$7,000,000,000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91440</wp:posOffset>
            </wp:positionV>
            <wp:extent cx="1440815" cy="368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8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types of securities that we may offer and sell under this prospectus:</w:t>
      </w:r>
    </w:p>
    <w:p>
      <w:pPr>
        <w:spacing w:after="0" w:line="117" w:lineRule="exact"/>
        <w:rPr>
          <w:sz w:val="20"/>
          <w:szCs w:val="20"/>
          <w:color w:val="auto"/>
        </w:rPr>
      </w:pPr>
    </w:p>
    <w:p>
      <w:pPr>
        <w:ind w:left="840" w:hanging="337"/>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Unsecured senior debt securities</w:t>
      </w:r>
    </w:p>
    <w:p>
      <w:pPr>
        <w:spacing w:after="0" w:line="23" w:lineRule="exact"/>
        <w:rPr>
          <w:rFonts w:ascii="Arial" w:cs="Arial" w:eastAsia="Arial" w:hAnsi="Arial"/>
          <w:sz w:val="18"/>
          <w:szCs w:val="18"/>
          <w:color w:val="auto"/>
        </w:rPr>
      </w:pPr>
    </w:p>
    <w:p>
      <w:pPr>
        <w:ind w:left="840" w:hanging="337"/>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Unsecured subordinated debt securities</w:t>
      </w:r>
    </w:p>
    <w:p>
      <w:pPr>
        <w:spacing w:after="0" w:line="9" w:lineRule="exact"/>
        <w:rPr>
          <w:rFonts w:ascii="Arial" w:cs="Arial" w:eastAsia="Arial" w:hAnsi="Arial"/>
          <w:sz w:val="18"/>
          <w:szCs w:val="18"/>
          <w:color w:val="auto"/>
        </w:rPr>
      </w:pPr>
    </w:p>
    <w:p>
      <w:pPr>
        <w:ind w:left="840" w:hanging="337"/>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840" w:hanging="337"/>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9" w:lineRule="exact"/>
        <w:rPr>
          <w:rFonts w:ascii="Arial" w:cs="Arial" w:eastAsia="Arial" w:hAnsi="Arial"/>
          <w:sz w:val="18"/>
          <w:szCs w:val="18"/>
          <w:color w:val="auto"/>
        </w:rPr>
      </w:pPr>
    </w:p>
    <w:p>
      <w:pPr>
        <w:ind w:left="840" w:hanging="337"/>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840" w:hanging="337"/>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840" w:hanging="337"/>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840" w:hanging="337"/>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 A Common Stock</w:t>
      </w:r>
    </w:p>
    <w:p>
      <w:pPr>
        <w:spacing w:after="0" w:line="9" w:lineRule="exact"/>
        <w:rPr>
          <w:rFonts w:ascii="Arial" w:cs="Arial" w:eastAsia="Arial" w:hAnsi="Arial"/>
          <w:sz w:val="18"/>
          <w:szCs w:val="18"/>
          <w:color w:val="auto"/>
        </w:rPr>
      </w:pPr>
    </w:p>
    <w:p>
      <w:pPr>
        <w:ind w:left="840" w:hanging="337"/>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 A Special Common Stock</w:t>
      </w:r>
    </w:p>
    <w:p>
      <w:pPr>
        <w:spacing w:after="0" w:line="103"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wholly-owned cable subsidiaries named in this prospectus.</w:t>
      </w:r>
    </w:p>
    <w:p>
      <w:pPr>
        <w:spacing w:after="0" w:line="62"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Our Class A Common Stock and Class A Special Common Stock are quoted on The Nasdaq National Market System under the ticker symbols “CMCSA” and “CMCSK”. On March 24, 2003, the reported last sale prices on The Nasdaq National Market System for our Class A Common Stock and our Class A Special Common Stock were $28.61 and $27.50.</w:t>
      </w:r>
    </w:p>
    <w:p>
      <w:pPr>
        <w:spacing w:after="0" w:line="73" w:lineRule="exact"/>
        <w:rPr>
          <w:sz w:val="20"/>
          <w:szCs w:val="20"/>
          <w:color w:val="auto"/>
        </w:rPr>
      </w:pPr>
    </w:p>
    <w:p>
      <w:pPr>
        <w:ind w:right="80" w:firstLine="447"/>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62" w:lineRule="exact"/>
        <w:rPr>
          <w:sz w:val="20"/>
          <w:szCs w:val="20"/>
          <w:color w:val="auto"/>
        </w:rPr>
      </w:pPr>
    </w:p>
    <w:p>
      <w:pPr>
        <w:ind w:left="800" w:hanging="33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Maturity</w:t>
      </w:r>
    </w:p>
    <w:p>
      <w:pPr>
        <w:spacing w:after="0" w:line="23" w:lineRule="exact"/>
        <w:rPr>
          <w:rFonts w:ascii="Arial" w:cs="Arial" w:eastAsia="Arial" w:hAnsi="Arial"/>
          <w:sz w:val="18"/>
          <w:szCs w:val="18"/>
          <w:color w:val="auto"/>
        </w:rPr>
      </w:pPr>
    </w:p>
    <w:p>
      <w:pPr>
        <w:ind w:left="800" w:hanging="33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Sinking fund terms</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of payments</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Dividends</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Redemption terms</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Listing on a securities exchange</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payable at maturity</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Conversion or exchange rights</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Liquidation amount</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Subsidiary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Investing in the securities involves risks that are described under the caption “Risk Factors” beginning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right="40" w:firstLine="450"/>
        <w:spacing w:after="0" w:line="282"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ind w:right="200" w:firstLine="447"/>
        <w:spacing w:after="0" w:line="264"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date of this prospectus is March 26,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408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08432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20" w:type="dxa"/>
            <w:vAlign w:val="bottom"/>
          </w:tcPr>
          <w:p>
            <w:pPr>
              <w:ind w:left="502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1062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2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Summary</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Risk Factors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Special Note Regarding Forward-Looking Statements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Use of Proceeds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Ratios of Earnings to Fixed Charges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Combined Fixed Charges and Preferred Dividends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Unaudited Pro Forma Combined Condensed Statement of Operations of Comcast Corporation</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the Senior Debt Securities, Subordinated Debt Securities and Cable Guarantees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Purchase Contracts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Description of Units</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Global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Description of Preferred Stock</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Depositary Shares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Description of Common Stock</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Shareholder Rights Plan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Plan of Distribution</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Experts</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Available Information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0"/>
                <w:szCs w:val="20"/>
                <w:color w:val="auto"/>
              </w:rPr>
            </w:pPr>
          </w:p>
        </w:tc>
      </w:tr>
    </w:tbl>
    <w:p>
      <w:pPr>
        <w:spacing w:after="0" w:line="133" w:lineRule="exact"/>
        <w:rPr>
          <w:sz w:val="20"/>
          <w:szCs w:val="20"/>
          <w:color w:val="auto"/>
        </w:rPr>
      </w:pPr>
    </w:p>
    <w:p>
      <w:pPr>
        <w:jc w:val="both"/>
        <w:ind w:right="340" w:firstLine="267"/>
        <w:spacing w:after="0" w:line="264" w:lineRule="auto"/>
        <w:rPr>
          <w:sz w:val="20"/>
          <w:szCs w:val="20"/>
          <w:color w:val="auto"/>
        </w:rPr>
      </w:pPr>
      <w:r>
        <w:rPr>
          <w:rFonts w:ascii="Arial" w:cs="Arial" w:eastAsia="Arial" w:hAnsi="Arial"/>
          <w:sz w:val="18"/>
          <w:szCs w:val="18"/>
          <w:color w:val="auto"/>
        </w:rPr>
        <w:t>We refer to Comcast Corporation in this prospectus as “Comcast” or “we,” “us,” “our” or comparable terms and to Comcast Holdings Corporation as “Comcast Holdings.” We refer to Comcast Cable Communications, Inc., Comcast Cable Communications Holdings, Inc., Comcast Cable Holdings, LLC, Comcast MO Group, Inc. and Comcast MO of Delaware, Inc. collectively as the “Cable Guarantors.”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COMPANIES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right="100" w:firstLine="267"/>
        <w:spacing w:after="0" w:line="264" w:lineRule="auto"/>
        <w:rPr>
          <w:sz w:val="20"/>
          <w:szCs w:val="20"/>
          <w:color w:val="auto"/>
        </w:rPr>
      </w:pPr>
      <w:r>
        <w:rPr>
          <w:rFonts w:ascii="Arial" w:cs="Arial" w:eastAsia="Arial" w:hAnsi="Arial"/>
          <w:sz w:val="18"/>
          <w:szCs w:val="18"/>
          <w:color w:val="auto"/>
        </w:rPr>
        <w:t>We were incorporated in 2001 under the name AT&amp;T Comcast Corporation to effect the acquisition of the broadband business of AT&amp;T Corp, which we refer to as “Broadband.” The acquisition, which we refer to as the “Broadband acquisition,” was consummated on November 18, 2002. On November 18, 2002, we changed our name to Comcast Corporation.</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are involved in three principal lines of business:</w:t>
      </w:r>
    </w:p>
    <w:p>
      <w:pPr>
        <w:spacing w:after="0" w:line="117" w:lineRule="exact"/>
        <w:rPr>
          <w:sz w:val="20"/>
          <w:szCs w:val="20"/>
          <w:color w:val="auto"/>
        </w:rPr>
      </w:pPr>
    </w:p>
    <w:p>
      <w:pPr>
        <w:ind w:left="820" w:right="160" w:hanging="461"/>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Cable—through the development, management and operation of broadband communications networks, including video, high-speed Internet and phone service,</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Commerce—through QVC, our electronic retailing subsidiary, and</w:t>
      </w:r>
    </w:p>
    <w:p>
      <w:pPr>
        <w:spacing w:after="0" w:line="130" w:lineRule="exact"/>
        <w:rPr>
          <w:rFonts w:ascii="Arial" w:cs="Arial" w:eastAsia="Arial" w:hAnsi="Arial"/>
          <w:sz w:val="18"/>
          <w:szCs w:val="18"/>
          <w:color w:val="auto"/>
        </w:rPr>
      </w:pPr>
    </w:p>
    <w:p>
      <w:pPr>
        <w:ind w:left="820" w:right="460" w:hanging="461"/>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Content—through our consolidated programming investments, including, Comcast Spectacor, Comcast SportsNet, Comcast SportsNet Mid-Atlantic, Cable Sports Southeast, E! Entertainment Television, Style, The Golf Channel, Outdoor Life Network, G4, and through our other programming investments.</w:t>
      </w:r>
    </w:p>
    <w:p>
      <w:pPr>
        <w:spacing w:after="0" w:line="73" w:lineRule="exact"/>
        <w:rPr>
          <w:sz w:val="20"/>
          <w:szCs w:val="20"/>
          <w:color w:val="auto"/>
        </w:rPr>
      </w:pPr>
    </w:p>
    <w:p>
      <w:pPr>
        <w:ind w:right="40" w:firstLine="260"/>
        <w:spacing w:after="0" w:line="293" w:lineRule="auto"/>
        <w:rPr>
          <w:sz w:val="20"/>
          <w:szCs w:val="20"/>
          <w:color w:val="auto"/>
        </w:rPr>
      </w:pPr>
      <w:r>
        <w:rPr>
          <w:rFonts w:ascii="Arial" w:cs="Arial" w:eastAsia="Arial" w:hAnsi="Arial"/>
          <w:sz w:val="16"/>
          <w:szCs w:val="16"/>
          <w:color w:val="auto"/>
        </w:rPr>
        <w:t>As a result of the Broadband acquisition, we are the largest cable operator in the United States. We have deployed digital cable and high-speed Internet service to the substantial majority of our cable systems. As of December 31, 2002, our consolidated cable operations served 21.3 million subscribers in 41 states, passed 39.1 million homes, and provided digital cable to more than 6.6 million subscribers, high-speed Internet to more than 3.6 million subscribers and phone service to more than 1.4 million subscribers. The Broadband acquisition contributed approximately 60% of these subscribers, 64% of these homes passed, 66% of the digital cable subscribers, 58% of the high-speed Internet subscribers and 97% of the phone subscribers. We expect to make substantial capital expenditures over the next two years to complete the upgrade and rebuild of the newly acquired cable systems.</w:t>
      </w:r>
    </w:p>
    <w:p>
      <w:pPr>
        <w:spacing w:after="0" w:line="57" w:lineRule="exact"/>
        <w:rPr>
          <w:sz w:val="20"/>
          <w:szCs w:val="20"/>
          <w:color w:val="auto"/>
        </w:rPr>
      </w:pPr>
    </w:p>
    <w:p>
      <w:pPr>
        <w:jc w:val="both"/>
        <w:ind w:right="100" w:firstLine="267"/>
        <w:spacing w:after="0" w:line="264" w:lineRule="auto"/>
        <w:rPr>
          <w:sz w:val="20"/>
          <w:szCs w:val="20"/>
          <w:color w:val="auto"/>
        </w:rPr>
      </w:pPr>
      <w:r>
        <w:rPr>
          <w:rFonts w:ascii="Arial" w:cs="Arial" w:eastAsia="Arial" w:hAnsi="Arial"/>
          <w:sz w:val="18"/>
          <w:szCs w:val="18"/>
          <w:color w:val="auto"/>
        </w:rPr>
        <w:t>Through QVC, we market a wide variety of products directly to consumers primarily on merchandise-focused television programs. As of December 31, 2002, QVC was available, on a full and part-time basis, to 85.9 million homes in the United States, 11.4 million homes in the United Kingdom, 25.8 million homes in Germany and 8.4 million homes in Japan.</w:t>
      </w:r>
    </w:p>
    <w:p>
      <w:pPr>
        <w:spacing w:after="0" w:line="73"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w:t>
      </w:r>
    </w:p>
    <w:p>
      <w:pPr>
        <w:spacing w:after="0" w:line="73" w:lineRule="exact"/>
        <w:rPr>
          <w:sz w:val="20"/>
          <w:szCs w:val="20"/>
          <w:color w:val="auto"/>
        </w:rPr>
      </w:pPr>
    </w:p>
    <w:p>
      <w:pPr>
        <w:ind w:right="140" w:firstLine="267"/>
        <w:spacing w:after="0" w:line="264" w:lineRule="auto"/>
        <w:rPr>
          <w:sz w:val="20"/>
          <w:szCs w:val="20"/>
          <w:color w:val="auto"/>
        </w:rPr>
      </w:pPr>
      <w:r>
        <w:rPr>
          <w:rFonts w:ascii="Arial" w:cs="Arial" w:eastAsia="Arial" w:hAnsi="Arial"/>
          <w:sz w:val="18"/>
          <w:szCs w:val="18"/>
          <w:color w:val="auto"/>
        </w:rPr>
        <w:t xml:space="preserve">We are a Pennsylvania corporation incorporated in 2001. Our principal executive office is located at 1500 Market Street, Philadelphia, Pennsylvania 19102-2148. Our telephone number is (215) 665-1700. The address of our web site is </w:t>
      </w:r>
      <w:r>
        <w:rPr>
          <w:rFonts w:ascii="Arial" w:cs="Arial" w:eastAsia="Arial" w:hAnsi="Arial"/>
          <w:sz w:val="18"/>
          <w:szCs w:val="18"/>
          <w:i w:val="1"/>
          <w:iCs w:val="1"/>
          <w:color w:val="auto"/>
        </w:rPr>
        <w:t>www.comcast.com</w:t>
      </w:r>
      <w:r>
        <w:rPr>
          <w:rFonts w:ascii="Arial" w:cs="Arial" w:eastAsia="Arial" w:hAnsi="Arial"/>
          <w:sz w:val="18"/>
          <w:szCs w:val="18"/>
          <w:color w:val="auto"/>
        </w:rPr>
        <w:t>. The information on our web site is not part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121" w:lineRule="exact"/>
        <w:rPr>
          <w:sz w:val="20"/>
          <w:szCs w:val="20"/>
          <w:color w:val="auto"/>
        </w:rPr>
      </w:pPr>
    </w:p>
    <w:p>
      <w:pPr>
        <w:ind w:right="60" w:firstLine="270"/>
        <w:spacing w:after="0" w:line="302"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If indicated in the relevant prospectus supplement, our obligations under the other securities we are offering and selling may be fully and unconditionally guaranteed by specified cable guarantors.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7" w:lineRule="exact"/>
        <w:rPr>
          <w:sz w:val="20"/>
          <w:szCs w:val="20"/>
          <w:color w:val="auto"/>
        </w:rPr>
      </w:pPr>
    </w:p>
    <w:p>
      <w:pPr>
        <w:ind w:left="820" w:hanging="461"/>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Cable Communications, Inc.</w:t>
      </w:r>
    </w:p>
    <w:p>
      <w:pPr>
        <w:spacing w:after="0" w:line="117" w:lineRule="exact"/>
        <w:rPr>
          <w:sz w:val="20"/>
          <w:szCs w:val="20"/>
          <w:color w:val="auto"/>
        </w:rPr>
      </w:pPr>
    </w:p>
    <w:p>
      <w:pPr>
        <w:ind w:right="440" w:firstLine="270"/>
        <w:spacing w:after="0" w:line="277" w:lineRule="auto"/>
        <w:rPr>
          <w:sz w:val="20"/>
          <w:szCs w:val="20"/>
          <w:color w:val="auto"/>
        </w:rPr>
      </w:pPr>
      <w:r>
        <w:rPr>
          <w:rFonts w:ascii="Arial" w:cs="Arial" w:eastAsia="Arial" w:hAnsi="Arial"/>
          <w:sz w:val="18"/>
          <w:szCs w:val="18"/>
          <w:color w:val="auto"/>
        </w:rPr>
        <w:t>Comcast Cable is a Delaware corporation incorporated in 1981 and our indirect wholly-owned subsidiary. As of December 31, 2002, Comcast Cable served approximately 8.5 million subscribers.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117"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Comcast Cable Communications Holdings is a Delaware corporation incorporated in 2001 and our wholly-owned subsidiary. As of December 31, 2002, Comcast Cable Communications Holdings served approximately 12.8 million subscribers.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117"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Comcast Cable Holdings is a Delaware limited liability company formed in 1994. Comcast Cable Holdings is a wholly-owned subsidiary of Comcast Cable Communications Holdings.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117" w:lineRule="exact"/>
        <w:rPr>
          <w:sz w:val="20"/>
          <w:szCs w:val="20"/>
          <w:color w:val="auto"/>
        </w:rPr>
      </w:pPr>
    </w:p>
    <w:p>
      <w:pPr>
        <w:ind w:right="1180" w:firstLine="270"/>
        <w:spacing w:after="0" w:line="277" w:lineRule="auto"/>
        <w:rPr>
          <w:sz w:val="20"/>
          <w:szCs w:val="20"/>
          <w:color w:val="auto"/>
        </w:rPr>
      </w:pPr>
      <w:r>
        <w:rPr>
          <w:rFonts w:ascii="Arial" w:cs="Arial" w:eastAsia="Arial" w:hAnsi="Arial"/>
          <w:sz w:val="18"/>
          <w:szCs w:val="18"/>
          <w:color w:val="auto"/>
        </w:rPr>
        <w:t>Comcast MO Group is a Delaware corporation incorporated in 1999. Comcast MO Group is a wholly-owned subsidiary of Comcast Cable Communications Holdings.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MO of Delaware, Inc.</w:t>
      </w:r>
    </w:p>
    <w:p>
      <w:pPr>
        <w:spacing w:after="0" w:line="117"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Comcast MO of Delaware is a Delaware Corporation incorporated in 1996. Comcast MO of Delaware is an indirect wholly-owned subsidiary of Comcast MO Group.</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Broadband Acquisition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fail to realize the anticipated benefits of the Broadband acquisition.</w:t>
      </w:r>
    </w:p>
    <w:p>
      <w:pPr>
        <w:spacing w:after="0" w:line="117" w:lineRule="exact"/>
        <w:rPr>
          <w:sz w:val="20"/>
          <w:szCs w:val="20"/>
          <w:color w:val="auto"/>
        </w:rPr>
      </w:pPr>
    </w:p>
    <w:p>
      <w:pPr>
        <w:ind w:right="100" w:firstLine="267"/>
        <w:spacing w:after="0" w:line="293" w:lineRule="auto"/>
        <w:rPr>
          <w:sz w:val="20"/>
          <w:szCs w:val="20"/>
          <w:color w:val="auto"/>
        </w:rPr>
      </w:pPr>
      <w:r>
        <w:rPr>
          <w:rFonts w:ascii="Arial" w:cs="Arial" w:eastAsia="Arial" w:hAnsi="Arial"/>
          <w:sz w:val="16"/>
          <w:szCs w:val="16"/>
          <w:color w:val="auto"/>
        </w:rPr>
        <w:t>The Broadband acquisition combined two companies that have previously operated separately. We expect to realize cost savings and other financial and operating benefits as a result of the Broadband acquisition. However, we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Cable and Comcast Cable Communications Holdings will also require substantial attention from management. The diversion of management attention and any difficulties associated with integrating Comcast Cable and Comcast Cable Communications Holdings could have a material adverse effect on our operating results.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have to abide by restrictions to preserve the tax treatment of the Broadband acquisition.</w:t>
      </w:r>
    </w:p>
    <w:p>
      <w:pPr>
        <w:spacing w:after="0" w:line="117" w:lineRule="exact"/>
        <w:rPr>
          <w:sz w:val="20"/>
          <w:szCs w:val="20"/>
          <w:color w:val="auto"/>
        </w:rPr>
      </w:pPr>
    </w:p>
    <w:p>
      <w:pPr>
        <w:ind w:right="100" w:firstLine="270"/>
        <w:spacing w:after="0" w:line="312" w:lineRule="auto"/>
        <w:rPr>
          <w:sz w:val="20"/>
          <w:szCs w:val="20"/>
          <w:color w:val="auto"/>
        </w:rPr>
      </w:pPr>
      <w:r>
        <w:rPr>
          <w:rFonts w:ascii="Arial" w:cs="Arial" w:eastAsia="Arial" w:hAnsi="Arial"/>
          <w:sz w:val="16"/>
          <w:szCs w:val="16"/>
          <w:color w:val="auto"/>
        </w:rPr>
        <w:t>In order to preserve the treatment of the Broadband acquisition as tax-free, our ability to redeem stock or issue equity securities will be limited through December 2004. As of December 31, 2002, we had the ability to issue at least 250 million shares of our common stock without affecting the tax treatment of the Broadband acquisition. These restrictions may limit our ability to issue equity securities to satisfy our financing needs or to acquire businesses or assets.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and our subsidiaries have significant debt and debt-like obligations and may not maintain investment-grade credit ratings.</w:t>
      </w:r>
    </w:p>
    <w:p>
      <w:pPr>
        <w:spacing w:after="0" w:line="117" w:lineRule="exact"/>
        <w:rPr>
          <w:sz w:val="20"/>
          <w:szCs w:val="20"/>
          <w:color w:val="auto"/>
        </w:rPr>
      </w:pPr>
    </w:p>
    <w:p>
      <w:pPr>
        <w:jc w:val="both"/>
        <w:ind w:firstLine="267"/>
        <w:spacing w:after="0" w:line="255" w:lineRule="auto"/>
        <w:rPr>
          <w:sz w:val="20"/>
          <w:szCs w:val="20"/>
          <w:color w:val="auto"/>
        </w:rPr>
      </w:pPr>
      <w:r>
        <w:rPr>
          <w:rFonts w:ascii="Arial" w:cs="Arial" w:eastAsia="Arial" w:hAnsi="Arial"/>
          <w:sz w:val="18"/>
          <w:szCs w:val="18"/>
          <w:color w:val="auto"/>
        </w:rPr>
        <w:t>We and our subsidiaries have a significant amount of debt and debt-like obligations. Our credit rating and the credit ratings of our subsidiaries may in the future be lower than the current or historical credit ratings of Comcast Holdings, Comcast Cable Communications Holdings and their respective subsidiaries. In addition, it is possible that we or any of our subsidiaries that issue debt may not obtain or maintain an investment-grade credit rating. Differences in credit ratings would affect the interest rates charged on financings, as well as the amounts of indebtedness, types of financing structures and debt markets that may be available to us and our subsidiaries. A downgrade in our or any of our subsidiaries’ existing credit ratings or failure by us and our subsidiaries to maintain investment-grade credit ratings could have a material adverse effect on our operating results, our ability to obtain additional financing, and on the value of our common stock.</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Atypical governance arrangements may make it more difficult for our shareholders to act.</w:t>
      </w:r>
    </w:p>
    <w:p>
      <w:pPr>
        <w:spacing w:after="0" w:line="117" w:lineRule="exact"/>
        <w:rPr>
          <w:sz w:val="20"/>
          <w:szCs w:val="20"/>
          <w:color w:val="auto"/>
        </w:rPr>
      </w:pPr>
    </w:p>
    <w:p>
      <w:pPr>
        <w:ind w:right="120" w:firstLine="270"/>
        <w:spacing w:after="0" w:line="270" w:lineRule="auto"/>
        <w:rPr>
          <w:sz w:val="20"/>
          <w:szCs w:val="20"/>
          <w:color w:val="auto"/>
        </w:rPr>
      </w:pPr>
      <w:r>
        <w:rPr>
          <w:rFonts w:ascii="Arial" w:cs="Arial" w:eastAsia="Arial" w:hAnsi="Arial"/>
          <w:sz w:val="17"/>
          <w:szCs w:val="17"/>
          <w:color w:val="auto"/>
        </w:rPr>
        <w:t>In connection with the Broadband acquisition, we implemented a number of governance arrangements that are atypical for a large, publicly held corporation. A number of these arrangements relate to the election of our Board. The term of our Board will not expire until our 2004 annual meeting of shareholders. Since our shareholders will not have the right to call special meetings of shareholders or act by written consent and our directors may be removed only for cause, our shareholders will not be able to replace our initial Board members prior to that meeting. After our 2004 annual meeting of shareholders, our directors will be elected annually. Even then, however, it will be difficult for one of our shareholders, other than BRCC Holdings LLC, to elect a slate of directors of its own choosing to our Board. Brian L. Roberts, our President and Chief Executive Officer, through his control of BRCC Holdings LLC, holds a 33</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nondilutable voting interest in our stock. In addition, we adopted a shareholder rights plan upon completion of the Broadband acquisition that prevents any holder of our stock, other than any holder of our Class B common stock or any of such holder’s affiliates, from acquiring our stock representing more than 10% of the voting power with respect to us without the approval of our Board.</w:t>
      </w:r>
    </w:p>
    <w:p>
      <w:pPr>
        <w:spacing w:after="0" w:line="74" w:lineRule="exact"/>
        <w:rPr>
          <w:sz w:val="20"/>
          <w:szCs w:val="20"/>
          <w:color w:val="auto"/>
        </w:rPr>
      </w:pPr>
    </w:p>
    <w:p>
      <w:pPr>
        <w:ind w:right="560" w:firstLine="270"/>
        <w:spacing w:after="0" w:line="277" w:lineRule="auto"/>
        <w:rPr>
          <w:sz w:val="20"/>
          <w:szCs w:val="20"/>
          <w:color w:val="auto"/>
        </w:rPr>
      </w:pPr>
      <w:r>
        <w:rPr>
          <w:rFonts w:ascii="Arial" w:cs="Arial" w:eastAsia="Arial" w:hAnsi="Arial"/>
          <w:sz w:val="18"/>
          <w:szCs w:val="18"/>
          <w:color w:val="auto"/>
        </w:rPr>
        <w:t>In addition to the governance arrangements relating to our Board, a number of governance arrangements will make it difficult to replace our senior management. Upon completion of the Broadband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acquisition, C. Michael Armstrong, Chairman of the Board and CEO of AT&amp;T, became our Chairman of the Board and Brian L. Roberts, President of Comcast Holdings, became our President and CEO. After the 2005 annual meeting of our shareholders, Brian L. Roberts will also be our Chairman of the Board. Prior to the sixth anniversary of our 2004 annual meeting of shareholders, unless Brian L. Roberts ceases to be our Chairman of the Board or CEO prior to such time, our Chairman of the Board and CEO will be able to be removed only with the approval of at least 75% of our entire Board. This supermajority removal requirement makes it unlikely that C. Michael Armstrong or Brian L. Roberts will be removed from their management positions. Mr. Armstrong has notified us that as of May 7, 2003, the date of our 2003 annual shareholders meeting, he will exercise his election to become non-executive Chairman of the Board of Directors.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principal shareholder has considerable influence over our operations.</w:t>
      </w:r>
    </w:p>
    <w:p>
      <w:pPr>
        <w:spacing w:after="0" w:line="11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Brian L. Roberts has significant control over our operations through his control of BRCC Holdings LLC, which as a result of its ownership of outstanding shares of our Class B common stock holds a nondilutable 33</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of the combined voting power of our stock and also has separate approval rights over certain material transactions involving us. In addition, Brian L. Roberts is our President and CEO and will, together with our Chairman of the Board, comprise the Office of the Chairman, our principal executive deliberative body.</w:t>
      </w:r>
    </w:p>
    <w:p>
      <w:pPr>
        <w:spacing w:after="0" w:line="187" w:lineRule="exact"/>
        <w:rPr>
          <w:sz w:val="20"/>
          <w:szCs w:val="20"/>
          <w:color w:val="auto"/>
        </w:rPr>
      </w:pPr>
    </w:p>
    <w:p>
      <w:pPr>
        <w:ind w:right="560" w:firstLine="225"/>
        <w:spacing w:after="0" w:line="308" w:lineRule="auto"/>
        <w:rPr>
          <w:sz w:val="20"/>
          <w:szCs w:val="20"/>
          <w:color w:val="auto"/>
        </w:rPr>
      </w:pPr>
      <w:r>
        <w:rPr>
          <w:rFonts w:ascii="Arial" w:cs="Arial" w:eastAsia="Arial" w:hAnsi="Arial"/>
          <w:sz w:val="17"/>
          <w:szCs w:val="17"/>
          <w:b w:val="1"/>
          <w:bCs w:val="1"/>
          <w:i w:val="1"/>
          <w:iCs w:val="1"/>
          <w:color w:val="auto"/>
        </w:rPr>
        <w:t>The performance of Broadband prior to the Broadband acquisition may not be representative of the results of Comcast Cable Communications Holdings without the other AT&amp;T businesses and therefore is not a reliable indicator of its future results.</w:t>
      </w:r>
    </w:p>
    <w:p>
      <w:pPr>
        <w:spacing w:after="0" w:line="38" w:lineRule="exact"/>
        <w:rPr>
          <w:sz w:val="20"/>
          <w:szCs w:val="20"/>
          <w:color w:val="auto"/>
        </w:rPr>
      </w:pPr>
    </w:p>
    <w:p>
      <w:pPr>
        <w:ind w:right="260" w:firstLine="270"/>
        <w:spacing w:after="0" w:line="279" w:lineRule="auto"/>
        <w:rPr>
          <w:sz w:val="20"/>
          <w:szCs w:val="20"/>
          <w:color w:val="auto"/>
        </w:rPr>
      </w:pPr>
      <w:r>
        <w:rPr>
          <w:rFonts w:ascii="Arial" w:cs="Arial" w:eastAsia="Arial" w:hAnsi="Arial"/>
          <w:sz w:val="17"/>
          <w:szCs w:val="17"/>
          <w:color w:val="auto"/>
        </w:rPr>
        <w:t>Broadband was a fully integrated business unit of AT&amp;T, and as a result the financial information of Broadband incorporated by reference in this prospectus was derived from the consolidated financial statements and accounting records of AT&amp;T and reflects certain assumptions and allocations. The financial position, results of operations and cash flows of Comcast Cable Communications Holdings without the other AT&amp;T businesses could differ from those that would have resulted had its business operated with the other AT&amp;T businesses.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actual financial position and results of operations may differ significantly and adversely from the pro forma amounts included in this prospectus.</w:t>
      </w:r>
    </w:p>
    <w:p>
      <w:pPr>
        <w:spacing w:after="0" w:line="152" w:lineRule="exact"/>
        <w:rPr>
          <w:sz w:val="20"/>
          <w:szCs w:val="20"/>
          <w:color w:val="auto"/>
        </w:rPr>
      </w:pPr>
    </w:p>
    <w:p>
      <w:pPr>
        <w:ind w:right="320" w:firstLine="270"/>
        <w:spacing w:after="0" w:line="308" w:lineRule="auto"/>
        <w:rPr>
          <w:sz w:val="20"/>
          <w:szCs w:val="20"/>
          <w:color w:val="auto"/>
        </w:rPr>
      </w:pPr>
      <w:r>
        <w:rPr>
          <w:rFonts w:ascii="Arial" w:cs="Arial" w:eastAsia="Arial" w:hAnsi="Arial"/>
          <w:sz w:val="17"/>
          <w:szCs w:val="17"/>
          <w:color w:val="auto"/>
        </w:rPr>
        <w:t>Our actual financial position and results of operations may differ, perhaps significantly and adversely, from the pro forma information included in this prospectus due to a variety of factors, including access to additional information and changes in value not currently identified.</w:t>
      </w:r>
    </w:p>
    <w:p>
      <w:pPr>
        <w:spacing w:after="0" w:line="38"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In addition, in many cases each of Comcast Holdings and Broadband had long-term agreements, in some cases with the same counterparties, for the same services and products, such as programming, billing services and interactive programming guides. It is not clear, in the case of certain services and products, whether each of the existing agreements continues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our actual financial position and results of operations to differ significantly and adversely from those reflected in the pro forma financial information incorporated by reference in this prospectus.</w:t>
      </w:r>
    </w:p>
    <w:p>
      <w:pPr>
        <w:spacing w:after="0" w:line="178"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b w:val="1"/>
          <w:bCs w:val="1"/>
          <w:i w:val="1"/>
          <w:iCs w:val="1"/>
          <w:color w:val="auto"/>
        </w:rPr>
        <w:t>Programming costs are increasing and we may not have the ability to pass these increases on to our subscribers, which would materially adversely affect our cash flow and operating margins.</w:t>
      </w:r>
    </w:p>
    <w:p>
      <w:pPr>
        <w:spacing w:after="0" w:line="62" w:lineRule="exact"/>
        <w:rPr>
          <w:sz w:val="20"/>
          <w:szCs w:val="20"/>
          <w:color w:val="auto"/>
        </w:rPr>
      </w:pPr>
    </w:p>
    <w:p>
      <w:pPr>
        <w:ind w:right="320" w:firstLine="270"/>
        <w:spacing w:after="0" w:line="342" w:lineRule="auto"/>
        <w:rPr>
          <w:sz w:val="20"/>
          <w:szCs w:val="20"/>
          <w:color w:val="auto"/>
        </w:rPr>
      </w:pPr>
      <w:r>
        <w:rPr>
          <w:rFonts w:ascii="Arial" w:cs="Arial" w:eastAsia="Arial" w:hAnsi="Arial"/>
          <w:sz w:val="16"/>
          <w:szCs w:val="16"/>
          <w:color w:val="auto"/>
        </w:rPr>
        <w:t>Programming costs are expected to be our largest single expense item in the foreseeable future. In recent years, the cable and satellite video industries have experienced a rapid increase in the cost of programming, particularly sports programming. This increase is expected to continue, and we may not be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able to pass programming cost increases on to our subscribers. The inability to pass these programming cost increases on to our subscribers would have a material adverse impact on our operating results.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subscribers, may reduce operating margins.</w:t>
      </w:r>
    </w:p>
    <w:p>
      <w:pPr>
        <w:spacing w:after="0" w:line="79" w:lineRule="exact"/>
        <w:rPr>
          <w:sz w:val="20"/>
          <w:szCs w:val="20"/>
          <w:color w:val="auto"/>
        </w:rPr>
      </w:pPr>
    </w:p>
    <w:p>
      <w:pPr>
        <w:ind w:right="120" w:firstLine="267"/>
        <w:spacing w:after="0" w:line="264" w:lineRule="auto"/>
        <w:rPr>
          <w:sz w:val="20"/>
          <w:szCs w:val="20"/>
          <w:color w:val="auto"/>
        </w:rPr>
      </w:pPr>
      <w:r>
        <w:rPr>
          <w:rFonts w:ascii="Arial" w:cs="Arial" w:eastAsia="Arial" w:hAnsi="Arial"/>
          <w:sz w:val="18"/>
          <w:szCs w:val="18"/>
          <w:color w:val="auto"/>
        </w:rPr>
        <w:t>We also expect to be subject to increasing financial and other demands by broadcasters to obtain the required consent for the retransmission of broadcast programming to our subscribers. We cannot predict the financial impact of these negotiations or the effect on our subscribers should we be required to stop offering this programming.</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face a wide range of competition in areas served by our cable systems, which could adversely affect our future results of operations.</w:t>
      </w:r>
    </w:p>
    <w:p>
      <w:pPr>
        <w:spacing w:after="0" w:line="129"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Our cable communications systems compete with a number of different sources which provide news, information and entertainment programming to consumers. We compete directly with program distributors and other companies that use satellites, build competing cable systems in the same communities we serve or otherwise provide programming and other communications services to our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 Additionally, we will be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 In addition, any increase in vacancy rates in multi-dwelling units has historically adversely impacted subscriber levels and is expected to do so in the future. Subscriber levels also have historically demonstrated seasonal fluctuations, particularly in markets that include major universities.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have substantial capital requirements which may require us to obtain additional financing that may be difficult to obtain.</w:t>
      </w:r>
    </w:p>
    <w:p>
      <w:pPr>
        <w:spacing w:after="0" w:line="117"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color w:val="auto"/>
        </w:rPr>
        <w:t>Our future capital expenditures may exceed, perhaps significantly, our net cash provided by operating activities. This may require us to obtain additional financing. We may not be able to obtain or to obtain on favorable terms the capital necessary to fund the substantial capital expenditures described below that are required by our strategy and business plan. A failure to obtain necessary capital or to obtain necessary capital on favorable terms could have a material adverse effect on us and result in the delay, change or abandonment of our development or expansion plans.</w:t>
      </w:r>
    </w:p>
    <w:p>
      <w:pPr>
        <w:spacing w:after="0" w:line="63" w:lineRule="exact"/>
        <w:rPr>
          <w:sz w:val="20"/>
          <w:szCs w:val="20"/>
          <w:color w:val="auto"/>
        </w:rPr>
      </w:pPr>
    </w:p>
    <w:p>
      <w:pPr>
        <w:ind w:firstLine="267"/>
        <w:spacing w:after="0" w:line="271" w:lineRule="auto"/>
        <w:rPr>
          <w:sz w:val="20"/>
          <w:szCs w:val="20"/>
          <w:color w:val="auto"/>
        </w:rPr>
      </w:pPr>
      <w:r>
        <w:rPr>
          <w:rFonts w:ascii="Arial" w:cs="Arial" w:eastAsia="Arial" w:hAnsi="Arial"/>
          <w:sz w:val="17"/>
          <w:szCs w:val="17"/>
          <w:color w:val="auto"/>
        </w:rPr>
        <w:t>We anticipate that we will upgrade a significant portion of our broadband systems over the coming years and make other capital investments, including with respect to our advanced services. During 2003, we expect to incur approximately $4.2 billion of capital expenditures in our cable, commerce and content businesses, including approximately $4 billion for our cable operations. We are expected to incur substantial capital expenditures in the years subsequent to 2003. However, the actual amount of the funds required for capital expenditures cannot be determined with precision at this time. Capital is expected to be used to upgrade and rebuild network systems to expand bandwidth capacity and add two-way capability so that our systems may offer advanced services. In addition, capital expenditures are expected to be used to acquire equipment, such as set-top boxes, cable modems and telephone equipment, and to pay for installation costs for additional video and advanced services customers. There can be no assurance that these amounts will be sufficient to accomplish the planned system upgrades, equipment acquisitions and expansion.</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b w:val="1"/>
          <w:bCs w:val="1"/>
          <w:i w:val="1"/>
          <w:iCs w:val="1"/>
          <w:color w:val="auto"/>
        </w:rPr>
        <w:t>Some of our subsidiaries may be subject to long-term exclusive agreements that may limit their future operating flexibility and materially adversely affect our financial results.</w:t>
      </w:r>
    </w:p>
    <w:p>
      <w:pPr>
        <w:spacing w:after="0" w:line="62"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Some of the entities that became our subsidiaries following the Broadband acquisition may be subject to long-term agreements relating to significant aspects of their operations, including long-term agreements for video programming, audio programming, electronic program guides, billing and other services. The price, terms and conditions of these agreements may not reflect current market terms and if one or more of these arrangements were to continue to apply to any of our subsidiaries, they may materially adversely impact our financial performance.</w:t>
      </w:r>
    </w:p>
    <w:p>
      <w:pPr>
        <w:spacing w:after="0" w:line="79" w:lineRule="exact"/>
        <w:rPr>
          <w:sz w:val="20"/>
          <w:szCs w:val="20"/>
          <w:color w:val="auto"/>
        </w:rPr>
      </w:pPr>
    </w:p>
    <w:p>
      <w:pPr>
        <w:ind w:right="140" w:firstLine="270"/>
        <w:spacing w:after="0" w:line="279" w:lineRule="auto"/>
        <w:rPr>
          <w:sz w:val="20"/>
          <w:szCs w:val="20"/>
          <w:color w:val="auto"/>
        </w:rPr>
      </w:pPr>
      <w:r>
        <w:rPr>
          <w:rFonts w:ascii="Arial" w:cs="Arial" w:eastAsia="Arial" w:hAnsi="Arial"/>
          <w:sz w:val="17"/>
          <w:szCs w:val="17"/>
          <w:color w:val="auto"/>
        </w:rPr>
        <w:t>Comcast Cable Holdings, and Broadband’s subsidiary, Satellite Services, Inc., are parties to an affiliation term sheet with Starz Encore Group LLC, an affiliate of Liberty Media, which extends to 2022 and provided for annual fixed price payments, subject to adjustment for various factors including inflation, and purported to require Broadband to pay two-thirds of Starz Encore Group’s programming costs above levels designated in the term sheet. Excess programming costs that may be payable by us in future years are not presently estimable, and could be significant.</w:t>
      </w:r>
    </w:p>
    <w:p>
      <w:pPr>
        <w:spacing w:after="0" w:line="63" w:lineRule="exact"/>
        <w:rPr>
          <w:sz w:val="20"/>
          <w:szCs w:val="20"/>
          <w:color w:val="auto"/>
        </w:rPr>
      </w:pPr>
    </w:p>
    <w:p>
      <w:pPr>
        <w:ind w:right="100" w:firstLine="270"/>
        <w:spacing w:after="0" w:line="287" w:lineRule="auto"/>
        <w:rPr>
          <w:sz w:val="20"/>
          <w:szCs w:val="20"/>
          <w:color w:val="auto"/>
        </w:rPr>
      </w:pPr>
      <w:r>
        <w:rPr>
          <w:rFonts w:ascii="Arial" w:cs="Arial" w:eastAsia="Arial" w:hAnsi="Arial"/>
          <w:sz w:val="16"/>
          <w:szCs w:val="16"/>
          <w:color w:val="auto"/>
        </w:rPr>
        <w:t>By letter dated May 29, 2001, Broadband disputed the enforceability of the excess programming pass-through provisions of the Starz Encore term sheet and questioned the validity of the term sheet as a whole. Broadband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a lawsuit in Colorado state court seeking payment of alleged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 this standstill agreement, Broadband and Starz Encore settled Starz Encore’s claim for the 2001 excess programming costs, and Broadband agreed to continue to make the standard monthly payments due under the term sheet, with a full reservation of rights with respect to these payments. In connection with the standstill agreement, the court granted a stay on October 30, 2001. The terms of the stay order allowed either party to petition the court to lift the stay after April 30, 2002 and to proceed with the litigation.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65" w:lineRule="exact"/>
        <w:rPr>
          <w:sz w:val="20"/>
          <w:szCs w:val="20"/>
          <w:color w:val="auto"/>
        </w:rPr>
      </w:pPr>
    </w:p>
    <w:p>
      <w:pPr>
        <w:ind w:right="80" w:firstLine="270"/>
        <w:spacing w:after="0" w:line="297" w:lineRule="auto"/>
        <w:rPr>
          <w:sz w:val="20"/>
          <w:szCs w:val="20"/>
          <w:color w:val="auto"/>
        </w:rPr>
      </w:pPr>
      <w:r>
        <w:rPr>
          <w:rFonts w:ascii="Arial" w:cs="Arial" w:eastAsia="Arial" w:hAnsi="Arial"/>
          <w:sz w:val="16"/>
          <w:szCs w:val="16"/>
          <w:color w:val="auto"/>
        </w:rPr>
        <w:t>On November 18, 2002, we filed suit against Starz Encore Group in the United States District Court for the Eastern District of Pennsylvania. We seek a declaratory judgment that, pursuant to our rights under a March 17, 1999 contract with a predecessor of Starz Encore, upon the completion of the Broadband acquisition, that contract now provides the terms under which Starz Encore Group programming is acquired and transmitted by our cable systems. In January 2003, Starz Encore Group filed a motion to dismiss the lawsuit on the grounds that claims asserted by us raised issues of state law that the United States District Court should decline to decide. We have responded contesting these assertions. The motion has been submitted to the Court for decision.</w:t>
      </w:r>
    </w:p>
    <w:p>
      <w:pPr>
        <w:spacing w:after="0" w:line="50"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On January 31, 2003, Starz Encore filed an amended complaint that adds us and Comcast Holdings as defendants and adds new claims against us, Comcast Holdings and Broadband asserting alleged breaches of, and interference with, the standstill agreement relating to the lawsuit filed by us and Comcast Holdings in federal District Court in Pennsylvania and to the defendants’ position that, since the completion of the Broadband acquisition, the March 17, 1999 contract provides the terms under which Starz Encore programming is acquired and transmitted by our cable systems.</w:t>
      </w:r>
    </w:p>
    <w:p>
      <w:pPr>
        <w:spacing w:after="0" w:line="63" w:lineRule="exact"/>
        <w:rPr>
          <w:sz w:val="20"/>
          <w:szCs w:val="20"/>
          <w:color w:val="auto"/>
        </w:rPr>
      </w:pPr>
    </w:p>
    <w:p>
      <w:pPr>
        <w:ind w:right="400" w:firstLine="270"/>
        <w:spacing w:after="0" w:line="259" w:lineRule="auto"/>
        <w:rPr>
          <w:sz w:val="20"/>
          <w:szCs w:val="20"/>
          <w:color w:val="auto"/>
        </w:rPr>
      </w:pPr>
      <w:r>
        <w:rPr>
          <w:rFonts w:ascii="Arial" w:cs="Arial" w:eastAsia="Arial" w:hAnsi="Arial"/>
          <w:sz w:val="18"/>
          <w:szCs w:val="18"/>
          <w:color w:val="auto"/>
        </w:rPr>
        <w:t>On March 3, 2003, Starz Encore filed a motion for leave to file a second amended complaint that would add allegations that Broadband has breached certain joint-marketing obligations under the term sheet and that we and Comcast Holdings have breached certain joint-marketing obligations under the March 17, 1999 contract and other agreements. We, Comcast Holdings and Broadband intend to oppose Starz Encore’s motion for leave to file a second amended complaint and, in light of Starz Encore’s pending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motion for leave to amend, have sought an extension of time from the Court to respond to Starz Encore’s amended complaint.</w:t>
      </w:r>
    </w:p>
    <w:p>
      <w:pPr>
        <w:spacing w:after="0" w:line="117" w:lineRule="exact"/>
        <w:rPr>
          <w:sz w:val="20"/>
          <w:szCs w:val="20"/>
          <w:color w:val="auto"/>
        </w:rPr>
      </w:pPr>
    </w:p>
    <w:p>
      <w:pPr>
        <w:ind w:right="100" w:firstLine="260"/>
        <w:spacing w:after="0" w:line="297" w:lineRule="auto"/>
        <w:rPr>
          <w:sz w:val="20"/>
          <w:szCs w:val="20"/>
          <w:color w:val="auto"/>
        </w:rPr>
      </w:pPr>
      <w:r>
        <w:rPr>
          <w:rFonts w:ascii="Arial" w:cs="Arial" w:eastAsia="Arial" w:hAnsi="Arial"/>
          <w:sz w:val="16"/>
          <w:szCs w:val="16"/>
          <w:color w:val="auto"/>
        </w:rPr>
        <w:t>An entity formerly attributed to Broadband, which is now our subsidiary,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 In the event that either the arbitration or this litigation or the settlement thereof results in the termination of the master agreement, Comcast Cable Communications Holdings may incur significant costs in connection with its replacement of these customer care and billing services and may experience temporary disruptions to its operations.</w:t>
      </w:r>
    </w:p>
    <w:p>
      <w:pPr>
        <w:spacing w:after="0" w:line="50"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breach of the master agreement, a declaration that we are now bound by the master agreement to use CSG as our exclusive provider for certain billing and customer care services, tortious interference with prospective contractual relations, and civil conspiracy. A hearing in the arbitration is scheduled to commence on May 5, 2003.</w:t>
      </w:r>
    </w:p>
    <w:p>
      <w:pPr>
        <w:spacing w:after="0" w:line="64"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On June 21, 2002, CSG filed a lawsuit against Comcast Holdings in federal court in Denver, Colorado asserting claims related to the master agreement and the pending arbitration. On November 4, 2002, CSG withdrew its complaint against Comcast Holdings without prejudice. On November 15, 2002, we initiated a lawsuit against CSG in federal court in Philadelphia, Pennsylvania asserting that cable systems owned by Comcast Holdings are not required to use CSG as a billing service or customer care provider pursuant to the master agreement, and that the former Broadband cable systems we now own may be added to a billing service agreement between us and CSG. CSG moved to dismiss or stay the lawsuit on the ground that the issues raised by the complaint could be wholly or substantially determined by the above-mentioned arbitration. By an order dated February 10, 2003, the Court stayed the lawsuit until further notice.</w:t>
      </w:r>
    </w:p>
    <w:p>
      <w:pPr>
        <w:spacing w:after="0" w:line="81"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On January 8, 2003, Liberty Digital, Inc. filed a complaint in Colorado state court against us and Comcast Cable Holdings, LLC (formerly AT&amp;T Broadband LLC and Tele-Communications, Inc.), our wholly-owned subsidiary. The complaint alleges that Comcast Cable Holdings breached a 1997 “contribution agreement” between Liberty Digital and Comcast Cable Holdings and that we tortiously interfered with that agreement. The complaint alleges that this purported agreement obligates Comcast Cable Holdings to pay fees to Liberty Digital totaling $18 million (increasing at CPI) per year through 2017. We and Comcast Cable Holdings filed our answer to the complaint on March 5, 2003, in which we denied the essential allegations of the complaint and asserted various affirmative defenses.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are subject to regulation by federal, state and local governments which may impose costs and restrictions.</w:t>
      </w:r>
    </w:p>
    <w:p>
      <w:pPr>
        <w:spacing w:after="0" w:line="117"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color w:val="auto"/>
        </w:rPr>
        <w:t>Federal, state and local governments extensively regulate the cable industry. We expect that legislative enactments, courts actions and regulatory proceedings will continue to clarify and in some cases change the rights and obligations of cable companies and other entities under the Communications Act of 1934, as amended, and other laws, possibly in ways that we have not foreseen. The results of these legislative, judicial and administrative actions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us in the future.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b w:val="1"/>
          <w:bCs w:val="1"/>
          <w:i w:val="1"/>
          <w:iCs w:val="1"/>
          <w:color w:val="auto"/>
        </w:rPr>
        <w:t>We are subject to additional regulatory burdens in connection with the provision of telecommunications services, which could cause us to incur additional costs.</w:t>
      </w:r>
    </w:p>
    <w:p>
      <w:pPr>
        <w:spacing w:after="0" w:line="62" w:lineRule="exact"/>
        <w:rPr>
          <w:sz w:val="20"/>
          <w:szCs w:val="20"/>
          <w:color w:val="auto"/>
        </w:rPr>
      </w:pPr>
    </w:p>
    <w:p>
      <w:pPr>
        <w:ind w:right="60" w:firstLine="267"/>
        <w:spacing w:after="0" w:line="264" w:lineRule="auto"/>
        <w:rPr>
          <w:sz w:val="20"/>
          <w:szCs w:val="20"/>
          <w:color w:val="auto"/>
        </w:rPr>
      </w:pPr>
      <w:r>
        <w:rPr>
          <w:rFonts w:ascii="Arial" w:cs="Arial" w:eastAsia="Arial" w:hAnsi="Arial"/>
          <w:sz w:val="18"/>
          <w:szCs w:val="18"/>
          <w:color w:val="auto"/>
        </w:rPr>
        <w:t>We are subject to risks associated with the regulation of our telecommunications services by the Federal Communications Commission, or FCC, and state public utilities commissions, or PUCs. Telecommunications companies generally are subject to significant regulation. This regulation could materially adversely affect our business operations.</w:t>
      </w:r>
    </w:p>
    <w:p>
      <w:pPr>
        <w:spacing w:after="0" w:line="181"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b w:val="1"/>
          <w:bCs w:val="1"/>
          <w:i w:val="1"/>
          <w:iCs w:val="1"/>
          <w:color w:val="auto"/>
        </w:rPr>
        <w:t>We may face increased competition because of technological advances and new regulatory requirements, which could adversely affect our future results of operations.</w:t>
      </w:r>
    </w:p>
    <w:p>
      <w:pPr>
        <w:spacing w:after="0" w:line="62"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Numerous companies, including telephone companies, have introduced Digital Subscriber Line technology, known as DSL, which provides Internet access to subscribers at data transmission speeds substantially greater than that of conventional analog modems. We expect other advances in communications technology, as well as changes in the marketplace, to occur in the future. Other new technologies and services may develop and may compete with services that cable systems offer. The success of these ongoing and future developments could have a negative impact on our business operations. Moreover, in recent years, Congress has enacted legislation and the FCC has adopted regulatory policies intended to provide a favorable operating environment for existing competitors and for potential new competitors to our cable systems.</w:t>
      </w:r>
    </w:p>
    <w:p>
      <w:pPr>
        <w:spacing w:after="0" w:line="85"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color w:val="auto"/>
        </w:rPr>
        <w:t>Ever since high-speed cable Internet service was introduced, some local governments and various competitors sought to impose regulatory requirements on how we deal with third-party Internet service providers, or ISPs. Thus far, only a few local governments have 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Nonetheless, the FCC’s decision remains subject to judicial review, and a decision by a federal appellate court is expected later this year.</w:t>
      </w:r>
    </w:p>
    <w:p>
      <w:pPr>
        <w:spacing w:after="0" w:line="64"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In addition, the FCC itself is still considering whether it should impose any regulatory requirements and also whether local franchising authorities should be permitted to impose fees or other requirements, such as service quality or customer service standards. A few franchising authorities have sued us seeking payment of franchise fees on high-speed Internet service revenues. Further, a number of software and content providers and electronic retailers are now urging the FCC to adopt certain “nondiscrimination principles” that purport to be intended to allow Internet customers access to the Internet content of their choosing (something we already provide). We cannot now predict whether these or similar regulations will be adopted and, if so, what effects, if any, they would have on our business.</w:t>
      </w:r>
    </w:p>
    <w:p>
      <w:pPr>
        <w:spacing w:after="0" w:line="85" w:lineRule="exact"/>
        <w:rPr>
          <w:sz w:val="20"/>
          <w:szCs w:val="20"/>
          <w:color w:val="auto"/>
        </w:rPr>
      </w:pPr>
    </w:p>
    <w:p>
      <w:pPr>
        <w:ind w:right="20" w:firstLine="260"/>
        <w:spacing w:after="0" w:line="255" w:lineRule="auto"/>
        <w:rPr>
          <w:sz w:val="20"/>
          <w:szCs w:val="20"/>
          <w:color w:val="auto"/>
        </w:rPr>
      </w:pPr>
      <w:r>
        <w:rPr>
          <w:rFonts w:ascii="Arial" w:cs="Arial" w:eastAsia="Arial" w:hAnsi="Arial"/>
          <w:sz w:val="18"/>
          <w:szCs w:val="18"/>
          <w:color w:val="auto"/>
        </w:rPr>
        <w:t>A number of cable operators have reached agreements to provide unaffiliated ISPs access to their cable systems in the absence of regulatory requirements. We reached “access” agreements with several national and regional third-party ISPs. In addition, in connection with the restructuring of TWE, we will enter into a three-year non-exclusive access agreement with AOL Time Warner. We also have agreed to offer Microsoft an access agreement on terms no less favorable than those provided to other ISPs with respect to specified cable systems. We cannot provide any assurance, however, that regulatory authorities will not impose “open access” or similar requirements on us as part of an industry-wide requirement. These requirements could adversely affect our results of operations.</w:t>
      </w:r>
    </w:p>
    <w:p>
      <w:pPr>
        <w:spacing w:after="0" w:line="193"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b w:val="1"/>
          <w:bCs w:val="1"/>
          <w:i w:val="1"/>
          <w:iCs w:val="1"/>
          <w:color w:val="auto"/>
        </w:rPr>
        <w:t>We, through Comcast Cable Communications Holdings, have substantial economic interests in joint ventures in which we have limited management rights.</w:t>
      </w:r>
    </w:p>
    <w:p>
      <w:pPr>
        <w:spacing w:after="0" w:line="62"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Comcast Cable Communications Holdings is a partner in several large joint ventures, such as TWE, Texas Cable Partners and Kansas City Cable Partners, in which it has a substantial economic interest but does not have substantial control with regard to management policies or the selection of management. These joint ventures may be managed in a manner contrary to our best interests, and the value of our investment in these joint ventures, through Comcast Cable Communications Holdings, may be affected by management policies that are determined without our input or over our objections. Comcast Cable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Communications Holdings has cable partnerships with each of AOL Time Warner, Insight Communications, Adelphia Communications, Midcontinent and US Cable. Materially adverse financial or other developments with respect to a partner could adversely impact the applicable partnership.</w:t>
      </w:r>
    </w:p>
    <w:p>
      <w:pPr>
        <w:spacing w:after="0" w:line="14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b w:val="1"/>
          <w:bCs w:val="1"/>
          <w:i w:val="1"/>
          <w:iCs w:val="1"/>
          <w:color w:val="auto"/>
        </w:rPr>
        <w:t>We, through Comcast Holdings and Comcast Cable Communications Holdings, face risks arising from their and AT&amp;T’s relationship with At Home Corporation.</w:t>
      </w:r>
    </w:p>
    <w:p>
      <w:pPr>
        <w:spacing w:after="0" w:line="62" w:lineRule="exact"/>
        <w:rPr>
          <w:sz w:val="20"/>
          <w:szCs w:val="20"/>
          <w:color w:val="auto"/>
        </w:rPr>
      </w:pPr>
    </w:p>
    <w:p>
      <w:pPr>
        <w:ind w:right="380" w:firstLine="270"/>
        <w:spacing w:after="0" w:line="264" w:lineRule="auto"/>
        <w:rPr>
          <w:sz w:val="20"/>
          <w:szCs w:val="20"/>
          <w:color w:val="auto"/>
        </w:rPr>
      </w:pPr>
      <w:r>
        <w:rPr>
          <w:rFonts w:ascii="Arial" w:cs="Arial" w:eastAsia="Arial" w:hAnsi="Arial"/>
          <w:sz w:val="18"/>
          <w:szCs w:val="18"/>
          <w:color w:val="auto"/>
        </w:rPr>
        <w:t>Litigation has been filed against us as a result of our alleged conduct with respect to our investment in and distribution relationship with At Home Corporation. At Home was a provider of high-speed Internet access and content services which filed for bankruptcy protection in September 2001. Filed actions are:</w:t>
      </w:r>
    </w:p>
    <w:p>
      <w:pPr>
        <w:spacing w:after="0" w:line="73" w:lineRule="exact"/>
        <w:rPr>
          <w:sz w:val="20"/>
          <w:szCs w:val="20"/>
          <w:color w:val="auto"/>
        </w:rPr>
      </w:pPr>
    </w:p>
    <w:p>
      <w:pPr>
        <w:ind w:left="460" w:hanging="101"/>
        <w:spacing w:after="0" w:line="30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us and the other defendants in connection with transactions agreed to in March 2000 among At Home, us, AT&amp;T and Cox Communications, Inc., an investor in At Home and a former distributor of the At Home service;</w:t>
      </w:r>
    </w:p>
    <w:p>
      <w:pPr>
        <w:spacing w:after="0" w:line="59" w:lineRule="exact"/>
        <w:rPr>
          <w:rFonts w:ascii="Arial" w:cs="Arial" w:eastAsia="Arial" w:hAnsi="Arial"/>
          <w:sz w:val="16"/>
          <w:szCs w:val="16"/>
          <w:color w:val="auto"/>
        </w:rPr>
      </w:pPr>
    </w:p>
    <w:p>
      <w:pPr>
        <w:ind w:left="460" w:right="240" w:hanging="101"/>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class action lawsuits against Comcast Cable Communications, Inc., AT&amp;T and others in the United States District Court for the Southern District of New York, alleging securities law violations and common law fraud in connection with disclosures made by At Home in 2001; and</w:t>
      </w:r>
    </w:p>
    <w:p>
      <w:pPr>
        <w:spacing w:after="0" w:line="51" w:lineRule="exact"/>
        <w:rPr>
          <w:rFonts w:ascii="Arial" w:cs="Arial" w:eastAsia="Arial" w:hAnsi="Arial"/>
          <w:sz w:val="17"/>
          <w:szCs w:val="17"/>
          <w:color w:val="auto"/>
        </w:rPr>
      </w:pPr>
    </w:p>
    <w:p>
      <w:pPr>
        <w:ind w:left="460" w:right="120" w:hanging="101"/>
        <w:spacing w:after="0" w:line="279"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w:t>
      </w:r>
    </w:p>
    <w:p>
      <w:pPr>
        <w:spacing w:after="0" w:line="63"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pacing w:after="0" w:line="79"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Under the terms of the Broadband acquisition, we are contractually liable for 50% of any liabilities of AT&amp;T relating to At Home, including any resulting from any pending or threatened litigation. AT&amp;T will be liable for the other 50% of these liabilities. In addition to the action against AT&amp;T described above, where we are also a defendant, there are two additional actions brought by At Home’s bondholders’ liquidating trust against AT&amp;T, not naming us:</w:t>
      </w:r>
    </w:p>
    <w:p>
      <w:pPr>
        <w:spacing w:after="0" w:line="39" w:lineRule="exact"/>
        <w:rPr>
          <w:sz w:val="20"/>
          <w:szCs w:val="20"/>
          <w:color w:val="auto"/>
        </w:rPr>
      </w:pPr>
    </w:p>
    <w:p>
      <w:pPr>
        <w:ind w:left="460" w:right="520" w:hanging="101"/>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w:t>
      </w:r>
    </w:p>
    <w:p>
      <w:pPr>
        <w:spacing w:after="0" w:line="86"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action filed against AT&amp;T in the District Court for the Northern District of California, alleging that AT&amp;T infringes an At Home patent by using its broadband distribution and high-speed Internet backbone networks and equipment.</w:t>
      </w:r>
    </w:p>
    <w:p>
      <w:pPr>
        <w:spacing w:after="0" w:line="62" w:lineRule="exact"/>
        <w:rPr>
          <w:sz w:val="20"/>
          <w:szCs w:val="20"/>
          <w:color w:val="auto"/>
        </w:rPr>
      </w:pPr>
    </w:p>
    <w:p>
      <w:pPr>
        <w:ind w:right="40" w:firstLine="260"/>
        <w:spacing w:after="0" w:line="264" w:lineRule="auto"/>
        <w:rPr>
          <w:sz w:val="20"/>
          <w:szCs w:val="20"/>
          <w:color w:val="auto"/>
        </w:rPr>
      </w:pPr>
      <w:r>
        <w:rPr>
          <w:rFonts w:ascii="Arial" w:cs="Arial" w:eastAsia="Arial" w:hAnsi="Arial"/>
          <w:sz w:val="18"/>
          <w:szCs w:val="18"/>
          <w:color w:val="auto"/>
        </w:rPr>
        <w:t>AT&amp;T moved to dismiss the Santa Clara action on the grounds that California is an inconvenient forum, but the court denied AT&amp;T’s motion. AT&amp;T also moved to transfer the Northern District of California action to the Southern District of New York as being a more convenient venue. AT&amp;T’s motion is pending.</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267"/>
        <w:spacing w:after="0" w:line="259" w:lineRule="auto"/>
        <w:rPr>
          <w:sz w:val="20"/>
          <w:szCs w:val="20"/>
          <w:color w:val="auto"/>
        </w:rPr>
      </w:pPr>
      <w:r>
        <w:rPr>
          <w:rFonts w:ascii="Arial" w:cs="Arial" w:eastAsia="Arial" w:hAnsi="Arial"/>
          <w:sz w:val="18"/>
          <w:szCs w:val="18"/>
          <w:color w:val="auto"/>
        </w:rPr>
        <w:t>We deny any wrongdoing in connection with the claims which have been made directly against us, our subsidiaries and Brian L. Roberts, and intend to defend all of these claims vigorously. In management’s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79"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Management is continuing to evaluate this litigation and is unable to currently determine what impact, if any, that our 50% share of the At Home potential liabilities would have on our consolidated financial position or results of operations. No assurance can be given that any adverse outcome would not be material.</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Our indentures do not restrict our ability to incur additional indebtedness, which could make our debt securities more risky in the future.</w:t>
      </w:r>
    </w:p>
    <w:p>
      <w:pPr>
        <w:spacing w:after="0" w:line="129" w:lineRule="exact"/>
        <w:rPr>
          <w:sz w:val="20"/>
          <w:szCs w:val="20"/>
          <w:color w:val="auto"/>
        </w:rPr>
      </w:pPr>
    </w:p>
    <w:p>
      <w:pPr>
        <w:ind w:right="100" w:firstLine="260"/>
        <w:spacing w:after="0" w:line="279" w:lineRule="auto"/>
        <w:rPr>
          <w:sz w:val="20"/>
          <w:szCs w:val="20"/>
          <w:color w:val="auto"/>
        </w:rPr>
      </w:pPr>
      <w:r>
        <w:rPr>
          <w:rFonts w:ascii="Arial" w:cs="Arial" w:eastAsia="Arial" w:hAnsi="Arial"/>
          <w:sz w:val="17"/>
          <w:szCs w:val="17"/>
          <w:color w:val="auto"/>
        </w:rPr>
        <w:t>As of December 31, 2002, our consolidated indebtedness was approximately $34.9 billion, of which $34.2 billion was issued by our subsidiaries and was senior to debt obligations at Comcast Corporation. As of December 31, 2002, our consolidated stockholders’ equity was approximately $38.3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63" w:lineRule="exact"/>
        <w:rPr>
          <w:sz w:val="20"/>
          <w:szCs w:val="20"/>
          <w:color w:val="auto"/>
        </w:rPr>
      </w:pPr>
    </w:p>
    <w:p>
      <w:pPr>
        <w:ind w:left="820" w:right="340" w:hanging="461"/>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obtain any necessary financing in the future for working capital, capital expenditures, debt service requirements or other purposes;</w:t>
      </w:r>
    </w:p>
    <w:p>
      <w:pPr>
        <w:spacing w:after="0" w:line="75" w:lineRule="exact"/>
        <w:rPr>
          <w:rFonts w:ascii="Arial" w:cs="Arial" w:eastAsia="Arial" w:hAnsi="Arial"/>
          <w:sz w:val="18"/>
          <w:szCs w:val="18"/>
          <w:color w:val="auto"/>
        </w:rPr>
      </w:pPr>
    </w:p>
    <w:p>
      <w:pPr>
        <w:ind w:left="820" w:right="60" w:hanging="461"/>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the payment of indebtedness and not for other purposes, such as working capital and capital expenditures;</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businesses;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us more indebted than some of our competitors, which may place us at a competitive disadvantage; and</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us more vulnerable to a downturn in our businesses.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securities we are offering may not develop an active public market, which could depress the resale price of the securities.</w:t>
      </w:r>
    </w:p>
    <w:p>
      <w:pPr>
        <w:spacing w:after="0" w:line="117" w:lineRule="exact"/>
        <w:rPr>
          <w:sz w:val="20"/>
          <w:szCs w:val="20"/>
          <w:color w:val="auto"/>
        </w:rPr>
      </w:pPr>
    </w:p>
    <w:p>
      <w:pPr>
        <w:ind w:firstLine="267"/>
        <w:spacing w:after="0" w:line="286" w:lineRule="auto"/>
        <w:rPr>
          <w:sz w:val="20"/>
          <w:szCs w:val="20"/>
          <w:color w:val="auto"/>
        </w:rPr>
      </w:pPr>
      <w:r>
        <w:rPr>
          <w:rFonts w:ascii="Arial" w:cs="Arial" w:eastAsia="Arial" w:hAnsi="Arial"/>
          <w:sz w:val="17"/>
          <w:szCs w:val="17"/>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80" w:right="2860" w:firstLine="2607"/>
        <w:spacing w:after="0" w:line="378" w:lineRule="auto"/>
        <w:rPr>
          <w:sz w:val="20"/>
          <w:szCs w:val="20"/>
          <w:color w:val="auto"/>
        </w:rPr>
      </w:pPr>
      <w:r>
        <w:rPr>
          <w:rFonts w:ascii="Arial" w:cs="Arial" w:eastAsia="Arial" w:hAnsi="Arial"/>
          <w:sz w:val="18"/>
          <w:szCs w:val="18"/>
          <w:b w:val="1"/>
          <w:bCs w:val="1"/>
          <w:color w:val="auto"/>
        </w:rPr>
        <w:t xml:space="preserve">SPECIAL NOTE REGARDING FORWARD-LOOKING STATEMENTS </w:t>
      </w:r>
      <w:r>
        <w:rPr>
          <w:rFonts w:ascii="Arial" w:cs="Arial" w:eastAsia="Arial" w:hAnsi="Arial"/>
          <w:sz w:val="18"/>
          <w:szCs w:val="18"/>
          <w:color w:val="auto"/>
        </w:rPr>
        <w:t>Our businesses may be affected by, among other things:</w:t>
      </w:r>
    </w:p>
    <w:p>
      <w:pPr>
        <w:ind w:left="820" w:hanging="461"/>
        <w:spacing w:after="0"/>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changes in the competitive environment;</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industry consolidation and mergers;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franchise-related matters;</w:t>
      </w:r>
    </w:p>
    <w:p>
      <w:pPr>
        <w:spacing w:after="0" w:line="130" w:lineRule="exact"/>
        <w:rPr>
          <w:rFonts w:ascii="Arial" w:cs="Arial" w:eastAsia="Arial" w:hAnsi="Arial"/>
          <w:sz w:val="18"/>
          <w:szCs w:val="18"/>
          <w:color w:val="auto"/>
        </w:rPr>
      </w:pPr>
    </w:p>
    <w:p>
      <w:pPr>
        <w:ind w:left="820" w:right="660" w:hanging="461"/>
        <w:spacing w:after="0" w:line="277"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market conditions that may adversely affect the availability of debt and equity financing for working capital, capital expenditures or other purposes;</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demand for the programming content we distribute or the willingness of other video program distributors to carry our content; and</w:t>
      </w:r>
    </w:p>
    <w:p>
      <w:pPr>
        <w:spacing w:after="0" w:line="117" w:lineRule="exact"/>
        <w:rPr>
          <w:rFonts w:ascii="Arial" w:cs="Arial" w:eastAsia="Arial" w:hAnsi="Arial"/>
          <w:sz w:val="18"/>
          <w:szCs w:val="18"/>
          <w:color w:val="auto"/>
        </w:rPr>
      </w:pPr>
    </w:p>
    <w:p>
      <w:pPr>
        <w:ind w:left="620" w:hanging="34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17" w:lineRule="exact"/>
        <w:rPr>
          <w:sz w:val="20"/>
          <w:szCs w:val="20"/>
          <w:color w:val="auto"/>
        </w:rPr>
      </w:pPr>
    </w:p>
    <w:p>
      <w:pPr>
        <w:ind w:right="200" w:firstLine="270"/>
        <w:spacing w:after="0" w:line="255" w:lineRule="auto"/>
        <w:rPr>
          <w:sz w:val="20"/>
          <w:szCs w:val="20"/>
          <w:color w:val="auto"/>
        </w:rPr>
      </w:pPr>
      <w:r>
        <w:rPr>
          <w:rFonts w:ascii="Arial" w:cs="Arial" w:eastAsia="Arial" w:hAnsi="Arial"/>
          <w:sz w:val="18"/>
          <w:szCs w:val="18"/>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right="200" w:firstLine="267"/>
        <w:spacing w:after="0" w:line="264"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8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RATIOS OF EARNINGS TO FIXED CHARGES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92"/>
              </w:rPr>
              <w:t>For the Years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vMerge w:val="restart"/>
          </w:tcPr>
          <w:p>
            <w:pPr>
              <w:spacing w:after="0"/>
              <w:rPr>
                <w:sz w:val="20"/>
                <w:szCs w:val="20"/>
                <w:color w:val="auto"/>
              </w:rPr>
            </w:pPr>
            <w:r>
              <w:rPr>
                <w:rFonts w:ascii="Arial" w:cs="Arial" w:eastAsia="Arial" w:hAnsi="Arial"/>
                <w:sz w:val="18"/>
                <w:szCs w:val="18"/>
                <w:color w:val="auto"/>
              </w:rPr>
              <w:t>Comcast(a)</w:t>
            </w:r>
          </w:p>
        </w:tc>
        <w:tc>
          <w:tcPr>
            <w:tcW w:w="60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3"/>
                <w:szCs w:val="13"/>
                <w:color w:val="auto"/>
              </w:rPr>
            </w:pPr>
          </w:p>
        </w:tc>
        <w:tc>
          <w:tcPr>
            <w:tcW w:w="62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2001</w:t>
            </w:r>
          </w:p>
        </w:tc>
        <w:tc>
          <w:tcPr>
            <w:tcW w:w="500" w:type="dxa"/>
            <w:vAlign w:val="bottom"/>
          </w:tcPr>
          <w:p>
            <w:pPr>
              <w:spacing w:after="0"/>
              <w:rPr>
                <w:sz w:val="13"/>
                <w:szCs w:val="13"/>
                <w:color w:val="auto"/>
              </w:rPr>
            </w:pPr>
          </w:p>
        </w:tc>
        <w:tc>
          <w:tcPr>
            <w:tcW w:w="60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2000</w:t>
            </w:r>
          </w:p>
        </w:tc>
        <w:tc>
          <w:tcPr>
            <w:tcW w:w="500" w:type="dxa"/>
            <w:vAlign w:val="bottom"/>
          </w:tcPr>
          <w:p>
            <w:pPr>
              <w:spacing w:after="0"/>
              <w:rPr>
                <w:sz w:val="13"/>
                <w:szCs w:val="13"/>
                <w:color w:val="auto"/>
              </w:rPr>
            </w:pPr>
          </w:p>
        </w:tc>
        <w:tc>
          <w:tcPr>
            <w:tcW w:w="60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1999</w:t>
            </w:r>
          </w:p>
        </w:tc>
        <w:tc>
          <w:tcPr>
            <w:tcW w:w="500" w:type="dxa"/>
            <w:vAlign w:val="bottom"/>
          </w:tcPr>
          <w:p>
            <w:pPr>
              <w:spacing w:after="0"/>
              <w:rPr>
                <w:sz w:val="13"/>
                <w:szCs w:val="13"/>
                <w:color w:val="auto"/>
              </w:rPr>
            </w:pPr>
          </w:p>
        </w:tc>
        <w:tc>
          <w:tcPr>
            <w:tcW w:w="62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1998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1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1.20x</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2.20x</w:t>
            </w:r>
          </w:p>
        </w:tc>
        <w:tc>
          <w:tcPr>
            <w:tcW w:w="50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w w:val="86"/>
              </w:rPr>
              <w:t>5.93x</w:t>
            </w: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3.30x</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5.37x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22466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7" w:lineRule="exact"/>
        <w:rPr>
          <w:sz w:val="20"/>
          <w:szCs w:val="20"/>
          <w:color w:val="auto"/>
        </w:rPr>
      </w:pPr>
    </w:p>
    <w:p>
      <w:pPr>
        <w:ind w:left="360" w:hanging="352"/>
        <w:spacing w:after="0" w:line="257"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became the parent of Comcast Holdings and Comcast Cable Communications Holdings on November 18, 2002 in connection with the consummation of the merger of Comcast Holdings and Comcast Cable Communications Holdings with our subsidiaries. Because Comcast Holdings is our predecessor, our historical ratios are the same as Comcast Holdings’ historical ratios. For purposes of our ratio of earnings to fixed charges, earnings consist of income (loss) from continuing operations before income taxes, cumulative effect of accounting change, minority interest, equity in net (income) losses of affiliates and fixed charges. Fixed charges consist of interest expense.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RATIO OF EARNINGS TO COMBINED FIXED CHARGES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 PREFERRED DIVIDENDS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92"/>
              </w:rPr>
              <w:t>For the Years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vMerge w:val="restart"/>
          </w:tcPr>
          <w:p>
            <w:pPr>
              <w:spacing w:after="0"/>
              <w:rPr>
                <w:sz w:val="20"/>
                <w:szCs w:val="20"/>
                <w:color w:val="auto"/>
              </w:rPr>
            </w:pPr>
            <w:r>
              <w:rPr>
                <w:rFonts w:ascii="Arial" w:cs="Arial" w:eastAsia="Arial" w:hAnsi="Arial"/>
                <w:sz w:val="18"/>
                <w:szCs w:val="18"/>
                <w:color w:val="auto"/>
              </w:rPr>
              <w:t>Comcast(b)</w:t>
            </w:r>
          </w:p>
        </w:tc>
        <w:tc>
          <w:tcPr>
            <w:tcW w:w="60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3"/>
                <w:szCs w:val="13"/>
                <w:color w:val="auto"/>
              </w:rPr>
            </w:pPr>
          </w:p>
        </w:tc>
        <w:tc>
          <w:tcPr>
            <w:tcW w:w="62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2001</w:t>
            </w:r>
          </w:p>
        </w:tc>
        <w:tc>
          <w:tcPr>
            <w:tcW w:w="500" w:type="dxa"/>
            <w:vAlign w:val="bottom"/>
          </w:tcPr>
          <w:p>
            <w:pPr>
              <w:spacing w:after="0"/>
              <w:rPr>
                <w:sz w:val="13"/>
                <w:szCs w:val="13"/>
                <w:color w:val="auto"/>
              </w:rPr>
            </w:pPr>
          </w:p>
        </w:tc>
        <w:tc>
          <w:tcPr>
            <w:tcW w:w="60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2000</w:t>
            </w:r>
          </w:p>
        </w:tc>
        <w:tc>
          <w:tcPr>
            <w:tcW w:w="500" w:type="dxa"/>
            <w:vAlign w:val="bottom"/>
          </w:tcPr>
          <w:p>
            <w:pPr>
              <w:spacing w:after="0"/>
              <w:rPr>
                <w:sz w:val="13"/>
                <w:szCs w:val="13"/>
                <w:color w:val="auto"/>
              </w:rPr>
            </w:pPr>
          </w:p>
        </w:tc>
        <w:tc>
          <w:tcPr>
            <w:tcW w:w="60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1999</w:t>
            </w:r>
          </w:p>
        </w:tc>
        <w:tc>
          <w:tcPr>
            <w:tcW w:w="500" w:type="dxa"/>
            <w:vAlign w:val="bottom"/>
          </w:tcPr>
          <w:p>
            <w:pPr>
              <w:spacing w:after="0"/>
              <w:rPr>
                <w:sz w:val="13"/>
                <w:szCs w:val="13"/>
                <w:color w:val="auto"/>
              </w:rPr>
            </w:pPr>
          </w:p>
        </w:tc>
        <w:tc>
          <w:tcPr>
            <w:tcW w:w="62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1998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1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1.20x</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2.20x</w:t>
            </w:r>
          </w:p>
        </w:tc>
        <w:tc>
          <w:tcPr>
            <w:tcW w:w="500" w:type="dxa"/>
            <w:vAlign w:val="bottom"/>
          </w:tcPr>
          <w:p>
            <w:pPr>
              <w:spacing w:after="0"/>
              <w:rPr>
                <w:sz w:val="19"/>
                <w:szCs w:val="19"/>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w w:val="86"/>
              </w:rPr>
              <w:t>5.77x</w:t>
            </w: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3.20x</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22466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7" w:lineRule="exact"/>
        <w:rPr>
          <w:sz w:val="20"/>
          <w:szCs w:val="20"/>
          <w:color w:val="auto"/>
        </w:rPr>
      </w:pPr>
    </w:p>
    <w:p>
      <w:pPr>
        <w:jc w:val="both"/>
        <w:ind w:left="360" w:hanging="352"/>
        <w:spacing w:after="0" w:line="312" w:lineRule="auto"/>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purposes of calculating our ratios of earnings to combined fixed charges and preferred dividends, earnings consist of income (loss) from continuing operations before income taxes, cumulative effect of accounting change, minority interest, equity in net (income) losses of affiliate and combined fixed charges and preferred dividends. Combined fixed charges and preferred dividends consist of interest expense and preferred dividends.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COMBINED CONDENSED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OPERATIONS OF COMCAST CORPORATION</w:t>
      </w:r>
    </w:p>
    <w:p>
      <w:pPr>
        <w:spacing w:after="0" w:line="103" w:lineRule="exact"/>
        <w:rPr>
          <w:sz w:val="20"/>
          <w:szCs w:val="20"/>
          <w:color w:val="auto"/>
        </w:rPr>
      </w:pPr>
    </w:p>
    <w:p>
      <w:pPr>
        <w:ind w:right="80" w:firstLine="267"/>
        <w:spacing w:after="0" w:line="288" w:lineRule="auto"/>
        <w:rPr>
          <w:sz w:val="20"/>
          <w:szCs w:val="20"/>
          <w:color w:val="auto"/>
        </w:rPr>
      </w:pPr>
      <w:r>
        <w:rPr>
          <w:rFonts w:ascii="Arial" w:cs="Arial" w:eastAsia="Arial" w:hAnsi="Arial"/>
          <w:sz w:val="16"/>
          <w:szCs w:val="16"/>
          <w:color w:val="auto"/>
        </w:rPr>
        <w:t>The following Unaudited Pro Forma Combined Condensed Statement of Operations of Comcast for the year ended December 31, 2002 gives effect to the Broadband acquisition. The pro forma financial statement accounts for the Broadband acquisition under the purchase method of accounting. The consideration to complete the Broadband acquisition was $50,780 million, consisting of $25,495 million of Comcast common stock and options,</w:t>
      </w:r>
    </w:p>
    <w:p>
      <w:pPr>
        <w:spacing w:after="0"/>
        <w:rPr>
          <w:sz w:val="20"/>
          <w:szCs w:val="20"/>
          <w:color w:val="auto"/>
        </w:rPr>
      </w:pPr>
      <w:r>
        <w:rPr>
          <w:rFonts w:ascii="Arial" w:cs="Arial" w:eastAsia="Arial" w:hAnsi="Arial"/>
          <w:sz w:val="18"/>
          <w:szCs w:val="18"/>
          <w:color w:val="auto"/>
        </w:rPr>
        <w:t>$24,860 million of assumed debt and $425 million of transaction costs directly related to the acquisition.</w:t>
      </w:r>
    </w:p>
    <w:p>
      <w:pPr>
        <w:spacing w:after="0" w:line="103"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The estimated fair value of certain assets and liabilities are based on preliminary valuations and are subject to adjustment as additional information is obtained. Our estimates have and will continue to change as final reports from valuation specialists are obtained and additional information becomes available regarding assets acquired and liabilities assumed. Changes in the amounts assigned to acquisition related assets and liabilities may affect the results of operations in future periods.</w:t>
      </w:r>
    </w:p>
    <w:p>
      <w:pPr>
        <w:spacing w:after="0" w:line="79" w:lineRule="exact"/>
        <w:rPr>
          <w:sz w:val="20"/>
          <w:szCs w:val="20"/>
          <w:color w:val="auto"/>
        </w:rPr>
      </w:pPr>
    </w:p>
    <w:p>
      <w:pPr>
        <w:ind w:right="40" w:firstLine="270"/>
        <w:spacing w:after="0" w:line="302" w:lineRule="auto"/>
        <w:rPr>
          <w:sz w:val="20"/>
          <w:szCs w:val="20"/>
          <w:color w:val="auto"/>
        </w:rPr>
      </w:pPr>
      <w:r>
        <w:rPr>
          <w:rFonts w:ascii="Arial" w:cs="Arial" w:eastAsia="Arial" w:hAnsi="Arial"/>
          <w:sz w:val="16"/>
          <w:szCs w:val="16"/>
          <w:color w:val="auto"/>
        </w:rPr>
        <w:t>Management believes that the assumptions used provide a reasonable basis on which to present the unaudited pro forma financial data. Both Comcast Holdings and AT&amp;T Broadband Group have completed other acquisitions and dispositions that are not significant, individually or in the aggregate, and, accordingly, have not been included in the accompanying unaudited pro forma financial data. The unaudited pro forma financial data may not be indicative of the results that would have occurred if the Broadband acquisition had been in effect on the dates indicated or which may be obtained in the future.</w:t>
      </w:r>
    </w:p>
    <w:p>
      <w:pPr>
        <w:spacing w:after="0" w:line="46" w:lineRule="exact"/>
        <w:rPr>
          <w:sz w:val="20"/>
          <w:szCs w:val="20"/>
          <w:color w:val="auto"/>
        </w:rPr>
      </w:pPr>
    </w:p>
    <w:p>
      <w:pPr>
        <w:jc w:val="both"/>
        <w:ind w:firstLine="267"/>
        <w:spacing w:after="0" w:line="264" w:lineRule="auto"/>
        <w:rPr>
          <w:sz w:val="20"/>
          <w:szCs w:val="20"/>
          <w:color w:val="auto"/>
        </w:rPr>
      </w:pPr>
      <w:r>
        <w:rPr>
          <w:rFonts w:ascii="Arial" w:cs="Arial" w:eastAsia="Arial" w:hAnsi="Arial"/>
          <w:sz w:val="18"/>
          <w:szCs w:val="18"/>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incorporated by reference in this prospectus.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UNAUDITED PRO FORMA COMBINED CONDENSED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4"/>
              </w:rPr>
              <w:t>Comcast(a)</w:t>
            </w:r>
          </w:p>
        </w:tc>
        <w:tc>
          <w:tcPr>
            <w:tcW w:w="5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4"/>
                <w:szCs w:val="14"/>
                <w:color w:val="auto"/>
              </w:rPr>
            </w:pPr>
          </w:p>
        </w:tc>
        <w:tc>
          <w:tcPr>
            <w:tcW w:w="11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3"/>
              </w:rPr>
              <w:t>Adjustments(b)</w:t>
            </w:r>
          </w:p>
        </w:tc>
        <w:tc>
          <w:tcPr>
            <w:tcW w:w="4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Broadband(a)</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Comcast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5"/>
          </w:tcPr>
          <w:p>
            <w:pPr>
              <w:jc w:val="right"/>
              <w:ind w:right="400"/>
              <w:spacing w:after="0" w:line="155" w:lineRule="exact"/>
              <w:rPr>
                <w:sz w:val="20"/>
                <w:szCs w:val="20"/>
                <w:color w:val="auto"/>
              </w:rPr>
            </w:pPr>
            <w:r>
              <w:rPr>
                <w:rFonts w:ascii="Arial" w:cs="Arial" w:eastAsia="Arial" w:hAnsi="Arial"/>
                <w:sz w:val="14"/>
                <w:szCs w:val="14"/>
                <w:b w:val="1"/>
                <w:bCs w:val="1"/>
                <w:color w:val="auto"/>
                <w:w w:val="93"/>
              </w:rPr>
              <w:t>(Amounts in millions, except per share amounts)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Service revenues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8,079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8,693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sales from electronic retailing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4,381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12,460</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8,693</w:t>
            </w: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Operating (excluding depreciation)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3,511</w:t>
            </w:r>
          </w:p>
        </w:tc>
        <w:tc>
          <w:tcPr>
            <w:tcW w:w="16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4,612</w:t>
            </w:r>
          </w:p>
        </w:tc>
        <w:tc>
          <w:tcPr>
            <w:tcW w:w="14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Cost of goods sold from electronic retailing</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(excluding depreciation)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2,793</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2,465</w:t>
            </w:r>
          </w:p>
        </w:tc>
        <w:tc>
          <w:tcPr>
            <w:tcW w:w="16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2,411</w:t>
            </w:r>
          </w:p>
        </w:tc>
        <w:tc>
          <w:tcPr>
            <w:tcW w:w="14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1,775</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2,414</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954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and franchise impairment charges(c)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16,525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w w:val="98"/>
              </w:rPr>
              <w:t>Asset impairment, restructuring and other charges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26,206</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37,110</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(17,513)</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8"/>
                <w:szCs w:val="18"/>
                <w:color w:val="auto"/>
              </w:rPr>
              <w:t>(1,306)</w:t>
            </w:r>
          </w:p>
        </w:tc>
        <w:tc>
          <w:tcPr>
            <w:tcW w:w="14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(1,263)</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Equity in net losses of affiliates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(1,005)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income taxes, minority interest, extraordinary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4"/>
              </w:rPr>
              <w:t>items and cumulative effect of accounting change</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(19,643)</w:t>
            </w: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(1,154)</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Income tax (expense) benefit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9"/>
                <w:szCs w:val="19"/>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5,776</w:t>
            </w:r>
          </w:p>
        </w:tc>
        <w:tc>
          <w:tcPr>
            <w:tcW w:w="14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443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6,085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Loss from continuing operations before minority</w:t>
            </w: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3"/>
              </w:rPr>
              <w:t>interest, extraordinary items and cumulative effect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of accounting change</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(13,867)</w:t>
            </w: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(711)</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loss related to equity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619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Minority interest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5"/>
        </w:trPr>
        <w:tc>
          <w:tcPr>
            <w:tcW w:w="42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Loss from continuing operations before</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20"/>
              <w:spacing w:after="0"/>
              <w:rPr>
                <w:sz w:val="20"/>
                <w:szCs w:val="20"/>
                <w:color w:val="auto"/>
              </w:rPr>
            </w:pPr>
            <w:r>
              <w:rPr>
                <w:rFonts w:ascii="Arial" w:cs="Arial" w:eastAsia="Arial" w:hAnsi="Arial"/>
                <w:sz w:val="18"/>
                <w:szCs w:val="18"/>
                <w:b w:val="1"/>
                <w:bCs w:val="1"/>
                <w:color w:val="auto"/>
              </w:rPr>
              <w:t>extraordinary items and cumulative effect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Arial" w:cs="Arial" w:eastAsia="Arial" w:hAnsi="Arial"/>
                <w:sz w:val="18"/>
                <w:szCs w:val="18"/>
                <w:b w:val="1"/>
                <w:bCs w:val="1"/>
                <w:color w:val="auto"/>
              </w:rPr>
              <w:t>accounting change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(276)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540"/>
              <w:spacing w:after="0"/>
              <w:rPr>
                <w:sz w:val="20"/>
                <w:szCs w:val="20"/>
                <w:color w:val="auto"/>
              </w:rPr>
            </w:pPr>
            <w:r>
              <w:rPr>
                <w:rFonts w:ascii="Arial" w:cs="Arial" w:eastAsia="Arial" w:hAnsi="Arial"/>
                <w:sz w:val="18"/>
                <w:szCs w:val="18"/>
                <w:color w:val="auto"/>
              </w:rPr>
              <w:t>(14,742)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63</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(14,955)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from continuing operations — basic</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w w:val="94"/>
              </w:rPr>
              <w:t>Loss per share from continuing operations — assuming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dilution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common shares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 basic</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1,110</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1,189</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Weighted average number of common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outstanding — assuming dilution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1,110</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1,189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Pro Forma Combined Condensed Statement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NOTES TO UNAUDITED PRO FORMA COMBINED CONDENSED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319" w:lineRule="exact"/>
        <w:rPr>
          <w:sz w:val="20"/>
          <w:szCs w:val="20"/>
          <w:color w:val="auto"/>
        </w:rPr>
      </w:pPr>
    </w:p>
    <w:p>
      <w:pPr>
        <w:ind w:left="46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Comcast results include the results of Broadband for the period from November 19, 2002 through December 31, 2002. Historical Broadband results represent Broadband’s results for the period from January 1, 2002 through November 18, 2002. Both the Comcast results and the Historical Broadband results exclude the cable systems serving approximately 317,000 subscribers that have been sold to Bresnan Broadband Holdings and treated as discontinued operations as of the acquisition date.</w:t>
      </w:r>
    </w:p>
    <w:p>
      <w:pPr>
        <w:spacing w:after="0" w:line="9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Adjustments reflect the elimination of intercompany transactions between Comcast Holdings and Broadband, the change in depreciation and amortization expense as a result of recording the related balance sheet amounts at their fair value, the change in interest expense to reflect the effective interest rates for the new borrowings and the fair value of assumed debt, the reclassification of equity in net losses of affiliates to conform to our presentation, the related tax effects of the above adjustments, and the shares issued in the transaction.</w:t>
      </w:r>
    </w:p>
    <w:p>
      <w:pPr>
        <w:spacing w:after="0" w:line="92" w:lineRule="exact"/>
        <w:rPr>
          <w:rFonts w:ascii="Arial" w:cs="Arial" w:eastAsia="Arial" w:hAnsi="Arial"/>
          <w:sz w:val="18"/>
          <w:szCs w:val="18"/>
          <w:color w:val="auto"/>
        </w:rPr>
      </w:pPr>
    </w:p>
    <w:p>
      <w:pPr>
        <w:ind w:left="460" w:right="16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Broadband historical amounts include a $16.5 billion charge incurred in second quarter of 2002 related to the impairment of franchise rights and goodwill. This charge was directly related to the transaction and was based upon the value of Comcast Holdings’ shares to be exchanged in the transaction as compared to the net book value of Broadband at the time of the impairment test.</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SENIOR DEBT SECURITIES,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SUBORDINATED DEBT SECURITIES AND CABLE GUARANTEES</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debt securities, consisting of notes, debentures or other evidences of indebtedness, may be issued from time to time in one or more series:</w:t>
      </w:r>
    </w:p>
    <w:p>
      <w:pPr>
        <w:spacing w:after="0" w:line="129" w:lineRule="exact"/>
        <w:rPr>
          <w:sz w:val="20"/>
          <w:szCs w:val="20"/>
          <w:color w:val="auto"/>
        </w:rPr>
      </w:pPr>
    </w:p>
    <w:p>
      <w:pPr>
        <w:ind w:left="820" w:right="140" w:hanging="461"/>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dated January 7, 2003, as amended, entered into among us, the cable guarantors and The Bank of New York, as trustee; and</w:t>
      </w:r>
    </w:p>
    <w:p>
      <w:pPr>
        <w:spacing w:after="0" w:line="75" w:lineRule="exact"/>
        <w:rPr>
          <w:rFonts w:ascii="Arial" w:cs="Arial" w:eastAsia="Arial" w:hAnsi="Arial"/>
          <w:sz w:val="18"/>
          <w:szCs w:val="18"/>
          <w:color w:val="auto"/>
        </w:rPr>
      </w:pPr>
    </w:p>
    <w:p>
      <w:pPr>
        <w:ind w:left="820" w:right="40" w:hanging="461"/>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as trustee.</w:t>
      </w:r>
    </w:p>
    <w:p>
      <w:pPr>
        <w:spacing w:after="0" w:line="62"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The senior indenture, as amended, is included, and the subordinated indenture will be substantially in the form included, as exhibits to the registration statement of which this prospectus is a part.</w:t>
      </w:r>
    </w:p>
    <w:p>
      <w:pPr>
        <w:spacing w:after="0" w:line="62"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captions “Description of Warrants,” “Description of Common Stock,” “Description of Purchase Contracts” and “Description of Units,” the terms “we,” “us” and “our” mean Comcast Corporation only, and not subsidiaries of Comcast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 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w:t>
      </w:r>
    </w:p>
    <w:p>
      <w:pPr>
        <w:spacing w:after="0" w:line="80" w:lineRule="exact"/>
        <w:rPr>
          <w:sz w:val="20"/>
          <w:szCs w:val="20"/>
          <w:color w:val="auto"/>
        </w:rPr>
      </w:pPr>
    </w:p>
    <w:p>
      <w:pPr>
        <w:ind w:firstLine="267"/>
        <w:spacing w:after="0" w:line="254"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distributing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117" w:lineRule="exact"/>
        <w:rPr>
          <w:sz w:val="20"/>
          <w:szCs w:val="20"/>
          <w:color w:val="auto"/>
        </w:rPr>
      </w:pPr>
    </w:p>
    <w:p>
      <w:pPr>
        <w:ind w:left="820" w:hanging="461"/>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right="420" w:hanging="461"/>
        <w:spacing w:after="0" w:line="264"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86" w:lineRule="exact"/>
        <w:rPr>
          <w:rFonts w:ascii="Arial" w:cs="Arial" w:eastAsia="Arial" w:hAnsi="Arial"/>
          <w:sz w:val="18"/>
          <w:szCs w:val="18"/>
          <w:color w:val="auto"/>
        </w:rPr>
      </w:pPr>
    </w:p>
    <w:p>
      <w:pPr>
        <w:ind w:left="820" w:hanging="461"/>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820" w:right="560" w:hanging="461"/>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820" w:hanging="461"/>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820" w:right="20" w:hanging="461"/>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75" w:lineRule="exact"/>
        <w:rPr>
          <w:rFonts w:ascii="Arial" w:cs="Arial" w:eastAsia="Arial" w:hAnsi="Arial"/>
          <w:sz w:val="18"/>
          <w:szCs w:val="18"/>
          <w:color w:val="auto"/>
        </w:rPr>
      </w:pPr>
    </w:p>
    <w:p>
      <w:pPr>
        <w:ind w:left="820" w:right="180" w:hanging="461"/>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820" w:right="140" w:hanging="461"/>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 and</w:t>
      </w:r>
    </w:p>
    <w:p>
      <w:pPr>
        <w:spacing w:after="0" w:line="75" w:lineRule="exact"/>
        <w:rPr>
          <w:rFonts w:ascii="Arial" w:cs="Arial" w:eastAsia="Arial" w:hAnsi="Arial"/>
          <w:sz w:val="18"/>
          <w:szCs w:val="18"/>
          <w:color w:val="auto"/>
        </w:rPr>
      </w:pPr>
    </w:p>
    <w:p>
      <w:pPr>
        <w:ind w:left="820" w:right="160" w:hanging="461"/>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62" w:lineRule="exact"/>
        <w:rPr>
          <w:sz w:val="20"/>
          <w:szCs w:val="20"/>
          <w:color w:val="auto"/>
        </w:rPr>
      </w:pPr>
    </w:p>
    <w:p>
      <w:pPr>
        <w:jc w:val="both"/>
        <w:ind w:right="80" w:firstLine="263"/>
        <w:spacing w:after="0" w:line="264"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73" w:lineRule="exact"/>
        <w:rPr>
          <w:sz w:val="20"/>
          <w:szCs w:val="20"/>
          <w:color w:val="auto"/>
        </w:rPr>
      </w:pPr>
    </w:p>
    <w:p>
      <w:pPr>
        <w:ind w:right="320" w:firstLine="270"/>
        <w:spacing w:after="0" w:line="259"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79" w:lineRule="exact"/>
        <w:rPr>
          <w:sz w:val="20"/>
          <w:szCs w:val="20"/>
          <w:color w:val="auto"/>
        </w:rPr>
      </w:pPr>
    </w:p>
    <w:p>
      <w:pPr>
        <w:ind w:right="100" w:firstLine="267"/>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117" w:lineRule="exact"/>
        <w:rPr>
          <w:sz w:val="20"/>
          <w:szCs w:val="20"/>
          <w:color w:val="auto"/>
        </w:rPr>
      </w:pPr>
    </w:p>
    <w:p>
      <w:pPr>
        <w:ind w:right="340" w:firstLine="270"/>
        <w:spacing w:after="0" w:line="264"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7" w:lineRule="exact"/>
        <w:rPr>
          <w:sz w:val="20"/>
          <w:szCs w:val="20"/>
          <w:color w:val="auto"/>
        </w:rPr>
      </w:pPr>
    </w:p>
    <w:p>
      <w:pPr>
        <w:ind w:left="820" w:hanging="461"/>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jc w:val="both"/>
        <w:ind w:right="120" w:firstLine="267"/>
        <w:spacing w:after="0" w:line="264"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73" w:lineRule="exact"/>
        <w:rPr>
          <w:sz w:val="20"/>
          <w:szCs w:val="20"/>
          <w:color w:val="auto"/>
        </w:rPr>
      </w:pPr>
    </w:p>
    <w:p>
      <w:pPr>
        <w:ind w:right="80" w:firstLine="267"/>
        <w:spacing w:after="0" w:line="264"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73"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 to secure the payment of our Indebtedness or that of any cable guarantor, unless we secure the outstanding senior debt securities or cable guarantee, as the case may be, equally and ratably with (or prior to) all Indebtedness secured by such Lien, so long as such Indebtedness shall be so secured.</w:t>
      </w:r>
    </w:p>
    <w:p>
      <w:pPr>
        <w:spacing w:after="0" w:line="79"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i w:val="1"/>
          <w:iCs w:val="1"/>
          <w:color w:val="auto"/>
        </w:rPr>
        <w:t xml:space="preserve">Limitation on Sale and Leaseback Transactions. </w:t>
      </w:r>
      <w:r>
        <w:rPr>
          <w:rFonts w:ascii="Arial" w:cs="Arial" w:eastAsia="Arial" w:hAnsi="Arial"/>
          <w:sz w:val="18"/>
          <w:szCs w:val="18"/>
          <w:color w:val="auto"/>
        </w:rPr>
        <w:t>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117" w:lineRule="exact"/>
        <w:rPr>
          <w:sz w:val="20"/>
          <w:szCs w:val="20"/>
          <w:color w:val="auto"/>
        </w:rPr>
      </w:pPr>
    </w:p>
    <w:p>
      <w:pPr>
        <w:ind w:left="820" w:hanging="461"/>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130" w:lineRule="exact"/>
        <w:rPr>
          <w:rFonts w:ascii="Arial" w:cs="Arial" w:eastAsia="Arial" w:hAnsi="Arial"/>
          <w:sz w:val="18"/>
          <w:szCs w:val="18"/>
          <w:color w:val="auto"/>
        </w:rPr>
      </w:pPr>
    </w:p>
    <w:p>
      <w:pPr>
        <w:jc w:val="both"/>
        <w:ind w:left="820" w:right="20" w:hanging="461"/>
        <w:spacing w:after="0" w:line="264"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73" w:lineRule="exact"/>
        <w:rPr>
          <w:sz w:val="20"/>
          <w:szCs w:val="20"/>
          <w:color w:val="auto"/>
        </w:rPr>
      </w:pPr>
    </w:p>
    <w:p>
      <w:pPr>
        <w:ind w:left="1040" w:right="280" w:hanging="451"/>
        <w:spacing w:after="0" w:line="232" w:lineRule="auto"/>
        <w:tabs>
          <w:tab w:leader="none" w:pos="1040"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109" w:lineRule="exact"/>
        <w:rPr>
          <w:rFonts w:ascii="Arial" w:cs="Arial" w:eastAsia="Arial" w:hAnsi="Arial"/>
          <w:sz w:val="22"/>
          <w:szCs w:val="22"/>
          <w:color w:val="auto"/>
        </w:rPr>
      </w:pPr>
    </w:p>
    <w:p>
      <w:pPr>
        <w:ind w:left="1040" w:right="240" w:hanging="451"/>
        <w:spacing w:after="0" w:line="232" w:lineRule="auto"/>
        <w:tabs>
          <w:tab w:leader="none" w:pos="1040"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67"/>
        <w:spacing w:after="0" w:line="277"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58" w:lineRule="exact"/>
        <w:rPr>
          <w:sz w:val="20"/>
          <w:szCs w:val="20"/>
          <w:color w:val="auto"/>
        </w:rPr>
      </w:pPr>
    </w:p>
    <w:p>
      <w:pPr>
        <w:jc w:val="both"/>
        <w:ind w:firstLine="270"/>
        <w:spacing w:after="0" w:line="266" w:lineRule="auto"/>
        <w:rPr>
          <w:sz w:val="20"/>
          <w:szCs w:val="20"/>
          <w:color w:val="auto"/>
        </w:rPr>
      </w:pPr>
      <w:r>
        <w:rPr>
          <w:rFonts w:ascii="Arial" w:cs="Arial" w:eastAsia="Arial" w:hAnsi="Arial"/>
          <w:sz w:val="18"/>
          <w:szCs w:val="18"/>
          <w:b w:val="1"/>
          <w:bCs w:val="1"/>
          <w:color w:val="auto"/>
        </w:rPr>
        <w:t xml:space="preserve">“Capitalized Lease” </w:t>
      </w:r>
      <w:r>
        <w:rPr>
          <w:rFonts w:ascii="Arial" w:cs="Arial" w:eastAsia="Arial" w:hAnsi="Arial"/>
          <w:sz w:val="18"/>
          <w:szCs w:val="18"/>
          <w:color w:val="auto"/>
        </w:rPr>
        <w:t>means, as applied to any person, any lease of any property (whether real, personal, or mixed) of which the discounted present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68" w:lineRule="exact"/>
        <w:rPr>
          <w:sz w:val="20"/>
          <w:szCs w:val="20"/>
          <w:color w:val="auto"/>
        </w:rPr>
      </w:pPr>
    </w:p>
    <w:p>
      <w:pPr>
        <w:ind w:right="60" w:firstLine="270"/>
        <w:spacing w:after="0" w:line="266"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means, with respect to any person, any and all shares, interests, participations, or other equivalents (however designated, whether voting</w:t>
      </w:r>
      <w:r>
        <w:rPr>
          <w:rFonts w:ascii="Arial" w:cs="Arial" w:eastAsia="Arial" w:hAnsi="Arial"/>
          <w:sz w:val="18"/>
          <w:szCs w:val="18"/>
          <w:b w:val="1"/>
          <w:bCs w:val="1"/>
          <w:color w:val="auto"/>
        </w:rPr>
        <w:t xml:space="preserve"> </w:t>
      </w:r>
      <w:r>
        <w:rPr>
          <w:rFonts w:ascii="Arial" w:cs="Arial" w:eastAsia="Arial" w:hAnsi="Arial"/>
          <w:sz w:val="18"/>
          <w:szCs w:val="18"/>
          <w:color w:val="auto"/>
        </w:rPr>
        <w:t>or non-voting) of such person’s capital stock or other ownership interests, whether now outstanding or issued after the date of hereof, including, without limitation, all common stock and preferred stock.</w:t>
      </w:r>
    </w:p>
    <w:p>
      <w:pPr>
        <w:spacing w:after="0" w:line="68" w:lineRule="exact"/>
        <w:rPr>
          <w:sz w:val="20"/>
          <w:szCs w:val="20"/>
          <w:color w:val="auto"/>
        </w:rPr>
      </w:pPr>
    </w:p>
    <w:p>
      <w:pPr>
        <w:ind w:right="140" w:firstLine="270"/>
        <w:spacing w:after="0" w:line="282" w:lineRule="auto"/>
        <w:rPr>
          <w:sz w:val="20"/>
          <w:szCs w:val="20"/>
          <w:color w:val="auto"/>
        </w:rPr>
      </w:pPr>
      <w:r>
        <w:rPr>
          <w:rFonts w:ascii="Arial" w:cs="Arial" w:eastAsia="Arial" w:hAnsi="Arial"/>
          <w:sz w:val="18"/>
          <w:szCs w:val="18"/>
          <w:b w:val="1"/>
          <w:bCs w:val="1"/>
          <w:color w:val="auto"/>
        </w:rPr>
        <w:t xml:space="preserve">“Currency Agreement” </w:t>
      </w:r>
      <w:r>
        <w:rPr>
          <w:rFonts w:ascii="Arial" w:cs="Arial" w:eastAsia="Arial" w:hAnsi="Arial"/>
          <w:sz w:val="18"/>
          <w:szCs w:val="18"/>
          <w:color w:val="auto"/>
        </w:rPr>
        <w:t>means any foreign exchange contract, currency swap agreement, or other similar agreement or arrangement designed to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fluctuation in currency values.</w:t>
      </w:r>
    </w:p>
    <w:p>
      <w:pPr>
        <w:spacing w:after="0" w:line="54" w:lineRule="exact"/>
        <w:rPr>
          <w:sz w:val="20"/>
          <w:szCs w:val="20"/>
          <w:color w:val="auto"/>
        </w:rPr>
      </w:pPr>
    </w:p>
    <w:p>
      <w:pPr>
        <w:ind w:firstLine="270"/>
        <w:spacing w:after="0" w:line="258"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generally accepted accounting principles in the United States of America as in effect as of the date of determination,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76" w:lineRule="exact"/>
        <w:rPr>
          <w:sz w:val="20"/>
          <w:szCs w:val="20"/>
          <w:color w:val="auto"/>
        </w:rPr>
      </w:pPr>
    </w:p>
    <w:p>
      <w:pPr>
        <w:ind w:right="20" w:firstLine="270"/>
        <w:spacing w:after="0" w:line="313" w:lineRule="auto"/>
        <w:rPr>
          <w:sz w:val="20"/>
          <w:szCs w:val="20"/>
          <w:color w:val="auto"/>
        </w:rPr>
      </w:pPr>
      <w:r>
        <w:rPr>
          <w:rFonts w:ascii="Arial" w:cs="Arial" w:eastAsia="Arial" w:hAnsi="Arial"/>
          <w:sz w:val="17"/>
          <w:szCs w:val="17"/>
          <w:b w:val="1"/>
          <w:bCs w:val="1"/>
          <w:color w:val="auto"/>
        </w:rPr>
        <w:t xml:space="preserve">“Guarantee” </w:t>
      </w:r>
      <w:r>
        <w:rPr>
          <w:rFonts w:ascii="Arial" w:cs="Arial" w:eastAsia="Arial" w:hAnsi="Arial"/>
          <w:sz w:val="17"/>
          <w:szCs w:val="17"/>
          <w:color w:val="auto"/>
        </w:rPr>
        <w:t>means any obligation, contingent or otherwise, of any person directly or indirectly guaranteeing any Indebtedness or other obligation of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person and, without limiting the generality of the foregoing, any obligation, direct or indirect, contingent or otherwise, of such person:</w:t>
      </w:r>
    </w:p>
    <w:p>
      <w:pPr>
        <w:spacing w:after="0" w:line="34" w:lineRule="exact"/>
        <w:rPr>
          <w:sz w:val="20"/>
          <w:szCs w:val="20"/>
          <w:color w:val="auto"/>
        </w:rPr>
      </w:pPr>
    </w:p>
    <w:p>
      <w:pPr>
        <w:ind w:left="820" w:right="100" w:hanging="461"/>
        <w:spacing w:after="0" w:line="26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86" w:lineRule="exact"/>
        <w:rPr>
          <w:rFonts w:ascii="Arial" w:cs="Arial" w:eastAsia="Arial" w:hAnsi="Arial"/>
          <w:sz w:val="18"/>
          <w:szCs w:val="18"/>
          <w:color w:val="auto"/>
        </w:rPr>
      </w:pPr>
    </w:p>
    <w:p>
      <w:pPr>
        <w:ind w:left="820" w:right="100" w:hanging="461"/>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term “Guarantee” used as a verb has a corresponding meaning.</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means, with respect to any person at any date of determination (without duplication):</w:t>
      </w:r>
    </w:p>
    <w:p>
      <w:pPr>
        <w:spacing w:after="0" w:line="121" w:lineRule="exact"/>
        <w:rPr>
          <w:sz w:val="20"/>
          <w:szCs w:val="20"/>
          <w:color w:val="auto"/>
        </w:rPr>
      </w:pPr>
    </w:p>
    <w:p>
      <w:pPr>
        <w:ind w:left="820" w:hanging="461"/>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153" w:lineRule="exact"/>
        <w:rPr>
          <w:rFonts w:ascii="Arial" w:cs="Arial" w:eastAsia="Arial" w:hAnsi="Arial"/>
          <w:sz w:val="16"/>
          <w:szCs w:val="16"/>
          <w:color w:val="auto"/>
        </w:rPr>
      </w:pPr>
    </w:p>
    <w:p>
      <w:pPr>
        <w:ind w:left="820" w:right="520" w:hanging="461"/>
        <w:spacing w:after="0" w:line="277"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130" w:lineRule="exact"/>
        <w:rPr>
          <w:rFonts w:ascii="Arial" w:cs="Arial" w:eastAsia="Arial" w:hAnsi="Arial"/>
          <w:sz w:val="18"/>
          <w:szCs w:val="18"/>
          <w:color w:val="auto"/>
        </w:rPr>
      </w:pPr>
    </w:p>
    <w:p>
      <w:pPr>
        <w:ind w:left="820" w:right="380" w:hanging="461"/>
        <w:spacing w:after="0" w:line="277"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62" w:lineRule="exact"/>
        <w:rPr>
          <w:sz w:val="20"/>
          <w:szCs w:val="20"/>
          <w:color w:val="auto"/>
        </w:rPr>
      </w:pPr>
    </w:p>
    <w:p>
      <w:pPr>
        <w:ind w:left="5620" w:right="5420" w:hanging="5031"/>
        <w:spacing w:after="0" w:line="579" w:lineRule="auto"/>
        <w:tabs>
          <w:tab w:leader="none" w:pos="1044" w:val="left"/>
        </w:tabs>
        <w:numPr>
          <w:ilvl w:val="0"/>
          <w:numId w:val="34"/>
        </w:numPr>
        <w:rPr>
          <w:rFonts w:ascii="Arial" w:cs="Arial" w:eastAsia="Arial" w:hAnsi="Arial"/>
          <w:sz w:val="19"/>
          <w:szCs w:val="19"/>
          <w:color w:val="auto"/>
        </w:rPr>
      </w:pPr>
      <w:r>
        <w:rPr>
          <w:rFonts w:ascii="Arial" w:cs="Arial" w:eastAsia="Arial" w:hAnsi="Arial"/>
          <w:sz w:val="16"/>
          <w:szCs w:val="16"/>
          <w:color w:val="auto"/>
        </w:rPr>
        <w:t>the fair market value of such asset at such date of determination; and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040" w:hanging="451"/>
        <w:spacing w:after="0"/>
        <w:tabs>
          <w:tab w:leader="none" w:pos="1040" w:val="left"/>
        </w:tabs>
        <w:numPr>
          <w:ilvl w:val="1"/>
          <w:numId w:val="35"/>
        </w:numPr>
        <w:rPr>
          <w:rFonts w:ascii="Arial" w:cs="Arial" w:eastAsia="Arial" w:hAnsi="Arial"/>
          <w:sz w:val="22"/>
          <w:szCs w:val="22"/>
          <w:color w:val="auto"/>
        </w:rPr>
      </w:pPr>
      <w:r>
        <w:rPr>
          <w:rFonts w:ascii="Arial" w:cs="Arial" w:eastAsia="Arial" w:hAnsi="Arial"/>
          <w:sz w:val="18"/>
          <w:szCs w:val="18"/>
          <w:color w:val="auto"/>
        </w:rPr>
        <w:t>the amount of such Indebtedness;</w:t>
      </w:r>
    </w:p>
    <w:p>
      <w:pPr>
        <w:spacing w:after="0" w:line="120" w:lineRule="exact"/>
        <w:rPr>
          <w:rFonts w:ascii="Arial" w:cs="Arial" w:eastAsia="Arial" w:hAnsi="Arial"/>
          <w:sz w:val="22"/>
          <w:szCs w:val="22"/>
          <w:color w:val="auto"/>
        </w:rPr>
      </w:pPr>
    </w:p>
    <w:p>
      <w:pPr>
        <w:ind w:left="820" w:hanging="461"/>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Indebtedness of other persons Guaranteed by such person to the extent such Indebtedness is Guaranteed by such person;</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17" w:lineRule="exact"/>
        <w:rPr>
          <w:sz w:val="20"/>
          <w:szCs w:val="20"/>
          <w:color w:val="auto"/>
        </w:rPr>
      </w:pPr>
    </w:p>
    <w:p>
      <w:pPr>
        <w:ind w:right="300" w:firstLine="267"/>
        <w:spacing w:after="0" w:line="34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6" w:lineRule="exact"/>
        <w:rPr>
          <w:sz w:val="20"/>
          <w:szCs w:val="20"/>
          <w:color w:val="auto"/>
        </w:rPr>
      </w:pPr>
    </w:p>
    <w:p>
      <w:pPr>
        <w:ind w:left="820" w:right="240" w:hanging="461"/>
        <w:spacing w:after="0" w:line="342" w:lineRule="auto"/>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29" w:lineRule="exact"/>
        <w:rPr>
          <w:rFonts w:ascii="Arial" w:cs="Arial" w:eastAsia="Arial" w:hAnsi="Arial"/>
          <w:sz w:val="16"/>
          <w:szCs w:val="16"/>
          <w:color w:val="auto"/>
        </w:rPr>
      </w:pPr>
    </w:p>
    <w:p>
      <w:pPr>
        <w:ind w:left="820" w:hanging="461"/>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13" w:lineRule="exact"/>
        <w:rPr>
          <w:sz w:val="20"/>
          <w:szCs w:val="20"/>
          <w:color w:val="auto"/>
        </w:rPr>
      </w:pPr>
    </w:p>
    <w:p>
      <w:pPr>
        <w:ind w:right="40" w:firstLine="270"/>
        <w:spacing w:after="0" w:line="295" w:lineRule="auto"/>
        <w:rPr>
          <w:sz w:val="20"/>
          <w:szCs w:val="20"/>
          <w:color w:val="auto"/>
        </w:rPr>
      </w:pPr>
      <w:r>
        <w:rPr>
          <w:rFonts w:ascii="Arial" w:cs="Arial" w:eastAsia="Arial" w:hAnsi="Arial"/>
          <w:sz w:val="16"/>
          <w:szCs w:val="16"/>
          <w:b w:val="1"/>
          <w:bCs w:val="1"/>
          <w:color w:val="auto"/>
        </w:rPr>
        <w:t xml:space="preserve">“Interest Rate Agreements” </w:t>
      </w:r>
      <w:r>
        <w:rPr>
          <w:rFonts w:ascii="Arial" w:cs="Arial" w:eastAsia="Arial" w:hAnsi="Arial"/>
          <w:sz w:val="16"/>
          <w:szCs w:val="16"/>
          <w:color w:val="auto"/>
        </w:rPr>
        <w:t>means any obligations of any person pursuant to any interest rate swaps, caps, collars, and similar arrangements providing</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48" w:lineRule="exact"/>
        <w:rPr>
          <w:sz w:val="20"/>
          <w:szCs w:val="20"/>
          <w:color w:val="auto"/>
        </w:rPr>
      </w:pPr>
    </w:p>
    <w:p>
      <w:pPr>
        <w:ind w:firstLine="270"/>
        <w:spacing w:after="0" w:line="261"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with respect to any asset, any mortgage, lien, pledge, charge, security interest or encumbrance of any kind, or any other type of preferential</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“Permitted Liens” </w:t>
      </w:r>
      <w:r>
        <w:rPr>
          <w:rFonts w:ascii="Arial" w:cs="Arial" w:eastAsia="Arial" w:hAnsi="Arial"/>
          <w:sz w:val="18"/>
          <w:szCs w:val="18"/>
          <w:color w:val="auto"/>
        </w:rPr>
        <w:t>means:</w:t>
      </w:r>
    </w:p>
    <w:p>
      <w:pPr>
        <w:spacing w:after="0" w:line="121" w:lineRule="exact"/>
        <w:rPr>
          <w:sz w:val="20"/>
          <w:szCs w:val="20"/>
          <w:color w:val="auto"/>
        </w:rPr>
      </w:pPr>
    </w:p>
    <w:p>
      <w:pPr>
        <w:ind w:left="820" w:hanging="461"/>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130" w:lineRule="exact"/>
        <w:rPr>
          <w:rFonts w:ascii="Arial" w:cs="Arial" w:eastAsia="Arial" w:hAnsi="Arial"/>
          <w:sz w:val="18"/>
          <w:szCs w:val="18"/>
          <w:color w:val="auto"/>
        </w:rPr>
      </w:pPr>
    </w:p>
    <w:p>
      <w:pPr>
        <w:ind w:left="820" w:right="20" w:hanging="461"/>
        <w:spacing w:after="0" w:line="25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93" w:lineRule="exact"/>
        <w:rPr>
          <w:rFonts w:ascii="Arial" w:cs="Arial" w:eastAsia="Arial" w:hAnsi="Arial"/>
          <w:sz w:val="18"/>
          <w:szCs w:val="18"/>
          <w:color w:val="auto"/>
        </w:rPr>
      </w:pPr>
    </w:p>
    <w:p>
      <w:pPr>
        <w:ind w:left="820" w:hanging="461"/>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130" w:lineRule="exact"/>
        <w:rPr>
          <w:rFonts w:ascii="Arial" w:cs="Arial" w:eastAsia="Arial" w:hAnsi="Arial"/>
          <w:sz w:val="18"/>
          <w:szCs w:val="18"/>
          <w:color w:val="auto"/>
        </w:rPr>
      </w:pPr>
    </w:p>
    <w:p>
      <w:pPr>
        <w:ind w:left="820" w:right="460" w:hanging="461"/>
        <w:spacing w:after="0" w:line="27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75" w:lineRule="exact"/>
        <w:rPr>
          <w:rFonts w:ascii="Arial" w:cs="Arial" w:eastAsia="Arial" w:hAnsi="Arial"/>
          <w:sz w:val="18"/>
          <w:szCs w:val="18"/>
          <w:color w:val="auto"/>
        </w:rPr>
      </w:pPr>
    </w:p>
    <w:p>
      <w:pPr>
        <w:ind w:left="820" w:right="380" w:hanging="461"/>
        <w:spacing w:after="0" w:line="27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75" w:lineRule="exact"/>
        <w:rPr>
          <w:rFonts w:ascii="Arial" w:cs="Arial" w:eastAsia="Arial" w:hAnsi="Arial"/>
          <w:sz w:val="18"/>
          <w:szCs w:val="18"/>
          <w:color w:val="auto"/>
        </w:rPr>
      </w:pPr>
    </w:p>
    <w:p>
      <w:pPr>
        <w:jc w:val="both"/>
        <w:ind w:left="820" w:right="200" w:hanging="461"/>
        <w:spacing w:after="0" w:line="264"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firstLine="270"/>
        <w:spacing w:after="0" w:line="261" w:lineRule="auto"/>
        <w:rPr>
          <w:sz w:val="20"/>
          <w:szCs w:val="20"/>
          <w:color w:val="auto"/>
        </w:rPr>
      </w:pPr>
      <w:r>
        <w:rPr>
          <w:rFonts w:ascii="Arial" w:cs="Arial" w:eastAsia="Arial" w:hAnsi="Arial"/>
          <w:sz w:val="18"/>
          <w:szCs w:val="18"/>
          <w:b w:val="1"/>
          <w:bCs w:val="1"/>
          <w:color w:val="auto"/>
        </w:rPr>
        <w:t xml:space="preserve">“Sale and Leaseback Transaction” </w:t>
      </w:r>
      <w:r>
        <w:rPr>
          <w:rFonts w:ascii="Arial" w:cs="Arial" w:eastAsia="Arial" w:hAnsi="Arial"/>
          <w:sz w:val="18"/>
          <w:szCs w:val="18"/>
          <w:color w:val="auto"/>
        </w:rPr>
        <w:t>means any direct or indirect arrangement with any person or to which any such person is a party, providing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76"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i w:val="1"/>
          <w:iCs w:val="1"/>
          <w:color w:val="auto"/>
        </w:rPr>
        <w:t xml:space="preserve">Financial Information. </w:t>
      </w:r>
      <w:r>
        <w:rPr>
          <w:rFonts w:ascii="Arial" w:cs="Arial" w:eastAsia="Arial" w:hAnsi="Arial"/>
          <w:sz w:val="18"/>
          <w:szCs w:val="18"/>
          <w:color w:val="auto"/>
        </w:rPr>
        <w:t>We will file, whether or not required to do so under applicable law, with the trustee, within 15 days after being required to file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15-day period.</w:t>
      </w:r>
    </w:p>
    <w:p>
      <w:pPr>
        <w:spacing w:after="0" w:line="79" w:lineRule="exact"/>
        <w:rPr>
          <w:sz w:val="20"/>
          <w:szCs w:val="20"/>
          <w:color w:val="auto"/>
        </w:rPr>
      </w:pPr>
    </w:p>
    <w:p>
      <w:pPr>
        <w:ind w:right="40" w:firstLine="270"/>
        <w:spacing w:after="0" w:line="297"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The senior indenture restricts our ability to consolidate with, merge with or into, or sell, convey, transfer,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dispose of all or 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or permit any person to merge with or into such party unless:</w:t>
      </w:r>
    </w:p>
    <w:p>
      <w:pPr>
        <w:spacing w:after="0" w:line="50" w:lineRule="exact"/>
        <w:rPr>
          <w:sz w:val="20"/>
          <w:szCs w:val="20"/>
          <w:color w:val="auto"/>
        </w:rPr>
      </w:pPr>
    </w:p>
    <w:p>
      <w:pPr>
        <w:ind w:left="820" w:right="460" w:hanging="461"/>
        <w:spacing w:after="0" w:line="259"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92" w:lineRule="exact"/>
        <w:rPr>
          <w:rFonts w:ascii="Arial" w:cs="Arial" w:eastAsia="Arial" w:hAnsi="Arial"/>
          <w:sz w:val="18"/>
          <w:szCs w:val="18"/>
          <w:color w:val="auto"/>
        </w:rPr>
      </w:pPr>
    </w:p>
    <w:p>
      <w:pPr>
        <w:ind w:left="820" w:hanging="461"/>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820" w:right="240" w:hanging="461"/>
        <w:spacing w:after="0" w:line="264"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the state of incorporation of such party; and provided further that any such transaction shall not have as one of its purposes the evasion of the foregoing limitations.</w:t>
      </w:r>
    </w:p>
    <w:p>
      <w:pPr>
        <w:spacing w:after="0" w:line="73"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62" w:lineRule="exact"/>
        <w:rPr>
          <w:sz w:val="20"/>
          <w:szCs w:val="20"/>
          <w:color w:val="auto"/>
        </w:rPr>
      </w:pPr>
    </w:p>
    <w:p>
      <w:pPr>
        <w:ind w:firstLine="267"/>
        <w:spacing w:after="0" w:line="312"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right="560" w:firstLine="270"/>
        <w:spacing w:after="0" w:line="277" w:lineRule="auto"/>
        <w:rPr>
          <w:sz w:val="20"/>
          <w:szCs w:val="20"/>
          <w:color w:val="auto"/>
        </w:rPr>
      </w:pPr>
      <w:r>
        <w:rPr>
          <w:rFonts w:ascii="Arial" w:cs="Arial" w:eastAsia="Arial" w:hAnsi="Arial"/>
          <w:sz w:val="18"/>
          <w:szCs w:val="18"/>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17" w:lineRule="exact"/>
        <w:rPr>
          <w:sz w:val="20"/>
          <w:szCs w:val="20"/>
          <w:color w:val="auto"/>
        </w:rPr>
      </w:pPr>
    </w:p>
    <w:p>
      <w:pPr>
        <w:ind w:right="140" w:firstLine="278"/>
        <w:spacing w:after="0" w:line="277" w:lineRule="auto"/>
        <w:tabs>
          <w:tab w:leader="none" w:pos="5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on the senior debt securities of such series when the same becomes due and payable whether at maturity, upon acceleration, redemption or otherwise;</w:t>
      </w:r>
    </w:p>
    <w:p>
      <w:pPr>
        <w:spacing w:after="0" w:line="62" w:lineRule="exact"/>
        <w:rPr>
          <w:rFonts w:ascii="Arial" w:cs="Arial" w:eastAsia="Arial" w:hAnsi="Arial"/>
          <w:sz w:val="18"/>
          <w:szCs w:val="18"/>
          <w:color w:val="auto"/>
        </w:rPr>
      </w:pPr>
    </w:p>
    <w:p>
      <w:pPr>
        <w:ind w:right="80" w:firstLine="278"/>
        <w:spacing w:after="0" w:line="277" w:lineRule="auto"/>
        <w:tabs>
          <w:tab w:leader="none" w:pos="5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62" w:lineRule="exact"/>
        <w:rPr>
          <w:rFonts w:ascii="Arial" w:cs="Arial" w:eastAsia="Arial" w:hAnsi="Arial"/>
          <w:sz w:val="18"/>
          <w:szCs w:val="18"/>
          <w:color w:val="auto"/>
        </w:rPr>
      </w:pPr>
    </w:p>
    <w:p>
      <w:pPr>
        <w:ind w:firstLine="278"/>
        <w:spacing w:after="0" w:line="259" w:lineRule="auto"/>
        <w:tabs>
          <w:tab w:leader="none" w:pos="5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by any Obligor in the performance of or breach by any Obligor of any of its other covenants or agreements in the senior indenture applicable to all the senior debt securities or applicable to the senior debt securities of any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78" w:lineRule="exact"/>
        <w:rPr>
          <w:rFonts w:ascii="Arial" w:cs="Arial" w:eastAsia="Arial" w:hAnsi="Arial"/>
          <w:sz w:val="18"/>
          <w:szCs w:val="18"/>
          <w:color w:val="auto"/>
        </w:rPr>
      </w:pPr>
    </w:p>
    <w:p>
      <w:pPr>
        <w:ind w:left="540" w:hanging="26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17" w:lineRule="exact"/>
        <w:rPr>
          <w:rFonts w:ascii="Arial" w:cs="Arial" w:eastAsia="Arial" w:hAnsi="Arial"/>
          <w:sz w:val="18"/>
          <w:szCs w:val="18"/>
          <w:color w:val="auto"/>
        </w:rPr>
      </w:pPr>
    </w:p>
    <w:p>
      <w:pPr>
        <w:ind w:left="1160" w:right="220" w:hanging="463"/>
        <w:spacing w:after="0" w:line="277" w:lineRule="auto"/>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relief in respect of any Obligor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160" w:right="320" w:hanging="463"/>
        <w:spacing w:after="0" w:line="277" w:lineRule="auto"/>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any Obligor for any substantial part of such party’s property and assets; or</w:t>
      </w:r>
    </w:p>
    <w:p>
      <w:pPr>
        <w:spacing w:after="0" w:line="75" w:lineRule="exact"/>
        <w:rPr>
          <w:rFonts w:ascii="Arial" w:cs="Arial" w:eastAsia="Arial" w:hAnsi="Arial"/>
          <w:sz w:val="18"/>
          <w:szCs w:val="18"/>
          <w:color w:val="auto"/>
        </w:rPr>
      </w:pPr>
    </w:p>
    <w:p>
      <w:pPr>
        <w:ind w:left="1160" w:hanging="463"/>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such decree or order shall remain unstayed and in effect for a period of 180 consecutive days; or</w:t>
      </w:r>
    </w:p>
    <w:p>
      <w:pPr>
        <w:spacing w:after="0" w:line="117" w:lineRule="exact"/>
        <w:rPr>
          <w:sz w:val="20"/>
          <w:szCs w:val="20"/>
          <w:color w:val="auto"/>
        </w:rPr>
      </w:pPr>
    </w:p>
    <w:p>
      <w:pPr>
        <w:ind w:left="540" w:hanging="26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117" w:lineRule="exact"/>
        <w:rPr>
          <w:rFonts w:ascii="Arial" w:cs="Arial" w:eastAsia="Arial" w:hAnsi="Arial"/>
          <w:sz w:val="18"/>
          <w:szCs w:val="18"/>
          <w:color w:val="auto"/>
        </w:rPr>
      </w:pPr>
    </w:p>
    <w:p>
      <w:pPr>
        <w:ind w:left="1160" w:right="280" w:hanging="463"/>
        <w:spacing w:after="0" w:line="277" w:lineRule="auto"/>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 to the entry of an order for relief in an involuntary case under any such law;</w:t>
      </w:r>
    </w:p>
    <w:p>
      <w:pPr>
        <w:spacing w:after="0" w:line="75" w:lineRule="exact"/>
        <w:rPr>
          <w:rFonts w:ascii="Arial" w:cs="Arial" w:eastAsia="Arial" w:hAnsi="Arial"/>
          <w:sz w:val="18"/>
          <w:szCs w:val="18"/>
          <w:color w:val="auto"/>
        </w:rPr>
      </w:pPr>
    </w:p>
    <w:p>
      <w:pPr>
        <w:ind w:left="1160" w:right="240" w:hanging="463"/>
        <w:spacing w:after="0" w:line="277" w:lineRule="auto"/>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75" w:lineRule="exact"/>
        <w:rPr>
          <w:rFonts w:ascii="Arial" w:cs="Arial" w:eastAsia="Arial" w:hAnsi="Arial"/>
          <w:sz w:val="18"/>
          <w:szCs w:val="18"/>
          <w:color w:val="auto"/>
        </w:rPr>
      </w:pPr>
    </w:p>
    <w:p>
      <w:pPr>
        <w:ind w:left="1160" w:hanging="463"/>
        <w:spacing w:after="0"/>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17" w:lineRule="exact"/>
        <w:rPr>
          <w:sz w:val="20"/>
          <w:szCs w:val="20"/>
          <w:color w:val="auto"/>
        </w:rPr>
      </w:pPr>
    </w:p>
    <w:p>
      <w:pPr>
        <w:ind w:right="60" w:firstLine="270"/>
        <w:spacing w:after="0" w:line="270" w:lineRule="auto"/>
        <w:rPr>
          <w:sz w:val="20"/>
          <w:szCs w:val="20"/>
          <w:color w:val="auto"/>
        </w:rPr>
      </w:pPr>
      <w:r>
        <w:rPr>
          <w:rFonts w:ascii="Arial" w:cs="Arial" w:eastAsia="Arial" w:hAnsi="Arial"/>
          <w:sz w:val="17"/>
          <w:szCs w:val="17"/>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and the trustee at the request of such holders shall, declare the principal amount of and accrued interest, if any, on such senior debt securities to be immediately due and payable. The amount due upon acceleration shall include only the original issue price of the senior debt securities and accrued to the date of acceleration and accrued interest, if any. Upon a declaration of acceleration, such principal amount of and accrued interest, if any, on such senior debt securities shall be immediately due and payable. 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w:t>
      </w:r>
    </w:p>
    <w:p>
      <w:pPr>
        <w:spacing w:after="0" w:line="74"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Upon certain conditions such declarations may be rescinded and annulled and past defaults may be waived by the holders of a majority in aggregate principal amount of an issue of senior debt securities that has been accelerated. Furthermore, subject to various provisions in the senior indenture, the holders of 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securities.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70" w:lineRule="exact"/>
        <w:rPr>
          <w:sz w:val="20"/>
          <w:szCs w:val="20"/>
          <w:color w:val="auto"/>
        </w:rPr>
      </w:pPr>
    </w:p>
    <w:p>
      <w:pPr>
        <w:ind w:firstLine="267"/>
        <w:spacing w:after="0" w:line="293"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57" w:lineRule="exact"/>
        <w:rPr>
          <w:sz w:val="20"/>
          <w:szCs w:val="20"/>
          <w:color w:val="auto"/>
        </w:rPr>
      </w:pPr>
    </w:p>
    <w:p>
      <w:pPr>
        <w:ind w:left="820" w:hanging="461"/>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820" w:right="80" w:hanging="461"/>
        <w:spacing w:after="0" w:line="277"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820" w:right="100" w:hanging="461"/>
        <w:spacing w:after="0" w:line="277"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62" w:lineRule="exact"/>
        <w:rPr>
          <w:sz w:val="20"/>
          <w:szCs w:val="20"/>
          <w:color w:val="auto"/>
        </w:rPr>
      </w:pPr>
    </w:p>
    <w:p>
      <w:pPr>
        <w:jc w:val="both"/>
        <w:ind w:right="320" w:firstLine="267"/>
        <w:spacing w:after="0" w:line="264" w:lineRule="auto"/>
        <w:rPr>
          <w:sz w:val="20"/>
          <w:szCs w:val="20"/>
          <w:color w:val="auto"/>
        </w:rPr>
      </w:pPr>
      <w:r>
        <w:rPr>
          <w:rFonts w:ascii="Arial" w:cs="Arial" w:eastAsia="Arial" w:hAnsi="Arial"/>
          <w:sz w:val="18"/>
          <w:szCs w:val="18"/>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w:t>
      </w:r>
    </w:p>
    <w:p>
      <w:pPr>
        <w:spacing w:after="0" w:line="73"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320" w:firstLine="267"/>
        <w:spacing w:after="0" w:line="277"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62" w:lineRule="exact"/>
        <w:rPr>
          <w:sz w:val="20"/>
          <w:szCs w:val="20"/>
          <w:color w:val="auto"/>
        </w:rPr>
      </w:pPr>
    </w:p>
    <w:p>
      <w:pPr>
        <w:ind w:left="820" w:right="240" w:hanging="461"/>
        <w:spacing w:after="0" w:line="277"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right="660" w:hanging="461"/>
        <w:spacing w:after="0" w:line="277"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62" w:lineRule="exact"/>
        <w:rPr>
          <w:sz w:val="20"/>
          <w:szCs w:val="20"/>
          <w:color w:val="auto"/>
        </w:rPr>
      </w:pPr>
    </w:p>
    <w:p>
      <w:pPr>
        <w:ind w:left="1040" w:right="120" w:hanging="451"/>
        <w:spacing w:after="0" w:line="283" w:lineRule="auto"/>
        <w:tabs>
          <w:tab w:leader="none" w:pos="1040" w:val="left"/>
        </w:tabs>
        <w:numPr>
          <w:ilvl w:val="0"/>
          <w:numId w:val="44"/>
        </w:numPr>
        <w:rPr>
          <w:rFonts w:ascii="Arial" w:cs="Arial" w:eastAsia="Arial" w:hAnsi="Arial"/>
          <w:sz w:val="19"/>
          <w:szCs w:val="19"/>
          <w:color w:val="auto"/>
        </w:rPr>
      </w:pPr>
      <w:r>
        <w:rPr>
          <w:rFonts w:ascii="Arial" w:cs="Arial" w:eastAsia="Arial" w:hAnsi="Arial"/>
          <w:sz w:val="16"/>
          <w:szCs w:val="16"/>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75" w:lineRule="exact"/>
        <w:rPr>
          <w:rFonts w:ascii="Arial" w:cs="Arial" w:eastAsia="Arial" w:hAnsi="Arial"/>
          <w:sz w:val="19"/>
          <w:szCs w:val="19"/>
          <w:color w:val="auto"/>
        </w:rPr>
      </w:pPr>
    </w:p>
    <w:p>
      <w:pPr>
        <w:jc w:val="both"/>
        <w:ind w:left="1040" w:right="100" w:hanging="451"/>
        <w:spacing w:after="0" w:line="238" w:lineRule="auto"/>
        <w:tabs>
          <w:tab w:leader="none" w:pos="1040" w:val="left"/>
        </w:tabs>
        <w:numPr>
          <w:ilvl w:val="0"/>
          <w:numId w:val="44"/>
        </w:numPr>
        <w:rPr>
          <w:rFonts w:ascii="Arial" w:cs="Arial" w:eastAsia="Arial" w:hAnsi="Arial"/>
          <w:sz w:val="22"/>
          <w:szCs w:val="22"/>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95" w:lineRule="exact"/>
        <w:rPr>
          <w:sz w:val="20"/>
          <w:szCs w:val="20"/>
          <w:color w:val="auto"/>
        </w:rPr>
      </w:pPr>
    </w:p>
    <w:p>
      <w:pPr>
        <w:ind w:right="100" w:firstLine="267"/>
        <w:spacing w:after="0" w:line="270" w:lineRule="auto"/>
        <w:rPr>
          <w:sz w:val="20"/>
          <w:szCs w:val="20"/>
          <w:color w:val="auto"/>
        </w:rPr>
      </w:pPr>
      <w:r>
        <w:rPr>
          <w:rFonts w:ascii="Arial" w:cs="Arial" w:eastAsia="Arial" w:hAnsi="Arial"/>
          <w:sz w:val="17"/>
          <w:szCs w:val="17"/>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deemed appropriate by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117" w:lineRule="exact"/>
        <w:rPr>
          <w:sz w:val="20"/>
          <w:szCs w:val="20"/>
          <w:color w:val="auto"/>
        </w:rPr>
      </w:pPr>
    </w:p>
    <w:p>
      <w:pPr>
        <w:ind w:left="820" w:right="140" w:hanging="461"/>
        <w:spacing w:after="0" w:line="342" w:lineRule="auto"/>
        <w:tabs>
          <w:tab w:leader="none" w:pos="8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29" w:lineRule="exact"/>
        <w:rPr>
          <w:rFonts w:ascii="Arial" w:cs="Arial" w:eastAsia="Arial" w:hAnsi="Arial"/>
          <w:sz w:val="16"/>
          <w:szCs w:val="16"/>
          <w:color w:val="auto"/>
        </w:rPr>
      </w:pPr>
    </w:p>
    <w:p>
      <w:pPr>
        <w:ind w:left="820" w:right="240" w:hanging="461"/>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117" w:lineRule="exact"/>
        <w:rPr>
          <w:sz w:val="20"/>
          <w:szCs w:val="20"/>
          <w:color w:val="auto"/>
        </w:rPr>
      </w:pPr>
    </w:p>
    <w:p>
      <w:pPr>
        <w:ind w:left="820" w:hanging="461"/>
        <w:spacing w:after="0" w:line="255"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right="20" w:hanging="461"/>
        <w:spacing w:after="0" w:line="277"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820" w:right="340" w:hanging="461"/>
        <w:spacing w:after="0" w:line="277"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117" w:lineRule="exact"/>
        <w:rPr>
          <w:sz w:val="20"/>
          <w:szCs w:val="20"/>
          <w:color w:val="auto"/>
        </w:rPr>
      </w:pPr>
    </w:p>
    <w:p>
      <w:pPr>
        <w:ind w:left="1040" w:hanging="451"/>
        <w:spacing w:after="0" w:line="243" w:lineRule="auto"/>
        <w:tabs>
          <w:tab w:leader="none" w:pos="1040" w:val="left"/>
        </w:tabs>
        <w:numPr>
          <w:ilvl w:val="1"/>
          <w:numId w:val="48"/>
        </w:numPr>
        <w:rPr>
          <w:rFonts w:ascii="Arial" w:cs="Arial" w:eastAsia="Arial" w:hAnsi="Arial"/>
          <w:sz w:val="22"/>
          <w:szCs w:val="22"/>
          <w:color w:val="auto"/>
        </w:rPr>
      </w:pPr>
      <w:r>
        <w:rPr>
          <w:rFonts w:ascii="Arial" w:cs="Arial" w:eastAsia="Arial" w:hAnsi="Arial"/>
          <w:sz w:val="18"/>
          <w:szCs w:val="18"/>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07" w:lineRule="exact"/>
        <w:rPr>
          <w:rFonts w:ascii="Arial" w:cs="Arial" w:eastAsia="Arial" w:hAnsi="Arial"/>
          <w:sz w:val="22"/>
          <w:szCs w:val="22"/>
          <w:color w:val="auto"/>
        </w:rPr>
      </w:pPr>
    </w:p>
    <w:p>
      <w:pPr>
        <w:ind w:left="1040" w:right="260" w:hanging="451"/>
        <w:spacing w:after="0" w:line="232" w:lineRule="auto"/>
        <w:tabs>
          <w:tab w:leader="none" w:pos="1040" w:val="left"/>
        </w:tabs>
        <w:numPr>
          <w:ilvl w:val="1"/>
          <w:numId w:val="48"/>
        </w:numPr>
        <w:rPr>
          <w:rFonts w:ascii="Arial" w:cs="Arial" w:eastAsia="Arial" w:hAnsi="Arial"/>
          <w:sz w:val="22"/>
          <w:szCs w:val="22"/>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95" w:lineRule="exact"/>
        <w:rPr>
          <w:rFonts w:ascii="Arial" w:cs="Arial" w:eastAsia="Arial" w:hAnsi="Arial"/>
          <w:sz w:val="22"/>
          <w:szCs w:val="22"/>
          <w:color w:val="auto"/>
        </w:rPr>
      </w:pPr>
    </w:p>
    <w:p>
      <w:pPr>
        <w:ind w:left="820" w:right="80" w:hanging="461"/>
        <w:spacing w:after="0" w:line="308" w:lineRule="auto"/>
        <w:tabs>
          <w:tab w:leader="none" w:pos="8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38"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and the trustee may amend or supplement the senior indenture or the senior debt securities without notice to or the consent of any holder:</w:t>
      </w:r>
    </w:p>
    <w:p>
      <w:pPr>
        <w:spacing w:after="0" w:line="129" w:lineRule="exact"/>
        <w:rPr>
          <w:sz w:val="20"/>
          <w:szCs w:val="20"/>
          <w:color w:val="auto"/>
        </w:rPr>
      </w:pPr>
    </w:p>
    <w:p>
      <w:pPr>
        <w:ind w:left="820" w:right="200" w:hanging="461"/>
        <w:spacing w:after="0" w:line="277"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provided that such amendments or supplements shall not adversely affect the interests of the holders in any material respect;</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comply with the provisions described under “— Certain Covenants — Consolidation, Merger and Sale of Assets;”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senior indenture under the Trust Indenture Act;</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right="100" w:hanging="461"/>
        <w:spacing w:after="0" w:line="342" w:lineRule="auto"/>
        <w:tabs>
          <w:tab w:leader="none" w:pos="8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9" w:lineRule="exact"/>
        <w:rPr>
          <w:rFonts w:ascii="Arial" w:cs="Arial" w:eastAsia="Arial" w:hAnsi="Arial"/>
          <w:sz w:val="16"/>
          <w:szCs w:val="16"/>
          <w:color w:val="auto"/>
        </w:rPr>
      </w:pPr>
    </w:p>
    <w:p>
      <w:pPr>
        <w:ind w:left="820" w:hanging="461"/>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17" w:lineRule="exact"/>
        <w:rPr>
          <w:sz w:val="20"/>
          <w:szCs w:val="20"/>
          <w:color w:val="auto"/>
        </w:rPr>
      </w:pPr>
    </w:p>
    <w:p>
      <w:pPr>
        <w:ind w:right="20" w:firstLine="270"/>
        <w:spacing w:after="0" w:line="276" w:lineRule="auto"/>
        <w:rPr>
          <w:sz w:val="20"/>
          <w:szCs w:val="20"/>
          <w:color w:val="auto"/>
        </w:rPr>
      </w:pPr>
      <w:r>
        <w:rPr>
          <w:rFonts w:ascii="Arial" w:cs="Arial" w:eastAsia="Arial" w:hAnsi="Arial"/>
          <w:sz w:val="17"/>
          <w:szCs w:val="17"/>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64" w:lineRule="exact"/>
        <w:rPr>
          <w:sz w:val="20"/>
          <w:szCs w:val="20"/>
          <w:color w:val="auto"/>
        </w:rPr>
      </w:pPr>
    </w:p>
    <w:p>
      <w:pPr>
        <w:ind w:left="820" w:hanging="461"/>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the senior debt securities of the affected series;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changes the place or currency of payment of principal of, or premium, if any, or interest on, the senior debt securities of the affected series;</w:t>
      </w:r>
    </w:p>
    <w:p>
      <w:pPr>
        <w:spacing w:after="0" w:line="142" w:lineRule="exact"/>
        <w:rPr>
          <w:rFonts w:ascii="Arial" w:cs="Arial" w:eastAsia="Arial" w:hAnsi="Arial"/>
          <w:sz w:val="17"/>
          <w:szCs w:val="17"/>
          <w:color w:val="auto"/>
        </w:rPr>
      </w:pPr>
    </w:p>
    <w:p>
      <w:pPr>
        <w:ind w:left="820" w:hanging="461"/>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130" w:lineRule="exact"/>
        <w:rPr>
          <w:rFonts w:ascii="Arial" w:cs="Arial" w:eastAsia="Arial" w:hAnsi="Arial"/>
          <w:sz w:val="18"/>
          <w:szCs w:val="18"/>
          <w:color w:val="auto"/>
        </w:rPr>
      </w:pPr>
    </w:p>
    <w:p>
      <w:pPr>
        <w:ind w:left="820" w:right="200" w:hanging="461"/>
        <w:spacing w:after="0" w:line="308" w:lineRule="auto"/>
        <w:tabs>
          <w:tab w:leader="none" w:pos="8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51" w:lineRule="exact"/>
        <w:rPr>
          <w:rFonts w:ascii="Arial" w:cs="Arial" w:eastAsia="Arial" w:hAnsi="Arial"/>
          <w:sz w:val="17"/>
          <w:szCs w:val="17"/>
          <w:color w:val="auto"/>
        </w:rPr>
      </w:pPr>
    </w:p>
    <w:p>
      <w:pPr>
        <w:ind w:left="820" w:hanging="461"/>
        <w:spacing w:after="0" w:line="277"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 or</w:t>
      </w:r>
    </w:p>
    <w:p>
      <w:pPr>
        <w:spacing w:after="0" w:line="130" w:lineRule="exact"/>
        <w:rPr>
          <w:rFonts w:ascii="Arial" w:cs="Arial" w:eastAsia="Arial" w:hAnsi="Arial"/>
          <w:sz w:val="18"/>
          <w:szCs w:val="18"/>
          <w:color w:val="auto"/>
        </w:rPr>
      </w:pPr>
    </w:p>
    <w:p>
      <w:pPr>
        <w:ind w:left="820" w:right="180" w:hanging="461"/>
        <w:spacing w:after="0" w:line="308" w:lineRule="auto"/>
        <w:tabs>
          <w:tab w:leader="none" w:pos="8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w:t>
      </w:r>
    </w:p>
    <w:p>
      <w:pPr>
        <w:spacing w:after="0" w:line="38"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117" w:lineRule="exact"/>
        <w:rPr>
          <w:sz w:val="20"/>
          <w:szCs w:val="20"/>
          <w:color w:val="auto"/>
        </w:rPr>
      </w:pPr>
    </w:p>
    <w:p>
      <w:pPr>
        <w:ind w:right="180" w:firstLine="267"/>
        <w:spacing w:after="0" w:line="257"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senior indenture and the debt securities will be governed by, and construed in accordance with, the internal laws of the State of New York.</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21"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Subordination</w:t>
      </w:r>
    </w:p>
    <w:p>
      <w:pPr>
        <w:spacing w:after="0" w:line="117" w:lineRule="exact"/>
        <w:rPr>
          <w:sz w:val="20"/>
          <w:szCs w:val="20"/>
          <w:color w:val="auto"/>
        </w:rPr>
      </w:pPr>
    </w:p>
    <w:p>
      <w:pPr>
        <w:ind w:right="20" w:firstLine="267"/>
        <w:spacing w:after="0" w:line="271" w:lineRule="auto"/>
        <w:rPr>
          <w:sz w:val="20"/>
          <w:szCs w:val="20"/>
          <w:color w:val="auto"/>
        </w:rPr>
      </w:pPr>
      <w:r>
        <w:rPr>
          <w:rFonts w:ascii="Arial" w:cs="Arial" w:eastAsia="Arial" w:hAnsi="Arial"/>
          <w:sz w:val="17"/>
          <w:szCs w:val="17"/>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subordination provisions also apply in the same way to each cable guarantor with respect to the Senior Indebtedness of such cable guarantor.</w:t>
      </w:r>
    </w:p>
    <w:p>
      <w:pPr>
        <w:spacing w:after="0" w:line="129"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The term “Senior Indebtedness” of a person means with respect to such person the principal of, premium, if any, interest on, and any other payment due pursuant to any of the following, whether outstanding today or incurred by that person in the future:</w:t>
      </w:r>
    </w:p>
    <w:p>
      <w:pPr>
        <w:spacing w:after="0" w:line="62" w:lineRule="exact"/>
        <w:rPr>
          <w:sz w:val="20"/>
          <w:szCs w:val="20"/>
          <w:color w:val="auto"/>
        </w:rPr>
      </w:pPr>
    </w:p>
    <w:p>
      <w:pPr>
        <w:ind w:left="820" w:right="200" w:hanging="461"/>
        <w:spacing w:after="0" w:line="264"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86" w:lineRule="exact"/>
        <w:rPr>
          <w:rFonts w:ascii="Arial" w:cs="Arial" w:eastAsia="Arial" w:hAnsi="Arial"/>
          <w:sz w:val="18"/>
          <w:szCs w:val="18"/>
          <w:color w:val="auto"/>
        </w:rPr>
      </w:pPr>
    </w:p>
    <w:p>
      <w:pPr>
        <w:ind w:left="820" w:hanging="461"/>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of the lease obligations which are capitalized on the books of that person in accordance with generally accepted accounting principles;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right="140" w:hanging="461"/>
        <w:spacing w:after="0" w:line="264" w:lineRule="auto"/>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 or guarantee or that the person in effect guarantees through an agreement to purchase, whether that agreement is contingent or otherwise; and</w:t>
      </w:r>
    </w:p>
    <w:p>
      <w:pPr>
        <w:spacing w:after="0" w:line="86" w:lineRule="exact"/>
        <w:rPr>
          <w:rFonts w:ascii="Arial" w:cs="Arial" w:eastAsia="Arial" w:hAnsi="Arial"/>
          <w:sz w:val="18"/>
          <w:szCs w:val="18"/>
          <w:color w:val="auto"/>
        </w:rPr>
      </w:pPr>
    </w:p>
    <w:p>
      <w:pPr>
        <w:ind w:left="820" w:right="240" w:hanging="461"/>
        <w:spacing w:after="0" w:line="277" w:lineRule="auto"/>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121"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7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62" w:lineRule="exact"/>
        <w:rPr>
          <w:sz w:val="20"/>
          <w:szCs w:val="20"/>
          <w:color w:val="auto"/>
        </w:rPr>
      </w:pPr>
    </w:p>
    <w:p>
      <w:pPr>
        <w:ind w:right="360" w:firstLine="267"/>
        <w:spacing w:after="0" w:line="259"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79"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79"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62" w:lineRule="exact"/>
        <w:rPr>
          <w:sz w:val="20"/>
          <w:szCs w:val="20"/>
          <w:color w:val="auto"/>
        </w:rPr>
      </w:pPr>
    </w:p>
    <w:p>
      <w:pPr>
        <w:ind w:left="820" w:right="220" w:hanging="461"/>
        <w:spacing w:after="0" w:line="277"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130" w:lineRule="exact"/>
        <w:rPr>
          <w:rFonts w:ascii="Arial" w:cs="Arial" w:eastAsia="Arial" w:hAnsi="Arial"/>
          <w:sz w:val="18"/>
          <w:szCs w:val="18"/>
          <w:color w:val="auto"/>
        </w:rPr>
      </w:pPr>
    </w:p>
    <w:p>
      <w:pPr>
        <w:ind w:left="820" w:right="60" w:hanging="461"/>
        <w:spacing w:after="0" w:line="264"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right="120" w:hanging="461"/>
        <w:spacing w:after="0" w:line="277"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17" w:lineRule="exact"/>
        <w:rPr>
          <w:sz w:val="20"/>
          <w:szCs w:val="20"/>
          <w:color w:val="auto"/>
        </w:rPr>
      </w:pPr>
    </w:p>
    <w:p>
      <w:pPr>
        <w:ind w:right="560" w:firstLine="270"/>
        <w:spacing w:after="0" w:line="308" w:lineRule="auto"/>
        <w:rPr>
          <w:sz w:val="20"/>
          <w:szCs w:val="20"/>
          <w:color w:val="auto"/>
        </w:rPr>
      </w:pPr>
      <w:r>
        <w:rPr>
          <w:rFonts w:ascii="Arial" w:cs="Arial" w:eastAsia="Arial" w:hAnsi="Arial"/>
          <w:sz w:val="17"/>
          <w:szCs w:val="17"/>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38"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firstLine="267"/>
        <w:spacing w:after="0" w:line="297" w:lineRule="auto"/>
        <w:rPr>
          <w:sz w:val="20"/>
          <w:szCs w:val="20"/>
          <w:color w:val="auto"/>
        </w:rPr>
      </w:pPr>
      <w:r>
        <w:rPr>
          <w:rFonts w:ascii="Arial" w:cs="Arial" w:eastAsia="Arial" w:hAnsi="Arial"/>
          <w:sz w:val="16"/>
          <w:szCs w:val="16"/>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The following sets forth certain general terms and provisions of the warrants offered hereby. Further terms of the warrants and the applicable warrant agreement are set forth in the applicable prospectus supplement.</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applicable prospectus supplement will describe the following terms of any warrants in respect of which this prospectus is being delivered:</w:t>
      </w:r>
    </w:p>
    <w:p>
      <w:pPr>
        <w:spacing w:after="0" w:line="129" w:lineRule="exact"/>
        <w:rPr>
          <w:sz w:val="20"/>
          <w:szCs w:val="20"/>
          <w:color w:val="auto"/>
        </w:rPr>
      </w:pPr>
    </w:p>
    <w:p>
      <w:pPr>
        <w:ind w:left="820" w:hanging="461"/>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820" w:hanging="461"/>
        <w:spacing w:after="0" w:line="342" w:lineRule="auto"/>
        <w:tabs>
          <w:tab w:leader="none" w:pos="8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29" w:lineRule="exact"/>
        <w:rPr>
          <w:rFonts w:ascii="Arial" w:cs="Arial" w:eastAsia="Arial" w:hAnsi="Arial"/>
          <w:sz w:val="16"/>
          <w:szCs w:val="16"/>
          <w:color w:val="auto"/>
        </w:rPr>
      </w:pPr>
    </w:p>
    <w:p>
      <w:pPr>
        <w:ind w:left="820" w:right="480" w:hanging="461"/>
        <w:spacing w:after="0" w:line="277" w:lineRule="auto"/>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including composite currencies, in which the securities purchasable upon exercise of such warrants may be purchased;</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820" w:right="240" w:hanging="461"/>
        <w:spacing w:after="0" w:line="277" w:lineRule="auto"/>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hanging="461"/>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a discussion of certain United States Federal income tax considerations;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identity of any of our cable subsidiaries guaranteeing our obligations with respect to such warrants; and</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341" w:lineRule="exact"/>
        <w:rPr>
          <w:sz w:val="20"/>
          <w:szCs w:val="20"/>
          <w:color w:val="auto"/>
        </w:rPr>
      </w:pPr>
    </w:p>
    <w:p>
      <w:pPr>
        <w:ind w:left="280" w:right="3780" w:firstLine="3562"/>
        <w:spacing w:after="0" w:line="378" w:lineRule="auto"/>
        <w:rPr>
          <w:sz w:val="20"/>
          <w:szCs w:val="20"/>
          <w:color w:val="auto"/>
        </w:rPr>
      </w:pPr>
      <w:r>
        <w:rPr>
          <w:rFonts w:ascii="Arial" w:cs="Arial" w:eastAsia="Arial" w:hAnsi="Arial"/>
          <w:sz w:val="18"/>
          <w:szCs w:val="18"/>
          <w:b w:val="1"/>
          <w:bCs w:val="1"/>
          <w:color w:val="auto"/>
        </w:rPr>
        <w:t xml:space="preserve">DESCRIPTION OF PURCHASE CONTRACTS </w:t>
      </w:r>
      <w:r>
        <w:rPr>
          <w:rFonts w:ascii="Arial" w:cs="Arial" w:eastAsia="Arial" w:hAnsi="Arial"/>
          <w:sz w:val="18"/>
          <w:szCs w:val="18"/>
          <w:color w:val="auto"/>
        </w:rPr>
        <w:t>We may issue purchase contracts for the purchase or sale of:</w:t>
      </w:r>
    </w:p>
    <w:p>
      <w:pPr>
        <w:ind w:left="820" w:right="260" w:hanging="461"/>
        <w:spacing w:after="0" w:line="277"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securities or securities of an entity unaffiliated or affiliated with us, a basket of such securities, an index or indices of such securities or any combination of the above as specified in the applicable prospectus supplement;</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currencies or composite currencies; or</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117"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any acceleration, cancellation or termination provisions or other provisions relating to the settlement of a purchase contract and, if applicable, the identity of any of our cable subsidiaries guaranteeing our obligations with respect to such purchase contracts.</w:t>
      </w:r>
    </w:p>
    <w:p>
      <w:pPr>
        <w:spacing w:after="0" w:line="57"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Purchase contracts may require holders to satisfy their obligations thereunder when the purchase contracts are issued. Our obligation to settle such pre-paid purchase contracts on the relevant settlement date may constitute indebtedness. Accordingly, the pre-paid purchase contracts will be issued under one of the indentures.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specified in the applicable prospectus supplement, units will consist of one or more purchase contracts, warrants, debt securities, 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or Class A Special Common Stock or any combination thereof. Reference is made to the applicable prospectus supplement for:</w:t>
      </w:r>
    </w:p>
    <w:p>
      <w:pPr>
        <w:spacing w:after="0" w:line="126" w:lineRule="exact"/>
        <w:rPr>
          <w:sz w:val="20"/>
          <w:szCs w:val="20"/>
          <w:color w:val="auto"/>
        </w:rPr>
      </w:pPr>
    </w:p>
    <w:p>
      <w:pPr>
        <w:ind w:left="820" w:right="40" w:hanging="461"/>
        <w:spacing w:after="0" w:line="264"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terms of the units and of the purchase contracts, warrants, debt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86" w:lineRule="exact"/>
        <w:rPr>
          <w:rFonts w:ascii="Arial" w:cs="Arial" w:eastAsia="Arial" w:hAnsi="Arial"/>
          <w:sz w:val="18"/>
          <w:szCs w:val="18"/>
          <w:color w:val="auto"/>
        </w:rPr>
      </w:pPr>
    </w:p>
    <w:p>
      <w:pPr>
        <w:ind w:left="820" w:hanging="461"/>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a description of any guarantee by any of our subsidiaries of our obligations under the units; and</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firstLine="267"/>
        <w:spacing w:after="0" w:line="272" w:lineRule="auto"/>
        <w:rPr>
          <w:sz w:val="20"/>
          <w:szCs w:val="20"/>
          <w:color w:val="auto"/>
        </w:rPr>
      </w:pPr>
      <w:r>
        <w:rPr>
          <w:rFonts w:ascii="Arial" w:cs="Arial" w:eastAsia="Arial" w:hAnsi="Arial"/>
          <w:sz w:val="17"/>
          <w:szCs w:val="17"/>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70" w:lineRule="exact"/>
        <w:rPr>
          <w:sz w:val="20"/>
          <w:szCs w:val="20"/>
          <w:color w:val="auto"/>
        </w:rPr>
      </w:pPr>
    </w:p>
    <w:p>
      <w:pPr>
        <w:ind w:right="660" w:firstLine="267"/>
        <w:spacing w:after="0" w:line="34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 w:lineRule="exact"/>
        <w:rPr>
          <w:sz w:val="20"/>
          <w:szCs w:val="20"/>
          <w:color w:val="auto"/>
        </w:rPr>
      </w:pPr>
    </w:p>
    <w:p>
      <w:pPr>
        <w:ind w:right="40" w:firstLine="270"/>
        <w:spacing w:after="0" w:line="270" w:lineRule="auto"/>
        <w:rPr>
          <w:sz w:val="20"/>
          <w:szCs w:val="20"/>
          <w:color w:val="auto"/>
        </w:rPr>
      </w:pPr>
      <w:r>
        <w:rPr>
          <w:rFonts w:ascii="Arial" w:cs="Arial" w:eastAsia="Arial" w:hAnsi="Arial"/>
          <w:sz w:val="17"/>
          <w:szCs w:val="17"/>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74"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61"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62" w:lineRule="exact"/>
        <w:rPr>
          <w:sz w:val="20"/>
          <w:szCs w:val="20"/>
          <w:color w:val="auto"/>
        </w:rPr>
      </w:pPr>
    </w:p>
    <w:p>
      <w:pPr>
        <w:ind w:right="260" w:firstLine="267"/>
        <w:spacing w:after="0" w:line="255"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85"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If the depositary for any securities represented by a global security is at any time unwilling or unable to continue as depositary or ceases to be a clearing agency registered under the Securities Exchange Act of 1934, and we do not appoint a successor depositary registered as a clearing agency under the Securities Exchange Act of 1934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121"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w:t>
      </w:r>
    </w:p>
    <w:p>
      <w:pPr>
        <w:spacing w:after="0" w:line="46" w:lineRule="exact"/>
        <w:rPr>
          <w:sz w:val="20"/>
          <w:szCs w:val="20"/>
          <w:color w:val="auto"/>
        </w:rPr>
      </w:pPr>
    </w:p>
    <w:p>
      <w:pPr>
        <w:ind w:right="220" w:firstLine="267"/>
        <w:spacing w:after="0" w:line="277" w:lineRule="auto"/>
        <w:rPr>
          <w:sz w:val="20"/>
          <w:szCs w:val="20"/>
          <w:color w:val="auto"/>
        </w:rPr>
      </w:pPr>
      <w:r>
        <w:rPr>
          <w:rFonts w:ascii="Arial" w:cs="Arial" w:eastAsia="Arial" w:hAnsi="Arial"/>
          <w:sz w:val="18"/>
          <w:szCs w:val="18"/>
          <w:color w:val="auto"/>
        </w:rPr>
        <w:t>The applicable prospectus supplement will describe the following terms to the extent that they may apply to an issuance of preferred stock in respect of which this prospectus is being delivered:</w:t>
      </w:r>
    </w:p>
    <w:p>
      <w:pPr>
        <w:spacing w:after="0" w:line="62" w:lineRule="exact"/>
        <w:rPr>
          <w:sz w:val="20"/>
          <w:szCs w:val="20"/>
          <w:color w:val="auto"/>
        </w:rPr>
      </w:pPr>
    </w:p>
    <w:p>
      <w:pPr>
        <w:ind w:left="820" w:hanging="461"/>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specific designation, number of shares, seniority and purchase price;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liquidation preference per share;</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date of maturity;</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redemption, repayment or sinking fund provisions;</w:t>
      </w:r>
    </w:p>
    <w:p>
      <w:pPr>
        <w:spacing w:after="0" w:line="130" w:lineRule="exact"/>
        <w:rPr>
          <w:rFonts w:ascii="Arial" w:cs="Arial" w:eastAsia="Arial" w:hAnsi="Arial"/>
          <w:sz w:val="18"/>
          <w:szCs w:val="18"/>
          <w:color w:val="auto"/>
        </w:rPr>
      </w:pPr>
    </w:p>
    <w:p>
      <w:pPr>
        <w:ind w:left="820" w:right="760" w:hanging="461"/>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dividend rate or rates and the dates on which any such dividends will be payable (or the method by which such rates or dates will be determined);</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voting rights;</w:t>
      </w:r>
    </w:p>
    <w:p>
      <w:pPr>
        <w:spacing w:after="0" w:line="130" w:lineRule="exact"/>
        <w:rPr>
          <w:rFonts w:ascii="Arial" w:cs="Arial" w:eastAsia="Arial" w:hAnsi="Arial"/>
          <w:sz w:val="18"/>
          <w:szCs w:val="18"/>
          <w:color w:val="auto"/>
        </w:rPr>
      </w:pPr>
    </w:p>
    <w:p>
      <w:pPr>
        <w:ind w:left="820" w:hanging="461"/>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or currencies including composite currencies in which such preferred stock is denominated and/or in which payments will or may be payable;</w:t>
      </w:r>
    </w:p>
    <w:p>
      <w:pPr>
        <w:spacing w:after="0" w:line="75" w:lineRule="exact"/>
        <w:rPr>
          <w:rFonts w:ascii="Arial" w:cs="Arial" w:eastAsia="Arial" w:hAnsi="Arial"/>
          <w:sz w:val="18"/>
          <w:szCs w:val="18"/>
          <w:color w:val="auto"/>
        </w:rPr>
      </w:pPr>
    </w:p>
    <w:p>
      <w:pPr>
        <w:ind w:left="820" w:right="240" w:hanging="461"/>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method by which amounts in respect of such preferred stock may be calculated and any commodities, currencies or indices, or value, rate or price, relevant to such calculation;</w:t>
      </w:r>
    </w:p>
    <w:p>
      <w:pPr>
        <w:spacing w:after="0" w:line="75" w:lineRule="exact"/>
        <w:rPr>
          <w:rFonts w:ascii="Arial" w:cs="Arial" w:eastAsia="Arial" w:hAnsi="Arial"/>
          <w:sz w:val="18"/>
          <w:szCs w:val="18"/>
          <w:color w:val="auto"/>
        </w:rPr>
      </w:pPr>
    </w:p>
    <w:p>
      <w:pPr>
        <w:ind w:left="820" w:right="440" w:hanging="461"/>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preferred stock is convertible or exchangeable and, if so, the securities or rights into which such preferred stock is convertible or exchangeable, and the terms and conditions upon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right="360"/>
        <w:spacing w:after="0" w:line="277" w:lineRule="auto"/>
        <w:rPr>
          <w:sz w:val="20"/>
          <w:szCs w:val="20"/>
          <w:color w:val="auto"/>
        </w:rPr>
      </w:pPr>
      <w:r>
        <w:rPr>
          <w:rFonts w:ascii="Arial" w:cs="Arial" w:eastAsia="Arial" w:hAnsi="Arial"/>
          <w:sz w:val="18"/>
          <w:szCs w:val="18"/>
          <w:color w:val="auto"/>
        </w:rPr>
        <w:t>which such conversions or exchanges will be effected including the initial conversion or exchange prices or rates, the conversion or exchange period and any other related provisions;</w:t>
      </w:r>
    </w:p>
    <w:p>
      <w:pPr>
        <w:spacing w:after="0" w:line="76" w:lineRule="exact"/>
        <w:rPr>
          <w:sz w:val="20"/>
          <w:szCs w:val="20"/>
          <w:color w:val="auto"/>
        </w:rPr>
      </w:pPr>
    </w:p>
    <w:p>
      <w:pPr>
        <w:ind w:left="820" w:hanging="461"/>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place or places where dividends and other payments on the preferred stock will be payable; and</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additional voting, dividend, liquidation, redemption and other rights, preferences, privileges, limitations and restrictions.</w:t>
      </w:r>
    </w:p>
    <w:p>
      <w:pPr>
        <w:spacing w:after="0" w:line="225" w:lineRule="exact"/>
        <w:rPr>
          <w:sz w:val="20"/>
          <w:szCs w:val="20"/>
          <w:color w:val="auto"/>
        </w:rPr>
      </w:pPr>
    </w:p>
    <w:p>
      <w:pPr>
        <w:ind w:right="140" w:firstLine="260"/>
        <w:spacing w:after="0" w:line="264" w:lineRule="auto"/>
        <w:rPr>
          <w:sz w:val="20"/>
          <w:szCs w:val="20"/>
          <w:color w:val="auto"/>
        </w:rPr>
      </w:pPr>
      <w:r>
        <w:rPr>
          <w:rFonts w:ascii="Arial" w:cs="Arial" w:eastAsia="Arial" w:hAnsi="Arial"/>
          <w:sz w:val="18"/>
          <w:szCs w:val="18"/>
          <w:color w:val="auto"/>
        </w:rPr>
        <w:t>As described under “Description of Depositary Shares,” we may, at our option, elect to offer depositary shares evidenced by depositary receipts, each representing an interest (to be specified in the prospectus supplement relating to the particular series of the preferred stock) in a share of the particular series of the preferred stock issued and deposited with a bank or trust company selected by us as the depositary.</w:t>
      </w:r>
    </w:p>
    <w:p>
      <w:pPr>
        <w:spacing w:after="0" w:line="73" w:lineRule="exact"/>
        <w:rPr>
          <w:sz w:val="20"/>
          <w:szCs w:val="20"/>
          <w:color w:val="auto"/>
        </w:rPr>
      </w:pPr>
    </w:p>
    <w:p>
      <w:pPr>
        <w:ind w:right="340" w:firstLine="260"/>
        <w:spacing w:after="0" w:line="277" w:lineRule="auto"/>
        <w:rPr>
          <w:sz w:val="20"/>
          <w:szCs w:val="20"/>
          <w:color w:val="auto"/>
        </w:rPr>
      </w:pPr>
      <w:r>
        <w:rPr>
          <w:rFonts w:ascii="Arial" w:cs="Arial" w:eastAsia="Arial" w:hAnsi="Arial"/>
          <w:sz w:val="18"/>
          <w:szCs w:val="18"/>
          <w:color w:val="auto"/>
        </w:rPr>
        <w:t>All shares of preferred stock offered hereby, or issuable upon conversion, exchange or exercise of securities, will, when issued, be fully paid and non-assessable. We have been advised that the preferred stock will be exempt from existing Pennsylvania personal property tax.</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DEPOSITARY SHARES</w:t>
      </w:r>
    </w:p>
    <w:p>
      <w:pPr>
        <w:spacing w:after="0" w:line="121" w:lineRule="exact"/>
        <w:rPr>
          <w:sz w:val="20"/>
          <w:szCs w:val="20"/>
          <w:color w:val="auto"/>
        </w:rPr>
      </w:pPr>
    </w:p>
    <w:p>
      <w:pPr>
        <w:ind w:right="180" w:firstLine="267"/>
        <w:spacing w:after="0" w:line="264" w:lineRule="auto"/>
        <w:rPr>
          <w:sz w:val="20"/>
          <w:szCs w:val="20"/>
          <w:color w:val="auto"/>
        </w:rPr>
      </w:pPr>
      <w:r>
        <w:rPr>
          <w:rFonts w:ascii="Arial" w:cs="Arial" w:eastAsia="Arial" w:hAnsi="Arial"/>
          <w:sz w:val="18"/>
          <w:szCs w:val="18"/>
          <w:color w:val="auto"/>
        </w:rPr>
        <w:t>The description set forth below and in any prospectus supplement of certain provisions of the deposit agreement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20" w:firstLine="267"/>
        <w:spacing w:after="0" w:line="255" w:lineRule="auto"/>
        <w:rPr>
          <w:sz w:val="20"/>
          <w:szCs w:val="20"/>
          <w:color w:val="auto"/>
        </w:rPr>
      </w:pPr>
      <w:r>
        <w:rPr>
          <w:rFonts w:ascii="Arial" w:cs="Arial" w:eastAsia="Arial" w:hAnsi="Arial"/>
          <w:sz w:val="18"/>
          <w:szCs w:val="18"/>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85" w:lineRule="exact"/>
        <w:rPr>
          <w:sz w:val="20"/>
          <w:szCs w:val="20"/>
          <w:color w:val="auto"/>
        </w:rPr>
      </w:pPr>
    </w:p>
    <w:p>
      <w:pPr>
        <w:ind w:right="440" w:firstLine="267"/>
        <w:spacing w:after="0" w:line="308" w:lineRule="auto"/>
        <w:rPr>
          <w:sz w:val="20"/>
          <w:szCs w:val="20"/>
          <w:color w:val="auto"/>
        </w:rPr>
      </w:pPr>
      <w:r>
        <w:rPr>
          <w:rFonts w:ascii="Arial" w:cs="Arial" w:eastAsia="Arial" w:hAnsi="Arial"/>
          <w:sz w:val="17"/>
          <w:szCs w:val="17"/>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38"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Unless otherwise specified in the prospectus supplement, a holder of depositary shares is not entitled to receive the shares of preferred stock underlying the depositary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right="220" w:firstLine="267"/>
        <w:spacing w:after="0" w:line="342"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16"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 The deposit agreement also contains provisions relating to the manner in which any subscription or similar rights offered by us to holders of preferred stock shall be made available to holders of depositary shares.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right="100" w:firstLine="270"/>
        <w:spacing w:after="0" w:line="273" w:lineRule="auto"/>
        <w:rPr>
          <w:sz w:val="20"/>
          <w:szCs w:val="20"/>
          <w:color w:val="auto"/>
        </w:rPr>
      </w:pPr>
      <w:r>
        <w:rPr>
          <w:rFonts w:ascii="Arial" w:cs="Arial" w:eastAsia="Arial" w:hAnsi="Arial"/>
          <w:sz w:val="17"/>
          <w:szCs w:val="17"/>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70" w:lineRule="exact"/>
        <w:rPr>
          <w:sz w:val="20"/>
          <w:szCs w:val="20"/>
          <w:color w:val="auto"/>
        </w:rPr>
      </w:pPr>
    </w:p>
    <w:p>
      <w:pPr>
        <w:ind w:right="20" w:firstLine="260"/>
        <w:spacing w:after="0" w:line="259"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Deposit Agreement</w:t>
      </w:r>
    </w:p>
    <w:p>
      <w:pPr>
        <w:spacing w:after="0" w:line="121" w:lineRule="exact"/>
        <w:rPr>
          <w:sz w:val="20"/>
          <w:szCs w:val="20"/>
          <w:color w:val="auto"/>
        </w:rPr>
      </w:pPr>
    </w:p>
    <w:p>
      <w:pPr>
        <w:ind w:right="180" w:firstLine="267"/>
        <w:spacing w:after="0" w:line="312" w:lineRule="auto"/>
        <w:rPr>
          <w:sz w:val="20"/>
          <w:szCs w:val="20"/>
          <w:color w:val="auto"/>
        </w:rPr>
      </w:pPr>
      <w:r>
        <w:rPr>
          <w:rFonts w:ascii="Arial" w:cs="Arial" w:eastAsia="Arial" w:hAnsi="Arial"/>
          <w:sz w:val="16"/>
          <w:szCs w:val="16"/>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We, or at our option, the depositary, will forward to the holders of depositary shares all reports and communications from us which we are required to furnish to the holders of preferred stock.</w:t>
      </w:r>
    </w:p>
    <w:p>
      <w:pPr>
        <w:spacing w:after="0" w:line="62"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 Termination of the Deposit Agreement</w:t>
      </w:r>
    </w:p>
    <w:p>
      <w:pPr>
        <w:spacing w:after="0" w:line="121"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21" w:lineRule="exact"/>
        <w:rPr>
          <w:sz w:val="20"/>
          <w:szCs w:val="20"/>
          <w:color w:val="auto"/>
        </w:rPr>
      </w:pPr>
    </w:p>
    <w:p>
      <w:pPr>
        <w:ind w:right="120" w:firstLine="267"/>
        <w:spacing w:after="0" w:line="277"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62" w:lineRule="exact"/>
        <w:rPr>
          <w:sz w:val="20"/>
          <w:szCs w:val="20"/>
          <w:color w:val="auto"/>
        </w:rPr>
      </w:pPr>
    </w:p>
    <w:p>
      <w:pPr>
        <w:ind w:right="60" w:firstLine="267"/>
        <w:spacing w:after="0" w:line="257" w:lineRule="auto"/>
        <w:rPr>
          <w:sz w:val="20"/>
          <w:szCs w:val="20"/>
          <w:color w:val="auto"/>
        </w:rPr>
      </w:pPr>
      <w:r>
        <w:rPr>
          <w:rFonts w:ascii="Arial" w:cs="Arial" w:eastAsia="Arial" w:hAnsi="Arial"/>
          <w:sz w:val="18"/>
          <w:szCs w:val="18"/>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 At the close of business on December 31, 2002 there were outstanding 1.355 billion shares of Class A Common Stock, 883.3 million shares of Class A Special Common Stock and 9.4 million shares of Class B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therefore, in proportion to the number of shares held by them, respectively, without regard to class.</w:t>
      </w:r>
    </w:p>
    <w:p>
      <w:pPr>
        <w:spacing w:after="0" w:line="79" w:lineRule="exact"/>
        <w:rPr>
          <w:sz w:val="20"/>
          <w:szCs w:val="20"/>
          <w:color w:val="auto"/>
        </w:rPr>
      </w:pPr>
    </w:p>
    <w:p>
      <w:pPr>
        <w:jc w:val="both"/>
        <w:ind w:right="180" w:firstLine="270"/>
        <w:spacing w:after="0" w:line="264" w:lineRule="auto"/>
        <w:rPr>
          <w:sz w:val="20"/>
          <w:szCs w:val="20"/>
          <w:color w:val="auto"/>
        </w:rPr>
      </w:pPr>
      <w:r>
        <w:rPr>
          <w:rFonts w:ascii="Arial" w:cs="Arial" w:eastAsia="Arial" w:hAnsi="Arial"/>
          <w:sz w:val="18"/>
          <w:szCs w:val="18"/>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therefore. However, stock dividends on, or stock splits of, any class of common stock will not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right="40" w:firstLine="270"/>
        <w:spacing w:after="0" w:line="264" w:lineRule="auto"/>
        <w:rPr>
          <w:sz w:val="20"/>
          <w:szCs w:val="20"/>
          <w:color w:val="auto"/>
        </w:rPr>
      </w:pPr>
      <w:r>
        <w:rPr>
          <w:rFonts w:ascii="Arial" w:cs="Arial" w:eastAsia="Arial" w:hAnsi="Arial"/>
          <w:sz w:val="18"/>
          <w:szCs w:val="18"/>
          <w:color w:val="auto"/>
        </w:rPr>
        <w:t>Except as required by law, holders of our Class A Special Common Stock are not be entitled to vote. When holders of our Class A Special Common Stock are entitled to vote by applicable law, each share of our Class A Special Common Stock has the same number of votes as each share of our Class A Common Stock.</w:t>
      </w:r>
    </w:p>
    <w:p>
      <w:pPr>
        <w:spacing w:after="0" w:line="73"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On all matters submitted for a vote of holders of all classes of our voting stock, holders of our Class A Common Stock in the aggregate hold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of the aggregate voting power of our capital stock as of completion of the Broadband acquisition.</w:t>
      </w:r>
    </w:p>
    <w:p>
      <w:pPr>
        <w:spacing w:after="0" w:line="62"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 (2) 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3</w:t>
      </w:r>
      <w:r>
        <w:rPr>
          <w:rFonts w:ascii="Arial" w:cs="Arial" w:eastAsia="Arial" w:hAnsi="Arial"/>
          <w:sz w:val="16"/>
          <w:szCs w:val="16"/>
          <w:color w:val="auto"/>
        </w:rPr>
        <w:t>%, subject to reduction as described below.</w:t>
      </w:r>
    </w:p>
    <w:p>
      <w:pPr>
        <w:spacing w:after="0" w:line="61"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If the number of shares of our Class A Common Stock or our Class B Common Stock outstanding is reduced for any reason (</w:t>
      </w:r>
      <w:r>
        <w:rPr>
          <w:rFonts w:ascii="Arial" w:cs="Arial" w:eastAsia="Arial" w:hAnsi="Arial"/>
          <w:sz w:val="16"/>
          <w:szCs w:val="16"/>
          <w:i w:val="1"/>
          <w:iCs w:val="1"/>
          <w:color w:val="auto"/>
        </w:rPr>
        <w:t>e.g.</w:t>
      </w:r>
      <w:r>
        <w:rPr>
          <w:rFonts w:ascii="Arial" w:cs="Arial" w:eastAsia="Arial" w:hAnsi="Arial"/>
          <w:sz w:val="16"/>
          <w:szCs w:val="16"/>
          <w:color w:val="auto"/>
        </w:rPr>
        <w:t>, by repurchase or, in the case of our Class B Common Stock only, conversion), the aggregate voting power of the applicable class of our capital stock will be proportionately reduced. If additional shares of our Class A Common Stock or our Class B Common Stock are issued, the relative aggregate voting power of the two classes of our common stock will change (based on the principle that each share of our Class B Common Stock will be entitled to 15 times the vote of each share of our Class A Common Stock) to the extent such issuance is disproportionate as between the relative number of shares of the two classes outstanding prior to the issuance, but the combined aggregate voting power of the two classes of stock will remain constant at approximately 38</w:t>
      </w:r>
      <w:r>
        <w:rPr>
          <w:rFonts w:ascii="Arial" w:cs="Arial" w:eastAsia="Arial" w:hAnsi="Arial"/>
          <w:sz w:val="9"/>
          <w:szCs w:val="9"/>
          <w:color w:val="auto"/>
        </w:rPr>
        <w:t>47</w:t>
      </w:r>
      <w:r>
        <w:rPr>
          <w:rFonts w:ascii="Arial" w:cs="Arial" w:eastAsia="Arial" w:hAnsi="Arial"/>
          <w:sz w:val="16"/>
          <w:szCs w:val="16"/>
          <w:color w:val="auto"/>
        </w:rPr>
        <w:t>/</w:t>
      </w:r>
      <w:r>
        <w:rPr>
          <w:rFonts w:ascii="Arial" w:cs="Arial" w:eastAsia="Arial" w:hAnsi="Arial"/>
          <w:sz w:val="9"/>
          <w:szCs w:val="9"/>
          <w:color w:val="auto"/>
        </w:rPr>
        <w:t>100</w:t>
      </w:r>
      <w:r>
        <w:rPr>
          <w:rFonts w:ascii="Arial" w:cs="Arial" w:eastAsia="Arial" w:hAnsi="Arial"/>
          <w:sz w:val="16"/>
          <w:szCs w:val="16"/>
          <w:color w:val="auto"/>
        </w:rPr>
        <w:t>% (except to the extent there has been a reduction in the aggregate voting power of either class of stock as described in the preceding sentence).</w:t>
      </w:r>
    </w:p>
    <w:p>
      <w:pPr>
        <w:spacing w:after="0" w:line="59" w:lineRule="exact"/>
        <w:rPr>
          <w:sz w:val="20"/>
          <w:szCs w:val="20"/>
          <w:color w:val="auto"/>
        </w:rPr>
      </w:pPr>
    </w:p>
    <w:p>
      <w:pPr>
        <w:ind w:right="140" w:firstLine="270"/>
        <w:spacing w:after="0" w:line="302" w:lineRule="auto"/>
        <w:rPr>
          <w:sz w:val="20"/>
          <w:szCs w:val="20"/>
          <w:color w:val="auto"/>
        </w:rPr>
      </w:pPr>
      <w:r>
        <w:rPr>
          <w:rFonts w:ascii="Arial" w:cs="Arial" w:eastAsia="Arial" w:hAnsi="Arial"/>
          <w:sz w:val="16"/>
          <w:szCs w:val="16"/>
          <w:color w:val="auto"/>
        </w:rPr>
        <w:t>Subject to the next sentence, on all matters submitted for a vote of holders of one or more classes of our voting stock, holders of our Class B Common Stock in the aggregate will hold 33</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3</w:t>
      </w:r>
      <w:r>
        <w:rPr>
          <w:rFonts w:ascii="Arial" w:cs="Arial" w:eastAsia="Arial" w:hAnsi="Arial"/>
          <w:sz w:val="16"/>
          <w:szCs w:val="16"/>
          <w:color w:val="auto"/>
        </w:rPr>
        <w:t>% of the aggregate voting power of our capital stock, regardless of the number of shares of our Class A Common Stock or any other class of our capital stock outstanding at any time. If the number of shares of our Class B Common Stock outstanding is reduced for any reason (e.g., by repurchase or conversion), the aggregate voting power of our Class B Common Stock will be proportionately reduced.</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share of our Class B Common Stock has 15 votes.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21"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w:t>
      </w:r>
    </w:p>
    <w:p>
      <w:pPr>
        <w:spacing w:after="0" w:line="62" w:lineRule="exact"/>
        <w:rPr>
          <w:sz w:val="20"/>
          <w:szCs w:val="20"/>
          <w:color w:val="auto"/>
        </w:rPr>
      </w:pPr>
    </w:p>
    <w:p>
      <w:pPr>
        <w:ind w:right="100" w:firstLine="270"/>
        <w:spacing w:after="0" w:line="290" w:lineRule="auto"/>
        <w:rPr>
          <w:sz w:val="20"/>
          <w:szCs w:val="20"/>
          <w:color w:val="auto"/>
        </w:rPr>
      </w:pPr>
      <w:r>
        <w:rPr>
          <w:rFonts w:ascii="Arial" w:cs="Arial" w:eastAsia="Arial" w:hAnsi="Arial"/>
          <w:sz w:val="16"/>
          <w:szCs w:val="16"/>
          <w:color w:val="auto"/>
        </w:rPr>
        <w:t>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121"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Brian L. Roberts, our President and CEO, through his control of BRCC Holdings LLC and certain trusts, which own all outstanding shares of our Class B Common Stock, holds a nondilutable 33</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3</w:t>
      </w:r>
      <w:r>
        <w:rPr>
          <w:rFonts w:ascii="Arial" w:cs="Arial" w:eastAsia="Arial" w:hAnsi="Arial"/>
          <w:sz w:val="16"/>
          <w:szCs w:val="16"/>
          <w:color w:val="auto"/>
        </w:rPr>
        <w:t>%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December 31, 2002, if BRCC Holdings LLC, the trusts and Mr. Roberts were to convert the Class B Common Stock which they are deemed to beneficially own into Class A Common Stock, Mr. Roberts would beneficially own 9,445,731 shares of Class A Common Stock, which is approximately 0.7% of the Class A Common Stock that would be outstanding after the conversion.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121" w:lineRule="exact"/>
        <w:rPr>
          <w:sz w:val="20"/>
          <w:szCs w:val="20"/>
          <w:color w:val="auto"/>
        </w:rPr>
      </w:pPr>
    </w:p>
    <w:p>
      <w:pPr>
        <w:jc w:val="both"/>
        <w:ind w:right="700" w:firstLine="270"/>
        <w:spacing w:after="0" w:line="286" w:lineRule="auto"/>
        <w:rPr>
          <w:sz w:val="20"/>
          <w:szCs w:val="20"/>
          <w:color w:val="auto"/>
        </w:rPr>
      </w:pPr>
      <w:r>
        <w:rPr>
          <w:rFonts w:ascii="Arial" w:cs="Arial" w:eastAsia="Arial" w:hAnsi="Arial"/>
          <w:sz w:val="17"/>
          <w:szCs w:val="17"/>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121"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39"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The transfer agent and registrar for our Class A Special Common Stock and Class A Common Stock is Equiserve, 525 Washington Blvd., Jersey City, New Jersey 07310. Their telephone number is (888) 883-8903.</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SHAREHOLDER RIGHTS PLAN</w:t>
      </w:r>
    </w:p>
    <w:p>
      <w:pPr>
        <w:spacing w:after="0" w:line="121" w:lineRule="exact"/>
        <w:rPr>
          <w:sz w:val="20"/>
          <w:szCs w:val="20"/>
          <w:color w:val="auto"/>
        </w:rPr>
      </w:pPr>
    </w:p>
    <w:p>
      <w:pPr>
        <w:jc w:val="both"/>
        <w:ind w:right="160" w:firstLine="267"/>
        <w:spacing w:after="0" w:line="264"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which we entered into in connection with the completion of the Broadband acquisition is qualified by reference to the terms of the rights agreement, which is included as an exhibit to the registration statement of which this prospectus is a part.</w:t>
      </w:r>
    </w:p>
    <w:p>
      <w:pPr>
        <w:spacing w:after="0" w:line="73" w:lineRule="exact"/>
        <w:rPr>
          <w:sz w:val="20"/>
          <w:szCs w:val="20"/>
          <w:color w:val="auto"/>
        </w:rPr>
      </w:pPr>
    </w:p>
    <w:p>
      <w:pPr>
        <w:ind w:right="180" w:firstLine="270"/>
        <w:spacing w:after="0" w:line="257"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17" w:lineRule="exact"/>
        <w:rPr>
          <w:sz w:val="20"/>
          <w:szCs w:val="20"/>
          <w:color w:val="auto"/>
        </w:rPr>
      </w:pPr>
    </w:p>
    <w:p>
      <w:pPr>
        <w:ind w:right="20" w:firstLine="267"/>
        <w:spacing w:after="0" w:line="273" w:lineRule="auto"/>
        <w:rPr>
          <w:sz w:val="20"/>
          <w:szCs w:val="20"/>
          <w:color w:val="auto"/>
        </w:rPr>
      </w:pPr>
      <w:r>
        <w:rPr>
          <w:rFonts w:ascii="Arial" w:cs="Arial" w:eastAsia="Arial" w:hAnsi="Arial"/>
          <w:sz w:val="17"/>
          <w:szCs w:val="17"/>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70"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80"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under “—‘Flip In’ Feature” or “—‘Flip Over’ Feature,” each Right will be exercisable to purchase for $125 one one-thousandth of a share of our Series A Participating Cumulative Preferred Stock.</w:t>
      </w:r>
    </w:p>
    <w:p>
      <w:pPr>
        <w:spacing w:after="0" w:line="73" w:lineRule="exact"/>
        <w:rPr>
          <w:sz w:val="20"/>
          <w:szCs w:val="20"/>
          <w:color w:val="auto"/>
        </w:rPr>
      </w:pPr>
    </w:p>
    <w:p>
      <w:pPr>
        <w:ind w:right="80" w:firstLine="270"/>
        <w:spacing w:after="0" w:line="342" w:lineRule="auto"/>
        <w:rPr>
          <w:sz w:val="20"/>
          <w:szCs w:val="20"/>
          <w:color w:val="auto"/>
        </w:rPr>
      </w:pPr>
      <w:r>
        <w:rPr>
          <w:rFonts w:ascii="Arial" w:cs="Arial" w:eastAsia="Arial" w:hAnsi="Arial"/>
          <w:sz w:val="16"/>
          <w:szCs w:val="16"/>
          <w:b w:val="1"/>
          <w:bCs w:val="1"/>
          <w:i w:val="1"/>
          <w:iCs w:val="1"/>
          <w:color w:val="auto"/>
        </w:rPr>
        <w:t xml:space="preserve">“Flip In” Feature. </w:t>
      </w:r>
      <w:r>
        <w:rPr>
          <w:rFonts w:ascii="Arial" w:cs="Arial" w:eastAsia="Arial" w:hAnsi="Arial"/>
          <w:sz w:val="16"/>
          <w:szCs w:val="16"/>
          <w:color w:val="auto"/>
        </w:rPr>
        <w:t>If any person becomes an Acquiring Person, each holder of a Right, except for the Acquiring Person or certain affiliated persons,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the right to acquire, instead of one one-thousandth of a share of our Series A Participating Cumulative Preferred Stock, a number of shares of our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Class A common stock, in each case having a market value equal to twice the exercise price of the Right. For example, if an initial purchase price of $125 were in effect on the date that the flip in feature of the Rights were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79"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b w:val="1"/>
          <w:bCs w:val="1"/>
          <w:i w:val="1"/>
          <w:iCs w:val="1"/>
          <w:color w:val="auto"/>
        </w:rPr>
        <w:t xml:space="preserve">“Exchange” Feature. </w:t>
      </w:r>
      <w:r>
        <w:rPr>
          <w:rFonts w:ascii="Arial" w:cs="Arial" w:eastAsia="Arial" w:hAnsi="Arial"/>
          <w:sz w:val="17"/>
          <w:szCs w:val="17"/>
          <w:color w:val="auto"/>
        </w:rPr>
        <w:t>At any time after a person becomes an Acquiring Person (but before any person becomes the beneficial owner of our voting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64"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80" w:lineRule="exact"/>
        <w:rPr>
          <w:sz w:val="20"/>
          <w:szCs w:val="20"/>
          <w:color w:val="auto"/>
        </w:rPr>
      </w:pPr>
    </w:p>
    <w:p>
      <w:pPr>
        <w:ind w:right="280" w:firstLine="270"/>
        <w:spacing w:after="0" w:line="264"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73"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b w:val="1"/>
          <w:bCs w:val="1"/>
          <w:i w:val="1"/>
          <w:iCs w:val="1"/>
          <w:color w:val="auto"/>
        </w:rPr>
        <w:t xml:space="preserve">Amendment of Rights. </w:t>
      </w:r>
      <w:r>
        <w:rPr>
          <w:rFonts w:ascii="Arial" w:cs="Arial" w:eastAsia="Arial" w:hAnsi="Arial"/>
          <w:sz w:val="18"/>
          <w:szCs w:val="18"/>
          <w:color w:val="auto"/>
        </w:rPr>
        <w:t>For so long as the Rights are redeemable, the rights agreement may be amended in any respect. At any time when the Rights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17" w:lineRule="exact"/>
        <w:rPr>
          <w:sz w:val="20"/>
          <w:szCs w:val="20"/>
          <w:color w:val="auto"/>
        </w:rPr>
      </w:pPr>
    </w:p>
    <w:p>
      <w:pPr>
        <w:ind w:right="60" w:firstLine="270"/>
        <w:spacing w:after="0" w:line="312"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39" w:lineRule="exact"/>
        <w:rPr>
          <w:sz w:val="20"/>
          <w:szCs w:val="20"/>
          <w:color w:val="auto"/>
        </w:rPr>
      </w:pPr>
    </w:p>
    <w:p>
      <w:pPr>
        <w:ind w:right="500" w:firstLine="270"/>
        <w:spacing w:after="0" w:line="277"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will not be taxable to stockholders or to us, stockholders or we may, depending upon the circumstances,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 taxable income in the event that the Rights become exercisable as set forth above.</w:t>
      </w:r>
    </w:p>
    <w:p>
      <w:pPr>
        <w:spacing w:after="0" w:line="62"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b w:val="1"/>
          <w:bCs w:val="1"/>
          <w:i w:val="1"/>
          <w:iCs w:val="1"/>
          <w:color w:val="auto"/>
        </w:rPr>
        <w:t xml:space="preserve">Series A Preferred Stock. </w:t>
      </w:r>
      <w:r>
        <w:rPr>
          <w:rFonts w:ascii="Arial" w:cs="Arial" w:eastAsia="Arial" w:hAnsi="Arial"/>
          <w:sz w:val="17"/>
          <w:szCs w:val="17"/>
          <w:color w:val="auto"/>
        </w:rPr>
        <w:t>In connection with the creation of the Rights, our Board authorized the issuance of shares of our preferred stock designated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Series A Participating Cumulative Preferred Stock. We will design the dividend, liquidation, voting and redemption features of our Series A Participating Cumulative Preferred Stock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Cross Guarantees</w:t>
      </w:r>
    </w:p>
    <w:p>
      <w:pPr>
        <w:spacing w:after="0" w:line="121" w:lineRule="exact"/>
        <w:rPr>
          <w:sz w:val="20"/>
          <w:szCs w:val="20"/>
          <w:color w:val="auto"/>
        </w:rPr>
      </w:pPr>
    </w:p>
    <w:p>
      <w:pPr>
        <w:ind w:right="140" w:firstLine="267"/>
        <w:spacing w:after="0" w:line="291" w:lineRule="auto"/>
        <w:rPr>
          <w:sz w:val="20"/>
          <w:szCs w:val="20"/>
          <w:color w:val="auto"/>
        </w:rPr>
      </w:pPr>
      <w:r>
        <w:rPr>
          <w:rFonts w:ascii="Arial" w:cs="Arial" w:eastAsia="Arial" w:hAnsi="Arial"/>
          <w:sz w:val="16"/>
          <w:szCs w:val="16"/>
          <w:color w:val="auto"/>
        </w:rPr>
        <w:t>To simplify our capital structure, effective with the acquisition of Broadband, we, Comcast Cable, Comcast Cable Communications Holdings, Comcast Cable Holdings and Comcast MO Group each fully and unconditionally guaranteed each other’s debt securities and other indebtedness for borrowed money. In March 2003, we obtained the consent of holders of $1.7 billion of the outstanding debt securities of Comcast MO of Delaware to an amendment of their debt securities which allowed Comcast MO of Delaware to become a guarantor and have its debt securities guaranteed. At the time the amendment became effective, we and the other cable guarantors fully and unconditionally guaranteed these debt securities of Comcast MO of Delaware, and Comcast MO of Delaware fully and unconditionally guaranteed our debt securities and the debt securities of the other cable guarantors, including the $3.0 billion of debt securities we have issued this year and amounts outstanding under the new credit facilities incurred in connection with the Broadband acquisition.</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Holdings is not a guarantor, and none of its debt securities are guaranteed.</w:t>
      </w:r>
    </w:p>
    <w:p>
      <w:pPr>
        <w:spacing w:after="0" w:line="117" w:lineRule="exact"/>
        <w:rPr>
          <w:sz w:val="20"/>
          <w:szCs w:val="20"/>
          <w:color w:val="auto"/>
        </w:rPr>
      </w:pPr>
    </w:p>
    <w:p>
      <w:pPr>
        <w:ind w:right="60" w:firstLine="267"/>
        <w:spacing w:after="0" w:line="267" w:lineRule="auto"/>
        <w:rPr>
          <w:sz w:val="20"/>
          <w:szCs w:val="20"/>
          <w:color w:val="auto"/>
        </w:rPr>
      </w:pPr>
      <w:r>
        <w:rPr>
          <w:rFonts w:ascii="Arial" w:cs="Arial" w:eastAsia="Arial" w:hAnsi="Arial"/>
          <w:sz w:val="17"/>
          <w:szCs w:val="17"/>
          <w:color w:val="auto"/>
        </w:rPr>
        <w:t>The following table presents as of December 31, 2002 for each of Comcast, Comcast Cable, Comcast Cable Communications Holdings, Comcast Cable Holdings, Comcast MO Group and Comcast MO of Delaware, their pro forma payment obligations for principal, excluding obligations of their subsidiaries and excluding interest but including principal accreted under discount obligations, under debt securities and other indebtedness for borrowed money that is subject to the cross guarantees. For purposes of the table, amounts set forth opposite “guaranteed debt securities” only include amounts with respect to the person who is the primary obligor and not with respect to amounts for which that person may be secondarily liable as guarantor. The table presents for us the pro forma effect of our issuance of $3 billion of debt securities this year (consisting of $600 million aggregate principal amount of our 5.85% Notes due 2010 and $900 million aggregate principal amount of our 6.05% Notes due 2015 issued on January 10, 2003, and $750 million aggregate principal amount of our 5.50% Notes due 2008 and $750 million aggregate principal amount of our 7.05% Notes due 2033 issued on March 14, 2003), and payment of $3 billion of net proceeds from the issuance and sale of these notes, to reduce our borrowings under the new credit facilities incurred in connection with the Broadband acquisition.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Payment</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Payments Due by Period</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4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Guaranteed debt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 1</w:t>
            </w:r>
          </w:p>
        </w:tc>
        <w:tc>
          <w:tcPr>
            <w:tcW w:w="160" w:type="dxa"/>
            <w:vAlign w:val="bottom"/>
            <w:vMerge w:val="restart"/>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Years 2-3</w:t>
            </w:r>
          </w:p>
        </w:tc>
        <w:tc>
          <w:tcPr>
            <w:tcW w:w="54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Years 4-5</w:t>
            </w:r>
          </w:p>
        </w:tc>
        <w:tc>
          <w:tcPr>
            <w:tcW w:w="26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194"/>
              <w:spacing w:after="0" w:line="133" w:lineRule="exact"/>
              <w:rPr>
                <w:sz w:val="20"/>
                <w:szCs w:val="20"/>
                <w:color w:val="auto"/>
              </w:rPr>
            </w:pPr>
            <w:r>
              <w:rPr>
                <w:rFonts w:ascii="Arial" w:cs="Arial" w:eastAsia="Arial" w:hAnsi="Arial"/>
                <w:sz w:val="14"/>
                <w:szCs w:val="14"/>
                <w:b w:val="1"/>
                <w:bCs w:val="1"/>
                <w:color w:val="auto"/>
              </w:rPr>
              <w:t>After 5</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4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millions, unaudited)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Comcast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Comcast Cable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7,897.3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1,810.3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1,488.4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4,598.6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Comcast Cable Communications Holdings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6,755.1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Comcast Cable Holdings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6,208.2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1,464.2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1,131.4</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419.2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Comcast MO Group</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Comcast MO of Delaware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1,914.0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654.1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958.7</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26,747.5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2,215.5</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6,453.5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2,623.4</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15,455.</w:t>
            </w:r>
            <w:r>
              <w:rPr>
                <w:rFonts w:ascii="Arial" w:cs="Arial" w:eastAsia="Arial" w:hAnsi="Arial"/>
                <w:sz w:val="18"/>
                <w:szCs w:val="18"/>
                <w:u w:val="single" w:color="auto"/>
                <w:color w:val="auto"/>
              </w:rPr>
              <w:t>1</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vMerge w:val="restart"/>
          </w:tcPr>
          <w:p>
            <w:pPr>
              <w:jc w:val="right"/>
              <w:ind w:right="30"/>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117" w:lineRule="exact"/>
        <w:rPr>
          <w:sz w:val="20"/>
          <w:szCs w:val="20"/>
          <w:color w:val="auto"/>
        </w:rPr>
      </w:pPr>
    </w:p>
    <w:p>
      <w:pPr>
        <w:ind w:left="820" w:hanging="461"/>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76" w:lineRule="exact"/>
        <w:rPr>
          <w:rFonts w:ascii="Arial" w:cs="Arial" w:eastAsia="Arial" w:hAnsi="Arial"/>
          <w:sz w:val="18"/>
          <w:szCs w:val="18"/>
          <w:color w:val="auto"/>
        </w:rPr>
      </w:pPr>
    </w:p>
    <w:p>
      <w:pPr>
        <w:ind w:left="820" w:hanging="461"/>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76" w:lineRule="exact"/>
        <w:rPr>
          <w:rFonts w:ascii="Arial" w:cs="Arial" w:eastAsia="Arial" w:hAnsi="Arial"/>
          <w:sz w:val="18"/>
          <w:szCs w:val="18"/>
          <w:color w:val="auto"/>
        </w:rPr>
      </w:pPr>
    </w:p>
    <w:p>
      <w:pPr>
        <w:ind w:left="820" w:hanging="461"/>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76" w:lineRule="exact"/>
        <w:rPr>
          <w:rFonts w:ascii="Arial" w:cs="Arial" w:eastAsia="Arial" w:hAnsi="Arial"/>
          <w:sz w:val="18"/>
          <w:szCs w:val="18"/>
          <w:color w:val="auto"/>
        </w:rPr>
      </w:pPr>
    </w:p>
    <w:p>
      <w:pPr>
        <w:ind w:left="820" w:hanging="461"/>
        <w:spacing w:after="0"/>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17"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80" w:lineRule="exact"/>
        <w:rPr>
          <w:sz w:val="20"/>
          <w:szCs w:val="20"/>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73"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62" w:lineRule="exact"/>
        <w:rPr>
          <w:sz w:val="20"/>
          <w:szCs w:val="20"/>
          <w:color w:val="auto"/>
        </w:rPr>
      </w:pPr>
    </w:p>
    <w:p>
      <w:pPr>
        <w:jc w:val="both"/>
        <w:ind w:right="40" w:firstLine="270"/>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73"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58" w:lineRule="exact"/>
        <w:rPr>
          <w:sz w:val="20"/>
          <w:szCs w:val="20"/>
          <w:color w:val="auto"/>
        </w:rPr>
      </w:pPr>
    </w:p>
    <w:p>
      <w:pPr>
        <w:ind w:right="600" w:firstLine="260"/>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40" w:firstLine="260"/>
        <w:spacing w:after="0" w:line="259" w:lineRule="auto"/>
        <w:rPr>
          <w:sz w:val="20"/>
          <w:szCs w:val="20"/>
          <w:color w:val="auto"/>
        </w:rPr>
      </w:pPr>
      <w:r>
        <w:rPr>
          <w:rFonts w:ascii="Arial" w:cs="Arial" w:eastAsia="Arial" w:hAnsi="Arial"/>
          <w:sz w:val="18"/>
          <w:szCs w:val="18"/>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121" w:lineRule="exact"/>
        <w:rPr>
          <w:sz w:val="20"/>
          <w:szCs w:val="20"/>
          <w:color w:val="auto"/>
        </w:rPr>
      </w:pPr>
    </w:p>
    <w:p>
      <w:pPr>
        <w:ind w:firstLine="267"/>
        <w:spacing w:after="0" w:line="293" w:lineRule="auto"/>
        <w:rPr>
          <w:sz w:val="20"/>
          <w:szCs w:val="20"/>
          <w:color w:val="auto"/>
        </w:rPr>
      </w:pPr>
      <w:r>
        <w:rPr>
          <w:rFonts w:ascii="Arial" w:cs="Arial" w:eastAsia="Arial" w:hAnsi="Arial"/>
          <w:sz w:val="16"/>
          <w:szCs w:val="16"/>
          <w:color w:val="auto"/>
        </w:rPr>
        <w:t>The financial statements and the related financial statement schedule incorporated in this prospectus by reference from Comcast’s Annual Report on Form 10-K for the year ended December 31, 2002, have been audited by Deloitte &amp; 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which are incorporated herein by reference, and have been so incorporated in reliance upon the reports of such firm given upon their authority as experts in accounting and auditing.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AT&amp;T Broadband Group</w:t>
      </w:r>
    </w:p>
    <w:p>
      <w:pPr>
        <w:spacing w:after="0" w:line="121" w:lineRule="exact"/>
        <w:rPr>
          <w:sz w:val="20"/>
          <w:szCs w:val="20"/>
          <w:color w:val="auto"/>
        </w:rPr>
      </w:pPr>
    </w:p>
    <w:p>
      <w:pPr>
        <w:ind w:right="20" w:firstLine="267"/>
        <w:spacing w:after="0" w:line="264" w:lineRule="auto"/>
        <w:rPr>
          <w:sz w:val="20"/>
          <w:szCs w:val="20"/>
          <w:color w:val="auto"/>
        </w:rPr>
      </w:pPr>
      <w:r>
        <w:rPr>
          <w:rFonts w:ascii="Arial" w:cs="Arial" w:eastAsia="Arial" w:hAnsi="Arial"/>
          <w:sz w:val="18"/>
          <w:szCs w:val="18"/>
          <w:color w:val="auto"/>
        </w:rPr>
        <w:t>The audited historical combined financial statements of AT&amp;T Broadband Group incorporated in this prospectus by reference to Comcast’s Current Report on Form 8-K/A dated November 18, 2002 filed on December 16, 2002, have been so incorporated in reliance on the report of PricewaterhouseCoopers LLP, independent accountants, given on the authority of said firm as experts in accounting and auditing.</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267"/>
        <w:spacing w:after="0" w:line="290"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58"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color w:val="auto"/>
        </w:rPr>
        <w:t xml:space="preserve">Comcast Cable Communications Holdings, Comcast Cable, Comcast Cable Holdings, Comcast MO Group and Comcast MO of Delaware do not currently file information with the SEC. We file annual, quarterly and special reports and other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450 Fifth Street, N.W.,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57" w:lineRule="exact"/>
        <w:rPr>
          <w:sz w:val="20"/>
          <w:szCs w:val="20"/>
          <w:color w:val="auto"/>
        </w:rPr>
      </w:pPr>
    </w:p>
    <w:p>
      <w:pPr>
        <w:ind w:right="20" w:firstLine="263"/>
        <w:spacing w:after="0" w:line="257" w:lineRule="auto"/>
        <w:rPr>
          <w:sz w:val="20"/>
          <w:szCs w:val="20"/>
          <w:color w:val="auto"/>
        </w:rPr>
      </w:pPr>
      <w:r>
        <w:rPr>
          <w:rFonts w:ascii="Arial" w:cs="Arial" w:eastAsia="Arial" w:hAnsi="Arial"/>
          <w:sz w:val="18"/>
          <w:szCs w:val="18"/>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SEC Filings (File No. 000-50093)</w:t>
      </w:r>
    </w:p>
    <w:p>
      <w:pPr>
        <w:spacing w:after="0" w:line="117" w:lineRule="exact"/>
        <w:rPr>
          <w:sz w:val="20"/>
          <w:szCs w:val="20"/>
          <w:color w:val="auto"/>
        </w:rPr>
      </w:pPr>
    </w:p>
    <w:p>
      <w:pPr>
        <w:ind w:left="820" w:hanging="461"/>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2002, filed on March 20, 2003.</w:t>
      </w:r>
    </w:p>
    <w:p>
      <w:pPr>
        <w:spacing w:after="0" w:line="130" w:lineRule="exact"/>
        <w:rPr>
          <w:rFonts w:ascii="Arial" w:cs="Arial" w:eastAsia="Arial" w:hAnsi="Arial"/>
          <w:sz w:val="18"/>
          <w:szCs w:val="18"/>
          <w:color w:val="auto"/>
        </w:rPr>
      </w:pPr>
    </w:p>
    <w:p>
      <w:pPr>
        <w:ind w:left="820" w:hanging="461"/>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Current Reports on Form 8-K, filed on January 10, 2003, February 5, 2003 and March 6, 2003.</w:t>
      </w:r>
    </w:p>
    <w:p>
      <w:pPr>
        <w:spacing w:after="0" w:line="130" w:lineRule="exact"/>
        <w:rPr>
          <w:rFonts w:ascii="Arial" w:cs="Arial" w:eastAsia="Arial" w:hAnsi="Arial"/>
          <w:sz w:val="18"/>
          <w:szCs w:val="18"/>
          <w:color w:val="auto"/>
        </w:rPr>
      </w:pPr>
    </w:p>
    <w:p>
      <w:pPr>
        <w:ind w:left="820" w:hanging="461"/>
        <w:spacing w:after="0" w:line="277"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75" w:lineRule="exact"/>
        <w:rPr>
          <w:rFonts w:ascii="Arial" w:cs="Arial" w:eastAsia="Arial" w:hAnsi="Arial"/>
          <w:sz w:val="18"/>
          <w:szCs w:val="18"/>
          <w:color w:val="auto"/>
        </w:rPr>
      </w:pPr>
    </w:p>
    <w:p>
      <w:pPr>
        <w:ind w:left="820" w:hanging="461"/>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Exhibits 99.6 and 99.7 to the Current Report on Form 8-K/ A dated November 18, 2002 filed on December 16, 2002.</w:t>
      </w:r>
    </w:p>
    <w:p>
      <w:pPr>
        <w:spacing w:after="0" w:line="117" w:lineRule="exact"/>
        <w:rPr>
          <w:sz w:val="20"/>
          <w:szCs w:val="20"/>
          <w:color w:val="auto"/>
        </w:rPr>
      </w:pPr>
    </w:p>
    <w:p>
      <w:pPr>
        <w:ind w:right="140" w:firstLine="267"/>
        <w:spacing w:after="0" w:line="279" w:lineRule="auto"/>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Sections 13(a), 13(c), 14 or 15(d) of the Securities Exchange Act of 1934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63" w:lineRule="exact"/>
        <w:rPr>
          <w:sz w:val="20"/>
          <w:szCs w:val="20"/>
          <w:color w:val="auto"/>
        </w:rPr>
      </w:pPr>
    </w:p>
    <w:p>
      <w:pPr>
        <w:ind w:right="460" w:firstLine="267"/>
        <w:spacing w:after="0" w:line="277" w:lineRule="auto"/>
        <w:rPr>
          <w:sz w:val="20"/>
          <w:szCs w:val="20"/>
          <w:color w:val="auto"/>
        </w:rPr>
      </w:pPr>
      <w:r>
        <w:rPr>
          <w:rFonts w:ascii="Arial" w:cs="Arial" w:eastAsia="Arial" w:hAnsi="Arial"/>
          <w:sz w:val="18"/>
          <w:szCs w:val="18"/>
          <w:color w:val="auto"/>
        </w:rPr>
        <w:t>We will provide free copies of any of those documents, if you write or telephone us at: 1500 Market Street, Philadelphia, Pennsylvania 19102-2148, (215) 665-1700.</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377190</wp:posOffset>
            </wp:positionV>
            <wp:extent cx="1440815" cy="3689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408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960" w:hanging="192"/>
        <w:spacing w:after="0"/>
        <w:tabs>
          <w:tab w:leader="none" w:pos="3960" w:val="left"/>
        </w:tabs>
        <w:numPr>
          <w:ilvl w:val="0"/>
          <w:numId w:val="64"/>
        </w:numPr>
        <w:rPr>
          <w:rFonts w:ascii="Arial" w:cs="Arial" w:eastAsia="Arial" w:hAnsi="Arial"/>
          <w:sz w:val="25"/>
          <w:szCs w:val="25"/>
          <w:b w:val="1"/>
          <w:bCs w:val="1"/>
          <w:color w:val="auto"/>
        </w:rPr>
      </w:pPr>
      <w:r>
        <w:rPr>
          <w:rFonts w:ascii="Arial" w:cs="Arial" w:eastAsia="Arial" w:hAnsi="Arial"/>
          <w:sz w:val="25"/>
          <w:szCs w:val="25"/>
          <w:b w:val="1"/>
          <w:bCs w:val="1"/>
          <w:color w:val="auto"/>
        </w:rPr>
        <w:t>500,000,000 5.45% Notes due 2010</w:t>
      </w:r>
    </w:p>
    <w:p>
      <w:pPr>
        <w:spacing w:after="0" w:line="37" w:lineRule="exact"/>
        <w:rPr>
          <w:rFonts w:ascii="Arial" w:cs="Arial" w:eastAsia="Arial" w:hAnsi="Arial"/>
          <w:sz w:val="25"/>
          <w:szCs w:val="25"/>
          <w:b w:val="1"/>
          <w:bCs w:val="1"/>
          <w:color w:val="auto"/>
        </w:rPr>
      </w:pPr>
    </w:p>
    <w:p>
      <w:pPr>
        <w:jc w:val="both"/>
        <w:ind w:left="3700" w:right="2760" w:firstLine="68"/>
        <w:spacing w:after="0" w:line="309" w:lineRule="auto"/>
        <w:tabs>
          <w:tab w:leader="none" w:pos="3952"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750,000,000 5.85% Notes due 2015 $1,000,000,000 6.50% Notes due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-4445</wp:posOffset>
            </wp:positionV>
            <wp:extent cx="30441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jc w:val="center"/>
        <w:ind w:right="-939"/>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17145</wp:posOffset>
            </wp:positionV>
            <wp:extent cx="30441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74" w:lineRule="exact"/>
        <w:rPr>
          <w:sz w:val="20"/>
          <w:szCs w:val="20"/>
          <w:color w:val="auto"/>
        </w:rPr>
      </w:pPr>
    </w:p>
    <w:p>
      <w:pPr>
        <w:jc w:val="center"/>
        <w:ind w:right="-939"/>
        <w:spacing w:after="0"/>
        <w:rPr>
          <w:sz w:val="20"/>
          <w:szCs w:val="20"/>
          <w:color w:val="auto"/>
        </w:rPr>
      </w:pPr>
      <w:r>
        <w:rPr>
          <w:rFonts w:ascii="Arial" w:cs="Arial" w:eastAsia="Arial" w:hAnsi="Arial"/>
          <w:sz w:val="18"/>
          <w:szCs w:val="18"/>
          <w:i w:val="1"/>
          <w:iCs w:val="1"/>
          <w:color w:val="auto"/>
        </w:rPr>
        <w:t>Joint Book-Running Managers</w:t>
      </w:r>
    </w:p>
    <w:p>
      <w:pPr>
        <w:spacing w:after="0" w:line="329" w:lineRule="exact"/>
        <w:rPr>
          <w:sz w:val="20"/>
          <w:szCs w:val="20"/>
          <w:color w:val="auto"/>
        </w:rPr>
      </w:pPr>
    </w:p>
    <w:p>
      <w:pPr>
        <w:jc w:val="right"/>
        <w:spacing w:after="0"/>
        <w:tabs>
          <w:tab w:leader="none" w:pos="5100" w:val="left"/>
          <w:tab w:leader="none" w:pos="2200" w:val="left"/>
        </w:tabs>
        <w:rPr>
          <w:sz w:val="20"/>
          <w:szCs w:val="20"/>
          <w:color w:val="auto"/>
        </w:rPr>
      </w:pPr>
      <w:r>
        <w:rPr>
          <w:rFonts w:ascii="Arial" w:cs="Arial" w:eastAsia="Arial" w:hAnsi="Arial"/>
          <w:sz w:val="23"/>
          <w:szCs w:val="23"/>
          <w:b w:val="1"/>
          <w:bCs w:val="1"/>
          <w:color w:val="auto"/>
        </w:rPr>
        <w:t>Barclays Capital</w:t>
      </w:r>
      <w:r>
        <w:rPr>
          <w:sz w:val="20"/>
          <w:szCs w:val="20"/>
          <w:color w:val="auto"/>
        </w:rPr>
        <w:tab/>
      </w:r>
      <w:r>
        <w:rPr>
          <w:rFonts w:ascii="Arial" w:cs="Arial" w:eastAsia="Arial" w:hAnsi="Arial"/>
          <w:sz w:val="23"/>
          <w:szCs w:val="23"/>
          <w:b w:val="1"/>
          <w:bCs w:val="1"/>
          <w:color w:val="auto"/>
        </w:rPr>
        <w:t>JPMorgan</w:t>
      </w:r>
      <w:r>
        <w:rPr>
          <w:sz w:val="20"/>
          <w:szCs w:val="20"/>
          <w:color w:val="auto"/>
        </w:rPr>
        <w:tab/>
      </w:r>
      <w:r>
        <w:rPr>
          <w:rFonts w:ascii="Arial" w:cs="Arial" w:eastAsia="Arial" w:hAnsi="Arial"/>
          <w:sz w:val="21"/>
          <w:szCs w:val="21"/>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November 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480"/>
      </w:cols>
      <w:pgMar w:left="240" w:top="419"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1)"/>
      <w:numFmt w:val="decimal"/>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lvl w:ilvl="1">
      <w:lvlJc w:val="left"/>
      <w:lvlText w:val="•"/>
      <w:numFmt w:val="bullet"/>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lvl w:ilvl="1">
      <w:lvlJc w:val="left"/>
      <w:lvlText w:val="•"/>
      <w:numFmt w:val="bullet"/>
      <w:start w:val="1"/>
    </w:lvl>
  </w:abstractNum>
  <w:abstractNum w:abstractNumId="12">
    <w:nsid w:val="2463B9EA"/>
    <w:multiLevelType w:val="hybridMultilevel"/>
    <w:lvl w:ilvl="0">
      <w:lvlJc w:val="left"/>
      <w:lvlText w:val="(%1)"/>
      <w:numFmt w:val="lowerLetter"/>
      <w:start w:val="1"/>
    </w:lvl>
    <w:lvl w:ilvl="1">
      <w:lvlJc w:val="left"/>
      <w:lvlText w:val="(%2)"/>
      <w:numFmt w:val="lowerRoman"/>
      <w:start w:val="1"/>
    </w:lvl>
  </w:abstractNum>
  <w:abstractNum w:abstractNumId="13">
    <w:nsid w:val="5E884ADC"/>
    <w:multiLevelType w:val="hybridMultilevel"/>
    <w:lvl w:ilvl="0">
      <w:lvlJc w:val="left"/>
      <w:lvlText w:val="(%1)"/>
      <w:numFmt w:val="lowerLetter"/>
      <w:start w:val="2"/>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lvl w:ilvl="1">
      <w:lvlJc w:val="left"/>
      <w:lvlText w:val="•"/>
      <w:numFmt w:val="bullet"/>
      <w:start w:val="1"/>
    </w:lvl>
  </w:abstractNum>
  <w:abstractNum w:abstractNumId="22">
    <w:nsid w:val="1D4ED43B"/>
    <w:multiLevelType w:val="hybridMultilevel"/>
    <w:lvl w:ilvl="0">
      <w:lvlJc w:val="left"/>
      <w:lvlText w:val="(%1)"/>
      <w:numFmt w:val="lowerLetter"/>
      <w:start w:val="1"/>
    </w:lvl>
  </w:abstractNum>
  <w:abstractNum w:abstractNumId="23">
    <w:nsid w:val="725A06FB"/>
    <w:multiLevelType w:val="hybridMultilevel"/>
    <w:lvl w:ilvl="0">
      <w:lvlJc w:val="left"/>
      <w:lvlText w:val="(%1)"/>
      <w:numFmt w:val="lowerLetter"/>
      <w:start w:val="2"/>
    </w:lvl>
  </w:abstractNum>
  <w:abstractNum w:abstractNumId="24">
    <w:nsid w:val="2CD89A32"/>
    <w:multiLevelType w:val="hybridMultilevel"/>
    <w:lvl w:ilvl="0">
      <w:lvlJc w:val="left"/>
      <w:lvlText w:val="(%1)"/>
      <w:numFmt w:val="lowerLetter"/>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o"/>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o"/>
      <w:numFmt w:val="bullet"/>
      <w:start w:val="1"/>
    </w:lvl>
  </w:abstractNum>
  <w:abstractNum w:abstractNumId="34">
    <w:nsid w:val="579478FE"/>
    <w:multiLevelType w:val="hybridMultilevel"/>
    <w:lvl w:ilvl="0">
      <w:lvlJc w:val="left"/>
      <w:lvlText w:val="•"/>
      <w:numFmt w:val="bullet"/>
      <w:start w:val="1"/>
    </w:lvl>
    <w:lvl w:ilvl="1">
      <w:lvlJc w:val="left"/>
      <w:lvlText w:val="o"/>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decimal"/>
      <w:start w:val="1"/>
    </w:lvl>
    <w:lvl w:ilvl="1">
      <w:lvlJc w:val="left"/>
      <w:lvlText w:val="•"/>
      <w:numFmt w:val="bullet"/>
      <w:start w:val="1"/>
    </w:lvl>
  </w:abstractNum>
  <w:abstractNum w:abstractNumId="39">
    <w:nsid w:val="75C6C33A"/>
    <w:multiLevelType w:val="hybridMultilevel"/>
    <w:lvl w:ilvl="0">
      <w:lvlJc w:val="left"/>
      <w:lvlText w:val="(%1)"/>
      <w:numFmt w:val="decimal"/>
      <w:start w:val="6"/>
    </w:lvl>
    <w:lvl w:ilvl="1">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o"/>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lvl w:ilvl="1">
      <w:lvlJc w:val="left"/>
      <w:lvlText w:val="o"/>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2019-12-16T07:13:34Z</dcterms:created>
  <dcterms:modified xsi:type="dcterms:W3CDTF">2019-12-16T07:13:34Z</dcterms:modified>
</cp:coreProperties>
</file>