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Filed Pursuant to Rule 424(B)(2)</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333-132750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prospectus dated March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70485</wp:posOffset>
            </wp:positionV>
            <wp:extent cx="1402715" cy="361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2715" cy="36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780"/>
        <w:spacing w:after="0"/>
        <w:rPr>
          <w:sz w:val="20"/>
          <w:szCs w:val="20"/>
          <w:color w:val="auto"/>
        </w:rPr>
      </w:pPr>
      <w:r>
        <w:rPr>
          <w:rFonts w:ascii="Arial" w:cs="Arial" w:eastAsia="Arial" w:hAnsi="Arial"/>
          <w:sz w:val="25"/>
          <w:szCs w:val="25"/>
          <w:b w:val="1"/>
          <w:bCs w:val="1"/>
          <w:color w:val="auto"/>
        </w:rPr>
        <w:t>$900,000,000 5.875% Notes due 2018</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25"/>
          <w:szCs w:val="25"/>
          <w:b w:val="1"/>
          <w:bCs w:val="1"/>
          <w:color w:val="auto"/>
        </w:rPr>
        <w:t>$600,000,000 6.45% Notes due 2037</w:t>
      </w:r>
    </w:p>
    <w:p>
      <w:pPr>
        <w:spacing w:after="0" w:line="145" w:lineRule="exact"/>
        <w:rPr>
          <w:sz w:val="20"/>
          <w:szCs w:val="20"/>
          <w:color w:val="auto"/>
        </w:rPr>
      </w:pPr>
    </w:p>
    <w:p>
      <w:pPr>
        <w:ind w:firstLine="349"/>
        <w:spacing w:after="0" w:line="265" w:lineRule="auto"/>
        <w:rPr>
          <w:sz w:val="20"/>
          <w:szCs w:val="20"/>
          <w:color w:val="auto"/>
        </w:rPr>
      </w:pPr>
      <w:r>
        <w:rPr>
          <w:rFonts w:ascii="Arial" w:cs="Arial" w:eastAsia="Arial" w:hAnsi="Arial"/>
          <w:sz w:val="17"/>
          <w:szCs w:val="17"/>
          <w:color w:val="auto"/>
        </w:rPr>
        <w:t>We will pay interest on the notes due 2018 on February 15 and August 15 of each year beginning February 15, 2007. The notes due 2018 will bear interest at a rate of 5.875% per year and will mature on February 15, 2018. We will pay interest on the notes due 2037 on March 15 and September 15 of each year beginning March 15, 2007. The notes due 2037 will bear interest at a rate of 6.45% per year and will mature on March 15, 2037. There are $1,250,000,000 aggregate principal amount of notes due 2037 already outstanding. The notes due 2037 offered by this prospectus constitute “additional notes” under the indenture governing the notes and, together with the existing notes due 2037 will be treated as a single class for all purposes under the indenture. We may redeem any of the notes at any time by paying the greater of the principal amount of the notes or a “make-whole” amount, plus, in each case, accrued interest. See “Description of the Notes — Optional Redemption.”</w:t>
      </w:r>
    </w:p>
    <w:p>
      <w:pPr>
        <w:spacing w:after="0" w:line="24" w:lineRule="exact"/>
        <w:rPr>
          <w:sz w:val="20"/>
          <w:szCs w:val="20"/>
          <w:color w:val="auto"/>
        </w:rPr>
      </w:pPr>
    </w:p>
    <w:p>
      <w:pPr>
        <w:ind w:right="320" w:firstLine="261"/>
        <w:spacing w:after="0" w:line="283" w:lineRule="auto"/>
        <w:rPr>
          <w:sz w:val="20"/>
          <w:szCs w:val="20"/>
          <w:color w:val="auto"/>
        </w:rPr>
      </w:pPr>
      <w:r>
        <w:rPr>
          <w:rFonts w:ascii="Arial" w:cs="Arial" w:eastAsia="Arial" w:hAnsi="Arial"/>
          <w:sz w:val="17"/>
          <w:szCs w:val="17"/>
          <w:color w:val="auto"/>
        </w:rPr>
        <w:t>The notes will be unsecured and will rank equally with all of our unsecured and unsubordinated indebtedness. The notes will be fully and unconditionally guaranteed by our wholly-owned cable subsidiaries named in this prospectus supplement and in the accompanying prospectus.</w:t>
      </w:r>
    </w:p>
    <w:p>
      <w:pPr>
        <w:ind w:right="60" w:firstLine="476"/>
        <w:spacing w:after="0" w:line="269" w:lineRule="auto"/>
        <w:rPr>
          <w:sz w:val="20"/>
          <w:szCs w:val="20"/>
          <w:color w:val="auto"/>
        </w:rPr>
      </w:pPr>
      <w:r>
        <w:rPr>
          <w:rFonts w:ascii="Arial" w:cs="Arial" w:eastAsia="Arial" w:hAnsi="Arial"/>
          <w:sz w:val="21"/>
          <w:szCs w:val="21"/>
          <w:b w:val="1"/>
          <w:bCs w:val="1"/>
          <w:color w:val="auto"/>
        </w:rPr>
        <w:t>Investing in the notes involves risks that are described in the “Risk Factors” section of our Annual Report on Form 10-K for the year ended December 31, 2005.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920" w:type="dxa"/>
            <w:vAlign w:val="bottom"/>
          </w:tcPr>
          <w:p>
            <w:pPr>
              <w:jc w:val="right"/>
              <w:ind w:right="638"/>
              <w:spacing w:after="0"/>
              <w:rPr>
                <w:sz w:val="20"/>
                <w:szCs w:val="20"/>
                <w:color w:val="auto"/>
              </w:rPr>
            </w:pPr>
            <w:r>
              <w:rPr>
                <w:rFonts w:ascii="Arial" w:cs="Arial" w:eastAsia="Arial" w:hAnsi="Arial"/>
                <w:sz w:val="14"/>
                <w:szCs w:val="14"/>
                <w:b w:val="1"/>
                <w:bCs w:val="1"/>
                <w:color w:val="auto"/>
              </w:rPr>
              <w:t>Price to</w:t>
            </w:r>
          </w:p>
        </w:tc>
        <w:tc>
          <w:tcPr>
            <w:tcW w:w="280" w:type="dxa"/>
            <w:vAlign w:val="bottom"/>
          </w:tcPr>
          <w:p>
            <w:pPr>
              <w:spacing w:after="0"/>
              <w:rPr>
                <w:sz w:val="14"/>
                <w:szCs w:val="14"/>
                <w:color w:val="auto"/>
              </w:rPr>
            </w:pPr>
          </w:p>
        </w:tc>
        <w:tc>
          <w:tcPr>
            <w:tcW w:w="2020" w:type="dxa"/>
            <w:vAlign w:val="bottom"/>
          </w:tcPr>
          <w:p>
            <w:pPr>
              <w:jc w:val="right"/>
              <w:ind w:right="509"/>
              <w:spacing w:after="0"/>
              <w:rPr>
                <w:sz w:val="20"/>
                <w:szCs w:val="20"/>
                <w:color w:val="auto"/>
              </w:rPr>
            </w:pPr>
            <w:r>
              <w:rPr>
                <w:rFonts w:ascii="Arial" w:cs="Arial" w:eastAsia="Arial" w:hAnsi="Arial"/>
                <w:sz w:val="14"/>
                <w:szCs w:val="14"/>
                <w:b w:val="1"/>
                <w:bCs w:val="1"/>
                <w:color w:val="auto"/>
              </w:rPr>
              <w:t>Underwriters’</w:t>
            </w:r>
          </w:p>
        </w:tc>
        <w:tc>
          <w:tcPr>
            <w:tcW w:w="280" w:type="dxa"/>
            <w:vAlign w:val="bottom"/>
          </w:tcPr>
          <w:p>
            <w:pPr>
              <w:spacing w:after="0"/>
              <w:rPr>
                <w:sz w:val="14"/>
                <w:szCs w:val="14"/>
                <w:color w:val="auto"/>
              </w:rPr>
            </w:pPr>
          </w:p>
        </w:tc>
        <w:tc>
          <w:tcPr>
            <w:tcW w:w="2200" w:type="dxa"/>
            <w:vAlign w:val="bottom"/>
          </w:tcPr>
          <w:p>
            <w:pPr>
              <w:jc w:val="right"/>
              <w:ind w:right="589"/>
              <w:spacing w:after="0"/>
              <w:rPr>
                <w:sz w:val="20"/>
                <w:szCs w:val="20"/>
                <w:color w:val="auto"/>
              </w:rPr>
            </w:pPr>
            <w:r>
              <w:rPr>
                <w:rFonts w:ascii="Arial" w:cs="Arial" w:eastAsia="Arial" w:hAnsi="Arial"/>
                <w:sz w:val="14"/>
                <w:szCs w:val="14"/>
                <w:b w:val="1"/>
                <w:bCs w:val="1"/>
                <w:color w:val="auto"/>
              </w:rPr>
              <w:t>Proceeds to Us</w:t>
            </w:r>
          </w:p>
        </w:tc>
        <w:tc>
          <w:tcPr>
            <w:tcW w:w="0" w:type="dxa"/>
            <w:vAlign w:val="bottom"/>
          </w:tcPr>
          <w:p>
            <w:pPr>
              <w:spacing w:after="0"/>
              <w:rPr>
                <w:sz w:val="1"/>
                <w:szCs w:val="1"/>
                <w:color w:val="auto"/>
              </w:rPr>
            </w:pPr>
          </w:p>
        </w:tc>
      </w:tr>
      <w:tr>
        <w:trPr>
          <w:trHeight w:val="168"/>
        </w:trPr>
        <w:tc>
          <w:tcPr>
            <w:tcW w:w="4720" w:type="dxa"/>
            <w:vAlign w:val="bottom"/>
            <w:vMerge w:val="restart"/>
          </w:tcPr>
          <w:p>
            <w:pPr>
              <w:spacing w:after="0"/>
              <w:rPr>
                <w:sz w:val="20"/>
                <w:szCs w:val="20"/>
                <w:color w:val="auto"/>
              </w:rPr>
            </w:pPr>
            <w:r>
              <w:rPr>
                <w:rFonts w:ascii="Arial" w:cs="Arial" w:eastAsia="Arial" w:hAnsi="Arial"/>
                <w:sz w:val="18"/>
                <w:szCs w:val="18"/>
                <w:color w:val="auto"/>
              </w:rPr>
              <w:t>Per note due 2018(1)</w:t>
            </w:r>
          </w:p>
        </w:tc>
        <w:tc>
          <w:tcPr>
            <w:tcW w:w="192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Investors</w:t>
            </w:r>
          </w:p>
        </w:tc>
        <w:tc>
          <w:tcPr>
            <w:tcW w:w="280" w:type="dxa"/>
            <w:vAlign w:val="bottom"/>
          </w:tcPr>
          <w:p>
            <w:pPr>
              <w:spacing w:after="0"/>
              <w:rPr>
                <w:sz w:val="14"/>
                <w:szCs w:val="14"/>
                <w:color w:val="auto"/>
              </w:rPr>
            </w:pPr>
          </w:p>
        </w:tc>
        <w:tc>
          <w:tcPr>
            <w:tcW w:w="202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Discount</w:t>
            </w:r>
          </w:p>
        </w:tc>
        <w:tc>
          <w:tcPr>
            <w:tcW w:w="280" w:type="dxa"/>
            <w:vAlign w:val="bottom"/>
          </w:tcPr>
          <w:p>
            <w:pPr>
              <w:spacing w:after="0"/>
              <w:rPr>
                <w:sz w:val="14"/>
                <w:szCs w:val="14"/>
                <w:color w:val="auto"/>
              </w:rPr>
            </w:pPr>
          </w:p>
        </w:tc>
        <w:tc>
          <w:tcPr>
            <w:tcW w:w="220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Before Expenses</w:t>
            </w:r>
          </w:p>
        </w:tc>
        <w:tc>
          <w:tcPr>
            <w:tcW w:w="0" w:type="dxa"/>
            <w:vAlign w:val="bottom"/>
          </w:tcPr>
          <w:p>
            <w:pPr>
              <w:spacing w:after="0"/>
              <w:rPr>
                <w:sz w:val="1"/>
                <w:szCs w:val="1"/>
                <w:color w:val="auto"/>
              </w:rPr>
            </w:pPr>
          </w:p>
        </w:tc>
      </w:tr>
      <w:tr>
        <w:trPr>
          <w:trHeight w:val="206"/>
        </w:trPr>
        <w:tc>
          <w:tcPr>
            <w:tcW w:w="4720" w:type="dxa"/>
            <w:vAlign w:val="bottom"/>
            <w:vMerge w:val="continue"/>
          </w:tcPr>
          <w:p>
            <w:pPr>
              <w:spacing w:after="0"/>
              <w:rPr>
                <w:sz w:val="17"/>
                <w:szCs w:val="17"/>
                <w:color w:val="auto"/>
              </w:rPr>
            </w:pPr>
          </w:p>
        </w:tc>
        <w:tc>
          <w:tcPr>
            <w:tcW w:w="1920" w:type="dxa"/>
            <w:vAlign w:val="bottom"/>
          </w:tcPr>
          <w:p>
            <w:pPr>
              <w:jc w:val="right"/>
              <w:ind w:right="238"/>
              <w:spacing w:after="0" w:line="206" w:lineRule="exact"/>
              <w:rPr>
                <w:sz w:val="20"/>
                <w:szCs w:val="20"/>
                <w:color w:val="auto"/>
              </w:rPr>
            </w:pPr>
            <w:r>
              <w:rPr>
                <w:rFonts w:ascii="Arial" w:cs="Arial" w:eastAsia="Arial" w:hAnsi="Arial"/>
                <w:sz w:val="18"/>
                <w:szCs w:val="18"/>
                <w:color w:val="auto"/>
              </w:rPr>
              <w:t>99.856%</w:t>
            </w:r>
          </w:p>
        </w:tc>
        <w:tc>
          <w:tcPr>
            <w:tcW w:w="2300" w:type="dxa"/>
            <w:vAlign w:val="bottom"/>
            <w:gridSpan w:val="2"/>
          </w:tcPr>
          <w:p>
            <w:pPr>
              <w:jc w:val="right"/>
              <w:ind w:right="429"/>
              <w:spacing w:after="0" w:line="206" w:lineRule="exact"/>
              <w:rPr>
                <w:sz w:val="20"/>
                <w:szCs w:val="20"/>
                <w:color w:val="auto"/>
              </w:rPr>
            </w:pPr>
            <w:r>
              <w:rPr>
                <w:rFonts w:ascii="Arial" w:cs="Arial" w:eastAsia="Arial" w:hAnsi="Arial"/>
                <w:sz w:val="18"/>
                <w:szCs w:val="18"/>
                <w:color w:val="auto"/>
              </w:rPr>
              <w:t>0.450%</w:t>
            </w:r>
          </w:p>
        </w:tc>
        <w:tc>
          <w:tcPr>
            <w:tcW w:w="2480" w:type="dxa"/>
            <w:vAlign w:val="bottom"/>
            <w:gridSpan w:val="2"/>
          </w:tcPr>
          <w:p>
            <w:pPr>
              <w:jc w:val="right"/>
              <w:ind w:right="449"/>
              <w:spacing w:after="0" w:line="206" w:lineRule="exact"/>
              <w:rPr>
                <w:sz w:val="20"/>
                <w:szCs w:val="20"/>
                <w:color w:val="auto"/>
              </w:rPr>
            </w:pPr>
            <w:r>
              <w:rPr>
                <w:rFonts w:ascii="Arial" w:cs="Arial" w:eastAsia="Arial" w:hAnsi="Arial"/>
                <w:sz w:val="18"/>
                <w:szCs w:val="18"/>
                <w:color w:val="auto"/>
              </w:rPr>
              <w:t>99.406%</w:t>
            </w:r>
          </w:p>
        </w:tc>
        <w:tc>
          <w:tcPr>
            <w:tcW w:w="0" w:type="dxa"/>
            <w:vAlign w:val="bottom"/>
          </w:tcPr>
          <w:p>
            <w:pPr>
              <w:spacing w:after="0"/>
              <w:rPr>
                <w:sz w:val="1"/>
                <w:szCs w:val="1"/>
                <w:color w:val="auto"/>
              </w:rPr>
            </w:pPr>
          </w:p>
        </w:tc>
      </w:tr>
      <w:tr>
        <w:trPr>
          <w:trHeight w:val="212"/>
        </w:trPr>
        <w:tc>
          <w:tcPr>
            <w:tcW w:w="4720" w:type="dxa"/>
            <w:vAlign w:val="bottom"/>
          </w:tcPr>
          <w:p>
            <w:pPr>
              <w:ind w:left="280"/>
              <w:spacing w:after="0"/>
              <w:rPr>
                <w:sz w:val="20"/>
                <w:szCs w:val="20"/>
                <w:color w:val="auto"/>
              </w:rPr>
            </w:pPr>
            <w:r>
              <w:rPr>
                <w:rFonts w:ascii="Arial" w:cs="Arial" w:eastAsia="Arial" w:hAnsi="Arial"/>
                <w:sz w:val="18"/>
                <w:szCs w:val="18"/>
                <w:color w:val="auto"/>
              </w:rPr>
              <w:t>Total</w:t>
            </w:r>
          </w:p>
        </w:tc>
        <w:tc>
          <w:tcPr>
            <w:tcW w:w="1920" w:type="dxa"/>
            <w:vAlign w:val="bottom"/>
          </w:tcPr>
          <w:p>
            <w:pPr>
              <w:jc w:val="right"/>
              <w:ind w:right="378"/>
              <w:spacing w:after="0"/>
              <w:rPr>
                <w:sz w:val="20"/>
                <w:szCs w:val="20"/>
                <w:color w:val="auto"/>
              </w:rPr>
            </w:pPr>
            <w:r>
              <w:rPr>
                <w:rFonts w:ascii="Arial" w:cs="Arial" w:eastAsia="Arial" w:hAnsi="Arial"/>
                <w:sz w:val="18"/>
                <w:szCs w:val="18"/>
                <w:color w:val="auto"/>
              </w:rPr>
              <w:t>$898,704,000</w:t>
            </w:r>
          </w:p>
        </w:tc>
        <w:tc>
          <w:tcPr>
            <w:tcW w:w="2300" w:type="dxa"/>
            <w:vAlign w:val="bottom"/>
            <w:gridSpan w:val="2"/>
          </w:tcPr>
          <w:p>
            <w:pPr>
              <w:jc w:val="right"/>
              <w:ind w:right="589"/>
              <w:spacing w:after="0"/>
              <w:rPr>
                <w:sz w:val="20"/>
                <w:szCs w:val="20"/>
                <w:color w:val="auto"/>
              </w:rPr>
            </w:pPr>
            <w:r>
              <w:rPr>
                <w:rFonts w:ascii="Arial" w:cs="Arial" w:eastAsia="Arial" w:hAnsi="Arial"/>
                <w:sz w:val="18"/>
                <w:szCs w:val="18"/>
                <w:color w:val="auto"/>
              </w:rPr>
              <w:t>$4,050,000</w:t>
            </w:r>
          </w:p>
        </w:tc>
        <w:tc>
          <w:tcPr>
            <w:tcW w:w="2480" w:type="dxa"/>
            <w:vAlign w:val="bottom"/>
            <w:gridSpan w:val="2"/>
          </w:tcPr>
          <w:p>
            <w:pPr>
              <w:jc w:val="right"/>
              <w:ind w:right="589"/>
              <w:spacing w:after="0"/>
              <w:rPr>
                <w:sz w:val="20"/>
                <w:szCs w:val="20"/>
                <w:color w:val="auto"/>
              </w:rPr>
            </w:pPr>
            <w:r>
              <w:rPr>
                <w:rFonts w:ascii="Arial" w:cs="Arial" w:eastAsia="Arial" w:hAnsi="Arial"/>
                <w:sz w:val="18"/>
                <w:szCs w:val="18"/>
                <w:color w:val="auto"/>
              </w:rPr>
              <w:t>$894,654,000</w:t>
            </w:r>
          </w:p>
        </w:tc>
        <w:tc>
          <w:tcPr>
            <w:tcW w:w="0" w:type="dxa"/>
            <w:vAlign w:val="bottom"/>
          </w:tcPr>
          <w:p>
            <w:pPr>
              <w:spacing w:after="0"/>
              <w:rPr>
                <w:sz w:val="1"/>
                <w:szCs w:val="1"/>
                <w:color w:val="auto"/>
              </w:rPr>
            </w:pPr>
          </w:p>
        </w:tc>
      </w:tr>
      <w:tr>
        <w:trPr>
          <w:trHeight w:val="212"/>
        </w:trPr>
        <w:tc>
          <w:tcPr>
            <w:tcW w:w="4720" w:type="dxa"/>
            <w:vAlign w:val="bottom"/>
          </w:tcPr>
          <w:p>
            <w:pPr>
              <w:spacing w:after="0"/>
              <w:rPr>
                <w:sz w:val="20"/>
                <w:szCs w:val="20"/>
                <w:color w:val="auto"/>
              </w:rPr>
            </w:pPr>
            <w:r>
              <w:rPr>
                <w:rFonts w:ascii="Arial" w:cs="Arial" w:eastAsia="Arial" w:hAnsi="Arial"/>
                <w:sz w:val="18"/>
                <w:szCs w:val="18"/>
                <w:color w:val="auto"/>
              </w:rPr>
              <w:t>Per note due 2037(2)</w:t>
            </w:r>
          </w:p>
        </w:tc>
        <w:tc>
          <w:tcPr>
            <w:tcW w:w="1920" w:type="dxa"/>
            <w:vAlign w:val="bottom"/>
          </w:tcPr>
          <w:p>
            <w:pPr>
              <w:jc w:val="right"/>
              <w:ind w:right="238"/>
              <w:spacing w:after="0"/>
              <w:rPr>
                <w:sz w:val="20"/>
                <w:szCs w:val="20"/>
                <w:color w:val="auto"/>
              </w:rPr>
            </w:pPr>
            <w:r>
              <w:rPr>
                <w:rFonts w:ascii="Arial" w:cs="Arial" w:eastAsia="Arial" w:hAnsi="Arial"/>
                <w:sz w:val="18"/>
                <w:szCs w:val="18"/>
                <w:color w:val="auto"/>
              </w:rPr>
              <w:t>102.597%</w:t>
            </w:r>
          </w:p>
        </w:tc>
        <w:tc>
          <w:tcPr>
            <w:tcW w:w="2300" w:type="dxa"/>
            <w:vAlign w:val="bottom"/>
            <w:gridSpan w:val="2"/>
          </w:tcPr>
          <w:p>
            <w:pPr>
              <w:jc w:val="right"/>
              <w:ind w:right="429"/>
              <w:spacing w:after="0"/>
              <w:rPr>
                <w:sz w:val="20"/>
                <w:szCs w:val="20"/>
                <w:color w:val="auto"/>
              </w:rPr>
            </w:pPr>
            <w:r>
              <w:rPr>
                <w:rFonts w:ascii="Arial" w:cs="Arial" w:eastAsia="Arial" w:hAnsi="Arial"/>
                <w:sz w:val="18"/>
                <w:szCs w:val="18"/>
                <w:color w:val="auto"/>
              </w:rPr>
              <w:t>0.875%</w:t>
            </w:r>
          </w:p>
        </w:tc>
        <w:tc>
          <w:tcPr>
            <w:tcW w:w="2480" w:type="dxa"/>
            <w:vAlign w:val="bottom"/>
            <w:gridSpan w:val="2"/>
          </w:tcPr>
          <w:p>
            <w:pPr>
              <w:jc w:val="right"/>
              <w:ind w:right="449"/>
              <w:spacing w:after="0"/>
              <w:rPr>
                <w:sz w:val="20"/>
                <w:szCs w:val="20"/>
                <w:color w:val="auto"/>
              </w:rPr>
            </w:pPr>
            <w:r>
              <w:rPr>
                <w:rFonts w:ascii="Arial" w:cs="Arial" w:eastAsia="Arial" w:hAnsi="Arial"/>
                <w:sz w:val="18"/>
                <w:szCs w:val="18"/>
                <w:color w:val="auto"/>
              </w:rPr>
              <w:t>101.722%</w:t>
            </w:r>
          </w:p>
        </w:tc>
        <w:tc>
          <w:tcPr>
            <w:tcW w:w="0" w:type="dxa"/>
            <w:vAlign w:val="bottom"/>
          </w:tcPr>
          <w:p>
            <w:pPr>
              <w:spacing w:after="0"/>
              <w:rPr>
                <w:sz w:val="1"/>
                <w:szCs w:val="1"/>
                <w:color w:val="auto"/>
              </w:rPr>
            </w:pPr>
          </w:p>
        </w:tc>
      </w:tr>
      <w:tr>
        <w:trPr>
          <w:trHeight w:val="223"/>
        </w:trPr>
        <w:tc>
          <w:tcPr>
            <w:tcW w:w="4720" w:type="dxa"/>
            <w:vAlign w:val="bottom"/>
          </w:tcPr>
          <w:p>
            <w:pPr>
              <w:ind w:left="280"/>
              <w:spacing w:after="0"/>
              <w:rPr>
                <w:sz w:val="20"/>
                <w:szCs w:val="20"/>
                <w:color w:val="auto"/>
              </w:rPr>
            </w:pPr>
            <w:r>
              <w:rPr>
                <w:rFonts w:ascii="Arial" w:cs="Arial" w:eastAsia="Arial" w:hAnsi="Arial"/>
                <w:sz w:val="18"/>
                <w:szCs w:val="18"/>
                <w:color w:val="auto"/>
              </w:rPr>
              <w:t>Total</w:t>
            </w:r>
          </w:p>
        </w:tc>
        <w:tc>
          <w:tcPr>
            <w:tcW w:w="1920" w:type="dxa"/>
            <w:vAlign w:val="bottom"/>
          </w:tcPr>
          <w:p>
            <w:pPr>
              <w:jc w:val="right"/>
              <w:ind w:right="378"/>
              <w:spacing w:after="0"/>
              <w:rPr>
                <w:sz w:val="20"/>
                <w:szCs w:val="20"/>
                <w:color w:val="auto"/>
              </w:rPr>
            </w:pPr>
            <w:r>
              <w:rPr>
                <w:rFonts w:ascii="Arial" w:cs="Arial" w:eastAsia="Arial" w:hAnsi="Arial"/>
                <w:sz w:val="18"/>
                <w:szCs w:val="18"/>
                <w:color w:val="auto"/>
              </w:rPr>
              <w:t>$615,582,000</w:t>
            </w:r>
          </w:p>
        </w:tc>
        <w:tc>
          <w:tcPr>
            <w:tcW w:w="2300" w:type="dxa"/>
            <w:vAlign w:val="bottom"/>
            <w:gridSpan w:val="2"/>
          </w:tcPr>
          <w:p>
            <w:pPr>
              <w:jc w:val="right"/>
              <w:ind w:right="589"/>
              <w:spacing w:after="0"/>
              <w:rPr>
                <w:sz w:val="20"/>
                <w:szCs w:val="20"/>
                <w:color w:val="auto"/>
              </w:rPr>
            </w:pPr>
            <w:r>
              <w:rPr>
                <w:rFonts w:ascii="Arial" w:cs="Arial" w:eastAsia="Arial" w:hAnsi="Arial"/>
                <w:sz w:val="18"/>
                <w:szCs w:val="18"/>
                <w:color w:val="auto"/>
              </w:rPr>
              <w:t>$5,250,000</w:t>
            </w:r>
          </w:p>
        </w:tc>
        <w:tc>
          <w:tcPr>
            <w:tcW w:w="2480" w:type="dxa"/>
            <w:vAlign w:val="bottom"/>
            <w:gridSpan w:val="2"/>
          </w:tcPr>
          <w:p>
            <w:pPr>
              <w:jc w:val="right"/>
              <w:ind w:right="589"/>
              <w:spacing w:after="0"/>
              <w:rPr>
                <w:sz w:val="20"/>
                <w:szCs w:val="20"/>
                <w:color w:val="auto"/>
              </w:rPr>
            </w:pPr>
            <w:r>
              <w:rPr>
                <w:rFonts w:ascii="Arial" w:cs="Arial" w:eastAsia="Arial" w:hAnsi="Arial"/>
                <w:sz w:val="18"/>
                <w:szCs w:val="18"/>
                <w:color w:val="auto"/>
              </w:rPr>
              <w:t>$610,332,000</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160" w:hanging="572"/>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if any, from November 17, 2006, if settlement occurs after that date.</w:t>
      </w:r>
    </w:p>
    <w:p>
      <w:pPr>
        <w:spacing w:after="0" w:line="70" w:lineRule="exact"/>
        <w:rPr>
          <w:rFonts w:ascii="Arial" w:cs="Arial" w:eastAsia="Arial" w:hAnsi="Arial"/>
          <w:sz w:val="18"/>
          <w:szCs w:val="18"/>
          <w:color w:val="auto"/>
        </w:rPr>
      </w:pPr>
    </w:p>
    <w:p>
      <w:pPr>
        <w:ind w:left="1160" w:hanging="572"/>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from September 16, 2006.</w:t>
      </w:r>
    </w:p>
    <w:p>
      <w:pPr>
        <w:spacing w:after="0" w:line="58" w:lineRule="exact"/>
        <w:rPr>
          <w:sz w:val="20"/>
          <w:szCs w:val="20"/>
          <w:color w:val="auto"/>
        </w:rPr>
      </w:pPr>
    </w:p>
    <w:p>
      <w:pPr>
        <w:ind w:right="240" w:firstLine="264"/>
        <w:spacing w:after="0" w:line="331" w:lineRule="auto"/>
        <w:rPr>
          <w:sz w:val="20"/>
          <w:szCs w:val="20"/>
          <w:color w:val="auto"/>
        </w:rPr>
      </w:pPr>
      <w:r>
        <w:rPr>
          <w:rFonts w:ascii="Arial" w:cs="Arial" w:eastAsia="Arial" w:hAnsi="Arial"/>
          <w:sz w:val="15"/>
          <w:szCs w:val="15"/>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ind w:right="300" w:firstLine="261"/>
        <w:spacing w:after="0" w:line="264" w:lineRule="auto"/>
        <w:rPr>
          <w:sz w:val="20"/>
          <w:szCs w:val="20"/>
          <w:color w:val="auto"/>
        </w:rPr>
      </w:pPr>
      <w:r>
        <w:rPr>
          <w:rFonts w:ascii="Arial" w:cs="Arial" w:eastAsia="Arial" w:hAnsi="Arial"/>
          <w:sz w:val="18"/>
          <w:szCs w:val="18"/>
          <w:color w:val="auto"/>
        </w:rPr>
        <w:t>The notes will be ready for delivery only through The Depository Trust Company and its participants, including Euroclear and Clearstream, in book-entry form on or about November 17,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88265</wp:posOffset>
            </wp:positionV>
            <wp:extent cx="1587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7500" cy="825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20" w:type="dxa"/>
            <w:vAlign w:val="bottom"/>
            <w:gridSpan w:val="4"/>
          </w:tcPr>
          <w:p>
            <w:pPr>
              <w:jc w:val="center"/>
              <w:ind w:right="240"/>
              <w:spacing w:after="0"/>
              <w:rPr>
                <w:sz w:val="20"/>
                <w:szCs w:val="20"/>
                <w:color w:val="auto"/>
              </w:rPr>
            </w:pPr>
            <w:r>
              <w:rPr>
                <w:rFonts w:ascii="Arial" w:cs="Arial" w:eastAsia="Arial" w:hAnsi="Arial"/>
                <w:sz w:val="18"/>
                <w:szCs w:val="18"/>
                <w:i w:val="1"/>
                <w:iCs w:val="1"/>
                <w:color w:val="auto"/>
                <w:w w:val="90"/>
              </w:rPr>
              <w:t>Joint Book-Running Managers</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3420" w:type="dxa"/>
            <w:vAlign w:val="bottom"/>
          </w:tcPr>
          <w:p>
            <w:pPr>
              <w:ind w:left="140"/>
              <w:spacing w:after="0"/>
              <w:rPr>
                <w:sz w:val="20"/>
                <w:szCs w:val="20"/>
                <w:color w:val="auto"/>
              </w:rPr>
            </w:pPr>
            <w:r>
              <w:rPr>
                <w:rFonts w:ascii="Arial" w:cs="Arial" w:eastAsia="Arial" w:hAnsi="Arial"/>
                <w:sz w:val="18"/>
                <w:szCs w:val="18"/>
                <w:b w:val="1"/>
                <w:bCs w:val="1"/>
                <w:color w:val="auto"/>
              </w:rPr>
              <w:t>Banc of America Securities LLC</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91"/>
              </w:rPr>
              <w:t>JPMorgan</w:t>
            </w: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00" w:type="dxa"/>
            <w:vAlign w:val="bottom"/>
            <w:gridSpan w:val="2"/>
          </w:tcPr>
          <w:p>
            <w:pPr>
              <w:ind w:left="760"/>
              <w:spacing w:after="0"/>
              <w:rPr>
                <w:sz w:val="20"/>
                <w:szCs w:val="20"/>
                <w:color w:val="auto"/>
              </w:rPr>
            </w:pPr>
            <w:r>
              <w:rPr>
                <w:rFonts w:ascii="Arial" w:cs="Arial" w:eastAsia="Arial" w:hAnsi="Arial"/>
                <w:sz w:val="18"/>
                <w:szCs w:val="18"/>
                <w:b w:val="1"/>
                <w:bCs w:val="1"/>
                <w:color w:val="auto"/>
                <w:w w:val="86"/>
              </w:rPr>
              <w:t>Wachovia Securities</w:t>
            </w:r>
          </w:p>
        </w:tc>
        <w:tc>
          <w:tcPr>
            <w:tcW w:w="0" w:type="dxa"/>
            <w:vAlign w:val="bottom"/>
          </w:tcPr>
          <w:p>
            <w:pPr>
              <w:spacing w:after="0"/>
              <w:rPr>
                <w:sz w:val="1"/>
                <w:szCs w:val="1"/>
                <w:color w:val="auto"/>
              </w:rPr>
            </w:pPr>
          </w:p>
        </w:tc>
      </w:tr>
      <w:tr>
        <w:trPr>
          <w:trHeight w:val="213"/>
        </w:trPr>
        <w:tc>
          <w:tcPr>
            <w:tcW w:w="3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3420" w:type="dxa"/>
            <w:vAlign w:val="bottom"/>
          </w:tcPr>
          <w:p>
            <w:pPr>
              <w:jc w:val="center"/>
              <w:ind w:left="275"/>
              <w:spacing w:after="0"/>
              <w:rPr>
                <w:sz w:val="20"/>
                <w:szCs w:val="20"/>
                <w:color w:val="auto"/>
              </w:rPr>
            </w:pPr>
            <w:r>
              <w:rPr>
                <w:rFonts w:ascii="Arial" w:cs="Arial" w:eastAsia="Arial" w:hAnsi="Arial"/>
                <w:sz w:val="18"/>
                <w:szCs w:val="18"/>
                <w:b w:val="1"/>
                <w:bCs w:val="1"/>
                <w:color w:val="auto"/>
                <w:w w:val="94"/>
              </w:rPr>
              <w:t>ABN AMRO Incorporated</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9"/>
              </w:rPr>
              <w:t>Barclays Capital</w:t>
            </w:r>
          </w:p>
        </w:tc>
        <w:tc>
          <w:tcPr>
            <w:tcW w:w="1040" w:type="dxa"/>
            <w:vAlign w:val="bottom"/>
          </w:tcPr>
          <w:p>
            <w:pPr>
              <w:spacing w:after="0"/>
              <w:rPr>
                <w:sz w:val="24"/>
                <w:szCs w:val="24"/>
                <w:color w:val="auto"/>
              </w:rPr>
            </w:pPr>
          </w:p>
        </w:tc>
        <w:tc>
          <w:tcPr>
            <w:tcW w:w="286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3"/>
              </w:rPr>
              <w:t>BNP PARIBAS</w:t>
            </w:r>
          </w:p>
        </w:tc>
        <w:tc>
          <w:tcPr>
            <w:tcW w:w="0" w:type="dxa"/>
            <w:vAlign w:val="bottom"/>
          </w:tcPr>
          <w:p>
            <w:pPr>
              <w:spacing w:after="0"/>
              <w:rPr>
                <w:sz w:val="1"/>
                <w:szCs w:val="1"/>
                <w:color w:val="auto"/>
              </w:rPr>
            </w:pPr>
          </w:p>
        </w:tc>
      </w:tr>
      <w:tr>
        <w:trPr>
          <w:trHeight w:val="212"/>
        </w:trPr>
        <w:tc>
          <w:tcPr>
            <w:tcW w:w="3420" w:type="dxa"/>
            <w:vAlign w:val="bottom"/>
          </w:tcPr>
          <w:p>
            <w:pPr>
              <w:jc w:val="center"/>
              <w:ind w:left="275"/>
              <w:spacing w:after="0"/>
              <w:rPr>
                <w:sz w:val="20"/>
                <w:szCs w:val="20"/>
                <w:color w:val="auto"/>
              </w:rPr>
            </w:pPr>
            <w:r>
              <w:rPr>
                <w:rFonts w:ascii="Arial" w:cs="Arial" w:eastAsia="Arial" w:hAnsi="Arial"/>
                <w:sz w:val="18"/>
                <w:szCs w:val="18"/>
                <w:b w:val="1"/>
                <w:bCs w:val="1"/>
                <w:color w:val="auto"/>
                <w:w w:val="92"/>
              </w:rPr>
              <w:t>Citigroup</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Daiwa Securities America Inc.</w:t>
            </w:r>
          </w:p>
        </w:tc>
        <w:tc>
          <w:tcPr>
            <w:tcW w:w="1040" w:type="dxa"/>
            <w:vAlign w:val="bottom"/>
          </w:tcPr>
          <w:p>
            <w:pPr>
              <w:spacing w:after="0"/>
              <w:rPr>
                <w:sz w:val="18"/>
                <w:szCs w:val="18"/>
                <w:color w:val="auto"/>
              </w:rPr>
            </w:pPr>
          </w:p>
        </w:tc>
        <w:tc>
          <w:tcPr>
            <w:tcW w:w="286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86"/>
              </w:rPr>
              <w:t>Deutsche Bank Securities</w:t>
            </w:r>
          </w:p>
        </w:tc>
        <w:tc>
          <w:tcPr>
            <w:tcW w:w="0" w:type="dxa"/>
            <w:vAlign w:val="bottom"/>
          </w:tcPr>
          <w:p>
            <w:pPr>
              <w:spacing w:after="0"/>
              <w:rPr>
                <w:sz w:val="1"/>
                <w:szCs w:val="1"/>
                <w:color w:val="auto"/>
              </w:rPr>
            </w:pPr>
          </w:p>
        </w:tc>
      </w:tr>
      <w:tr>
        <w:trPr>
          <w:trHeight w:val="212"/>
        </w:trPr>
        <w:tc>
          <w:tcPr>
            <w:tcW w:w="3420" w:type="dxa"/>
            <w:vAlign w:val="bottom"/>
          </w:tcPr>
          <w:p>
            <w:pPr>
              <w:jc w:val="center"/>
              <w:ind w:left="295"/>
              <w:spacing w:after="0"/>
              <w:rPr>
                <w:sz w:val="20"/>
                <w:szCs w:val="20"/>
                <w:color w:val="auto"/>
              </w:rPr>
            </w:pPr>
            <w:r>
              <w:rPr>
                <w:rFonts w:ascii="Arial" w:cs="Arial" w:eastAsia="Arial" w:hAnsi="Arial"/>
                <w:sz w:val="18"/>
                <w:szCs w:val="18"/>
                <w:b w:val="1"/>
                <w:bCs w:val="1"/>
                <w:color w:val="auto"/>
                <w:w w:val="89"/>
              </w:rPr>
              <w:t>Goldman, Sachs &amp; Co.</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Lazard Capital Markets</w:t>
            </w:r>
          </w:p>
        </w:tc>
        <w:tc>
          <w:tcPr>
            <w:tcW w:w="1040" w:type="dxa"/>
            <w:vAlign w:val="bottom"/>
          </w:tcPr>
          <w:p>
            <w:pPr>
              <w:spacing w:after="0"/>
              <w:rPr>
                <w:sz w:val="18"/>
                <w:szCs w:val="18"/>
                <w:color w:val="auto"/>
              </w:rPr>
            </w:pPr>
          </w:p>
        </w:tc>
        <w:tc>
          <w:tcPr>
            <w:tcW w:w="286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89"/>
              </w:rPr>
              <w:t>Lehman Brothers</w:t>
            </w:r>
          </w:p>
        </w:tc>
        <w:tc>
          <w:tcPr>
            <w:tcW w:w="0" w:type="dxa"/>
            <w:vAlign w:val="bottom"/>
          </w:tcPr>
          <w:p>
            <w:pPr>
              <w:spacing w:after="0"/>
              <w:rPr>
                <w:sz w:val="1"/>
                <w:szCs w:val="1"/>
                <w:color w:val="auto"/>
              </w:rPr>
            </w:pPr>
          </w:p>
        </w:tc>
      </w:tr>
      <w:tr>
        <w:trPr>
          <w:trHeight w:val="212"/>
        </w:trPr>
        <w:tc>
          <w:tcPr>
            <w:tcW w:w="3420" w:type="dxa"/>
            <w:vAlign w:val="bottom"/>
          </w:tcPr>
          <w:p>
            <w:pPr>
              <w:jc w:val="center"/>
              <w:ind w:left="275"/>
              <w:spacing w:after="0"/>
              <w:rPr>
                <w:sz w:val="20"/>
                <w:szCs w:val="20"/>
                <w:color w:val="auto"/>
              </w:rPr>
            </w:pPr>
            <w:r>
              <w:rPr>
                <w:rFonts w:ascii="Arial" w:cs="Arial" w:eastAsia="Arial" w:hAnsi="Arial"/>
                <w:sz w:val="18"/>
                <w:szCs w:val="18"/>
                <w:b w:val="1"/>
                <w:bCs w:val="1"/>
                <w:color w:val="auto"/>
                <w:w w:val="93"/>
              </w:rPr>
              <w:t>Merrill Lynch &amp; Co.</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0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0"/>
              </w:rPr>
              <w:t>Morgan Stanley</w:t>
            </w:r>
          </w:p>
        </w:tc>
        <w:tc>
          <w:tcPr>
            <w:tcW w:w="1040" w:type="dxa"/>
            <w:vAlign w:val="bottom"/>
          </w:tcPr>
          <w:p>
            <w:pPr>
              <w:spacing w:after="0"/>
              <w:rPr>
                <w:sz w:val="18"/>
                <w:szCs w:val="18"/>
                <w:color w:val="auto"/>
              </w:rPr>
            </w:pPr>
          </w:p>
        </w:tc>
        <w:tc>
          <w:tcPr>
            <w:tcW w:w="286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89"/>
              </w:rPr>
              <w:t>The Royal Bank of Scotland</w:t>
            </w:r>
          </w:p>
        </w:tc>
        <w:tc>
          <w:tcPr>
            <w:tcW w:w="0" w:type="dxa"/>
            <w:vAlign w:val="bottom"/>
          </w:tcPr>
          <w:p>
            <w:pPr>
              <w:spacing w:after="0"/>
              <w:rPr>
                <w:sz w:val="1"/>
                <w:szCs w:val="1"/>
                <w:color w:val="auto"/>
              </w:rPr>
            </w:pPr>
          </w:p>
        </w:tc>
      </w:tr>
      <w:tr>
        <w:trPr>
          <w:trHeight w:val="229"/>
        </w:trPr>
        <w:tc>
          <w:tcPr>
            <w:tcW w:w="3420" w:type="dxa"/>
            <w:vAlign w:val="bottom"/>
          </w:tcPr>
          <w:p>
            <w:pPr>
              <w:jc w:val="center"/>
              <w:ind w:left="275"/>
              <w:spacing w:after="0"/>
              <w:rPr>
                <w:sz w:val="20"/>
                <w:szCs w:val="20"/>
                <w:color w:val="auto"/>
              </w:rPr>
            </w:pPr>
            <w:r>
              <w:rPr>
                <w:rFonts w:ascii="Arial" w:cs="Arial" w:eastAsia="Arial" w:hAnsi="Arial"/>
                <w:sz w:val="18"/>
                <w:szCs w:val="18"/>
                <w:b w:val="1"/>
                <w:bCs w:val="1"/>
                <w:color w:val="auto"/>
                <w:w w:val="88"/>
              </w:rPr>
              <w:t>UBS Investment Bank</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BNY Capital Markets, Inc.</w:t>
            </w:r>
          </w:p>
        </w:tc>
        <w:tc>
          <w:tcPr>
            <w:tcW w:w="3900" w:type="dxa"/>
            <w:vAlign w:val="bottom"/>
            <w:gridSpan w:val="4"/>
          </w:tcPr>
          <w:p>
            <w:pPr>
              <w:jc w:val="center"/>
              <w:ind w:left="260"/>
              <w:spacing w:after="0"/>
              <w:rPr>
                <w:sz w:val="20"/>
                <w:szCs w:val="20"/>
                <w:color w:val="auto"/>
              </w:rPr>
            </w:pPr>
            <w:r>
              <w:rPr>
                <w:rFonts w:ascii="Arial" w:cs="Arial" w:eastAsia="Arial" w:hAnsi="Arial"/>
                <w:sz w:val="18"/>
                <w:szCs w:val="18"/>
                <w:b w:val="1"/>
                <w:bCs w:val="1"/>
                <w:color w:val="auto"/>
                <w:w w:val="88"/>
              </w:rPr>
              <w:t>SunTrust Robinson Humphrey</w:t>
            </w:r>
          </w:p>
        </w:tc>
        <w:tc>
          <w:tcPr>
            <w:tcW w:w="0" w:type="dxa"/>
            <w:vAlign w:val="bottom"/>
          </w:tcPr>
          <w:p>
            <w:pPr>
              <w:spacing w:after="0"/>
              <w:rPr>
                <w:sz w:val="1"/>
                <w:szCs w:val="1"/>
                <w:color w:val="auto"/>
              </w:rPr>
            </w:pPr>
          </w:p>
        </w:tc>
      </w:tr>
      <w:tr>
        <w:trPr>
          <w:trHeight w:val="213"/>
        </w:trPr>
        <w:tc>
          <w:tcPr>
            <w:tcW w:w="3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3420" w:type="dxa"/>
            <w:vAlign w:val="bottom"/>
          </w:tcPr>
          <w:p>
            <w:pPr>
              <w:jc w:val="center"/>
              <w:ind w:left="275"/>
              <w:spacing w:after="0"/>
              <w:rPr>
                <w:sz w:val="20"/>
                <w:szCs w:val="20"/>
                <w:color w:val="auto"/>
              </w:rPr>
            </w:pPr>
            <w:r>
              <w:rPr>
                <w:rFonts w:ascii="Arial" w:cs="Arial" w:eastAsia="Arial" w:hAnsi="Arial"/>
                <w:sz w:val="18"/>
                <w:szCs w:val="18"/>
                <w:b w:val="1"/>
                <w:bCs w:val="1"/>
                <w:color w:val="auto"/>
                <w:w w:val="92"/>
              </w:rPr>
              <w:t>Guzman &amp; Company</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93"/>
              </w:rPr>
              <w:t>Ramirez &amp; Co., Inc.</w:t>
            </w:r>
          </w:p>
        </w:tc>
        <w:tc>
          <w:tcPr>
            <w:tcW w:w="3900" w:type="dxa"/>
            <w:vAlign w:val="bottom"/>
            <w:gridSpan w:val="4"/>
          </w:tcPr>
          <w:p>
            <w:pPr>
              <w:jc w:val="center"/>
              <w:ind w:left="240"/>
              <w:spacing w:after="0"/>
              <w:rPr>
                <w:sz w:val="20"/>
                <w:szCs w:val="20"/>
                <w:color w:val="auto"/>
              </w:rPr>
            </w:pPr>
            <w:r>
              <w:rPr>
                <w:rFonts w:ascii="Arial" w:cs="Arial" w:eastAsia="Arial" w:hAnsi="Arial"/>
                <w:sz w:val="18"/>
                <w:szCs w:val="18"/>
                <w:b w:val="1"/>
                <w:bCs w:val="1"/>
                <w:color w:val="auto"/>
                <w:w w:val="91"/>
              </w:rPr>
              <w:t>The Williams Capital Group, L.P.</w:t>
            </w:r>
          </w:p>
        </w:tc>
        <w:tc>
          <w:tcPr>
            <w:tcW w:w="0" w:type="dxa"/>
            <w:vAlign w:val="bottom"/>
          </w:tcPr>
          <w:p>
            <w:pPr>
              <w:spacing w:after="0"/>
              <w:rPr>
                <w:sz w:val="1"/>
                <w:szCs w:val="1"/>
                <w:color w:val="auto"/>
              </w:rPr>
            </w:pPr>
          </w:p>
        </w:tc>
      </w:tr>
      <w:tr>
        <w:trPr>
          <w:trHeight w:val="212"/>
        </w:trPr>
        <w:tc>
          <w:tcPr>
            <w:tcW w:w="3420" w:type="dxa"/>
            <w:vAlign w:val="bottom"/>
          </w:tcPr>
          <w:p>
            <w:pPr>
              <w:jc w:val="center"/>
              <w:ind w:left="275"/>
              <w:spacing w:after="0"/>
              <w:rPr>
                <w:sz w:val="20"/>
                <w:szCs w:val="20"/>
                <w:color w:val="auto"/>
              </w:rPr>
            </w:pPr>
            <w:r>
              <w:rPr>
                <w:rFonts w:ascii="Arial" w:cs="Arial" w:eastAsia="Arial" w:hAnsi="Arial"/>
                <w:sz w:val="18"/>
                <w:szCs w:val="18"/>
                <w:b w:val="1"/>
                <w:bCs w:val="1"/>
                <w:color w:val="auto"/>
                <w:w w:val="89"/>
              </w:rPr>
              <w:t>Blaylock &amp; Company, Inc.</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Cabrera Capital Markets, Inc.</w:t>
            </w:r>
          </w:p>
        </w:tc>
        <w:tc>
          <w:tcPr>
            <w:tcW w:w="1040" w:type="dxa"/>
            <w:vAlign w:val="bottom"/>
          </w:tcPr>
          <w:p>
            <w:pPr>
              <w:spacing w:after="0"/>
              <w:rPr>
                <w:sz w:val="18"/>
                <w:szCs w:val="18"/>
                <w:color w:val="auto"/>
              </w:rPr>
            </w:pPr>
          </w:p>
        </w:tc>
        <w:tc>
          <w:tcPr>
            <w:tcW w:w="286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3"/>
              </w:rPr>
              <w:t>Loop Capital Markets, LLC</w:t>
            </w:r>
          </w:p>
        </w:tc>
        <w:tc>
          <w:tcPr>
            <w:tcW w:w="0" w:type="dxa"/>
            <w:vAlign w:val="bottom"/>
          </w:tcPr>
          <w:p>
            <w:pPr>
              <w:spacing w:after="0"/>
              <w:rPr>
                <w:sz w:val="1"/>
                <w:szCs w:val="1"/>
                <w:color w:val="auto"/>
              </w:rPr>
            </w:pPr>
          </w:p>
        </w:tc>
      </w:tr>
      <w:tr>
        <w:trPr>
          <w:trHeight w:val="229"/>
        </w:trPr>
        <w:tc>
          <w:tcPr>
            <w:tcW w:w="3420" w:type="dxa"/>
            <w:vAlign w:val="bottom"/>
          </w:tcPr>
          <w:p>
            <w:pPr>
              <w:jc w:val="center"/>
              <w:ind w:left="275"/>
              <w:spacing w:after="0"/>
              <w:rPr>
                <w:sz w:val="20"/>
                <w:szCs w:val="20"/>
                <w:color w:val="auto"/>
              </w:rPr>
            </w:pPr>
            <w:r>
              <w:rPr>
                <w:rFonts w:ascii="Arial" w:cs="Arial" w:eastAsia="Arial" w:hAnsi="Arial"/>
                <w:sz w:val="18"/>
                <w:szCs w:val="18"/>
                <w:b w:val="1"/>
                <w:bCs w:val="1"/>
                <w:color w:val="auto"/>
                <w:w w:val="93"/>
              </w:rPr>
              <w:t>M.R. Beal &amp; Company</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6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91"/>
              </w:rPr>
              <w:t>Siebert Capital Markets</w:t>
            </w:r>
          </w:p>
        </w:tc>
        <w:tc>
          <w:tcPr>
            <w:tcW w:w="0" w:type="dxa"/>
            <w:vAlign w:val="bottom"/>
          </w:tcPr>
          <w:p>
            <w:pPr>
              <w:spacing w:after="0"/>
              <w:rPr>
                <w:sz w:val="1"/>
                <w:szCs w:val="1"/>
                <w:color w:val="auto"/>
              </w:rPr>
            </w:pPr>
          </w:p>
        </w:tc>
      </w:tr>
      <w:tr>
        <w:trPr>
          <w:trHeight w:val="265"/>
        </w:trPr>
        <w:tc>
          <w:tcPr>
            <w:tcW w:w="3420" w:type="dxa"/>
            <w:vAlign w:val="bottom"/>
          </w:tcPr>
          <w:p>
            <w:pPr>
              <w:spacing w:after="0"/>
              <w:rPr>
                <w:sz w:val="23"/>
                <w:szCs w:val="23"/>
                <w:color w:val="auto"/>
              </w:rPr>
            </w:pPr>
          </w:p>
        </w:tc>
        <w:tc>
          <w:tcPr>
            <w:tcW w:w="5160" w:type="dxa"/>
            <w:vAlign w:val="bottom"/>
            <w:gridSpan w:val="7"/>
          </w:tcPr>
          <w:p>
            <w:pPr>
              <w:jc w:val="center"/>
              <w:ind w:right="500"/>
              <w:spacing w:after="0"/>
              <w:rPr>
                <w:sz w:val="20"/>
                <w:szCs w:val="20"/>
                <w:color w:val="auto"/>
              </w:rPr>
            </w:pPr>
            <w:r>
              <w:rPr>
                <w:rFonts w:ascii="Arial" w:cs="Arial" w:eastAsia="Arial" w:hAnsi="Arial"/>
                <w:sz w:val="18"/>
                <w:szCs w:val="18"/>
                <w:color w:val="auto"/>
                <w:w w:val="88"/>
              </w:rPr>
              <w:t>The date of this prospectus supplement is November 14, 2006.</w:t>
            </w:r>
          </w:p>
        </w:tc>
        <w:tc>
          <w:tcPr>
            <w:tcW w:w="5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7"/>
        </w:trPr>
        <w:tc>
          <w:tcPr>
            <w:tcW w:w="3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00" w:type="dxa"/>
            <w:vAlign w:val="bottom"/>
            <w:tcBorders>
              <w:bottom w:val="single" w:sz="8" w:color="auto"/>
            </w:tcBorders>
            <w:gridSpan w:val="2"/>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9"/>
              </w:rPr>
              <w:t>CALCULATION OF REGISTRATION FEE</w:t>
            </w:r>
          </w:p>
        </w:tc>
        <w:tc>
          <w:tcPr>
            <w:tcW w:w="10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34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420" w:type="dxa"/>
            <w:vAlign w:val="bottom"/>
            <w:tcBorders>
              <w:top w:val="single" w:sz="8" w:color="auto"/>
            </w:tcBorders>
            <w:vMerge w:val="restart"/>
          </w:tcPr>
          <w:p>
            <w:pPr>
              <w:jc w:val="center"/>
              <w:ind w:left="1315"/>
              <w:spacing w:after="0"/>
              <w:rPr>
                <w:sz w:val="20"/>
                <w:szCs w:val="20"/>
                <w:color w:val="auto"/>
              </w:rPr>
            </w:pPr>
            <w:r>
              <w:rPr>
                <w:rFonts w:ascii="Arial" w:cs="Arial" w:eastAsia="Arial" w:hAnsi="Arial"/>
                <w:sz w:val="14"/>
                <w:szCs w:val="14"/>
                <w:b w:val="1"/>
                <w:bCs w:val="1"/>
                <w:color w:val="auto"/>
                <w:w w:val="93"/>
              </w:rPr>
              <w:t>Title Of Each Class</w:t>
            </w:r>
          </w:p>
        </w:tc>
        <w:tc>
          <w:tcPr>
            <w:tcW w:w="5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right w:val="single" w:sz="8" w:color="auto"/>
            </w:tcBorders>
          </w:tcPr>
          <w:p>
            <w:pPr>
              <w:spacing w:after="0"/>
              <w:rPr>
                <w:sz w:val="10"/>
                <w:szCs w:val="10"/>
                <w:color w:val="auto"/>
              </w:rPr>
            </w:pPr>
          </w:p>
        </w:tc>
        <w:tc>
          <w:tcPr>
            <w:tcW w:w="2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Amount To Be</w:t>
            </w:r>
          </w:p>
        </w:tc>
        <w:tc>
          <w:tcPr>
            <w:tcW w:w="3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left="60"/>
              <w:spacing w:after="0" w:line="116" w:lineRule="exact"/>
              <w:rPr>
                <w:sz w:val="20"/>
                <w:szCs w:val="20"/>
                <w:color w:val="auto"/>
              </w:rPr>
            </w:pPr>
            <w:r>
              <w:rPr>
                <w:rFonts w:ascii="Arial" w:cs="Arial" w:eastAsia="Arial" w:hAnsi="Arial"/>
                <w:sz w:val="13"/>
                <w:szCs w:val="13"/>
                <w:b w:val="1"/>
                <w:bCs w:val="1"/>
                <w:color w:val="auto"/>
              </w:rPr>
              <w:t>Maximum</w:t>
            </w:r>
          </w:p>
        </w:tc>
        <w:tc>
          <w:tcPr>
            <w:tcW w:w="560" w:type="dxa"/>
            <w:vAlign w:val="bottom"/>
            <w:tcBorders>
              <w:top w:val="single" w:sz="8" w:color="auto"/>
              <w:right w:val="single" w:sz="8" w:color="auto"/>
            </w:tcBorders>
          </w:tcPr>
          <w:p>
            <w:pPr>
              <w:spacing w:after="0"/>
              <w:rPr>
                <w:sz w:val="10"/>
                <w:szCs w:val="10"/>
                <w:color w:val="auto"/>
              </w:rPr>
            </w:pPr>
          </w:p>
        </w:tc>
        <w:tc>
          <w:tcPr>
            <w:tcW w:w="2280" w:type="dxa"/>
            <w:vAlign w:val="bottom"/>
            <w:tcBorders>
              <w:top w:val="single" w:sz="8" w:color="auto"/>
            </w:tcBorders>
          </w:tcPr>
          <w:p>
            <w:pPr>
              <w:jc w:val="center"/>
              <w:ind w:left="162"/>
              <w:spacing w:after="0" w:line="116" w:lineRule="exact"/>
              <w:rPr>
                <w:sz w:val="20"/>
                <w:szCs w:val="20"/>
                <w:color w:val="auto"/>
              </w:rPr>
            </w:pPr>
            <w:r>
              <w:rPr>
                <w:rFonts w:ascii="Arial" w:cs="Arial" w:eastAsia="Arial" w:hAnsi="Arial"/>
                <w:sz w:val="13"/>
                <w:szCs w:val="13"/>
                <w:b w:val="1"/>
                <w:bCs w:val="1"/>
                <w:color w:val="auto"/>
              </w:rPr>
              <w:t>Amount 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4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vMerge w:val="continue"/>
          </w:tcPr>
          <w:p>
            <w:pPr>
              <w:spacing w:after="0"/>
              <w:rPr>
                <w:sz w:val="12"/>
                <w:szCs w:val="12"/>
                <w:color w:val="auto"/>
              </w:rPr>
            </w:pPr>
          </w:p>
        </w:tc>
        <w:tc>
          <w:tcPr>
            <w:tcW w:w="440" w:type="dxa"/>
            <w:vAlign w:val="bottom"/>
            <w:gridSpan w:val="2"/>
          </w:tcPr>
          <w:p>
            <w:pPr>
              <w:spacing w:after="0"/>
              <w:rPr>
                <w:sz w:val="12"/>
                <w:szCs w:val="12"/>
                <w:color w:val="auto"/>
              </w:rPr>
            </w:pPr>
          </w:p>
        </w:tc>
        <w:tc>
          <w:tcPr>
            <w:tcW w:w="1040" w:type="dxa"/>
            <w:vAlign w:val="bottom"/>
          </w:tcPr>
          <w:p>
            <w:pPr>
              <w:jc w:val="center"/>
              <w:ind w:left="60"/>
              <w:spacing w:after="0" w:line="145" w:lineRule="exact"/>
              <w:rPr>
                <w:sz w:val="20"/>
                <w:szCs w:val="20"/>
                <w:color w:val="auto"/>
              </w:rPr>
            </w:pPr>
            <w:r>
              <w:rPr>
                <w:rFonts w:ascii="Arial" w:cs="Arial" w:eastAsia="Arial" w:hAnsi="Arial"/>
                <w:sz w:val="14"/>
                <w:szCs w:val="14"/>
                <w:b w:val="1"/>
                <w:bCs w:val="1"/>
                <w:color w:val="auto"/>
                <w:w w:val="89"/>
              </w:rPr>
              <w:t>Aggregate</w:t>
            </w:r>
          </w:p>
        </w:tc>
        <w:tc>
          <w:tcPr>
            <w:tcW w:w="560" w:type="dxa"/>
            <w:vAlign w:val="bottom"/>
            <w:tcBorders>
              <w:right w:val="single" w:sz="8" w:color="auto"/>
            </w:tcBorders>
          </w:tcPr>
          <w:p>
            <w:pPr>
              <w:spacing w:after="0"/>
              <w:rPr>
                <w:sz w:val="12"/>
                <w:szCs w:val="12"/>
                <w:color w:val="auto"/>
              </w:rPr>
            </w:pPr>
          </w:p>
        </w:tc>
        <w:tc>
          <w:tcPr>
            <w:tcW w:w="2300" w:type="dxa"/>
            <w:vAlign w:val="bottom"/>
            <w:gridSpan w:val="2"/>
          </w:tcPr>
          <w:p>
            <w:pPr>
              <w:jc w:val="center"/>
              <w:ind w:left="122"/>
              <w:spacing w:after="0" w:line="145" w:lineRule="exact"/>
              <w:rPr>
                <w:sz w:val="20"/>
                <w:szCs w:val="20"/>
                <w:color w:val="auto"/>
              </w:rPr>
            </w:pPr>
            <w:r>
              <w:rPr>
                <w:rFonts w:ascii="Arial" w:cs="Arial" w:eastAsia="Arial" w:hAnsi="Arial"/>
                <w:sz w:val="14"/>
                <w:szCs w:val="14"/>
                <w:b w:val="1"/>
                <w:bCs w:val="1"/>
                <w:color w:val="auto"/>
                <w:w w:val="90"/>
              </w:rPr>
              <w:t>Registration</w:t>
            </w:r>
          </w:p>
        </w:tc>
        <w:tc>
          <w:tcPr>
            <w:tcW w:w="0" w:type="dxa"/>
            <w:vAlign w:val="bottom"/>
          </w:tcPr>
          <w:p>
            <w:pPr>
              <w:spacing w:after="0"/>
              <w:rPr>
                <w:sz w:val="1"/>
                <w:szCs w:val="1"/>
                <w:color w:val="auto"/>
              </w:rPr>
            </w:pPr>
          </w:p>
        </w:tc>
      </w:tr>
      <w:tr>
        <w:trPr>
          <w:trHeight w:val="168"/>
        </w:trPr>
        <w:tc>
          <w:tcPr>
            <w:tcW w:w="3420" w:type="dxa"/>
            <w:vAlign w:val="bottom"/>
          </w:tcPr>
          <w:p>
            <w:pPr>
              <w:jc w:val="center"/>
              <w:ind w:left="1315"/>
              <w:spacing w:after="0"/>
              <w:rPr>
                <w:sz w:val="20"/>
                <w:szCs w:val="20"/>
                <w:color w:val="auto"/>
              </w:rPr>
            </w:pPr>
            <w:r>
              <w:rPr>
                <w:rFonts w:ascii="Arial" w:cs="Arial" w:eastAsia="Arial" w:hAnsi="Arial"/>
                <w:sz w:val="14"/>
                <w:szCs w:val="14"/>
                <w:b w:val="1"/>
                <w:bCs w:val="1"/>
                <w:color w:val="auto"/>
                <w:w w:val="88"/>
              </w:rPr>
              <w:t>Of Securities To Be Registered</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440" w:type="dxa"/>
            <w:vAlign w:val="bottom"/>
            <w:gridSpan w:val="2"/>
          </w:tcPr>
          <w:p>
            <w:pPr>
              <w:spacing w:after="0"/>
              <w:rPr>
                <w:sz w:val="14"/>
                <w:szCs w:val="14"/>
                <w:color w:val="auto"/>
              </w:rPr>
            </w:pPr>
          </w:p>
        </w:tc>
        <w:tc>
          <w:tcPr>
            <w:tcW w:w="1040" w:type="dxa"/>
            <w:vAlign w:val="bottom"/>
          </w:tcPr>
          <w:p>
            <w:pPr>
              <w:jc w:val="center"/>
              <w:ind w:left="60"/>
              <w:spacing w:after="0"/>
              <w:rPr>
                <w:sz w:val="20"/>
                <w:szCs w:val="20"/>
                <w:color w:val="auto"/>
              </w:rPr>
            </w:pPr>
            <w:r>
              <w:rPr>
                <w:rFonts w:ascii="Arial" w:cs="Arial" w:eastAsia="Arial" w:hAnsi="Arial"/>
                <w:sz w:val="14"/>
                <w:szCs w:val="14"/>
                <w:b w:val="1"/>
                <w:bCs w:val="1"/>
                <w:color w:val="auto"/>
                <w:w w:val="92"/>
              </w:rPr>
              <w:t>Offering Price</w:t>
            </w:r>
          </w:p>
        </w:tc>
        <w:tc>
          <w:tcPr>
            <w:tcW w:w="560" w:type="dxa"/>
            <w:vAlign w:val="bottom"/>
            <w:tcBorders>
              <w:right w:val="single" w:sz="8" w:color="auto"/>
            </w:tcBorders>
          </w:tcPr>
          <w:p>
            <w:pPr>
              <w:spacing w:after="0"/>
              <w:rPr>
                <w:sz w:val="14"/>
                <w:szCs w:val="14"/>
                <w:color w:val="auto"/>
              </w:rPr>
            </w:pPr>
          </w:p>
        </w:tc>
        <w:tc>
          <w:tcPr>
            <w:tcW w:w="2300" w:type="dxa"/>
            <w:vAlign w:val="bottom"/>
            <w:gridSpan w:val="2"/>
          </w:tcPr>
          <w:p>
            <w:pPr>
              <w:jc w:val="center"/>
              <w:ind w:left="142"/>
              <w:spacing w:after="0"/>
              <w:rPr>
                <w:sz w:val="20"/>
                <w:szCs w:val="20"/>
                <w:color w:val="auto"/>
              </w:rPr>
            </w:pPr>
            <w:r>
              <w:rPr>
                <w:rFonts w:ascii="Arial" w:cs="Arial" w:eastAsia="Arial" w:hAnsi="Arial"/>
                <w:sz w:val="14"/>
                <w:szCs w:val="14"/>
                <w:b w:val="1"/>
                <w:bCs w:val="1"/>
                <w:color w:val="auto"/>
                <w:w w:val="88"/>
              </w:rPr>
              <w:t>Fee (1)</w:t>
            </w:r>
          </w:p>
        </w:tc>
        <w:tc>
          <w:tcPr>
            <w:tcW w:w="0" w:type="dxa"/>
            <w:vAlign w:val="bottom"/>
          </w:tcPr>
          <w:p>
            <w:pPr>
              <w:spacing w:after="0"/>
              <w:rPr>
                <w:sz w:val="1"/>
                <w:szCs w:val="1"/>
                <w:color w:val="auto"/>
              </w:rPr>
            </w:pPr>
          </w:p>
        </w:tc>
      </w:tr>
      <w:tr>
        <w:trPr>
          <w:trHeight w:val="206"/>
        </w:trPr>
        <w:tc>
          <w:tcPr>
            <w:tcW w:w="3420" w:type="dxa"/>
            <w:vAlign w:val="bottom"/>
            <w:tcBorders>
              <w:top w:val="single" w:sz="8" w:color="auto"/>
            </w:tcBorders>
          </w:tcPr>
          <w:p>
            <w:pPr>
              <w:spacing w:after="0" w:line="206" w:lineRule="exact"/>
              <w:rPr>
                <w:sz w:val="20"/>
                <w:szCs w:val="20"/>
                <w:color w:val="auto"/>
              </w:rPr>
            </w:pPr>
            <w:r>
              <w:rPr>
                <w:rFonts w:ascii="Arial" w:cs="Arial" w:eastAsia="Arial" w:hAnsi="Arial"/>
                <w:sz w:val="18"/>
                <w:szCs w:val="18"/>
                <w:color w:val="auto"/>
              </w:rPr>
              <w:t>5.875% Notes due 2018</w:t>
            </w:r>
          </w:p>
        </w:tc>
        <w:tc>
          <w:tcPr>
            <w:tcW w:w="1620" w:type="dxa"/>
            <w:vAlign w:val="bottom"/>
            <w:tcBorders>
              <w:top w:val="single" w:sz="8" w:color="auto"/>
              <w:right w:val="single" w:sz="8" w:color="auto"/>
            </w:tcBorders>
            <w:gridSpan w:val="3"/>
          </w:tcPr>
          <w:p>
            <w:pPr>
              <w:spacing w:after="0"/>
              <w:rPr>
                <w:sz w:val="17"/>
                <w:szCs w:val="17"/>
                <w:color w:val="auto"/>
              </w:rPr>
            </w:pPr>
          </w:p>
        </w:tc>
        <w:tc>
          <w:tcPr>
            <w:tcW w:w="2060" w:type="dxa"/>
            <w:vAlign w:val="bottom"/>
            <w:tcBorders>
              <w:top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color w:val="auto"/>
                <w:w w:val="87"/>
              </w:rPr>
              <w:t>$900,000,000</w:t>
            </w:r>
          </w:p>
        </w:tc>
        <w:tc>
          <w:tcPr>
            <w:tcW w:w="3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60"/>
              <w:spacing w:after="0" w:line="206" w:lineRule="exact"/>
              <w:rPr>
                <w:sz w:val="20"/>
                <w:szCs w:val="20"/>
                <w:color w:val="auto"/>
              </w:rPr>
            </w:pPr>
            <w:r>
              <w:rPr>
                <w:rFonts w:ascii="Arial" w:cs="Arial" w:eastAsia="Arial" w:hAnsi="Arial"/>
                <w:sz w:val="18"/>
                <w:szCs w:val="18"/>
                <w:color w:val="auto"/>
              </w:rPr>
              <w:t>99.856%</w:t>
            </w:r>
          </w:p>
        </w:tc>
        <w:tc>
          <w:tcPr>
            <w:tcW w:w="560" w:type="dxa"/>
            <w:vAlign w:val="bottom"/>
            <w:tcBorders>
              <w:top w:val="single" w:sz="8" w:color="auto"/>
              <w:right w:val="single" w:sz="8" w:color="auto"/>
            </w:tcBorders>
          </w:tcPr>
          <w:p>
            <w:pPr>
              <w:spacing w:after="0"/>
              <w:rPr>
                <w:sz w:val="17"/>
                <w:szCs w:val="17"/>
                <w:color w:val="auto"/>
              </w:rPr>
            </w:pPr>
          </w:p>
        </w:tc>
        <w:tc>
          <w:tcPr>
            <w:tcW w:w="2280" w:type="dxa"/>
            <w:vAlign w:val="bottom"/>
            <w:tcBorders>
              <w:top w:val="single" w:sz="8" w:color="auto"/>
            </w:tcBorders>
          </w:tcPr>
          <w:p>
            <w:pPr>
              <w:jc w:val="center"/>
              <w:ind w:left="162"/>
              <w:spacing w:after="0" w:line="206" w:lineRule="exact"/>
              <w:rPr>
                <w:sz w:val="20"/>
                <w:szCs w:val="20"/>
                <w:color w:val="auto"/>
              </w:rPr>
            </w:pPr>
            <w:r>
              <w:rPr>
                <w:rFonts w:ascii="Arial" w:cs="Arial" w:eastAsia="Arial" w:hAnsi="Arial"/>
                <w:sz w:val="18"/>
                <w:szCs w:val="18"/>
                <w:color w:val="auto"/>
                <w:w w:val="86"/>
              </w:rPr>
              <w:t>$96,162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6.45% Notes due 2037</w:t>
            </w:r>
          </w:p>
        </w:tc>
        <w:tc>
          <w:tcPr>
            <w:tcW w:w="1620" w:type="dxa"/>
            <w:vAlign w:val="bottom"/>
            <w:tcBorders>
              <w:bottom w:val="single" w:sz="8" w:color="auto"/>
              <w:right w:val="single" w:sz="8" w:color="auto"/>
            </w:tcBorders>
            <w:gridSpan w:val="3"/>
          </w:tcPr>
          <w:p>
            <w:pPr>
              <w:spacing w:after="0"/>
              <w:rPr>
                <w:sz w:val="19"/>
                <w:szCs w:val="19"/>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$600,000,000</w:t>
            </w:r>
          </w:p>
        </w:tc>
        <w:tc>
          <w:tcPr>
            <w:tcW w:w="3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102.597%</w:t>
            </w:r>
          </w:p>
        </w:tc>
        <w:tc>
          <w:tcPr>
            <w:tcW w:w="56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tcBorders>
          </w:tcPr>
          <w:p>
            <w:pPr>
              <w:jc w:val="center"/>
              <w:ind w:left="162"/>
              <w:spacing w:after="0"/>
              <w:rPr>
                <w:sz w:val="20"/>
                <w:szCs w:val="20"/>
                <w:color w:val="auto"/>
              </w:rPr>
            </w:pPr>
            <w:r>
              <w:rPr>
                <w:rFonts w:ascii="Arial" w:cs="Arial" w:eastAsia="Arial" w:hAnsi="Arial"/>
                <w:sz w:val="18"/>
                <w:szCs w:val="18"/>
                <w:color w:val="auto"/>
                <w:w w:val="86"/>
              </w:rPr>
              <w:t>$65,868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Calculated in accordance with Rule 457(r)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29"/>
        </w:trPr>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40" w:type="dxa"/>
            <w:vAlign w:val="bottom"/>
            <w:gridSpan w:val="2"/>
          </w:tcPr>
          <w:p>
            <w:pPr>
              <w:jc w:val="center"/>
              <w:ind w:right="2672"/>
              <w:spacing w:after="0"/>
              <w:rPr>
                <w:sz w:val="20"/>
                <w:szCs w:val="20"/>
                <w:color w:val="auto"/>
              </w:rPr>
            </w:pPr>
            <w:r>
              <w:rPr>
                <w:rFonts w:ascii="Arial" w:cs="Arial" w:eastAsia="Arial" w:hAnsi="Arial"/>
                <w:sz w:val="18"/>
                <w:szCs w:val="18"/>
                <w:b w:val="1"/>
                <w:bCs w:val="1"/>
                <w:color w:val="auto"/>
                <w:w w:val="96"/>
              </w:rPr>
              <w:t>TABLE OF CONTENTS</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40" w:type="dxa"/>
            <w:vAlign w:val="bottom"/>
            <w:gridSpan w:val="2"/>
          </w:tcPr>
          <w:p>
            <w:pPr>
              <w:jc w:val="center"/>
              <w:ind w:right="2672"/>
              <w:spacing w:after="0"/>
              <w:rPr>
                <w:sz w:val="20"/>
                <w:szCs w:val="20"/>
                <w:color w:val="auto"/>
              </w:rPr>
            </w:pPr>
            <w:r>
              <w:rPr>
                <w:rFonts w:ascii="Arial" w:cs="Arial" w:eastAsia="Arial" w:hAnsi="Arial"/>
                <w:sz w:val="18"/>
                <w:szCs w:val="18"/>
                <w:b w:val="1"/>
                <w:bCs w:val="1"/>
                <w:color w:val="auto"/>
                <w:w w:val="85"/>
              </w:rPr>
              <w:t>Prospectus Supplement</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0380" w:type="dxa"/>
            <w:vAlign w:val="bottom"/>
            <w:gridSpan w:val="18"/>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Supplement Summary</w:t>
              </w:r>
            </w:hyperlink>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8"/>
        </w:trPr>
        <w:tc>
          <w:tcPr>
            <w:tcW w:w="10380" w:type="dxa"/>
            <w:vAlign w:val="bottom"/>
            <w:gridSpan w:val="18"/>
            <w:vMerge w:val="continue"/>
          </w:tcPr>
          <w:p>
            <w:pPr>
              <w:spacing w:after="0"/>
              <w:rPr>
                <w:sz w:val="15"/>
                <w:szCs w:val="15"/>
                <w:color w:val="auto"/>
              </w:rPr>
            </w:pPr>
          </w:p>
        </w:tc>
        <w:tc>
          <w:tcPr>
            <w:tcW w:w="1000" w:type="dxa"/>
            <w:vAlign w:val="bottom"/>
          </w:tcPr>
          <w:p>
            <w:pPr>
              <w:jc w:val="right"/>
              <w:ind w:right="233"/>
              <w:spacing w:after="0" w:line="178"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2"/>
        </w:trPr>
        <w:tc>
          <w:tcPr>
            <w:tcW w:w="1160" w:type="dxa"/>
            <w:vAlign w:val="bottom"/>
            <w:tcBorders>
              <w:top w:val="single" w:sz="8" w:color="0000EE"/>
              <w:bottom w:val="single" w:sz="8" w:color="0000EE"/>
            </w:tcBorders>
            <w:gridSpan w:val="5"/>
          </w:tcPr>
          <w:p>
            <w:pPr>
              <w:spacing w:after="0" w:line="192" w:lineRule="exact"/>
              <w:rPr>
                <w:rFonts w:ascii="Arial" w:cs="Arial" w:eastAsia="Arial" w:hAnsi="Arial"/>
                <w:sz w:val="18"/>
                <w:szCs w:val="18"/>
                <w:color w:val="0000EE"/>
                <w:w w:val="85"/>
              </w:rPr>
            </w:pPr>
            <w:hyperlink w:anchor="page7">
              <w:r>
                <w:rPr>
                  <w:rFonts w:ascii="Arial" w:cs="Arial" w:eastAsia="Arial" w:hAnsi="Arial"/>
                  <w:sz w:val="18"/>
                  <w:szCs w:val="18"/>
                  <w:color w:val="0000EE"/>
                  <w:w w:val="85"/>
                </w:rPr>
                <w:t>Use of Proceeds</w:t>
              </w:r>
            </w:hyperlink>
          </w:p>
        </w:tc>
        <w:tc>
          <w:tcPr>
            <w:tcW w:w="1220" w:type="dxa"/>
            <w:vAlign w:val="bottom"/>
            <w:tcBorders>
              <w:top w:val="single" w:sz="8" w:color="0000EE"/>
            </w:tcBorders>
            <w:gridSpan w:val="6"/>
          </w:tcPr>
          <w:p>
            <w:pPr>
              <w:spacing w:after="0"/>
              <w:rPr>
                <w:sz w:val="16"/>
                <w:szCs w:val="16"/>
                <w:color w:val="auto"/>
              </w:rPr>
            </w:pPr>
          </w:p>
        </w:tc>
        <w:tc>
          <w:tcPr>
            <w:tcW w:w="8000" w:type="dxa"/>
            <w:vAlign w:val="bottom"/>
            <w:gridSpan w:val="7"/>
          </w:tcPr>
          <w:p>
            <w:pPr>
              <w:spacing w:after="0"/>
              <w:rPr>
                <w:sz w:val="16"/>
                <w:szCs w:val="16"/>
                <w:color w:val="auto"/>
              </w:rPr>
            </w:pPr>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0000EE"/>
            </w:tcBorders>
            <w:gridSpan w:val="12"/>
          </w:tcPr>
          <w:p>
            <w:pPr>
              <w:spacing w:after="0" w:line="192"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Ratio of Earnings to Fixed Charges</w:t>
              </w:r>
            </w:hyperlink>
          </w:p>
        </w:tc>
        <w:tc>
          <w:tcPr>
            <w:tcW w:w="7880" w:type="dxa"/>
            <w:vAlign w:val="bottom"/>
            <w:gridSpan w:val="6"/>
          </w:tcPr>
          <w:p>
            <w:pPr>
              <w:spacing w:after="0"/>
              <w:rPr>
                <w:sz w:val="16"/>
                <w:szCs w:val="16"/>
                <w:color w:val="auto"/>
              </w:rPr>
            </w:pPr>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192"/>
        </w:trPr>
        <w:tc>
          <w:tcPr>
            <w:tcW w:w="1740" w:type="dxa"/>
            <w:vAlign w:val="bottom"/>
            <w:tcBorders>
              <w:bottom w:val="single" w:sz="8" w:color="0000EE"/>
            </w:tcBorders>
            <w:gridSpan w:val="9"/>
          </w:tcPr>
          <w:p>
            <w:pPr>
              <w:spacing w:after="0" w:line="192"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Description of the Notes</w:t>
              </w:r>
            </w:hyperlink>
          </w:p>
        </w:tc>
        <w:tc>
          <w:tcPr>
            <w:tcW w:w="8640" w:type="dxa"/>
            <w:vAlign w:val="bottom"/>
            <w:gridSpan w:val="9"/>
          </w:tcPr>
          <w:p>
            <w:pPr>
              <w:spacing w:after="0"/>
              <w:rPr>
                <w:sz w:val="16"/>
                <w:szCs w:val="16"/>
                <w:color w:val="auto"/>
              </w:rPr>
            </w:pPr>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192"/>
        </w:trPr>
        <w:tc>
          <w:tcPr>
            <w:tcW w:w="960" w:type="dxa"/>
            <w:vAlign w:val="bottom"/>
            <w:tcBorders>
              <w:bottom w:val="single" w:sz="8" w:color="0000EE"/>
            </w:tcBorders>
            <w:gridSpan w:val="2"/>
          </w:tcPr>
          <w:p>
            <w:pPr>
              <w:spacing w:after="0" w:line="192"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Underwriting</w:t>
              </w:r>
            </w:hyperlink>
          </w:p>
        </w:tc>
        <w:tc>
          <w:tcPr>
            <w:tcW w:w="9420" w:type="dxa"/>
            <w:vAlign w:val="bottom"/>
            <w:gridSpan w:val="16"/>
          </w:tcPr>
          <w:p>
            <w:pPr>
              <w:spacing w:after="0"/>
              <w:rPr>
                <w:sz w:val="16"/>
                <w:szCs w:val="16"/>
                <w:color w:val="auto"/>
              </w:rPr>
            </w:pPr>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2"/>
        </w:trPr>
        <w:tc>
          <w:tcPr>
            <w:tcW w:w="10380" w:type="dxa"/>
            <w:vAlign w:val="bottom"/>
            <w:gridSpan w:val="18"/>
          </w:tcPr>
          <w:p>
            <w:pPr>
              <w:spacing w:after="0" w:line="192" w:lineRule="exact"/>
              <w:rPr>
                <w:rFonts w:ascii="Arial" w:cs="Arial" w:eastAsia="Arial" w:hAnsi="Arial"/>
                <w:sz w:val="18"/>
                <w:szCs w:val="18"/>
                <w:color w:val="0000EE"/>
              </w:rPr>
            </w:pPr>
            <w:hyperlink w:anchor="page14">
              <w:r>
                <w:rPr>
                  <w:rFonts w:ascii="Arial" w:cs="Arial" w:eastAsia="Arial" w:hAnsi="Arial"/>
                  <w:sz w:val="18"/>
                  <w:szCs w:val="18"/>
                  <w:color w:val="0000EE"/>
                </w:rPr>
                <w:t>Legal Matters</w:t>
              </w:r>
            </w:hyperlink>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230"/>
        </w:trPr>
        <w:tc>
          <w:tcPr>
            <w:tcW w:w="54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340" w:type="dxa"/>
            <w:vAlign w:val="bottom"/>
          </w:tcPr>
          <w:p>
            <w:pPr>
              <w:jc w:val="center"/>
              <w:ind w:right="3992"/>
              <w:spacing w:after="0"/>
              <w:rPr>
                <w:sz w:val="20"/>
                <w:szCs w:val="20"/>
                <w:color w:val="auto"/>
              </w:rPr>
            </w:pPr>
            <w:r>
              <w:rPr>
                <w:rFonts w:ascii="Arial" w:cs="Arial" w:eastAsia="Arial" w:hAnsi="Arial"/>
                <w:sz w:val="18"/>
                <w:szCs w:val="18"/>
                <w:b w:val="1"/>
                <w:bCs w:val="1"/>
                <w:color w:val="auto"/>
                <w:w w:val="83"/>
              </w:rPr>
              <w:t>Prospectus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10380" w:type="dxa"/>
            <w:vAlign w:val="bottom"/>
            <w:gridSpan w:val="1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The Companies</w:t>
              </w:r>
            </w:hyperlink>
          </w:p>
        </w:tc>
        <w:tc>
          <w:tcPr>
            <w:tcW w:w="1000" w:type="dxa"/>
            <w:vAlign w:val="bottom"/>
          </w:tcPr>
          <w:p>
            <w:pPr>
              <w:jc w:val="right"/>
              <w:ind w:right="23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560" w:type="dxa"/>
            <w:vAlign w:val="bottom"/>
            <w:tcBorders>
              <w:bottom w:val="single" w:sz="8" w:color="0000EE"/>
            </w:tcBorders>
            <w:gridSpan w:val="15"/>
          </w:tcPr>
          <w:p>
            <w:pPr>
              <w:spacing w:after="0" w:line="192"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Caution Concerning Forward-Looking Statements</w:t>
              </w:r>
            </w:hyperlink>
          </w:p>
        </w:tc>
        <w:tc>
          <w:tcPr>
            <w:tcW w:w="6820" w:type="dxa"/>
            <w:vAlign w:val="bottom"/>
            <w:gridSpan w:val="3"/>
          </w:tcPr>
          <w:p>
            <w:pPr>
              <w:spacing w:after="0"/>
              <w:rPr>
                <w:sz w:val="16"/>
                <w:szCs w:val="16"/>
                <w:color w:val="auto"/>
              </w:rPr>
            </w:pPr>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0000EE"/>
            </w:tcBorders>
            <w:gridSpan w:val="5"/>
          </w:tcPr>
          <w:p>
            <w:pPr>
              <w:spacing w:after="0" w:line="192" w:lineRule="exact"/>
              <w:rPr>
                <w:rFonts w:ascii="Arial" w:cs="Arial" w:eastAsia="Arial" w:hAnsi="Arial"/>
                <w:sz w:val="18"/>
                <w:szCs w:val="18"/>
                <w:color w:val="0000EE"/>
                <w:w w:val="85"/>
              </w:rPr>
            </w:pPr>
            <w:hyperlink w:anchor="page20">
              <w:r>
                <w:rPr>
                  <w:rFonts w:ascii="Arial" w:cs="Arial" w:eastAsia="Arial" w:hAnsi="Arial"/>
                  <w:sz w:val="18"/>
                  <w:szCs w:val="18"/>
                  <w:color w:val="0000EE"/>
                  <w:w w:val="85"/>
                </w:rPr>
                <w:t>Use of Proceeds</w:t>
              </w:r>
            </w:hyperlink>
          </w:p>
        </w:tc>
        <w:tc>
          <w:tcPr>
            <w:tcW w:w="9220" w:type="dxa"/>
            <w:vAlign w:val="bottom"/>
            <w:gridSpan w:val="13"/>
          </w:tcPr>
          <w:p>
            <w:pPr>
              <w:spacing w:after="0"/>
              <w:rPr>
                <w:sz w:val="16"/>
                <w:szCs w:val="16"/>
                <w:color w:val="auto"/>
              </w:rPr>
            </w:pPr>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2"/>
        </w:trPr>
        <w:tc>
          <w:tcPr>
            <w:tcW w:w="10380" w:type="dxa"/>
            <w:vAlign w:val="bottom"/>
            <w:gridSpan w:val="18"/>
          </w:tcPr>
          <w:p>
            <w:pPr>
              <w:spacing w:after="0" w:line="192" w:lineRule="exact"/>
              <w:rPr>
                <w:rFonts w:ascii="Arial" w:cs="Arial" w:eastAsia="Arial" w:hAnsi="Arial"/>
                <w:sz w:val="18"/>
                <w:szCs w:val="18"/>
                <w:color w:val="0000EE"/>
              </w:rPr>
            </w:pPr>
            <w:hyperlink w:anchor="page20">
              <w:r>
                <w:rPr>
                  <w:rFonts w:ascii="Arial" w:cs="Arial" w:eastAsia="Arial" w:hAnsi="Arial"/>
                  <w:sz w:val="18"/>
                  <w:szCs w:val="18"/>
                  <w:color w:val="0000EE"/>
                </w:rPr>
                <w:t>Dividend Policy</w:t>
              </w:r>
            </w:hyperlink>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380" w:type="dxa"/>
            <w:vAlign w:val="bottom"/>
            <w:gridSpan w:val="18"/>
          </w:tcPr>
          <w:p>
            <w:pPr>
              <w:spacing w:after="0" w:line="192" w:lineRule="exact"/>
              <w:rPr>
                <w:rFonts w:ascii="Arial" w:cs="Arial" w:eastAsia="Arial" w:hAnsi="Arial"/>
                <w:sz w:val="18"/>
                <w:szCs w:val="18"/>
                <w:color w:val="0000EE"/>
              </w:rPr>
            </w:pPr>
            <w:hyperlink w:anchor="page20">
              <w:r>
                <w:rPr>
                  <w:rFonts w:ascii="Arial" w:cs="Arial" w:eastAsia="Arial" w:hAnsi="Arial"/>
                  <w:sz w:val="18"/>
                  <w:szCs w:val="18"/>
                  <w:color w:val="0000EE"/>
                </w:rPr>
                <w:t>Ratios of Earnings to Fixed Charges</w:t>
              </w:r>
            </w:hyperlink>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380" w:type="dxa"/>
            <w:vAlign w:val="bottom"/>
            <w:gridSpan w:val="18"/>
          </w:tcPr>
          <w:p>
            <w:pPr>
              <w:spacing w:after="0" w:line="192" w:lineRule="exact"/>
              <w:rPr>
                <w:rFonts w:ascii="Arial" w:cs="Arial" w:eastAsia="Arial" w:hAnsi="Arial"/>
                <w:sz w:val="18"/>
                <w:szCs w:val="18"/>
                <w:color w:val="0000EE"/>
              </w:rPr>
            </w:pPr>
            <w:hyperlink w:anchor="page21">
              <w:r>
                <w:rPr>
                  <w:rFonts w:ascii="Arial" w:cs="Arial" w:eastAsia="Arial" w:hAnsi="Arial"/>
                  <w:sz w:val="18"/>
                  <w:szCs w:val="18"/>
                  <w:color w:val="0000EE"/>
                </w:rPr>
                <w:t>Ratio of Earnings to Combined Fixed Charges and Preferred Dividends</w:t>
              </w:r>
            </w:hyperlink>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2"/>
        </w:trPr>
        <w:tc>
          <w:tcPr>
            <w:tcW w:w="5040" w:type="dxa"/>
            <w:vAlign w:val="bottom"/>
            <w:tcBorders>
              <w:top w:val="single" w:sz="8" w:color="0000EE"/>
            </w:tcBorders>
            <w:gridSpan w:val="17"/>
          </w:tcPr>
          <w:p>
            <w:pPr>
              <w:spacing w:after="0" w:line="192" w:lineRule="exact"/>
              <w:rPr>
                <w:rFonts w:ascii="Arial" w:cs="Arial" w:eastAsia="Arial" w:hAnsi="Arial"/>
                <w:sz w:val="18"/>
                <w:szCs w:val="18"/>
                <w:color w:val="0000EE"/>
              </w:rPr>
            </w:pPr>
            <w:hyperlink w:anchor="page22">
              <w:r>
                <w:rPr>
                  <w:rFonts w:ascii="Arial" w:cs="Arial" w:eastAsia="Arial" w:hAnsi="Arial"/>
                  <w:sz w:val="18"/>
                  <w:szCs w:val="18"/>
                  <w:color w:val="0000EE"/>
                </w:rPr>
                <w:t>Description of Debt Securities and Cable Guarantees</w:t>
              </w:r>
            </w:hyperlink>
          </w:p>
        </w:tc>
        <w:tc>
          <w:tcPr>
            <w:tcW w:w="5340" w:type="dxa"/>
            <w:vAlign w:val="bottom"/>
          </w:tcPr>
          <w:p>
            <w:pPr>
              <w:spacing w:after="0"/>
              <w:rPr>
                <w:sz w:val="16"/>
                <w:szCs w:val="16"/>
                <w:color w:val="auto"/>
              </w:rPr>
            </w:pPr>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2"/>
        </w:trPr>
        <w:tc>
          <w:tcPr>
            <w:tcW w:w="3740" w:type="dxa"/>
            <w:vAlign w:val="bottom"/>
            <w:tcBorders>
              <w:top w:val="single" w:sz="8" w:color="0000EE"/>
            </w:tcBorders>
            <w:gridSpan w:val="16"/>
          </w:tcPr>
          <w:p>
            <w:pPr>
              <w:spacing w:after="0" w:line="192" w:lineRule="exact"/>
              <w:rPr>
                <w:rFonts w:ascii="Arial" w:cs="Arial" w:eastAsia="Arial" w:hAnsi="Arial"/>
                <w:sz w:val="18"/>
                <w:szCs w:val="18"/>
                <w:color w:val="0000EE"/>
              </w:rPr>
            </w:pPr>
            <w:hyperlink w:anchor="page36">
              <w:r>
                <w:rPr>
                  <w:rFonts w:ascii="Arial" w:cs="Arial" w:eastAsia="Arial" w:hAnsi="Arial"/>
                  <w:sz w:val="18"/>
                  <w:szCs w:val="18"/>
                  <w:color w:val="0000EE"/>
                </w:rPr>
                <w:t>Global Securities</w:t>
              </w:r>
            </w:hyperlink>
          </w:p>
        </w:tc>
        <w:tc>
          <w:tcPr>
            <w:tcW w:w="6640" w:type="dxa"/>
            <w:vAlign w:val="bottom"/>
            <w:gridSpan w:val="2"/>
          </w:tcPr>
          <w:p>
            <w:pPr>
              <w:spacing w:after="0"/>
              <w:rPr>
                <w:sz w:val="16"/>
                <w:szCs w:val="16"/>
                <w:color w:val="auto"/>
              </w:rPr>
            </w:pPr>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684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380" w:type="dxa"/>
            <w:vAlign w:val="bottom"/>
            <w:gridSpan w:val="18"/>
          </w:tcPr>
          <w:p>
            <w:pPr>
              <w:spacing w:after="0" w:line="192" w:lineRule="exact"/>
              <w:rPr>
                <w:rFonts w:ascii="Arial" w:cs="Arial" w:eastAsia="Arial" w:hAnsi="Arial"/>
                <w:sz w:val="18"/>
                <w:szCs w:val="18"/>
                <w:color w:val="0000EE"/>
              </w:rPr>
            </w:pPr>
            <w:hyperlink w:anchor="page38">
              <w:r>
                <w:rPr>
                  <w:rFonts w:ascii="Arial" w:cs="Arial" w:eastAsia="Arial" w:hAnsi="Arial"/>
                  <w:sz w:val="18"/>
                  <w:szCs w:val="18"/>
                  <w:color w:val="0000EE"/>
                </w:rPr>
                <w:t>Description of Capital Stock</w:t>
              </w:r>
            </w:hyperlink>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2"/>
        </w:trPr>
        <w:tc>
          <w:tcPr>
            <w:tcW w:w="1420" w:type="dxa"/>
            <w:vAlign w:val="bottom"/>
            <w:tcBorders>
              <w:top w:val="single" w:sz="8" w:color="0000EE"/>
              <w:bottom w:val="single" w:sz="8" w:color="0000EE"/>
            </w:tcBorders>
            <w:gridSpan w:val="7"/>
          </w:tcPr>
          <w:p>
            <w:pPr>
              <w:spacing w:after="0" w:line="192"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Plan of Distribution</w:t>
              </w:r>
            </w:hyperlink>
          </w:p>
        </w:tc>
        <w:tc>
          <w:tcPr>
            <w:tcW w:w="600" w:type="dxa"/>
            <w:vAlign w:val="bottom"/>
            <w:tcBorders>
              <w:top w:val="single" w:sz="8" w:color="0000EE"/>
            </w:tcBorders>
            <w:gridSpan w:val="3"/>
          </w:tcPr>
          <w:p>
            <w:pPr>
              <w:spacing w:after="0"/>
              <w:rPr>
                <w:sz w:val="16"/>
                <w:szCs w:val="16"/>
                <w:color w:val="auto"/>
              </w:rPr>
            </w:pPr>
          </w:p>
        </w:tc>
        <w:tc>
          <w:tcPr>
            <w:tcW w:w="8360" w:type="dxa"/>
            <w:vAlign w:val="bottom"/>
            <w:gridSpan w:val="8"/>
          </w:tcPr>
          <w:p>
            <w:pPr>
              <w:spacing w:after="0"/>
              <w:rPr>
                <w:sz w:val="16"/>
                <w:szCs w:val="16"/>
                <w:color w:val="auto"/>
              </w:rPr>
            </w:pPr>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2"/>
        </w:trPr>
        <w:tc>
          <w:tcPr>
            <w:tcW w:w="1000" w:type="dxa"/>
            <w:vAlign w:val="bottom"/>
            <w:tcBorders>
              <w:bottom w:val="single" w:sz="8" w:color="0000EE"/>
            </w:tcBorders>
            <w:gridSpan w:val="3"/>
          </w:tcPr>
          <w:p>
            <w:pPr>
              <w:spacing w:after="0" w:line="192"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Legal Matters</w:t>
              </w:r>
            </w:hyperlink>
          </w:p>
        </w:tc>
        <w:tc>
          <w:tcPr>
            <w:tcW w:w="9380" w:type="dxa"/>
            <w:vAlign w:val="bottom"/>
            <w:gridSpan w:val="15"/>
          </w:tcPr>
          <w:p>
            <w:pPr>
              <w:spacing w:after="0"/>
              <w:rPr>
                <w:sz w:val="16"/>
                <w:szCs w:val="16"/>
                <w:color w:val="auto"/>
              </w:rPr>
            </w:pPr>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2"/>
        </w:trPr>
        <w:tc>
          <w:tcPr>
            <w:tcW w:w="10380" w:type="dxa"/>
            <w:vAlign w:val="bottom"/>
            <w:gridSpan w:val="18"/>
          </w:tcPr>
          <w:p>
            <w:pPr>
              <w:spacing w:after="0" w:line="192" w:lineRule="exact"/>
              <w:rPr>
                <w:rFonts w:ascii="Arial" w:cs="Arial" w:eastAsia="Arial" w:hAnsi="Arial"/>
                <w:sz w:val="18"/>
                <w:szCs w:val="18"/>
                <w:color w:val="0000EE"/>
              </w:rPr>
            </w:pPr>
            <w:hyperlink w:anchor="page43">
              <w:r>
                <w:rPr>
                  <w:rFonts w:ascii="Arial" w:cs="Arial" w:eastAsia="Arial" w:hAnsi="Arial"/>
                  <w:sz w:val="18"/>
                  <w:szCs w:val="18"/>
                  <w:color w:val="0000EE"/>
                </w:rPr>
                <w:t>Experts</w:t>
              </w:r>
            </w:hyperlink>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684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380" w:type="dxa"/>
            <w:vAlign w:val="bottom"/>
            <w:gridSpan w:val="18"/>
          </w:tcPr>
          <w:p>
            <w:pPr>
              <w:spacing w:after="0" w:line="192" w:lineRule="exact"/>
              <w:rPr>
                <w:rFonts w:ascii="Arial" w:cs="Arial" w:eastAsia="Arial" w:hAnsi="Arial"/>
                <w:sz w:val="18"/>
                <w:szCs w:val="18"/>
                <w:color w:val="0000EE"/>
              </w:rPr>
            </w:pPr>
            <w:hyperlink w:anchor="page43">
              <w:r>
                <w:rPr>
                  <w:rFonts w:ascii="Arial" w:cs="Arial" w:eastAsia="Arial" w:hAnsi="Arial"/>
                  <w:sz w:val="18"/>
                  <w:szCs w:val="18"/>
                  <w:color w:val="0000EE"/>
                </w:rPr>
                <w:t>Available Information</w:t>
              </w:r>
            </w:hyperlink>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684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380" w:type="dxa"/>
            <w:vAlign w:val="bottom"/>
            <w:gridSpan w:val="18"/>
          </w:tcPr>
          <w:p>
            <w:pPr>
              <w:spacing w:after="0" w:line="192" w:lineRule="exact"/>
              <w:rPr>
                <w:rFonts w:ascii="Arial" w:cs="Arial" w:eastAsia="Arial" w:hAnsi="Arial"/>
                <w:sz w:val="18"/>
                <w:szCs w:val="18"/>
                <w:color w:val="0000EE"/>
              </w:rPr>
            </w:pPr>
            <w:hyperlink w:anchor="page44">
              <w:r>
                <w:rPr>
                  <w:rFonts w:ascii="Arial" w:cs="Arial" w:eastAsia="Arial" w:hAnsi="Arial"/>
                  <w:sz w:val="18"/>
                  <w:szCs w:val="18"/>
                  <w:color w:val="0000EE"/>
                </w:rPr>
                <w:t>Incorporation of Certain Documents by Reference</w:t>
              </w:r>
            </w:hyperlink>
          </w:p>
        </w:tc>
        <w:tc>
          <w:tcPr>
            <w:tcW w:w="100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right="140" w:firstLine="258"/>
        <w:spacing w:after="0" w:line="266" w:lineRule="auto"/>
        <w:rPr>
          <w:sz w:val="20"/>
          <w:szCs w:val="20"/>
          <w:color w:val="auto"/>
        </w:rPr>
      </w:pPr>
      <w:r>
        <w:rPr>
          <w:rFonts w:ascii="Arial" w:cs="Arial" w:eastAsia="Arial" w:hAnsi="Arial"/>
          <w:sz w:val="17"/>
          <w:szCs w:val="17"/>
          <w:color w:val="auto"/>
        </w:rPr>
        <w:t>You should rely only on the information contained or incorporated by reference in this prospectus supplement, the accompanying prospectus and the free writing prospectus relating to the notes.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2799"/>
        <w:spacing w:after="0"/>
        <w:rPr>
          <w:sz w:val="20"/>
          <w:szCs w:val="20"/>
          <w:color w:val="auto"/>
        </w:rPr>
      </w:pPr>
      <w:r>
        <w:rPr>
          <w:rFonts w:ascii="Arial" w:cs="Arial" w:eastAsia="Arial" w:hAnsi="Arial"/>
          <w:sz w:val="18"/>
          <w:szCs w:val="18"/>
          <w:color w:val="auto"/>
        </w:rPr>
        <w:t>(This page has been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5338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3930" cy="5338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PROSPECTUS SUPPLEMENT SUMMARY</w:t>
      </w:r>
    </w:p>
    <w:p>
      <w:pPr>
        <w:spacing w:after="0" w:line="111"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The Companies</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Comcast Corporation</w:t>
      </w:r>
    </w:p>
    <w:p>
      <w:pPr>
        <w:spacing w:after="0" w:line="117" w:lineRule="exact"/>
        <w:rPr>
          <w:sz w:val="20"/>
          <w:szCs w:val="20"/>
          <w:color w:val="auto"/>
        </w:rPr>
      </w:pPr>
    </w:p>
    <w:p>
      <w:pPr>
        <w:ind w:left="180" w:firstLine="261"/>
        <w:spacing w:after="0" w:line="251" w:lineRule="auto"/>
        <w:rPr>
          <w:sz w:val="20"/>
          <w:szCs w:val="20"/>
          <w:color w:val="auto"/>
        </w:rPr>
      </w:pPr>
      <w:r>
        <w:rPr>
          <w:rFonts w:ascii="Arial" w:cs="Arial" w:eastAsia="Arial" w:hAnsi="Arial"/>
          <w:sz w:val="18"/>
          <w:szCs w:val="18"/>
          <w:color w:val="auto"/>
        </w:rPr>
        <w:t>We are the largest broadband cable provider in the United States and offer a wide variety of consumer entertainment and communication products and services, serving approximately 24 million video subscribers, 11 million high-speed Internet subscribers and 2 million phone subscribers at September 30, 2006. We were incorporated under the laws of Pennsylvania in December 2001. Through our predecessors (including our immediate predecessor Comcast Holdings), we have developed, managed and operated broadband cable systems since 1963.</w:t>
      </w:r>
    </w:p>
    <w:p>
      <w:pPr>
        <w:spacing w:after="0" w:line="87" w:lineRule="exact"/>
        <w:rPr>
          <w:sz w:val="20"/>
          <w:szCs w:val="20"/>
          <w:color w:val="auto"/>
        </w:rPr>
      </w:pPr>
    </w:p>
    <w:p>
      <w:pPr>
        <w:ind w:left="180" w:right="120" w:firstLine="261"/>
        <w:spacing w:after="0" w:line="264" w:lineRule="auto"/>
        <w:rPr>
          <w:sz w:val="20"/>
          <w:szCs w:val="20"/>
          <w:color w:val="auto"/>
        </w:rPr>
      </w:pPr>
      <w:r>
        <w:rPr>
          <w:rFonts w:ascii="Arial" w:cs="Arial" w:eastAsia="Arial" w:hAnsi="Arial"/>
          <w:sz w:val="18"/>
          <w:szCs w:val="18"/>
          <w:color w:val="auto"/>
        </w:rPr>
        <w:t>We manage our operations through two reportable segments, “Cable” and “Content”. The Cable segment generates approximately 95% of our consolidated revenues.</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Cable segment develops, manages and operates our broadband cable systems, including video, high-speed Internet and phone services.</w:t>
      </w:r>
    </w:p>
    <w:p>
      <w:pPr>
        <w:spacing w:after="0" w:line="122" w:lineRule="exact"/>
        <w:rPr>
          <w:sz w:val="20"/>
          <w:szCs w:val="20"/>
          <w:color w:val="auto"/>
        </w:rPr>
      </w:pPr>
    </w:p>
    <w:p>
      <w:pPr>
        <w:ind w:left="180" w:right="120" w:firstLine="264"/>
        <w:spacing w:after="0" w:line="264" w:lineRule="auto"/>
        <w:rPr>
          <w:sz w:val="20"/>
          <w:szCs w:val="20"/>
          <w:color w:val="auto"/>
        </w:rPr>
      </w:pPr>
      <w:r>
        <w:rPr>
          <w:rFonts w:ascii="Arial" w:cs="Arial" w:eastAsia="Arial" w:hAnsi="Arial"/>
          <w:sz w:val="18"/>
          <w:szCs w:val="18"/>
          <w:color w:val="auto"/>
        </w:rPr>
        <w:t>Our Content segment includes our six national cable networks: E! Entertainment Television, Style Network, The Golf Channel, Versus (formerly known as OLN), G4, and AZN Television.</w:t>
      </w:r>
    </w:p>
    <w:p>
      <w:pPr>
        <w:spacing w:after="0" w:line="74" w:lineRule="exact"/>
        <w:rPr>
          <w:sz w:val="20"/>
          <w:szCs w:val="20"/>
          <w:color w:val="auto"/>
        </w:rPr>
      </w:pPr>
    </w:p>
    <w:p>
      <w:pPr>
        <w:ind w:left="180" w:right="240" w:firstLine="264"/>
        <w:spacing w:after="0" w:line="264" w:lineRule="auto"/>
        <w:rPr>
          <w:sz w:val="20"/>
          <w:szCs w:val="20"/>
          <w:color w:val="auto"/>
        </w:rPr>
      </w:pPr>
      <w:r>
        <w:rPr>
          <w:rFonts w:ascii="Arial" w:cs="Arial" w:eastAsia="Arial" w:hAnsi="Arial"/>
          <w:sz w:val="18"/>
          <w:szCs w:val="18"/>
          <w:color w:val="auto"/>
        </w:rPr>
        <w:t>Our other business interests include Comcast Spectacor, which owns the Philadelphia Flyers, the Philadelphia 76ers and two large multipurpose arenas in Philadelphia, and manages other facilities for sporting events, concerts and other events.</w:t>
      </w:r>
    </w:p>
    <w:p>
      <w:pPr>
        <w:spacing w:after="0" w:line="74" w:lineRule="exact"/>
        <w:rPr>
          <w:sz w:val="20"/>
          <w:szCs w:val="20"/>
          <w:color w:val="auto"/>
        </w:rPr>
      </w:pPr>
    </w:p>
    <w:p>
      <w:pPr>
        <w:ind w:left="180" w:right="60" w:firstLine="264"/>
        <w:spacing w:after="0" w:line="25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84" w:lineRule="exact"/>
        <w:rPr>
          <w:sz w:val="20"/>
          <w:szCs w:val="20"/>
          <w:color w:val="auto"/>
        </w:rPr>
      </w:pPr>
    </w:p>
    <w:p>
      <w:pPr>
        <w:ind w:left="180" w:right="420" w:firstLine="264"/>
        <w:spacing w:after="0" w:line="364" w:lineRule="auto"/>
        <w:rPr>
          <w:sz w:val="20"/>
          <w:szCs w:val="20"/>
          <w:color w:val="auto"/>
        </w:rPr>
      </w:pPr>
      <w:r>
        <w:rPr>
          <w:rFonts w:ascii="Arial" w:cs="Arial" w:eastAsia="Arial" w:hAnsi="Arial"/>
          <w:sz w:val="15"/>
          <w:szCs w:val="15"/>
          <w:color w:val="auto"/>
        </w:rPr>
        <w:t>Our principal executive office is located at 1500 Market Street, Philadelphia, Pennsylvania 19102-2148. Our telephone number is (215) 665-1700. The address of our web site is www.comcast.com. The information on our web site is not part of this prospectus supplement or the accompanying prospectus.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Cable Guarantors</w:t>
      </w:r>
    </w:p>
    <w:p>
      <w:pPr>
        <w:spacing w:after="0" w:line="117" w:lineRule="exact"/>
        <w:rPr>
          <w:sz w:val="20"/>
          <w:szCs w:val="20"/>
          <w:color w:val="auto"/>
        </w:rPr>
      </w:pPr>
    </w:p>
    <w:p>
      <w:pPr>
        <w:ind w:left="180" w:firstLine="264"/>
        <w:spacing w:after="0" w:line="329" w:lineRule="auto"/>
        <w:rPr>
          <w:sz w:val="20"/>
          <w:szCs w:val="20"/>
          <w:color w:val="auto"/>
        </w:rPr>
      </w:pPr>
      <w:r>
        <w:rPr>
          <w:rFonts w:ascii="Arial" w:cs="Arial" w:eastAsia="Arial" w:hAnsi="Arial"/>
          <w:sz w:val="15"/>
          <w:szCs w:val="15"/>
          <w:color w:val="auto"/>
        </w:rPr>
        <w:t>Our obligations, including the payment of principal, premium, if any, and interest on the notes will be fully and unconditionally guaranteed by each of Comcast Cable Communications, LLC, Comcast Cable Communications Holdings, Inc., Comcast Cable Holdings, LLC, Comcast MO Group, Inc. and Comcast MO of Delaware, LLC. In this prospectus supplement, we refer to these guarantors as the cable guarantors and to these guarantees as the cable guarantees.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111" w:lineRule="exact"/>
        <w:rPr>
          <w:sz w:val="20"/>
          <w:szCs w:val="20"/>
          <w:color w:val="auto"/>
        </w:rPr>
      </w:pPr>
    </w:p>
    <w:p>
      <w:pPr>
        <w:ind w:left="640" w:right="480" w:hanging="118"/>
        <w:spacing w:after="0" w:line="264"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87" w:lineRule="exact"/>
        <w:rPr>
          <w:rFonts w:ascii="Arial" w:cs="Arial" w:eastAsia="Arial" w:hAnsi="Arial"/>
          <w:sz w:val="18"/>
          <w:szCs w:val="18"/>
          <w:color w:val="auto"/>
        </w:rPr>
      </w:pPr>
    </w:p>
    <w:p>
      <w:pPr>
        <w:ind w:left="640" w:hanging="118"/>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cable guarantor.</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cable guarantor’s principal place of business is 1500 Market Street, Philadelphia, Pennsylvania 19102-2148.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252095</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00"/>
          </w:cols>
          <w:pgMar w:left="240" w:top="413" w:right="1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704"/>
        </w:trPr>
        <w:tc>
          <w:tcPr>
            <w:tcW w:w="2820" w:type="dxa"/>
            <w:vAlign w:val="bottom"/>
            <w:tcBorders>
              <w:top w:val="single" w:sz="8" w:color="auto"/>
              <w:left w:val="single" w:sz="8" w:color="auto"/>
            </w:tcBorders>
          </w:tcPr>
          <w:p>
            <w:pPr>
              <w:spacing w:after="0"/>
              <w:rPr>
                <w:sz w:val="24"/>
                <w:szCs w:val="24"/>
                <w:color w:val="auto"/>
              </w:rPr>
            </w:pPr>
          </w:p>
        </w:tc>
        <w:tc>
          <w:tcPr>
            <w:tcW w:w="8700" w:type="dxa"/>
            <w:vAlign w:val="bottom"/>
            <w:tcBorders>
              <w:top w:val="single" w:sz="8" w:color="auto"/>
            </w:tcBorders>
            <w:gridSpan w:val="2"/>
          </w:tcPr>
          <w:p>
            <w:pPr>
              <w:ind w:left="2580"/>
              <w:spacing w:after="0"/>
              <w:rPr>
                <w:sz w:val="20"/>
                <w:szCs w:val="20"/>
                <w:color w:val="auto"/>
              </w:rPr>
            </w:pPr>
            <w:r>
              <w:rPr>
                <w:rFonts w:ascii="Arial" w:cs="Arial" w:eastAsia="Arial" w:hAnsi="Arial"/>
                <w:sz w:val="18"/>
                <w:szCs w:val="18"/>
                <w:b w:val="1"/>
                <w:bCs w:val="1"/>
                <w:color w:val="auto"/>
              </w:rPr>
              <w:t>The Offering</w:t>
            </w:r>
          </w:p>
        </w:tc>
      </w:tr>
      <w:tr>
        <w:trPr>
          <w:trHeight w:val="437"/>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Issuer</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Comcast Corporation.</w:t>
            </w:r>
          </w:p>
        </w:tc>
      </w:tr>
      <w:tr>
        <w:trPr>
          <w:trHeight w:val="423"/>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Securities Offered</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$900,000,000 aggregate principal amount of 5.875% Notes due 2018.</w:t>
            </w:r>
          </w:p>
        </w:tc>
      </w:tr>
      <w:tr>
        <w:trPr>
          <w:trHeight w:val="412"/>
        </w:trPr>
        <w:tc>
          <w:tcPr>
            <w:tcW w:w="2820" w:type="dxa"/>
            <w:vAlign w:val="bottom"/>
            <w:tcBorders>
              <w:left w:val="single" w:sz="8" w:color="auto"/>
            </w:tcBorders>
          </w:tcPr>
          <w:p>
            <w:pPr>
              <w:spacing w:after="0"/>
              <w:rPr>
                <w:sz w:val="24"/>
                <w:szCs w:val="24"/>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89"/>
              </w:rPr>
              <w:t>$600,000,000 aggregate principal amount of 6.45% Notes due 2037. There are $1,250,000,000 aggregate</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1"/>
              </w:rPr>
              <w:t>principal amount of notes due 2037 already outstanding. The notes due 2037 offered by this prospectus</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0"/>
              </w:rPr>
              <w:t>constitute “additional notes” under the indenture governing the notes and, together with the existing notes</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due 2037, will be treated as a single class for all purposes under the indenture.</w:t>
            </w:r>
          </w:p>
        </w:tc>
      </w:tr>
      <w:tr>
        <w:trPr>
          <w:trHeight w:val="423"/>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Maturity</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The notes due 2018 will mature on February 15, 2018.</w:t>
            </w:r>
          </w:p>
        </w:tc>
      </w:tr>
      <w:tr>
        <w:trPr>
          <w:trHeight w:val="423"/>
        </w:trPr>
        <w:tc>
          <w:tcPr>
            <w:tcW w:w="2820" w:type="dxa"/>
            <w:vAlign w:val="bottom"/>
            <w:tcBorders>
              <w:left w:val="single" w:sz="8" w:color="auto"/>
            </w:tcBorders>
          </w:tcPr>
          <w:p>
            <w:pPr>
              <w:spacing w:after="0"/>
              <w:rPr>
                <w:sz w:val="24"/>
                <w:szCs w:val="24"/>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The notes due 2037 will mature on March 15, 2037.</w:t>
            </w:r>
          </w:p>
        </w:tc>
      </w:tr>
      <w:tr>
        <w:trPr>
          <w:trHeight w:val="412"/>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Interest</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89"/>
              </w:rPr>
              <w:t>Interest on the notes due 2018 will accrue at the rate of 5.875% per year, payable semi-annually in cash in</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88"/>
              </w:rPr>
              <w:t>arrears on February 15 and August 15, beginning on February 15, 2007. Interest on the notes due 2037 will</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2"/>
              </w:rPr>
              <w:t>accrue at the rate of 6.45% per year, payable semi-annually in arrears on March 15 and September 15</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beginning on March 15, 2007.</w:t>
            </w:r>
          </w:p>
        </w:tc>
      </w:tr>
      <w:tr>
        <w:trPr>
          <w:trHeight w:val="412"/>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Ranking</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The notes will be unsecured and will rank equally with all of our unsecured and unsubordinated</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indebtedness.</w:t>
            </w:r>
          </w:p>
        </w:tc>
      </w:tr>
      <w:tr>
        <w:trPr>
          <w:trHeight w:val="412"/>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Cable Guarantors</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1"/>
              </w:rPr>
              <w:t>Comcast Cable Communications, LLC, Comcast Cable Communications Holdings, Inc., Comcast Cable</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Holdings, LLC, Comcast MO Group, Inc. and Comcast MO of Delaware, LLC.</w:t>
            </w:r>
          </w:p>
        </w:tc>
      </w:tr>
      <w:tr>
        <w:trPr>
          <w:trHeight w:val="412"/>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Cable Guarantees</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0"/>
              </w:rPr>
              <w:t>The cable guarantors will fully and unconditionally guarantee the notes, including the payment of principal</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0"/>
              </w:rPr>
              <w:t>premium, if any, and interest. The cable guarantees will rank equally with all other general unsecured and</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unsubordinated obligations of the cable guarantors.</w:t>
            </w:r>
          </w:p>
        </w:tc>
      </w:tr>
      <w:tr>
        <w:trPr>
          <w:trHeight w:val="423"/>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7"/>
              </w:rPr>
              <w:t>We may redeem all or part of the notes at our option at a redemption price equal to the greater of:</w:t>
            </w:r>
          </w:p>
        </w:tc>
      </w:tr>
      <w:tr>
        <w:trPr>
          <w:trHeight w:val="423"/>
        </w:trPr>
        <w:tc>
          <w:tcPr>
            <w:tcW w:w="2820" w:type="dxa"/>
            <w:vAlign w:val="bottom"/>
            <w:tcBorders>
              <w:left w:val="single" w:sz="8" w:color="auto"/>
            </w:tcBorders>
          </w:tcPr>
          <w:p>
            <w:pPr>
              <w:spacing w:after="0"/>
              <w:rPr>
                <w:sz w:val="24"/>
                <w:szCs w:val="24"/>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 100% of the principal amount of the notes being redeemed; and</w:t>
            </w:r>
          </w:p>
        </w:tc>
      </w:tr>
      <w:tr>
        <w:trPr>
          <w:trHeight w:val="412"/>
        </w:trPr>
        <w:tc>
          <w:tcPr>
            <w:tcW w:w="2820" w:type="dxa"/>
            <w:vAlign w:val="bottom"/>
            <w:tcBorders>
              <w:left w:val="single" w:sz="8" w:color="auto"/>
            </w:tcBorders>
          </w:tcPr>
          <w:p>
            <w:pPr>
              <w:spacing w:after="0"/>
              <w:rPr>
                <w:sz w:val="24"/>
                <w:szCs w:val="24"/>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6"/>
              </w:rPr>
              <w:t>• the Make-Whole Amount, as defined in “Description of the Notes — Optional Redemption” in this</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5"/>
              </w:rPr>
              <w:t>prospectus supplement for the notes being redeemed; plus accrued interest to the redemption date.</w:t>
            </w:r>
          </w:p>
        </w:tc>
      </w:tr>
      <w:tr>
        <w:trPr>
          <w:trHeight w:val="412"/>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88"/>
              </w:rPr>
              <w:t>We intend to use the proceeds from this offering, after deducting fees and expenses related to this offering,</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4"/>
              </w:rPr>
              <w:t>for working capital and general corporate purposes, including for the repayment of commercial paper</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2"/>
              </w:rPr>
              <w:t>obligations; provided however, we may use a portion of the proceeds to purchase the remaining 39.5%</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interest in E! Entertainment Television that we do not currently own should such acquisition be</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1"/>
              </w:rPr>
              <w:t>consummated. As of September 30, 2006, our indebtedness, excluding the derivative component for our</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89"/>
              </w:rPr>
              <w:t>indexed debt instruments whose changes in fair value are recorded to investment income (loss), net, had a</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weighted average annual interest rate of 7.16% and an average maturity date in 2020.</w:t>
            </w:r>
          </w:p>
        </w:tc>
      </w:tr>
      <w:tr>
        <w:trPr>
          <w:trHeight w:val="412"/>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Book Entry</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1"/>
              </w:rPr>
              <w:t>The notes will be issued in book-entry form and will be represented by global notes deposited with, or on</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0"/>
              </w:rPr>
              <w:t>behalf of, DTC and registered in the name of DTC or its nominees. Beneficial interests in any of the notes</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1"/>
              </w:rPr>
              <w:t>will be shown on, and transfers will be effected only through, records maintained by DTC or its nominee,</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88"/>
              </w:rPr>
              <w:t>and these beneficial interests may not be exchanged for certificated notes, except in limited circumstances.</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See “Description of the Notes — Book- Entry System” in this prospectus supplement.</w:t>
            </w:r>
          </w:p>
        </w:tc>
      </w:tr>
      <w:tr>
        <w:trPr>
          <w:trHeight w:val="156"/>
        </w:trPr>
        <w:tc>
          <w:tcPr>
            <w:tcW w:w="2820" w:type="dxa"/>
            <w:vAlign w:val="bottom"/>
            <w:tcBorders>
              <w:left w:val="single" w:sz="8" w:color="auto"/>
              <w:bottom w:val="single" w:sz="8" w:color="auto"/>
            </w:tcBorders>
          </w:tcPr>
          <w:p>
            <w:pPr>
              <w:spacing w:after="0"/>
              <w:rPr>
                <w:sz w:val="13"/>
                <w:szCs w:val="13"/>
                <w:color w:val="auto"/>
              </w:rPr>
            </w:pPr>
          </w:p>
        </w:tc>
        <w:tc>
          <w:tcPr>
            <w:tcW w:w="8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393"/>
        </w:trPr>
        <w:tc>
          <w:tcPr>
            <w:tcW w:w="2820" w:type="dxa"/>
            <w:vAlign w:val="bottom"/>
          </w:tcPr>
          <w:p>
            <w:pPr>
              <w:spacing w:after="0"/>
              <w:rPr>
                <w:sz w:val="24"/>
                <w:szCs w:val="24"/>
                <w:color w:val="auto"/>
              </w:rPr>
            </w:pPr>
          </w:p>
        </w:tc>
        <w:tc>
          <w:tcPr>
            <w:tcW w:w="8700" w:type="dxa"/>
            <w:vAlign w:val="bottom"/>
            <w:gridSpan w:val="2"/>
          </w:tcPr>
          <w:p>
            <w:pPr>
              <w:ind w:left="2780"/>
              <w:spacing w:after="0"/>
              <w:rPr>
                <w:sz w:val="20"/>
                <w:szCs w:val="20"/>
                <w:color w:val="auto"/>
              </w:rPr>
            </w:pPr>
            <w:r>
              <w:rPr>
                <w:rFonts w:ascii="Arial" w:cs="Arial" w:eastAsia="Arial" w:hAnsi="Arial"/>
                <w:sz w:val="18"/>
                <w:szCs w:val="18"/>
                <w:color w:val="auto"/>
              </w:rPr>
              <w:t>S-2</w:t>
            </w:r>
          </w:p>
        </w:tc>
      </w:tr>
      <w:tr>
        <w:trPr>
          <w:trHeight w:val="222"/>
        </w:trPr>
        <w:tc>
          <w:tcPr>
            <w:tcW w:w="2820" w:type="dxa"/>
            <w:vAlign w:val="bottom"/>
            <w:tcBorders>
              <w:bottom w:val="single" w:sz="8" w:color="808080"/>
            </w:tcBorders>
          </w:tcPr>
          <w:p>
            <w:pPr>
              <w:spacing w:after="0"/>
              <w:rPr>
                <w:sz w:val="19"/>
                <w:szCs w:val="19"/>
                <w:color w:val="auto"/>
              </w:rPr>
            </w:pPr>
          </w:p>
        </w:tc>
        <w:tc>
          <w:tcPr>
            <w:tcW w:w="860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-7242175</wp:posOffset>
            </wp:positionV>
            <wp:extent cx="7202170" cy="134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2170" cy="13462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17" w:lineRule="exact"/>
        <w:rPr>
          <w:sz w:val="20"/>
          <w:szCs w:val="20"/>
          <w:color w:val="auto"/>
        </w:rPr>
      </w:pPr>
    </w:p>
    <w:p>
      <w:pPr>
        <w:ind w:right="280" w:firstLine="261"/>
        <w:spacing w:after="0" w:line="268" w:lineRule="auto"/>
        <w:rPr>
          <w:sz w:val="20"/>
          <w:szCs w:val="20"/>
          <w:color w:val="auto"/>
        </w:rPr>
      </w:pPr>
      <w:r>
        <w:rPr>
          <w:rFonts w:ascii="Arial" w:cs="Arial" w:eastAsia="Arial" w:hAnsi="Arial"/>
          <w:sz w:val="17"/>
          <w:szCs w:val="17"/>
          <w:color w:val="auto"/>
        </w:rPr>
        <w:t>We intend to use the proceeds from this offering, after deducting fees and expenses related to this offering, for working capital and general corporate purposes, including for the repayment of commercial paper obligations; provided however, we may use a portion of the proceeds to purchase the remaining 39.5% interest in E! Entertainment Television that we do not currently own should such acquisition be consummated. As of September 30, 2006, our indebtedness, excluding the derivative component for our indexed debt instruments whose changes in fair value are recorded to investment income (loss), net, had a weighted average annual interest rate of 7.16% and an average maturity date in 2020.</w:t>
      </w:r>
    </w:p>
    <w:p>
      <w:pPr>
        <w:spacing w:after="0" w:line="278" w:lineRule="exact"/>
        <w:rPr>
          <w:sz w:val="20"/>
          <w:szCs w:val="20"/>
          <w:color w:val="auto"/>
        </w:rPr>
      </w:pPr>
    </w:p>
    <w:p>
      <w:pPr>
        <w:ind w:left="280" w:right="3880" w:firstLine="3627"/>
        <w:spacing w:after="0" w:line="395" w:lineRule="auto"/>
        <w:rPr>
          <w:sz w:val="20"/>
          <w:szCs w:val="20"/>
          <w:color w:val="auto"/>
        </w:rPr>
      </w:pPr>
      <w:r>
        <w:rPr>
          <w:rFonts w:ascii="Arial" w:cs="Arial" w:eastAsia="Arial" w:hAnsi="Arial"/>
          <w:sz w:val="17"/>
          <w:szCs w:val="17"/>
          <w:b w:val="1"/>
          <w:bCs w:val="1"/>
          <w:color w:val="auto"/>
        </w:rPr>
        <w:t xml:space="preserve">RATIO OF EARNINGS TO FIXED CHARGES </w:t>
      </w:r>
      <w:r>
        <w:rPr>
          <w:rFonts w:ascii="Arial" w:cs="Arial" w:eastAsia="Arial" w:hAnsi="Arial"/>
          <w:sz w:val="17"/>
          <w:szCs w:val="17"/>
          <w:color w:val="auto"/>
        </w:rPr>
        <w:t>Our ratio of earnings to fixed charges was as follows for the respective periods indicated:</w:t>
      </w:r>
    </w:p>
    <w:tbl>
      <w:tblPr>
        <w:tblLayout w:type="fixed"/>
        <w:tblInd w:w="0" w:type="dxa"/>
        <w:tblCellMar>
          <w:top w:w="0" w:type="dxa"/>
          <w:left w:w="0" w:type="dxa"/>
          <w:bottom w:w="0" w:type="dxa"/>
          <w:right w:w="0" w:type="dxa"/>
        </w:tblCellMar>
      </w:tblPr>
      <w:tr>
        <w:trPr>
          <w:trHeight w:val="146"/>
        </w:trPr>
        <w:tc>
          <w:tcPr>
            <w:tcW w:w="1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8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46"/>
        </w:trPr>
        <w:tc>
          <w:tcPr>
            <w:tcW w:w="1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8"/>
        </w:trPr>
        <w:tc>
          <w:tcPr>
            <w:tcW w:w="1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52"/>
        </w:trPr>
        <w:tc>
          <w:tcPr>
            <w:tcW w:w="1600" w:type="dxa"/>
            <w:vAlign w:val="bottom"/>
          </w:tcPr>
          <w:p>
            <w:pPr>
              <w:jc w:val="right"/>
              <w:ind w:right="581"/>
              <w:spacing w:after="0" w:line="152" w:lineRule="exact"/>
              <w:rPr>
                <w:sz w:val="20"/>
                <w:szCs w:val="20"/>
                <w:color w:val="auto"/>
              </w:rPr>
            </w:pPr>
            <w:r>
              <w:rPr>
                <w:rFonts w:ascii="Arial" w:cs="Arial" w:eastAsia="Arial" w:hAnsi="Arial"/>
                <w:sz w:val="14"/>
                <w:szCs w:val="14"/>
                <w:b w:val="1"/>
                <w:bCs w:val="1"/>
                <w:color w:val="auto"/>
              </w:rPr>
              <w:t>2001</w:t>
            </w:r>
          </w:p>
        </w:tc>
        <w:tc>
          <w:tcPr>
            <w:tcW w:w="1600" w:type="dxa"/>
            <w:vAlign w:val="bottom"/>
            <w:gridSpan w:val="2"/>
          </w:tcPr>
          <w:p>
            <w:pPr>
              <w:jc w:val="right"/>
              <w:ind w:right="392"/>
              <w:spacing w:after="0" w:line="152" w:lineRule="exact"/>
              <w:rPr>
                <w:sz w:val="20"/>
                <w:szCs w:val="20"/>
                <w:color w:val="auto"/>
              </w:rPr>
            </w:pPr>
            <w:r>
              <w:rPr>
                <w:rFonts w:ascii="Arial" w:cs="Arial" w:eastAsia="Arial" w:hAnsi="Arial"/>
                <w:sz w:val="14"/>
                <w:szCs w:val="14"/>
                <w:b w:val="1"/>
                <w:bCs w:val="1"/>
                <w:color w:val="auto"/>
              </w:rPr>
              <w:t>2002</w:t>
            </w:r>
          </w:p>
        </w:tc>
        <w:tc>
          <w:tcPr>
            <w:tcW w:w="1600" w:type="dxa"/>
            <w:vAlign w:val="bottom"/>
            <w:gridSpan w:val="2"/>
          </w:tcPr>
          <w:p>
            <w:pPr>
              <w:jc w:val="right"/>
              <w:ind w:right="392"/>
              <w:spacing w:after="0" w:line="152" w:lineRule="exact"/>
              <w:rPr>
                <w:sz w:val="20"/>
                <w:szCs w:val="20"/>
                <w:color w:val="auto"/>
              </w:rPr>
            </w:pPr>
            <w:r>
              <w:rPr>
                <w:rFonts w:ascii="Arial" w:cs="Arial" w:eastAsia="Arial" w:hAnsi="Arial"/>
                <w:sz w:val="14"/>
                <w:szCs w:val="14"/>
                <w:b w:val="1"/>
                <w:bCs w:val="1"/>
                <w:color w:val="auto"/>
              </w:rPr>
              <w:t>2003</w:t>
            </w:r>
          </w:p>
        </w:tc>
        <w:tc>
          <w:tcPr>
            <w:tcW w:w="1600" w:type="dxa"/>
            <w:vAlign w:val="bottom"/>
            <w:gridSpan w:val="2"/>
          </w:tcPr>
          <w:p>
            <w:pPr>
              <w:jc w:val="right"/>
              <w:ind w:right="392"/>
              <w:spacing w:after="0" w:line="152" w:lineRule="exact"/>
              <w:rPr>
                <w:sz w:val="20"/>
                <w:szCs w:val="20"/>
                <w:color w:val="auto"/>
              </w:rPr>
            </w:pPr>
            <w:r>
              <w:rPr>
                <w:rFonts w:ascii="Arial" w:cs="Arial" w:eastAsia="Arial" w:hAnsi="Arial"/>
                <w:sz w:val="14"/>
                <w:szCs w:val="14"/>
                <w:b w:val="1"/>
                <w:bCs w:val="1"/>
                <w:color w:val="auto"/>
              </w:rPr>
              <w:t>2004</w:t>
            </w:r>
          </w:p>
        </w:tc>
        <w:tc>
          <w:tcPr>
            <w:tcW w:w="1600" w:type="dxa"/>
            <w:vAlign w:val="bottom"/>
            <w:gridSpan w:val="2"/>
          </w:tcPr>
          <w:p>
            <w:pPr>
              <w:jc w:val="right"/>
              <w:ind w:right="392"/>
              <w:spacing w:after="0" w:line="152" w:lineRule="exact"/>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3"/>
                <w:szCs w:val="13"/>
                <w:color w:val="auto"/>
              </w:rPr>
            </w:pPr>
          </w:p>
        </w:tc>
        <w:tc>
          <w:tcPr>
            <w:tcW w:w="3080" w:type="dxa"/>
            <w:vAlign w:val="bottom"/>
          </w:tcPr>
          <w:p>
            <w:pPr>
              <w:jc w:val="right"/>
              <w:ind w:right="1326"/>
              <w:spacing w:after="0" w:line="15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7"/>
        </w:trPr>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1.33x</w:t>
            </w:r>
          </w:p>
        </w:tc>
        <w:tc>
          <w:tcPr>
            <w:tcW w:w="36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36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36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1.97x</w:t>
            </w:r>
          </w:p>
        </w:tc>
        <w:tc>
          <w:tcPr>
            <w:tcW w:w="36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2.01x</w:t>
            </w:r>
          </w:p>
        </w:tc>
        <w:tc>
          <w:tcPr>
            <w:tcW w:w="340" w:type="dxa"/>
            <w:vAlign w:val="bottom"/>
          </w:tcPr>
          <w:p>
            <w:pPr>
              <w:spacing w:after="0"/>
              <w:rPr>
                <w:sz w:val="18"/>
                <w:szCs w:val="18"/>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3.71x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13017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67" w:lineRule="exact"/>
        <w:rPr>
          <w:sz w:val="20"/>
          <w:szCs w:val="20"/>
          <w:color w:val="auto"/>
        </w:rPr>
      </w:pPr>
    </w:p>
    <w:p>
      <w:pPr>
        <w:ind w:left="460" w:hanging="454"/>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the years ended December 31, 2003 and 2002, we had a $76 million and $490 million deficiency, respectively, of earnings to fixed charges.</w:t>
      </w:r>
    </w:p>
    <w:p>
      <w:pPr>
        <w:spacing w:after="0" w:line="122" w:lineRule="exact"/>
        <w:rPr>
          <w:sz w:val="20"/>
          <w:szCs w:val="20"/>
          <w:color w:val="auto"/>
        </w:rPr>
      </w:pPr>
    </w:p>
    <w:p>
      <w:pPr>
        <w:ind w:right="240" w:firstLine="264"/>
        <w:spacing w:after="0" w:line="297" w:lineRule="auto"/>
        <w:rPr>
          <w:sz w:val="20"/>
          <w:szCs w:val="20"/>
          <w:color w:val="auto"/>
        </w:rPr>
      </w:pPr>
      <w:r>
        <w:rPr>
          <w:rFonts w:ascii="Arial" w:cs="Arial" w:eastAsia="Arial" w:hAnsi="Arial"/>
          <w:sz w:val="15"/>
          <w:szCs w:val="15"/>
          <w:color w:val="auto"/>
        </w:rPr>
        <w:t>For purposes of calculating the ratio of earnings to fixed charges, earnings is the amount resulting from (1) adding (a) pretax income from continuing operations before adjustment for minority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 (w) interest expensed and capitalized,</w:t>
      </w:r>
    </w:p>
    <w:p>
      <w:pPr>
        <w:spacing w:after="0" w:line="3" w:lineRule="exact"/>
        <w:rPr>
          <w:sz w:val="20"/>
          <w:szCs w:val="20"/>
          <w:color w:val="auto"/>
        </w:rPr>
      </w:pPr>
    </w:p>
    <w:p>
      <w:pPr>
        <w:ind w:firstLine="6"/>
        <w:spacing w:after="0" w:line="248" w:lineRule="auto"/>
        <w:tabs>
          <w:tab w:leader="none" w:pos="25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NOTES</w:t>
      </w:r>
    </w:p>
    <w:p>
      <w:pPr>
        <w:spacing w:after="0" w:line="117" w:lineRule="exact"/>
        <w:rPr>
          <w:sz w:val="20"/>
          <w:szCs w:val="20"/>
          <w:color w:val="auto"/>
        </w:rPr>
      </w:pPr>
    </w:p>
    <w:p>
      <w:pPr>
        <w:ind w:right="40" w:firstLine="261"/>
        <w:spacing w:after="0" w:line="302" w:lineRule="auto"/>
        <w:rPr>
          <w:sz w:val="20"/>
          <w:szCs w:val="20"/>
          <w:color w:val="auto"/>
        </w:rPr>
      </w:pPr>
      <w:r>
        <w:rPr>
          <w:rFonts w:ascii="Arial" w:cs="Arial" w:eastAsia="Arial" w:hAnsi="Arial"/>
          <w:sz w:val="15"/>
          <w:szCs w:val="15"/>
          <w:color w:val="auto"/>
        </w:rPr>
        <w:t>We are offering $900,000,000 aggregate principal amount of our 5.875% due 2018 and $600,000,000 aggregate principal amount of our 6.45% notes due 2037. The notes due 2018 and notes due 2037 will each be a separate series of securities issued under an indenture, dated as of January 7, 2003 and amended as of March 25, 2003, among us, the cable guarantors and The Bank of New York, as trustee. The notes will be our direct unsecured and unsubordinated obligations and will be fully and unconditionally guaranteed by Comcast Cable Communications, LLC, Comcast Cable Communications Holdings, Inc., Comcast Cable Holdings, LLC, Comcast MO Group, Inc. and Comcast MO of Delaware, LLC, referred to as the cable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There are $1,250,000,000 aggregate principal amount of notes due 2037 already outstanding. The notes due 2037 offered by this prospectus constitute “additional notes” under the indenture governing the notes and, together with the existing notes due 2037 will be treated as a single class for all purposes under the indenture. Copies of the indenture and the form of notes are available from us upon request.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80" w:firstLine="261"/>
        <w:spacing w:after="0" w:line="254"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Cable Guarantees,” is a summary of the material provisions of the indenture, the notes and the cable guarantees. Because this is a summary, it may not contain all the information that is important to you. For further information, you should read the notes and the indenture.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the Notes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notes:</w:t>
      </w:r>
    </w:p>
    <w:p>
      <w:pPr>
        <w:spacing w:after="0" w:line="111" w:lineRule="exact"/>
        <w:rPr>
          <w:sz w:val="20"/>
          <w:szCs w:val="20"/>
          <w:color w:val="auto"/>
        </w:rPr>
      </w:pPr>
    </w:p>
    <w:p>
      <w:pPr>
        <w:ind w:left="460" w:hanging="110"/>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will rank equally with all of our other unsecured and unsubordinated debt and will be entitled to the benefits of the cable guarantees described below;</w:t>
      </w:r>
    </w:p>
    <w:p>
      <w:pPr>
        <w:spacing w:after="0" w:line="158" w:lineRule="exact"/>
        <w:rPr>
          <w:rFonts w:ascii="Arial" w:cs="Arial" w:eastAsia="Arial" w:hAnsi="Arial"/>
          <w:sz w:val="15"/>
          <w:szCs w:val="15"/>
          <w:color w:val="auto"/>
        </w:rPr>
      </w:pPr>
    </w:p>
    <w:p>
      <w:pPr>
        <w:ind w:left="460" w:hanging="110"/>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$1,500,000,000, comprised as follows:</w:t>
      </w:r>
    </w:p>
    <w:p>
      <w:pPr>
        <w:spacing w:after="0" w:line="110" w:lineRule="exact"/>
        <w:rPr>
          <w:rFonts w:ascii="Arial" w:cs="Arial" w:eastAsia="Arial" w:hAnsi="Arial"/>
          <w:sz w:val="18"/>
          <w:szCs w:val="18"/>
          <w:color w:val="auto"/>
        </w:rPr>
      </w:pPr>
    </w:p>
    <w:p>
      <w:pPr>
        <w:ind w:left="820" w:right="240" w:hanging="126"/>
        <w:spacing w:after="0" w:line="364" w:lineRule="auto"/>
        <w:tabs>
          <w:tab w:leader="none" w:pos="820" w:val="left"/>
        </w:tabs>
        <w:numPr>
          <w:ilvl w:val="1"/>
          <w:numId w:val="5"/>
        </w:numPr>
        <w:rPr>
          <w:rFonts w:ascii="Arial" w:cs="Arial" w:eastAsia="Arial" w:hAnsi="Arial"/>
          <w:sz w:val="15"/>
          <w:szCs w:val="15"/>
          <w:color w:val="auto"/>
        </w:rPr>
      </w:pPr>
      <w:r>
        <w:rPr>
          <w:rFonts w:ascii="Arial" w:cs="Arial" w:eastAsia="Arial" w:hAnsi="Arial"/>
          <w:sz w:val="15"/>
          <w:szCs w:val="15"/>
          <w:color w:val="auto"/>
        </w:rPr>
        <w:t>$900,000,000 initial aggregate principal amount of 5.875% Notes due 2018 maturing on February 15, 2018, with interest payable semiannually on each February 15 and August 15, beginning February 15, 2007, to holders of record on the preceding February 1 and August 1;</w:t>
      </w:r>
    </w:p>
    <w:p>
      <w:pPr>
        <w:spacing w:after="0" w:line="19" w:lineRule="exact"/>
        <w:rPr>
          <w:rFonts w:ascii="Arial" w:cs="Arial" w:eastAsia="Arial" w:hAnsi="Arial"/>
          <w:sz w:val="15"/>
          <w:szCs w:val="15"/>
          <w:color w:val="auto"/>
        </w:rPr>
      </w:pPr>
    </w:p>
    <w:p>
      <w:pPr>
        <w:ind w:left="820" w:right="560" w:hanging="126"/>
        <w:spacing w:after="0" w:line="329" w:lineRule="auto"/>
        <w:tabs>
          <w:tab w:leader="none" w:pos="820" w:val="left"/>
        </w:tabs>
        <w:numPr>
          <w:ilvl w:val="1"/>
          <w:numId w:val="5"/>
        </w:numPr>
        <w:rPr>
          <w:rFonts w:ascii="Arial" w:cs="Arial" w:eastAsia="Arial" w:hAnsi="Arial"/>
          <w:sz w:val="15"/>
          <w:szCs w:val="15"/>
          <w:color w:val="auto"/>
        </w:rPr>
      </w:pPr>
      <w:r>
        <w:rPr>
          <w:rFonts w:ascii="Arial" w:cs="Arial" w:eastAsia="Arial" w:hAnsi="Arial"/>
          <w:sz w:val="15"/>
          <w:szCs w:val="15"/>
          <w:color w:val="auto"/>
        </w:rPr>
        <w:t>$600,000,000 initial aggregate principal amount of 6.45% Notes due 2037 (which will form a single series with the $1,250,000,000 aggregate principal amount of 6.45% Notes due 2037 already outstanding), maturing on March 15, 2037, with interest payable semiannually on each September 15 and March 15, beginning September 15, 2007, to holders of record on the preceding September 1 and March 1; and</w:t>
      </w:r>
    </w:p>
    <w:p>
      <w:pPr>
        <w:spacing w:after="0" w:line="31" w:lineRule="exact"/>
        <w:rPr>
          <w:rFonts w:ascii="Arial" w:cs="Arial" w:eastAsia="Arial" w:hAnsi="Arial"/>
          <w:sz w:val="15"/>
          <w:szCs w:val="15"/>
          <w:color w:val="auto"/>
        </w:rPr>
      </w:pPr>
    </w:p>
    <w:p>
      <w:pPr>
        <w:ind w:left="460" w:hanging="110"/>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$1,000 and multiples thereof.</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117" w:lineRule="exact"/>
        <w:rPr>
          <w:sz w:val="20"/>
          <w:szCs w:val="20"/>
          <w:color w:val="auto"/>
        </w:rPr>
      </w:pPr>
    </w:p>
    <w:p>
      <w:pPr>
        <w:ind w:right="20" w:firstLine="264"/>
        <w:spacing w:after="0" w:line="254" w:lineRule="auto"/>
        <w:rPr>
          <w:sz w:val="20"/>
          <w:szCs w:val="20"/>
          <w:color w:val="auto"/>
        </w:rPr>
      </w:pPr>
      <w:r>
        <w:rPr>
          <w:rFonts w:ascii="Arial" w:cs="Arial" w:eastAsia="Arial" w:hAnsi="Arial"/>
          <w:sz w:val="18"/>
          <w:szCs w:val="18"/>
          <w:color w:val="auto"/>
        </w:rPr>
        <w:t>Interest on the notes will be computed on the basis of a 360-day year consisting of twelve 30-day months. Interest on the notes will accrue from (i) the earlier of November 17, 2006 and the date of original issuance, or (ii) from the most recent interest payment date to which interest has been paid, and will be payable semiannually on interest payment dates described for each year.</w:t>
      </w:r>
    </w:p>
    <w:p>
      <w:pPr>
        <w:spacing w:after="0" w:line="8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 more information on payment and transfer procedures for the notes, see “— Book-Entry System” below.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Guarantees</w:t>
      </w:r>
    </w:p>
    <w:p>
      <w:pPr>
        <w:spacing w:after="0" w:line="117" w:lineRule="exact"/>
        <w:rPr>
          <w:sz w:val="20"/>
          <w:szCs w:val="20"/>
          <w:color w:val="auto"/>
        </w:rPr>
      </w:pPr>
    </w:p>
    <w:p>
      <w:pPr>
        <w:ind w:right="700" w:firstLine="264"/>
        <w:spacing w:after="0" w:line="264"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cable guarantors as described in the accompanying prospectus.</w:t>
      </w:r>
    </w:p>
    <w:p>
      <w:pPr>
        <w:spacing w:after="0" w:line="74" w:lineRule="exact"/>
        <w:rPr>
          <w:sz w:val="20"/>
          <w:szCs w:val="20"/>
          <w:color w:val="auto"/>
        </w:rPr>
      </w:pPr>
    </w:p>
    <w:p>
      <w:pPr>
        <w:ind w:right="140" w:firstLine="261"/>
        <w:spacing w:after="0" w:line="254" w:lineRule="auto"/>
        <w:rPr>
          <w:sz w:val="20"/>
          <w:szCs w:val="20"/>
          <w:color w:val="auto"/>
        </w:rPr>
      </w:pPr>
      <w:r>
        <w:rPr>
          <w:rFonts w:ascii="Arial" w:cs="Arial" w:eastAsia="Arial" w:hAnsi="Arial"/>
          <w:sz w:val="18"/>
          <w:szCs w:val="18"/>
          <w:color w:val="auto"/>
        </w:rPr>
        <w:t>The cable guarantees will not contain any restrictions on the ability of any cable guarantor to (i) pay dividends or distributions on, or redeem, purchase, acquire, or make a liquidation payment with respect to, any of that cable guarantor’s capital stock or (ii) make any payment of principal, interest or premium, if any, on or repay, repurchase or redeem any debt securities of that cable guarantor.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17" w:lineRule="exact"/>
        <w:rPr>
          <w:sz w:val="20"/>
          <w:szCs w:val="20"/>
          <w:color w:val="auto"/>
        </w:rPr>
      </w:pPr>
    </w:p>
    <w:p>
      <w:pPr>
        <w:ind w:firstLine="261"/>
        <w:spacing w:after="0" w:line="248" w:lineRule="auto"/>
        <w:rPr>
          <w:sz w:val="20"/>
          <w:szCs w:val="20"/>
          <w:color w:val="auto"/>
        </w:rPr>
      </w:pPr>
      <w:r>
        <w:rPr>
          <w:rFonts w:ascii="Arial" w:cs="Arial" w:eastAsia="Arial" w:hAnsi="Arial"/>
          <w:sz w:val="18"/>
          <w:szCs w:val="18"/>
          <w:color w:val="auto"/>
        </w:rPr>
        <w:t>We will have the right at our option to redeem any of the notes in whole or in part, at any time or from time to time prior to their maturity, on at least 30 days, but not more than 60 days, prior notice mailed to the registered address of each holder of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the Treasury Rate plus 20 basis points for the notes due in 2018 (the “2018 Make-Whole Amount”), and 25 basis points for the notes due in 2037 (the “2037 Make-Whole Amount” and, together with the 2018 Make-Whole Amount, a “Make-Whole Amount”), plus, in each case, accrued interest thereon to the date of redemption.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firstLine="264"/>
        <w:spacing w:after="0" w:line="254"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84" w:lineRule="exact"/>
        <w:rPr>
          <w:sz w:val="20"/>
          <w:szCs w:val="20"/>
          <w:color w:val="auto"/>
        </w:rPr>
      </w:pPr>
    </w:p>
    <w:p>
      <w:pPr>
        <w:ind w:right="240" w:firstLine="264"/>
        <w:spacing w:after="0" w:line="329" w:lineRule="auto"/>
        <w:rPr>
          <w:sz w:val="20"/>
          <w:szCs w:val="20"/>
          <w:color w:val="auto"/>
        </w:rPr>
      </w:pPr>
      <w:r>
        <w:rPr>
          <w:rFonts w:ascii="Arial" w:cs="Arial" w:eastAsia="Arial" w:hAnsi="Arial"/>
          <w:sz w:val="15"/>
          <w:szCs w:val="15"/>
          <w:color w:val="auto"/>
        </w:rPr>
        <w:t>“Comparable Treasury Issue” means the United States Treasury security or securities selected by an Independent Investment Banker as having an actual or interpolated maturity comparable to the remaining term of the notes to be redeemed that would be utilized, at the time of selection and in accordance with customary financial practice, in pricing new issues of corporate debt securities of a comparable maturity to the remaining term of such notes.</w:t>
      </w:r>
    </w:p>
    <w:p>
      <w:pPr>
        <w:spacing w:after="0" w:line="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pacing w:after="0" w:line="111" w:lineRule="exact"/>
        <w:rPr>
          <w:sz w:val="20"/>
          <w:szCs w:val="20"/>
          <w:color w:val="auto"/>
        </w:rPr>
      </w:pPr>
    </w:p>
    <w:p>
      <w:pPr>
        <w:ind w:right="180" w:firstLine="264"/>
        <w:spacing w:after="0" w:line="254"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such redemption date, after excluding the highest and lowest such Reference Treasury Dealer Quotation or (ii) if the trustee obtains fewer than four such Reference Treasury Dealer Quotations, the average of all such quotations.</w:t>
      </w:r>
    </w:p>
    <w:p>
      <w:pPr>
        <w:spacing w:after="0" w:line="84" w:lineRule="exact"/>
        <w:rPr>
          <w:sz w:val="20"/>
          <w:szCs w:val="20"/>
          <w:color w:val="auto"/>
        </w:rPr>
      </w:pPr>
    </w:p>
    <w:p>
      <w:pPr>
        <w:ind w:firstLine="264"/>
        <w:spacing w:after="0" w:line="312" w:lineRule="auto"/>
        <w:rPr>
          <w:sz w:val="20"/>
          <w:szCs w:val="20"/>
          <w:color w:val="auto"/>
        </w:rPr>
      </w:pPr>
      <w:r>
        <w:rPr>
          <w:rFonts w:ascii="Arial" w:cs="Arial" w:eastAsia="Arial" w:hAnsi="Arial"/>
          <w:sz w:val="15"/>
          <w:szCs w:val="15"/>
          <w:color w:val="auto"/>
        </w:rPr>
        <w:t>“Reference Treasury Dealer” means (i) in the case of the 2018 Notes, each of Banc of America Securities LLC, J.P. Morgan Securities Inc. and at least one other primary U.S. Government Securities dealer in New York City selected by Wachovia Capital Markets, LLC and (ii) in the case of the 2037 Notes, each of Deutsche Bank Securities Inc., Goldman, Sachs &amp; Co. and Merrill Lynch, Pierce, Fenner &amp; Smith Incorporated or their affiliates which are primary United States government securities dealers, and their respective successors; provided, however, that if any of the foregoing shall cease to be a primary United States government securities dealer in the United States (a “Primary Treasury Dealer”), we will substitute therefor another Primary Treasury Dealer.</w:t>
      </w:r>
    </w:p>
    <w:p>
      <w:pPr>
        <w:spacing w:after="0" w:line="43" w:lineRule="exact"/>
        <w:rPr>
          <w:sz w:val="20"/>
          <w:szCs w:val="20"/>
          <w:color w:val="auto"/>
        </w:rPr>
      </w:pPr>
    </w:p>
    <w:p>
      <w:pPr>
        <w:jc w:val="both"/>
        <w:ind w:right="120" w:firstLine="264"/>
        <w:spacing w:after="0" w:line="329" w:lineRule="auto"/>
        <w:rPr>
          <w:sz w:val="20"/>
          <w:szCs w:val="20"/>
          <w:color w:val="auto"/>
        </w:rPr>
      </w:pPr>
      <w:r>
        <w:rPr>
          <w:rFonts w:ascii="Arial" w:cs="Arial" w:eastAsia="Arial" w:hAnsi="Arial"/>
          <w:sz w:val="15"/>
          <w:szCs w:val="15"/>
          <w:color w:val="auto"/>
        </w:rPr>
        <w:t>“Reference Treasury Dealer Quotation” means, with respect to each Reference Treasury Dealer and any redemption date, the average, as determined by the trustee, of the bid and asked prices for the Comparable Treasury Issue (expressed in case as a percentage of its principal amount) quoted in writing to the trustee by such Reference Treasury Dealer at 3:30 pm New York time on the third business day preceding such redemption date.</w:t>
      </w:r>
    </w:p>
    <w:p>
      <w:pPr>
        <w:spacing w:after="0" w:line="31" w:lineRule="exact"/>
        <w:rPr>
          <w:sz w:val="20"/>
          <w:szCs w:val="20"/>
          <w:color w:val="auto"/>
        </w:rPr>
      </w:pPr>
    </w:p>
    <w:p>
      <w:pPr>
        <w:ind w:firstLine="264"/>
        <w:spacing w:after="0" w:line="312" w:lineRule="auto"/>
        <w:rPr>
          <w:sz w:val="20"/>
          <w:szCs w:val="20"/>
          <w:color w:val="auto"/>
        </w:rPr>
      </w:pPr>
      <w:r>
        <w:rPr>
          <w:rFonts w:ascii="Arial" w:cs="Arial" w:eastAsia="Arial" w:hAnsi="Arial"/>
          <w:sz w:val="15"/>
          <w:szCs w:val="15"/>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Additionally, we may at any time repurchase notes in the open market and may hold or surrender such notes to the trustee for cancellation.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117" w:lineRule="exact"/>
        <w:rPr>
          <w:sz w:val="20"/>
          <w:szCs w:val="20"/>
          <w:color w:val="auto"/>
        </w:rPr>
      </w:pPr>
    </w:p>
    <w:p>
      <w:pPr>
        <w:ind w:right="60" w:firstLine="261"/>
        <w:spacing w:after="0" w:line="254" w:lineRule="auto"/>
        <w:rPr>
          <w:sz w:val="20"/>
          <w:szCs w:val="20"/>
          <w:color w:val="auto"/>
        </w:rPr>
      </w:pPr>
      <w:r>
        <w:rPr>
          <w:rFonts w:ascii="Arial" w:cs="Arial" w:eastAsia="Arial" w:hAnsi="Arial"/>
          <w:sz w:val="18"/>
          <w:szCs w:val="18"/>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beneficial interests in the Global Notes directly through DTC if such holder has an account with DTC or indirectly through organizations which have accounts with DTC, including Euroclear and Clearstream.</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DTC</w:t>
      </w:r>
    </w:p>
    <w:p>
      <w:pPr>
        <w:spacing w:after="0" w:line="111" w:lineRule="exact"/>
        <w:rPr>
          <w:sz w:val="20"/>
          <w:szCs w:val="20"/>
          <w:color w:val="auto"/>
        </w:rPr>
      </w:pPr>
    </w:p>
    <w:p>
      <w:pPr>
        <w:ind w:firstLine="264"/>
        <w:spacing w:after="0" w:line="306" w:lineRule="auto"/>
        <w:rPr>
          <w:sz w:val="20"/>
          <w:szCs w:val="20"/>
          <w:color w:val="auto"/>
        </w:rPr>
      </w:pPr>
      <w:r>
        <w:rPr>
          <w:rFonts w:ascii="Arial" w:cs="Arial" w:eastAsia="Arial" w:hAnsi="Arial"/>
          <w:sz w:val="15"/>
          <w:szCs w:val="15"/>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48" w:lineRule="exact"/>
        <w:rPr>
          <w:sz w:val="20"/>
          <w:szCs w:val="20"/>
          <w:color w:val="auto"/>
        </w:rPr>
      </w:pPr>
    </w:p>
    <w:p>
      <w:pPr>
        <w:ind w:right="40" w:firstLine="261"/>
        <w:spacing w:after="0" w:line="266" w:lineRule="auto"/>
        <w:rPr>
          <w:sz w:val="20"/>
          <w:szCs w:val="20"/>
          <w:color w:val="auto"/>
        </w:rPr>
      </w:pPr>
      <w:r>
        <w:rPr>
          <w:rFonts w:ascii="Arial" w:cs="Arial" w:eastAsia="Arial" w:hAnsi="Arial"/>
          <w:sz w:val="17"/>
          <w:szCs w:val="17"/>
          <w:color w:val="auto"/>
        </w:rPr>
        <w:t>We expect that pursuant to procedures established by DTC, upon the deposit of the Global Notes with DTC, DTC will credit on its book 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Notes other than participants). All interests in the Global Notes deposited with DTC are subject to the procedures and requirements of DTC.</w:t>
      </w:r>
    </w:p>
    <w:p>
      <w:pPr>
        <w:spacing w:after="0" w:line="76" w:lineRule="exact"/>
        <w:rPr>
          <w:sz w:val="20"/>
          <w:szCs w:val="20"/>
          <w:color w:val="auto"/>
        </w:rPr>
      </w:pPr>
    </w:p>
    <w:p>
      <w:pPr>
        <w:ind w:right="220" w:firstLine="261"/>
        <w:spacing w:after="0" w:line="264"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74" w:lineRule="exact"/>
        <w:rPr>
          <w:sz w:val="20"/>
          <w:szCs w:val="20"/>
          <w:color w:val="auto"/>
        </w:rPr>
      </w:pPr>
    </w:p>
    <w:p>
      <w:pPr>
        <w:ind w:right="80" w:firstLine="264"/>
        <w:spacing w:after="0" w:line="306" w:lineRule="auto"/>
        <w:rPr>
          <w:sz w:val="20"/>
          <w:szCs w:val="20"/>
          <w:color w:val="auto"/>
        </w:rPr>
      </w:pPr>
      <w:r>
        <w:rPr>
          <w:rFonts w:ascii="Arial" w:cs="Arial" w:eastAsia="Arial" w:hAnsi="Arial"/>
          <w:sz w:val="15"/>
          <w:szCs w:val="15"/>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48" w:lineRule="exact"/>
        <w:rPr>
          <w:sz w:val="20"/>
          <w:szCs w:val="20"/>
          <w:color w:val="auto"/>
        </w:rPr>
      </w:pPr>
    </w:p>
    <w:p>
      <w:pPr>
        <w:ind w:firstLine="261"/>
        <w:spacing w:after="0" w:line="264" w:lineRule="auto"/>
        <w:rPr>
          <w:sz w:val="20"/>
          <w:szCs w:val="20"/>
          <w:color w:val="auto"/>
        </w:rPr>
      </w:pPr>
      <w:r>
        <w:rPr>
          <w:rFonts w:ascii="Arial" w:cs="Arial" w:eastAsia="Arial" w:hAnsi="Arial"/>
          <w:sz w:val="18"/>
          <w:szCs w:val="18"/>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74" w:lineRule="exact"/>
        <w:rPr>
          <w:sz w:val="20"/>
          <w:szCs w:val="20"/>
          <w:color w:val="auto"/>
        </w:rPr>
      </w:pPr>
    </w:p>
    <w:p>
      <w:pPr>
        <w:ind w:right="20" w:firstLine="261"/>
        <w:spacing w:after="0" w:line="308" w:lineRule="auto"/>
        <w:rPr>
          <w:sz w:val="20"/>
          <w:szCs w:val="20"/>
          <w:color w:val="auto"/>
        </w:rPr>
      </w:pPr>
      <w:r>
        <w:rPr>
          <w:rFonts w:ascii="Arial" w:cs="Arial" w:eastAsia="Arial" w:hAnsi="Arial"/>
          <w:sz w:val="15"/>
          <w:szCs w:val="15"/>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66" w:lineRule="exact"/>
        <w:rPr>
          <w:sz w:val="20"/>
          <w:szCs w:val="20"/>
          <w:color w:val="auto"/>
        </w:rPr>
      </w:pPr>
    </w:p>
    <w:p>
      <w:pPr>
        <w:ind w:firstLine="255"/>
        <w:spacing w:after="0" w:line="312" w:lineRule="auto"/>
        <w:rPr>
          <w:sz w:val="20"/>
          <w:szCs w:val="20"/>
          <w:color w:val="auto"/>
        </w:rPr>
      </w:pPr>
      <w:r>
        <w:rPr>
          <w:rFonts w:ascii="Arial" w:cs="Arial" w:eastAsia="Arial" w:hAnsi="Arial"/>
          <w:sz w:val="15"/>
          <w:szCs w:val="15"/>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cable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4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1" w:lineRule="exact"/>
        <w:rPr>
          <w:sz w:val="20"/>
          <w:szCs w:val="20"/>
          <w:color w:val="auto"/>
        </w:rPr>
      </w:pPr>
    </w:p>
    <w:p>
      <w:pPr>
        <w:ind w:right="960" w:firstLine="264"/>
        <w:spacing w:after="0" w:line="264"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denominations of $1,000 principal amount and multiples thereof if:</w:t>
      </w:r>
    </w:p>
    <w:p>
      <w:pPr>
        <w:spacing w:after="0" w:line="74" w:lineRule="exact"/>
        <w:rPr>
          <w:sz w:val="20"/>
          <w:szCs w:val="20"/>
          <w:color w:val="auto"/>
        </w:rPr>
      </w:pPr>
    </w:p>
    <w:p>
      <w:pPr>
        <w:ind w:left="1040" w:right="440" w:hanging="452"/>
        <w:spacing w:after="0" w:line="26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87"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123"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111"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Same-Day Payment</w:t>
      </w:r>
    </w:p>
    <w:p>
      <w:pPr>
        <w:spacing w:after="0" w:line="111" w:lineRule="exact"/>
        <w:rPr>
          <w:sz w:val="20"/>
          <w:szCs w:val="20"/>
          <w:color w:val="auto"/>
        </w:rPr>
      </w:pPr>
    </w:p>
    <w:p>
      <w:pPr>
        <w:ind w:right="40" w:firstLine="261"/>
        <w:spacing w:after="0" w:line="254"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84" w:lineRule="exact"/>
        <w:rPr>
          <w:sz w:val="20"/>
          <w:szCs w:val="20"/>
          <w:color w:val="auto"/>
        </w:rPr>
      </w:pPr>
    </w:p>
    <w:p>
      <w:pPr>
        <w:ind w:right="100" w:firstLine="264"/>
        <w:spacing w:after="0" w:line="308" w:lineRule="auto"/>
        <w:rPr>
          <w:sz w:val="20"/>
          <w:szCs w:val="20"/>
          <w:color w:val="auto"/>
        </w:rPr>
      </w:pPr>
      <w:r>
        <w:rPr>
          <w:rFonts w:ascii="Arial" w:cs="Arial" w:eastAsia="Arial" w:hAnsi="Arial"/>
          <w:sz w:val="15"/>
          <w:szCs w:val="15"/>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17" w:lineRule="exact"/>
        <w:rPr>
          <w:sz w:val="20"/>
          <w:szCs w:val="20"/>
          <w:color w:val="auto"/>
        </w:rPr>
      </w:pPr>
    </w:p>
    <w:p>
      <w:pPr>
        <w:jc w:val="both"/>
        <w:ind w:right="260" w:firstLine="261"/>
        <w:spacing w:after="0" w:line="254"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Principal</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146"/>
        </w:trPr>
        <w:tc>
          <w:tcPr>
            <w:tcW w:w="632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60" w:type="dxa"/>
            <w:vAlign w:val="bottom"/>
            <w:gridSpan w:val="2"/>
          </w:tcPr>
          <w:p>
            <w:pPr>
              <w:jc w:val="center"/>
              <w:ind w:right="680"/>
              <w:spacing w:after="0" w:line="145" w:lineRule="exact"/>
              <w:rPr>
                <w:sz w:val="20"/>
                <w:szCs w:val="20"/>
                <w:color w:val="auto"/>
              </w:rPr>
            </w:pPr>
            <w:r>
              <w:rPr>
                <w:rFonts w:ascii="Arial" w:cs="Arial" w:eastAsia="Arial" w:hAnsi="Arial"/>
                <w:sz w:val="14"/>
                <w:szCs w:val="14"/>
                <w:b w:val="1"/>
                <w:bCs w:val="1"/>
                <w:color w:val="auto"/>
                <w:w w:val="91"/>
              </w:rPr>
              <w:t>Amount of</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80" w:type="dxa"/>
            <w:vAlign w:val="bottom"/>
            <w:gridSpan w:val="2"/>
          </w:tcPr>
          <w:p>
            <w:pPr>
              <w:jc w:val="center"/>
              <w:ind w:right="680"/>
              <w:spacing w:after="0" w:line="145"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68"/>
        </w:trPr>
        <w:tc>
          <w:tcPr>
            <w:tcW w:w="632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Notes due 2018</w:t>
            </w:r>
          </w:p>
        </w:tc>
        <w:tc>
          <w:tcPr>
            <w:tcW w:w="300" w:type="dxa"/>
            <w:vAlign w:val="bottom"/>
          </w:tcPr>
          <w:p>
            <w:pPr>
              <w:spacing w:after="0"/>
              <w:rPr>
                <w:sz w:val="14"/>
                <w:szCs w:val="14"/>
                <w:color w:val="auto"/>
              </w:rPr>
            </w:pPr>
          </w:p>
        </w:tc>
        <w:tc>
          <w:tcPr>
            <w:tcW w:w="2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Notes due 2037</w:t>
            </w:r>
          </w:p>
        </w:tc>
        <w:tc>
          <w:tcPr>
            <w:tcW w:w="0" w:type="dxa"/>
            <w:vAlign w:val="bottom"/>
          </w:tcPr>
          <w:p>
            <w:pPr>
              <w:spacing w:after="0"/>
              <w:rPr>
                <w:sz w:val="1"/>
                <w:szCs w:val="1"/>
                <w:color w:val="auto"/>
              </w:rPr>
            </w:pPr>
          </w:p>
        </w:tc>
      </w:tr>
      <w:tr>
        <w:trPr>
          <w:trHeight w:val="217"/>
        </w:trPr>
        <w:tc>
          <w:tcPr>
            <w:tcW w:w="6320" w:type="dxa"/>
            <w:vAlign w:val="bottom"/>
          </w:tcPr>
          <w:p>
            <w:pPr>
              <w:spacing w:after="0"/>
              <w:rPr>
                <w:sz w:val="20"/>
                <w:szCs w:val="20"/>
                <w:color w:val="auto"/>
              </w:rPr>
            </w:pPr>
            <w:r>
              <w:rPr>
                <w:rFonts w:ascii="Arial" w:cs="Arial" w:eastAsia="Arial" w:hAnsi="Arial"/>
                <w:sz w:val="18"/>
                <w:szCs w:val="18"/>
                <w:color w:val="auto"/>
              </w:rPr>
              <w:t>Banc of America Securities LLC</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$180,000,000</w:t>
            </w:r>
          </w:p>
        </w:tc>
        <w:tc>
          <w:tcPr>
            <w:tcW w:w="68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$120,000,000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J.P. Morgan Securities Inc.</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180,000,000</w:t>
            </w:r>
          </w:p>
        </w:tc>
        <w:tc>
          <w:tcPr>
            <w:tcW w:w="6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120,000,000</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20" w:type="dxa"/>
            <w:vAlign w:val="bottom"/>
          </w:tcPr>
          <w:p>
            <w:pPr>
              <w:spacing w:after="0"/>
              <w:rPr>
                <w:sz w:val="20"/>
                <w:szCs w:val="20"/>
                <w:color w:val="auto"/>
              </w:rPr>
            </w:pPr>
            <w:r>
              <w:rPr>
                <w:rFonts w:ascii="Arial" w:cs="Arial" w:eastAsia="Arial" w:hAnsi="Arial"/>
                <w:sz w:val="18"/>
                <w:szCs w:val="18"/>
                <w:color w:val="auto"/>
              </w:rPr>
              <w:t>Wachovia Capital Markets, LLC</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180,000,000</w:t>
            </w:r>
          </w:p>
        </w:tc>
        <w:tc>
          <w:tcPr>
            <w:tcW w:w="68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120,000,000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ABN AMRO Incorporated</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22,500,000</w:t>
            </w:r>
          </w:p>
        </w:tc>
        <w:tc>
          <w:tcPr>
            <w:tcW w:w="680" w:type="dxa"/>
            <w:vAlign w:val="bottom"/>
            <w:shd w:val="clear" w:color="auto" w:fill="CCEEFF"/>
          </w:tcPr>
          <w:p>
            <w:pPr>
              <w:spacing w:after="0"/>
              <w:rPr>
                <w:sz w:val="18"/>
                <w:szCs w:val="18"/>
                <w:color w:val="auto"/>
              </w:rPr>
            </w:pPr>
          </w:p>
        </w:tc>
        <w:tc>
          <w:tcPr>
            <w:tcW w:w="256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2"/>
        </w:trPr>
        <w:tc>
          <w:tcPr>
            <w:tcW w:w="6320" w:type="dxa"/>
            <w:vAlign w:val="bottom"/>
          </w:tcPr>
          <w:p>
            <w:pPr>
              <w:spacing w:after="0"/>
              <w:rPr>
                <w:sz w:val="20"/>
                <w:szCs w:val="20"/>
                <w:color w:val="auto"/>
              </w:rPr>
            </w:pPr>
            <w:r>
              <w:rPr>
                <w:rFonts w:ascii="Arial" w:cs="Arial" w:eastAsia="Arial" w:hAnsi="Arial"/>
                <w:sz w:val="18"/>
                <w:szCs w:val="18"/>
                <w:color w:val="auto"/>
              </w:rPr>
              <w:t>Barclays Capital Inc.</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22,500,000</w:t>
            </w:r>
          </w:p>
        </w:tc>
        <w:tc>
          <w:tcPr>
            <w:tcW w:w="680" w:type="dxa"/>
            <w:vAlign w:val="bottom"/>
          </w:tcPr>
          <w:p>
            <w:pPr>
              <w:spacing w:after="0"/>
              <w:rPr>
                <w:sz w:val="18"/>
                <w:szCs w:val="18"/>
                <w:color w:val="auto"/>
              </w:rPr>
            </w:pPr>
          </w:p>
        </w:tc>
        <w:tc>
          <w:tcPr>
            <w:tcW w:w="2560" w:type="dxa"/>
            <w:vAlign w:val="bottom"/>
            <w:gridSpan w:val="4"/>
          </w:tcPr>
          <w:p>
            <w:pPr>
              <w:jc w:val="right"/>
              <w:ind w:right="68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22,500,000</w:t>
            </w:r>
          </w:p>
        </w:tc>
        <w:tc>
          <w:tcPr>
            <w:tcW w:w="680" w:type="dxa"/>
            <w:vAlign w:val="bottom"/>
            <w:shd w:val="clear" w:color="auto" w:fill="CCEEFF"/>
          </w:tcPr>
          <w:p>
            <w:pPr>
              <w:spacing w:after="0"/>
              <w:rPr>
                <w:sz w:val="18"/>
                <w:szCs w:val="18"/>
                <w:color w:val="auto"/>
              </w:rPr>
            </w:pPr>
          </w:p>
        </w:tc>
        <w:tc>
          <w:tcPr>
            <w:tcW w:w="256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2"/>
        </w:trPr>
        <w:tc>
          <w:tcPr>
            <w:tcW w:w="632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22,500,000</w:t>
            </w:r>
          </w:p>
        </w:tc>
        <w:tc>
          <w:tcPr>
            <w:tcW w:w="680" w:type="dxa"/>
            <w:vAlign w:val="bottom"/>
          </w:tcPr>
          <w:p>
            <w:pPr>
              <w:spacing w:after="0"/>
              <w:rPr>
                <w:sz w:val="18"/>
                <w:szCs w:val="18"/>
                <w:color w:val="auto"/>
              </w:rPr>
            </w:pPr>
          </w:p>
        </w:tc>
        <w:tc>
          <w:tcPr>
            <w:tcW w:w="2560" w:type="dxa"/>
            <w:vAlign w:val="bottom"/>
            <w:gridSpan w:val="4"/>
          </w:tcPr>
          <w:p>
            <w:pPr>
              <w:jc w:val="right"/>
              <w:ind w:right="68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Daiwa Securities America Inc.</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22,500,000</w:t>
            </w:r>
          </w:p>
        </w:tc>
        <w:tc>
          <w:tcPr>
            <w:tcW w:w="680" w:type="dxa"/>
            <w:vAlign w:val="bottom"/>
            <w:shd w:val="clear" w:color="auto" w:fill="CCEEFF"/>
          </w:tcPr>
          <w:p>
            <w:pPr>
              <w:spacing w:after="0"/>
              <w:rPr>
                <w:sz w:val="18"/>
                <w:szCs w:val="18"/>
                <w:color w:val="auto"/>
              </w:rPr>
            </w:pPr>
          </w:p>
        </w:tc>
        <w:tc>
          <w:tcPr>
            <w:tcW w:w="256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2"/>
        </w:trPr>
        <w:tc>
          <w:tcPr>
            <w:tcW w:w="6320" w:type="dxa"/>
            <w:vAlign w:val="bottom"/>
          </w:tcPr>
          <w:p>
            <w:pPr>
              <w:spacing w:after="0"/>
              <w:rPr>
                <w:sz w:val="20"/>
                <w:szCs w:val="20"/>
                <w:color w:val="auto"/>
              </w:rPr>
            </w:pPr>
            <w:r>
              <w:rPr>
                <w:rFonts w:ascii="Arial" w:cs="Arial" w:eastAsia="Arial" w:hAnsi="Arial"/>
                <w:sz w:val="18"/>
                <w:szCs w:val="18"/>
                <w:color w:val="auto"/>
              </w:rPr>
              <w:t>Deutsche Bank Securities Inc.</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22,500,000</w:t>
            </w:r>
          </w:p>
        </w:tc>
        <w:tc>
          <w:tcPr>
            <w:tcW w:w="680" w:type="dxa"/>
            <w:vAlign w:val="bottom"/>
          </w:tcPr>
          <w:p>
            <w:pPr>
              <w:spacing w:after="0"/>
              <w:rPr>
                <w:sz w:val="18"/>
                <w:szCs w:val="18"/>
                <w:color w:val="auto"/>
              </w:rPr>
            </w:pPr>
          </w:p>
        </w:tc>
        <w:tc>
          <w:tcPr>
            <w:tcW w:w="2560" w:type="dxa"/>
            <w:vAlign w:val="bottom"/>
            <w:gridSpan w:val="4"/>
          </w:tcPr>
          <w:p>
            <w:pPr>
              <w:jc w:val="right"/>
              <w:ind w:right="68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22,500,000</w:t>
            </w:r>
          </w:p>
        </w:tc>
        <w:tc>
          <w:tcPr>
            <w:tcW w:w="680" w:type="dxa"/>
            <w:vAlign w:val="bottom"/>
            <w:shd w:val="clear" w:color="auto" w:fill="CCEEFF"/>
          </w:tcPr>
          <w:p>
            <w:pPr>
              <w:spacing w:after="0"/>
              <w:rPr>
                <w:sz w:val="18"/>
                <w:szCs w:val="18"/>
                <w:color w:val="auto"/>
              </w:rPr>
            </w:pPr>
          </w:p>
        </w:tc>
        <w:tc>
          <w:tcPr>
            <w:tcW w:w="256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2"/>
        </w:trPr>
        <w:tc>
          <w:tcPr>
            <w:tcW w:w="6320" w:type="dxa"/>
            <w:vAlign w:val="bottom"/>
          </w:tcPr>
          <w:p>
            <w:pPr>
              <w:spacing w:after="0"/>
              <w:rPr>
                <w:sz w:val="20"/>
                <w:szCs w:val="20"/>
                <w:color w:val="auto"/>
              </w:rPr>
            </w:pPr>
            <w:r>
              <w:rPr>
                <w:rFonts w:ascii="Arial" w:cs="Arial" w:eastAsia="Arial" w:hAnsi="Arial"/>
                <w:sz w:val="18"/>
                <w:szCs w:val="18"/>
                <w:color w:val="auto"/>
              </w:rPr>
              <w:t>Lazard Capital Markets LLC</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22,500,000</w:t>
            </w:r>
          </w:p>
        </w:tc>
        <w:tc>
          <w:tcPr>
            <w:tcW w:w="680" w:type="dxa"/>
            <w:vAlign w:val="bottom"/>
          </w:tcPr>
          <w:p>
            <w:pPr>
              <w:spacing w:after="0"/>
              <w:rPr>
                <w:sz w:val="18"/>
                <w:szCs w:val="18"/>
                <w:color w:val="auto"/>
              </w:rPr>
            </w:pPr>
          </w:p>
        </w:tc>
        <w:tc>
          <w:tcPr>
            <w:tcW w:w="2560" w:type="dxa"/>
            <w:vAlign w:val="bottom"/>
            <w:gridSpan w:val="4"/>
          </w:tcPr>
          <w:p>
            <w:pPr>
              <w:jc w:val="right"/>
              <w:ind w:right="68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Lehman Brothers Inc.</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22,500,000</w:t>
            </w:r>
          </w:p>
        </w:tc>
        <w:tc>
          <w:tcPr>
            <w:tcW w:w="680" w:type="dxa"/>
            <w:vAlign w:val="bottom"/>
            <w:shd w:val="clear" w:color="auto" w:fill="CCEEFF"/>
          </w:tcPr>
          <w:p>
            <w:pPr>
              <w:spacing w:after="0"/>
              <w:rPr>
                <w:sz w:val="18"/>
                <w:szCs w:val="18"/>
                <w:color w:val="auto"/>
              </w:rPr>
            </w:pPr>
          </w:p>
        </w:tc>
        <w:tc>
          <w:tcPr>
            <w:tcW w:w="256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199"/>
        </w:trPr>
        <w:tc>
          <w:tcPr>
            <w:tcW w:w="6320" w:type="dxa"/>
            <w:vAlign w:val="bottom"/>
          </w:tcPr>
          <w:p>
            <w:pPr>
              <w:spacing w:after="0" w:line="200" w:lineRule="exact"/>
              <w:rPr>
                <w:sz w:val="20"/>
                <w:szCs w:val="20"/>
                <w:color w:val="auto"/>
              </w:rPr>
            </w:pPr>
            <w:r>
              <w:rPr>
                <w:rFonts w:ascii="Arial" w:cs="Arial" w:eastAsia="Arial" w:hAnsi="Arial"/>
                <w:sz w:val="18"/>
                <w:szCs w:val="18"/>
                <w:color w:val="auto"/>
              </w:rPr>
              <w:t>Merrill Lynch, Pierce, Fenner &amp; Smith</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320" w:type="dxa"/>
            <w:vAlign w:val="bottom"/>
          </w:tcPr>
          <w:p>
            <w:pPr>
              <w:ind w:left="140"/>
              <w:spacing w:after="0"/>
              <w:rPr>
                <w:sz w:val="20"/>
                <w:szCs w:val="20"/>
                <w:color w:val="auto"/>
              </w:rPr>
            </w:pPr>
            <w:r>
              <w:rPr>
                <w:rFonts w:ascii="Arial" w:cs="Arial" w:eastAsia="Arial" w:hAnsi="Arial"/>
                <w:sz w:val="18"/>
                <w:szCs w:val="18"/>
                <w:color w:val="auto"/>
              </w:rPr>
              <w:t>Incorporated</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22,500,000</w:t>
            </w:r>
          </w:p>
        </w:tc>
        <w:tc>
          <w:tcPr>
            <w:tcW w:w="680" w:type="dxa"/>
            <w:vAlign w:val="bottom"/>
          </w:tcPr>
          <w:p>
            <w:pPr>
              <w:spacing w:after="0"/>
              <w:rPr>
                <w:sz w:val="19"/>
                <w:szCs w:val="19"/>
                <w:color w:val="auto"/>
              </w:rPr>
            </w:pPr>
          </w:p>
        </w:tc>
        <w:tc>
          <w:tcPr>
            <w:tcW w:w="2560" w:type="dxa"/>
            <w:vAlign w:val="bottom"/>
            <w:gridSpan w:val="4"/>
          </w:tcPr>
          <w:p>
            <w:pPr>
              <w:jc w:val="right"/>
              <w:ind w:right="68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3"/>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Incorporated</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22,500,000</w:t>
            </w:r>
          </w:p>
        </w:tc>
        <w:tc>
          <w:tcPr>
            <w:tcW w:w="680" w:type="dxa"/>
            <w:vAlign w:val="bottom"/>
            <w:shd w:val="clear" w:color="auto" w:fill="CCEEFF"/>
          </w:tcPr>
          <w:p>
            <w:pPr>
              <w:spacing w:after="0"/>
              <w:rPr>
                <w:sz w:val="18"/>
                <w:szCs w:val="18"/>
                <w:color w:val="auto"/>
              </w:rPr>
            </w:pPr>
          </w:p>
        </w:tc>
        <w:tc>
          <w:tcPr>
            <w:tcW w:w="256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2"/>
        </w:trPr>
        <w:tc>
          <w:tcPr>
            <w:tcW w:w="6320" w:type="dxa"/>
            <w:vAlign w:val="bottom"/>
          </w:tcPr>
          <w:p>
            <w:pPr>
              <w:spacing w:after="0"/>
              <w:rPr>
                <w:sz w:val="20"/>
                <w:szCs w:val="20"/>
                <w:color w:val="auto"/>
              </w:rPr>
            </w:pPr>
            <w:r>
              <w:rPr>
                <w:rFonts w:ascii="Arial" w:cs="Arial" w:eastAsia="Arial" w:hAnsi="Arial"/>
                <w:sz w:val="18"/>
                <w:szCs w:val="18"/>
                <w:color w:val="auto"/>
              </w:rPr>
              <w:t>The Royal Bank of Scotland plc</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22,500,000</w:t>
            </w:r>
          </w:p>
        </w:tc>
        <w:tc>
          <w:tcPr>
            <w:tcW w:w="680" w:type="dxa"/>
            <w:vAlign w:val="bottom"/>
          </w:tcPr>
          <w:p>
            <w:pPr>
              <w:spacing w:after="0"/>
              <w:rPr>
                <w:sz w:val="18"/>
                <w:szCs w:val="18"/>
                <w:color w:val="auto"/>
              </w:rPr>
            </w:pPr>
          </w:p>
        </w:tc>
        <w:tc>
          <w:tcPr>
            <w:tcW w:w="2560" w:type="dxa"/>
            <w:vAlign w:val="bottom"/>
            <w:gridSpan w:val="4"/>
          </w:tcPr>
          <w:p>
            <w:pPr>
              <w:jc w:val="right"/>
              <w:ind w:right="68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22,500,000</w:t>
            </w:r>
          </w:p>
        </w:tc>
        <w:tc>
          <w:tcPr>
            <w:tcW w:w="680" w:type="dxa"/>
            <w:vAlign w:val="bottom"/>
            <w:shd w:val="clear" w:color="auto" w:fill="CCEEFF"/>
          </w:tcPr>
          <w:p>
            <w:pPr>
              <w:spacing w:after="0"/>
              <w:rPr>
                <w:sz w:val="18"/>
                <w:szCs w:val="18"/>
                <w:color w:val="auto"/>
              </w:rPr>
            </w:pPr>
          </w:p>
        </w:tc>
        <w:tc>
          <w:tcPr>
            <w:tcW w:w="256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2"/>
        </w:trPr>
        <w:tc>
          <w:tcPr>
            <w:tcW w:w="6320" w:type="dxa"/>
            <w:vAlign w:val="bottom"/>
          </w:tcPr>
          <w:p>
            <w:pPr>
              <w:spacing w:after="0"/>
              <w:rPr>
                <w:sz w:val="20"/>
                <w:szCs w:val="20"/>
                <w:color w:val="auto"/>
              </w:rPr>
            </w:pPr>
            <w:r>
              <w:rPr>
                <w:rFonts w:ascii="Arial" w:cs="Arial" w:eastAsia="Arial" w:hAnsi="Arial"/>
                <w:sz w:val="18"/>
                <w:szCs w:val="18"/>
                <w:color w:val="auto"/>
              </w:rPr>
              <w:t>BNY Capital Markets, Inc.</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15,300,000</w:t>
            </w:r>
          </w:p>
        </w:tc>
        <w:tc>
          <w:tcPr>
            <w:tcW w:w="680" w:type="dxa"/>
            <w:vAlign w:val="bottom"/>
          </w:tcPr>
          <w:p>
            <w:pPr>
              <w:spacing w:after="0"/>
              <w:rPr>
                <w:sz w:val="18"/>
                <w:szCs w:val="18"/>
                <w:color w:val="auto"/>
              </w:rPr>
            </w:pPr>
          </w:p>
        </w:tc>
        <w:tc>
          <w:tcPr>
            <w:tcW w:w="2560" w:type="dxa"/>
            <w:vAlign w:val="bottom"/>
            <w:gridSpan w:val="4"/>
          </w:tcPr>
          <w:p>
            <w:pPr>
              <w:jc w:val="right"/>
              <w:ind w:right="680"/>
              <w:spacing w:after="0"/>
              <w:rPr>
                <w:sz w:val="20"/>
                <w:szCs w:val="20"/>
                <w:color w:val="auto"/>
              </w:rPr>
            </w:pPr>
            <w:r>
              <w:rPr>
                <w:rFonts w:ascii="Arial" w:cs="Arial" w:eastAsia="Arial" w:hAnsi="Arial"/>
                <w:sz w:val="18"/>
                <w:szCs w:val="18"/>
                <w:color w:val="auto"/>
              </w:rPr>
              <w:t>10,200,000</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SunTrust Capital Markets, LLC</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15,300,000</w:t>
            </w:r>
          </w:p>
        </w:tc>
        <w:tc>
          <w:tcPr>
            <w:tcW w:w="680" w:type="dxa"/>
            <w:vAlign w:val="bottom"/>
            <w:shd w:val="clear" w:color="auto" w:fill="CCEEFF"/>
          </w:tcPr>
          <w:p>
            <w:pPr>
              <w:spacing w:after="0"/>
              <w:rPr>
                <w:sz w:val="18"/>
                <w:szCs w:val="18"/>
                <w:color w:val="auto"/>
              </w:rPr>
            </w:pPr>
          </w:p>
        </w:tc>
        <w:tc>
          <w:tcPr>
            <w:tcW w:w="256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10,200,000</w:t>
            </w:r>
          </w:p>
        </w:tc>
        <w:tc>
          <w:tcPr>
            <w:tcW w:w="0" w:type="dxa"/>
            <w:vAlign w:val="bottom"/>
          </w:tcPr>
          <w:p>
            <w:pPr>
              <w:spacing w:after="0"/>
              <w:rPr>
                <w:sz w:val="1"/>
                <w:szCs w:val="1"/>
                <w:color w:val="auto"/>
              </w:rPr>
            </w:pPr>
          </w:p>
        </w:tc>
      </w:tr>
      <w:tr>
        <w:trPr>
          <w:trHeight w:val="212"/>
        </w:trPr>
        <w:tc>
          <w:tcPr>
            <w:tcW w:w="6320" w:type="dxa"/>
            <w:vAlign w:val="bottom"/>
          </w:tcPr>
          <w:p>
            <w:pPr>
              <w:spacing w:after="0"/>
              <w:rPr>
                <w:sz w:val="20"/>
                <w:szCs w:val="20"/>
                <w:color w:val="auto"/>
              </w:rPr>
            </w:pPr>
            <w:r>
              <w:rPr>
                <w:rFonts w:ascii="Arial" w:cs="Arial" w:eastAsia="Arial" w:hAnsi="Arial"/>
                <w:sz w:val="18"/>
                <w:szCs w:val="18"/>
                <w:color w:val="auto"/>
              </w:rPr>
              <w:t>Guzman &amp; Company</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6,300,000</w:t>
            </w:r>
          </w:p>
        </w:tc>
        <w:tc>
          <w:tcPr>
            <w:tcW w:w="68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4,200,000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Samuel A. Ramirez &amp; Co., Inc.</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6,300,000</w:t>
            </w:r>
          </w:p>
        </w:tc>
        <w:tc>
          <w:tcPr>
            <w:tcW w:w="6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4,200,000</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20" w:type="dxa"/>
            <w:vAlign w:val="bottom"/>
          </w:tcPr>
          <w:p>
            <w:pPr>
              <w:spacing w:after="0"/>
              <w:rPr>
                <w:sz w:val="20"/>
                <w:szCs w:val="20"/>
                <w:color w:val="auto"/>
              </w:rPr>
            </w:pPr>
            <w:r>
              <w:rPr>
                <w:rFonts w:ascii="Arial" w:cs="Arial" w:eastAsia="Arial" w:hAnsi="Arial"/>
                <w:sz w:val="18"/>
                <w:szCs w:val="18"/>
                <w:color w:val="auto"/>
              </w:rPr>
              <w:t>The Williams Capital Group, L.P.</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6,300,000</w:t>
            </w:r>
          </w:p>
        </w:tc>
        <w:tc>
          <w:tcPr>
            <w:tcW w:w="68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4,200,000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Blaylock &amp; Company, Inc.</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3,600,000</w:t>
            </w:r>
          </w:p>
        </w:tc>
        <w:tc>
          <w:tcPr>
            <w:tcW w:w="6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2,400,000</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20" w:type="dxa"/>
            <w:vAlign w:val="bottom"/>
          </w:tcPr>
          <w:p>
            <w:pPr>
              <w:spacing w:after="0"/>
              <w:rPr>
                <w:sz w:val="20"/>
                <w:szCs w:val="20"/>
                <w:color w:val="auto"/>
              </w:rPr>
            </w:pPr>
            <w:r>
              <w:rPr>
                <w:rFonts w:ascii="Arial" w:cs="Arial" w:eastAsia="Arial" w:hAnsi="Arial"/>
                <w:sz w:val="18"/>
                <w:szCs w:val="18"/>
                <w:color w:val="auto"/>
              </w:rPr>
              <w:t>Cabrera Capital Markets, Inc.</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3,600,000</w:t>
            </w:r>
          </w:p>
        </w:tc>
        <w:tc>
          <w:tcPr>
            <w:tcW w:w="68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2,400,000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Loop Capital Markets, LLC</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3,600,000</w:t>
            </w:r>
          </w:p>
        </w:tc>
        <w:tc>
          <w:tcPr>
            <w:tcW w:w="6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2,400,000</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20" w:type="dxa"/>
            <w:vAlign w:val="bottom"/>
          </w:tcPr>
          <w:p>
            <w:pPr>
              <w:spacing w:after="0"/>
              <w:rPr>
                <w:sz w:val="20"/>
                <w:szCs w:val="20"/>
                <w:color w:val="auto"/>
              </w:rPr>
            </w:pPr>
            <w:r>
              <w:rPr>
                <w:rFonts w:ascii="Arial" w:cs="Arial" w:eastAsia="Arial" w:hAnsi="Arial"/>
                <w:sz w:val="18"/>
                <w:szCs w:val="18"/>
                <w:color w:val="auto"/>
              </w:rPr>
              <w:t>M.R. Beal &amp; Company</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3,600,000</w:t>
            </w:r>
          </w:p>
        </w:tc>
        <w:tc>
          <w:tcPr>
            <w:tcW w:w="68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2,400,000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Muriel Siebert &amp; Co., Inc.</w:t>
            </w:r>
          </w:p>
        </w:tc>
        <w:tc>
          <w:tcPr>
            <w:tcW w:w="980" w:type="dxa"/>
            <w:vAlign w:val="bottom"/>
            <w:gridSpan w:val="2"/>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3,600,000</w:t>
            </w:r>
          </w:p>
        </w:tc>
        <w:tc>
          <w:tcPr>
            <w:tcW w:w="6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2,400,000</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320" w:type="dxa"/>
            <w:vAlign w:val="bottom"/>
          </w:tcPr>
          <w:p>
            <w:pPr>
              <w:ind w:left="280"/>
              <w:spacing w:after="0"/>
              <w:rPr>
                <w:sz w:val="20"/>
                <w:szCs w:val="20"/>
                <w:color w:val="auto"/>
              </w:rPr>
            </w:pPr>
            <w:r>
              <w:rPr>
                <w:rFonts w:ascii="Arial" w:cs="Arial" w:eastAsia="Arial" w:hAnsi="Arial"/>
                <w:sz w:val="18"/>
                <w:szCs w:val="18"/>
                <w:color w:val="auto"/>
              </w:rPr>
              <w:t>Total</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$900,000,000</w:t>
            </w:r>
          </w:p>
        </w:tc>
        <w:tc>
          <w:tcPr>
            <w:tcW w:w="68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$600,000,000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60" w:firstLine="261"/>
        <w:spacing w:after="0" w:line="254"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84" w:lineRule="exact"/>
        <w:rPr>
          <w:sz w:val="20"/>
          <w:szCs w:val="20"/>
          <w:color w:val="auto"/>
        </w:rPr>
      </w:pPr>
    </w:p>
    <w:p>
      <w:pPr>
        <w:ind w:right="60" w:firstLine="261"/>
        <w:spacing w:after="0" w:line="264"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74" w:lineRule="exact"/>
        <w:rPr>
          <w:sz w:val="20"/>
          <w:szCs w:val="20"/>
          <w:color w:val="auto"/>
        </w:rPr>
      </w:pPr>
    </w:p>
    <w:p>
      <w:pPr>
        <w:jc w:val="both"/>
        <w:ind w:right="360" w:firstLine="261"/>
        <w:spacing w:after="0" w:line="329" w:lineRule="auto"/>
        <w:rPr>
          <w:sz w:val="20"/>
          <w:szCs w:val="20"/>
          <w:color w:val="auto"/>
        </w:rPr>
      </w:pPr>
      <w:r>
        <w:rPr>
          <w:rFonts w:ascii="Arial" w:cs="Arial" w:eastAsia="Arial" w:hAnsi="Arial"/>
          <w:sz w:val="15"/>
          <w:szCs w:val="15"/>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Each underwriter has represented, warranted and agreed that:</w:t>
      </w:r>
    </w:p>
    <w:p>
      <w:pPr>
        <w:spacing w:after="0" w:line="111" w:lineRule="exact"/>
        <w:rPr>
          <w:sz w:val="20"/>
          <w:szCs w:val="20"/>
          <w:color w:val="auto"/>
        </w:rPr>
      </w:pPr>
    </w:p>
    <w:p>
      <w:pPr>
        <w:ind w:left="340" w:right="100" w:firstLine="274"/>
        <w:spacing w:after="0" w:line="248" w:lineRule="auto"/>
        <w:tabs>
          <w:tab w:leader="none" w:pos="84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it has not made and will not make an offer of notes to the public in that Relevant Member State prior to the publication of a prospectus in relation to the notes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notes to the public in that Relevant Member State at any time:</w:t>
      </w:r>
    </w:p>
    <w:p>
      <w:pPr>
        <w:spacing w:after="0" w:line="90" w:lineRule="exact"/>
        <w:rPr>
          <w:rFonts w:ascii="Arial" w:cs="Arial" w:eastAsia="Arial" w:hAnsi="Arial"/>
          <w:sz w:val="18"/>
          <w:szCs w:val="18"/>
          <w:color w:val="auto"/>
        </w:rPr>
      </w:pPr>
    </w:p>
    <w:p>
      <w:pPr>
        <w:ind w:left="700" w:right="480" w:firstLine="258"/>
        <w:spacing w:after="0" w:line="264" w:lineRule="auto"/>
        <w:tabs>
          <w:tab w:leader="none" w:pos="1175"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87" w:lineRule="exact"/>
        <w:rPr>
          <w:rFonts w:ascii="Arial" w:cs="Arial" w:eastAsia="Arial" w:hAnsi="Arial"/>
          <w:sz w:val="18"/>
          <w:szCs w:val="18"/>
          <w:color w:val="auto"/>
        </w:rPr>
      </w:pPr>
    </w:p>
    <w:p>
      <w:pPr>
        <w:ind w:left="700" w:right="120" w:firstLine="258"/>
        <w:spacing w:after="0" w:line="364" w:lineRule="auto"/>
        <w:tabs>
          <w:tab w:leader="none" w:pos="1224" w:val="left"/>
        </w:tabs>
        <w:numPr>
          <w:ilvl w:val="1"/>
          <w:numId w:val="7"/>
        </w:numPr>
        <w:rPr>
          <w:rFonts w:ascii="Arial" w:cs="Arial" w:eastAsia="Arial" w:hAnsi="Arial"/>
          <w:sz w:val="15"/>
          <w:szCs w:val="15"/>
          <w:color w:val="auto"/>
        </w:rPr>
      </w:pPr>
      <w:r>
        <w:rPr>
          <w:rFonts w:ascii="Arial" w:cs="Arial" w:eastAsia="Arial" w:hAnsi="Arial"/>
          <w:sz w:val="15"/>
          <w:szCs w:val="15"/>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19" w:lineRule="exact"/>
        <w:rPr>
          <w:rFonts w:ascii="Arial" w:cs="Arial" w:eastAsia="Arial" w:hAnsi="Arial"/>
          <w:sz w:val="15"/>
          <w:szCs w:val="15"/>
          <w:color w:val="auto"/>
        </w:rPr>
      </w:pPr>
    </w:p>
    <w:p>
      <w:pPr>
        <w:ind w:left="1260" w:hanging="302"/>
        <w:spacing w:after="0"/>
        <w:tabs>
          <w:tab w:leader="none" w:pos="1260" w:val="left"/>
        </w:tabs>
        <w:numPr>
          <w:ilvl w:val="1"/>
          <w:numId w:val="7"/>
        </w:numPr>
        <w:rPr>
          <w:rFonts w:ascii="Arial" w:cs="Arial" w:eastAsia="Arial" w:hAnsi="Arial"/>
          <w:sz w:val="15"/>
          <w:szCs w:val="15"/>
          <w:color w:val="auto"/>
        </w:rPr>
      </w:pPr>
      <w:r>
        <w:rPr>
          <w:rFonts w:ascii="Arial" w:cs="Arial" w:eastAsia="Arial" w:hAnsi="Arial"/>
          <w:sz w:val="15"/>
          <w:szCs w:val="15"/>
          <w:color w:val="auto"/>
        </w:rPr>
        <w:t>in any other circumstances which do not require the publication by the Issuer of a prospectus pursuant to Article 3 of the Prospectus Directive.</w:t>
      </w:r>
    </w:p>
    <w:p>
      <w:pPr>
        <w:spacing w:after="0" w:line="145" w:lineRule="exact"/>
        <w:rPr>
          <w:sz w:val="20"/>
          <w:szCs w:val="20"/>
          <w:color w:val="auto"/>
        </w:rPr>
      </w:pPr>
    </w:p>
    <w:p>
      <w:pPr>
        <w:ind w:right="60" w:firstLine="264"/>
        <w:spacing w:after="0" w:line="317" w:lineRule="auto"/>
        <w:rPr>
          <w:sz w:val="20"/>
          <w:szCs w:val="20"/>
          <w:color w:val="auto"/>
        </w:rPr>
      </w:pPr>
      <w:r>
        <w:rPr>
          <w:rFonts w:ascii="Arial" w:cs="Arial" w:eastAsia="Arial" w:hAnsi="Arial"/>
          <w:sz w:val="15"/>
          <w:szCs w:val="15"/>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that Member State by any means implementing the Prospectus Directive in that Member State, and the expression “Prospectus Directive” means Directive 2003/71/EC and includes any relevant implementing measure in each Relevant Member State.</w:t>
      </w:r>
    </w:p>
    <w:p>
      <w:pPr>
        <w:spacing w:after="0" w:line="41" w:lineRule="exact"/>
        <w:rPr>
          <w:sz w:val="20"/>
          <w:szCs w:val="20"/>
          <w:color w:val="auto"/>
        </w:rPr>
      </w:pPr>
    </w:p>
    <w:p>
      <w:pPr>
        <w:ind w:left="340" w:right="260" w:firstLine="274"/>
        <w:spacing w:after="0" w:line="329" w:lineRule="auto"/>
        <w:tabs>
          <w:tab w:leader="none" w:pos="854" w:val="left"/>
        </w:tabs>
        <w:numPr>
          <w:ilvl w:val="0"/>
          <w:numId w:val="8"/>
        </w:numPr>
        <w:rPr>
          <w:rFonts w:ascii="Arial" w:cs="Arial" w:eastAsia="Arial" w:hAnsi="Arial"/>
          <w:sz w:val="15"/>
          <w:szCs w:val="15"/>
          <w:color w:val="auto"/>
        </w:rPr>
      </w:pPr>
      <w:r>
        <w:rPr>
          <w:rFonts w:ascii="Arial" w:cs="Arial" w:eastAsia="Arial" w:hAnsi="Arial"/>
          <w:sz w:val="15"/>
          <w:szCs w:val="15"/>
          <w:color w:val="auto"/>
        </w:rPr>
        <w:t>it has only communicated or caused to be communicated and will only communicate or cause to be communicated an invitation or inducement to engage in investment activity (within the meaning of Section 21 of the U.K. Financial Services and Markets Act 2000 (“FSMA”) received by it in connection with the issue or sale of the notes in circumstances in which Section 21(1) of FSMA does not apply to the Issuer or the cable guarantors; and</w:t>
      </w:r>
    </w:p>
    <w:p>
      <w:pPr>
        <w:spacing w:after="0" w:line="44" w:lineRule="exact"/>
        <w:rPr>
          <w:rFonts w:ascii="Arial" w:cs="Arial" w:eastAsia="Arial" w:hAnsi="Arial"/>
          <w:sz w:val="15"/>
          <w:szCs w:val="15"/>
          <w:color w:val="auto"/>
        </w:rPr>
      </w:pPr>
    </w:p>
    <w:p>
      <w:pPr>
        <w:ind w:left="340" w:right="120" w:firstLine="274"/>
        <w:spacing w:after="0" w:line="264" w:lineRule="auto"/>
        <w:tabs>
          <w:tab w:leader="none" w:pos="844"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FSMA with respect to anything done by it in relation to the notes in, from or otherwise involving the United Kingdom.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17" w:lineRule="exact"/>
        <w:rPr>
          <w:sz w:val="20"/>
          <w:szCs w:val="20"/>
          <w:color w:val="auto"/>
        </w:rPr>
      </w:pPr>
    </w:p>
    <w:p>
      <w:pPr>
        <w:ind w:right="180" w:firstLine="261"/>
        <w:spacing w:after="0" w:line="317" w:lineRule="auto"/>
        <w:rPr>
          <w:sz w:val="20"/>
          <w:szCs w:val="20"/>
          <w:color w:val="auto"/>
        </w:rPr>
      </w:pPr>
      <w:r>
        <w:rPr>
          <w:rFonts w:ascii="Arial" w:cs="Arial" w:eastAsia="Arial" w:hAnsi="Arial"/>
          <w:sz w:val="15"/>
          <w:szCs w:val="15"/>
          <w:color w:val="auto"/>
        </w:rPr>
        <w:t>The underwriters have advised us that they propose initially to offer the notes to the public at the public offering price on the cover page of this prospectus supplement, and to dealers at that price less a concession not in excess of 0.30% and 0.50% of the principal amount of the notes due 2018 and notes due 2037, respectively. The underwriters may allow, and the dealers may reallow, a discount not in excess of 0.17% and 0.33% of the principal amount of the notes due 2018 and notes due 2037, respectively, to other dealers. After the initial public offering, the public offering prices, concessions and discounts may be changed.</w:t>
      </w:r>
    </w:p>
    <w:p>
      <w:pPr>
        <w:spacing w:after="0" w:line="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expenses of the offering, not including the underwriting discount, are estimated to be $400,000 and are payable by us.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117" w:lineRule="exact"/>
        <w:rPr>
          <w:sz w:val="20"/>
          <w:szCs w:val="20"/>
          <w:color w:val="auto"/>
        </w:rPr>
      </w:pPr>
    </w:p>
    <w:p>
      <w:pPr>
        <w:ind w:firstLine="261"/>
        <w:spacing w:after="0" w:line="251" w:lineRule="auto"/>
        <w:rPr>
          <w:sz w:val="20"/>
          <w:szCs w:val="20"/>
          <w:color w:val="auto"/>
        </w:rPr>
      </w:pPr>
      <w:r>
        <w:rPr>
          <w:rFonts w:ascii="Arial" w:cs="Arial" w:eastAsia="Arial" w:hAnsi="Arial"/>
          <w:sz w:val="18"/>
          <w:szCs w:val="18"/>
          <w:color w:val="auto"/>
        </w:rPr>
        <w:t>The notes due 2018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64" w:lineRule="exact"/>
        <w:rPr>
          <w:sz w:val="20"/>
          <w:szCs w:val="20"/>
          <w:color w:val="auto"/>
        </w:rPr>
      </w:pPr>
    </w:p>
    <w:p>
      <w:pPr>
        <w:ind w:right="160" w:firstLine="264"/>
        <w:spacing w:after="0" w:line="250" w:lineRule="auto"/>
        <w:rPr>
          <w:sz w:val="20"/>
          <w:szCs w:val="20"/>
          <w:color w:val="auto"/>
        </w:rPr>
      </w:pPr>
      <w:r>
        <w:rPr>
          <w:rFonts w:ascii="Arial" w:cs="Arial" w:eastAsia="Arial" w:hAnsi="Arial"/>
          <w:sz w:val="18"/>
          <w:szCs w:val="18"/>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w:t>
      </w:r>
    </w:p>
    <w:p>
      <w:pPr>
        <w:spacing w:after="0" w:line="33" w:lineRule="exact"/>
        <w:rPr>
          <w:sz w:val="20"/>
          <w:szCs w:val="20"/>
          <w:color w:val="auto"/>
        </w:rPr>
      </w:pPr>
    </w:p>
    <w:p>
      <w:pPr>
        <w:ind w:right="40" w:firstLine="264"/>
        <w:spacing w:after="0" w:line="254" w:lineRule="auto"/>
        <w:rPr>
          <w:sz w:val="20"/>
          <w:szCs w:val="20"/>
          <w:color w:val="auto"/>
        </w:rPr>
      </w:pPr>
      <w:r>
        <w:rPr>
          <w:rFonts w:ascii="Arial" w:cs="Arial" w:eastAsia="Arial" w:hAnsi="Arial"/>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64" w:lineRule="exact"/>
        <w:rPr>
          <w:sz w:val="20"/>
          <w:szCs w:val="20"/>
          <w:color w:val="auto"/>
        </w:rPr>
      </w:pPr>
    </w:p>
    <w:p>
      <w:pPr>
        <w:ind w:firstLine="264"/>
        <w:spacing w:after="0" w:line="276" w:lineRule="auto"/>
        <w:rPr>
          <w:sz w:val="20"/>
          <w:szCs w:val="20"/>
          <w:color w:val="auto"/>
        </w:rPr>
      </w:pPr>
      <w:r>
        <w:rPr>
          <w:rFonts w:ascii="Arial" w:cs="Arial" w:eastAsia="Arial" w:hAnsi="Arial"/>
          <w:sz w:val="17"/>
          <w:szCs w:val="17"/>
          <w:color w:val="auto"/>
        </w:rPr>
        <w:t>Lazard Capital Markets LLC (“Lazard Capital Markets”) has entered into an agreement with Mitsubishi UFJ Securities (USA), Inc. (“MUS(USA)”) pursuant to which MUS(USA) provides certain advisory and/or other services to Lazard Capital Markets, including in respect of this offering. In return for the provision of such services by MUS(USA) to Lazard Capital Markets, Lazard Capital Markets will pay to MUS(USA) a mutually agreed upon fee.</w:t>
      </w:r>
    </w:p>
    <w:p>
      <w:pPr>
        <w:spacing w:after="0" w:line="66" w:lineRule="exact"/>
        <w:rPr>
          <w:sz w:val="20"/>
          <w:szCs w:val="20"/>
          <w:color w:val="auto"/>
        </w:rPr>
      </w:pPr>
    </w:p>
    <w:p>
      <w:pPr>
        <w:ind w:right="300" w:firstLine="261"/>
        <w:spacing w:after="0" w:line="264" w:lineRule="auto"/>
        <w:rPr>
          <w:sz w:val="20"/>
          <w:szCs w:val="20"/>
          <w:color w:val="auto"/>
        </w:rPr>
      </w:pPr>
      <w:r>
        <w:rPr>
          <w:rFonts w:ascii="Arial" w:cs="Arial" w:eastAsia="Arial" w:hAnsi="Arial"/>
          <w:sz w:val="18"/>
          <w:szCs w:val="18"/>
          <w:color w:val="auto"/>
        </w:rPr>
        <w:t>The underwriters and their affiliates have engaged in, and may in the future engage in, investment banking and other commercial dealings in the ordinary course of business with us. They have received customary fees and commissions for these transactions.</w:t>
      </w:r>
    </w:p>
    <w:p>
      <w:pPr>
        <w:spacing w:after="0" w:line="21" w:lineRule="exact"/>
        <w:rPr>
          <w:sz w:val="20"/>
          <w:szCs w:val="20"/>
          <w:color w:val="auto"/>
        </w:rPr>
      </w:pPr>
    </w:p>
    <w:p>
      <w:pPr>
        <w:ind w:right="60" w:firstLine="264"/>
        <w:spacing w:after="0" w:line="264" w:lineRule="auto"/>
        <w:rPr>
          <w:sz w:val="20"/>
          <w:szCs w:val="20"/>
          <w:color w:val="auto"/>
        </w:rPr>
      </w:pPr>
      <w:r>
        <w:rPr>
          <w:rFonts w:ascii="Arial" w:cs="Arial" w:eastAsia="Arial" w:hAnsi="Arial"/>
          <w:sz w:val="18"/>
          <w:szCs w:val="18"/>
          <w:color w:val="auto"/>
        </w:rPr>
        <w:t>Brian L. Roberts, our director, President and Chief Executive Officer and a director of Comcast Holdings, is a member of the board of directors of The Bank of New York Company, Inc., an affiliate of BNY Capital Markets, Inc.</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Dr. Judith Rodin, our director, is a member of the board of directors of Citigroup Inc., an affiliate of Citigroup Global Markets Inc.</w:t>
      </w:r>
    </w:p>
    <w:p>
      <w:pPr>
        <w:spacing w:after="0" w:line="58" w:lineRule="exact"/>
        <w:rPr>
          <w:sz w:val="20"/>
          <w:szCs w:val="20"/>
          <w:color w:val="auto"/>
        </w:rPr>
      </w:pPr>
    </w:p>
    <w:p>
      <w:pPr>
        <w:ind w:right="20" w:firstLine="264"/>
        <w:spacing w:after="0" w:line="264" w:lineRule="auto"/>
        <w:rPr>
          <w:sz w:val="20"/>
          <w:szCs w:val="20"/>
          <w:color w:val="auto"/>
        </w:rPr>
      </w:pPr>
      <w:r>
        <w:rPr>
          <w:rFonts w:ascii="Arial" w:cs="Arial" w:eastAsia="Arial" w:hAnsi="Arial"/>
          <w:sz w:val="18"/>
          <w:szCs w:val="18"/>
          <w:color w:val="auto"/>
        </w:rPr>
        <w:t>John R. Alchin, our Executive Vice President, Co-Chief Financial Officer and Treasurer, is a member of the board of directors of BNY Hamilton Funds, Inc., an affiliate of BNY Capital Markets, Inc.</w:t>
      </w:r>
    </w:p>
    <w:p>
      <w:pPr>
        <w:spacing w:after="0" w:line="21" w:lineRule="exact"/>
        <w:rPr>
          <w:sz w:val="20"/>
          <w:szCs w:val="20"/>
          <w:color w:val="auto"/>
        </w:rPr>
      </w:pPr>
    </w:p>
    <w:p>
      <w:pPr>
        <w:ind w:right="460" w:firstLine="264"/>
        <w:spacing w:after="0" w:line="264" w:lineRule="auto"/>
        <w:rPr>
          <w:sz w:val="20"/>
          <w:szCs w:val="20"/>
          <w:color w:val="auto"/>
        </w:rPr>
      </w:pPr>
      <w:r>
        <w:rPr>
          <w:rFonts w:ascii="Arial" w:cs="Arial" w:eastAsia="Arial" w:hAnsi="Arial"/>
          <w:sz w:val="18"/>
          <w:szCs w:val="18"/>
          <w:color w:val="auto"/>
        </w:rPr>
        <w:t>Stephen B. Burke, our Executive Vice President and Chief Operating Officer and the President of Comcast Cable and Comcast Cable Communications Holdings, is a member of the board of directors of JPMorgan Chase &amp; Co., an affiliate of J.P. Morgan Securities Inc.</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64" w:lineRule="exact"/>
        <w:rPr>
          <w:sz w:val="20"/>
          <w:szCs w:val="20"/>
          <w:color w:val="auto"/>
        </w:rPr>
      </w:pPr>
    </w:p>
    <w:p>
      <w:pPr>
        <w:ind w:right="80" w:firstLine="261"/>
        <w:spacing w:after="0" w:line="254" w:lineRule="auto"/>
        <w:rPr>
          <w:sz w:val="20"/>
          <w:szCs w:val="20"/>
          <w:color w:val="auto"/>
        </w:rPr>
      </w:pPr>
      <w:r>
        <w:rPr>
          <w:rFonts w:ascii="Arial" w:cs="Arial" w:eastAsia="Arial" w:hAnsi="Arial"/>
          <w:sz w:val="18"/>
          <w:szCs w:val="18"/>
          <w:color w:val="auto"/>
        </w:rPr>
        <w:t xml:space="preserve">Various legal matters relating to the offering will be passed upon for us by Arthur R. Block, Esquire, Senior Vice President and General Counsel of Comcast Corporation, Thomas R. Nathan, Esquire, Senior Vice President of the cable guarantors, and by Davis Polk &amp; Wardwell, Menlo Park, California. Cahill Gordon &amp; Reindel </w:t>
      </w:r>
      <w:r>
        <w:rPr>
          <w:rFonts w:ascii="Arial" w:cs="Arial" w:eastAsia="Arial" w:hAnsi="Arial"/>
          <w:sz w:val="11"/>
          <w:szCs w:val="11"/>
          <w:color w:val="auto"/>
        </w:rPr>
        <w:t>LLP</w:t>
      </w:r>
      <w:r>
        <w:rPr>
          <w:rFonts w:ascii="Arial" w:cs="Arial" w:eastAsia="Arial" w:hAnsi="Arial"/>
          <w:sz w:val="18"/>
          <w:szCs w:val="18"/>
          <w:color w:val="auto"/>
        </w:rPr>
        <w:t>, New York, New York, is representing the underwriters.</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510540</wp:posOffset>
            </wp:positionV>
            <wp:extent cx="7249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81915</wp:posOffset>
            </wp:positionV>
            <wp:extent cx="1402715" cy="361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02715" cy="36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types of securities that may be offered and sold under this prospectus:</w:t>
      </w:r>
    </w:p>
    <w:p>
      <w:pPr>
        <w:spacing w:after="0" w:line="111" w:lineRule="exact"/>
        <w:rPr>
          <w:sz w:val="20"/>
          <w:szCs w:val="20"/>
          <w:color w:val="auto"/>
        </w:rPr>
      </w:pPr>
    </w:p>
    <w:p>
      <w:pPr>
        <w:ind w:left="820" w:hanging="32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Unsecured senior debt securities</w:t>
      </w:r>
    </w:p>
    <w:p>
      <w:pPr>
        <w:spacing w:after="0" w:line="16" w:lineRule="exact"/>
        <w:rPr>
          <w:rFonts w:ascii="Arial" w:cs="Arial" w:eastAsia="Arial" w:hAnsi="Arial"/>
          <w:sz w:val="18"/>
          <w:szCs w:val="18"/>
          <w:color w:val="auto"/>
        </w:rPr>
      </w:pPr>
    </w:p>
    <w:p>
      <w:pPr>
        <w:ind w:left="820" w:hanging="32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Unsecured subordinated debt securities</w:t>
      </w:r>
    </w:p>
    <w:p>
      <w:pPr>
        <w:spacing w:after="0" w:line="4" w:lineRule="exact"/>
        <w:rPr>
          <w:rFonts w:ascii="Arial" w:cs="Arial" w:eastAsia="Arial" w:hAnsi="Arial"/>
          <w:sz w:val="18"/>
          <w:szCs w:val="18"/>
          <w:color w:val="auto"/>
        </w:rPr>
      </w:pPr>
    </w:p>
    <w:p>
      <w:pPr>
        <w:ind w:left="820" w:hanging="32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Warrants</w:t>
      </w:r>
    </w:p>
    <w:p>
      <w:pPr>
        <w:spacing w:after="0" w:line="4" w:lineRule="exact"/>
        <w:rPr>
          <w:rFonts w:ascii="Arial" w:cs="Arial" w:eastAsia="Arial" w:hAnsi="Arial"/>
          <w:sz w:val="18"/>
          <w:szCs w:val="18"/>
          <w:color w:val="auto"/>
        </w:rPr>
      </w:pPr>
    </w:p>
    <w:p>
      <w:pPr>
        <w:ind w:left="820" w:hanging="32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 contracts</w:t>
      </w:r>
    </w:p>
    <w:p>
      <w:pPr>
        <w:spacing w:after="0" w:line="4" w:lineRule="exact"/>
        <w:rPr>
          <w:rFonts w:ascii="Arial" w:cs="Arial" w:eastAsia="Arial" w:hAnsi="Arial"/>
          <w:sz w:val="18"/>
          <w:szCs w:val="18"/>
          <w:color w:val="auto"/>
        </w:rPr>
      </w:pPr>
    </w:p>
    <w:p>
      <w:pPr>
        <w:ind w:left="820" w:hanging="32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Units</w:t>
      </w:r>
    </w:p>
    <w:p>
      <w:pPr>
        <w:spacing w:after="0" w:line="4" w:lineRule="exact"/>
        <w:rPr>
          <w:rFonts w:ascii="Arial" w:cs="Arial" w:eastAsia="Arial" w:hAnsi="Arial"/>
          <w:sz w:val="18"/>
          <w:szCs w:val="18"/>
          <w:color w:val="auto"/>
        </w:rPr>
      </w:pPr>
    </w:p>
    <w:p>
      <w:pPr>
        <w:ind w:left="820" w:hanging="32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4" w:lineRule="exact"/>
        <w:rPr>
          <w:rFonts w:ascii="Arial" w:cs="Arial" w:eastAsia="Arial" w:hAnsi="Arial"/>
          <w:sz w:val="18"/>
          <w:szCs w:val="18"/>
          <w:color w:val="auto"/>
        </w:rPr>
      </w:pPr>
    </w:p>
    <w:p>
      <w:pPr>
        <w:ind w:left="820" w:hanging="32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4" w:lineRule="exact"/>
        <w:rPr>
          <w:rFonts w:ascii="Arial" w:cs="Arial" w:eastAsia="Arial" w:hAnsi="Arial"/>
          <w:sz w:val="18"/>
          <w:szCs w:val="18"/>
          <w:color w:val="auto"/>
        </w:rPr>
      </w:pPr>
    </w:p>
    <w:p>
      <w:pPr>
        <w:ind w:left="820" w:hanging="32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Class A Common Stock</w:t>
      </w:r>
    </w:p>
    <w:p>
      <w:pPr>
        <w:spacing w:after="0" w:line="4" w:lineRule="exact"/>
        <w:rPr>
          <w:rFonts w:ascii="Arial" w:cs="Arial" w:eastAsia="Arial" w:hAnsi="Arial"/>
          <w:sz w:val="18"/>
          <w:szCs w:val="18"/>
          <w:color w:val="auto"/>
        </w:rPr>
      </w:pPr>
    </w:p>
    <w:p>
      <w:pPr>
        <w:ind w:left="820" w:hanging="32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Class A Special Common Stock</w:t>
      </w:r>
    </w:p>
    <w:p>
      <w:pPr>
        <w:spacing w:after="0" w:line="99" w:lineRule="exact"/>
        <w:rPr>
          <w:sz w:val="20"/>
          <w:szCs w:val="20"/>
          <w:color w:val="auto"/>
        </w:rPr>
      </w:pPr>
    </w:p>
    <w:p>
      <w:pPr>
        <w:ind w:right="340" w:firstLine="441"/>
        <w:spacing w:after="0" w:line="264"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wholly-owned cable subsidiaries named in this prospectus.</w:t>
      </w:r>
    </w:p>
    <w:p>
      <w:pPr>
        <w:spacing w:after="0" w:line="74" w:lineRule="exact"/>
        <w:rPr>
          <w:sz w:val="20"/>
          <w:szCs w:val="20"/>
          <w:color w:val="auto"/>
        </w:rPr>
      </w:pPr>
    </w:p>
    <w:p>
      <w:pPr>
        <w:ind w:right="140" w:firstLine="441"/>
        <w:spacing w:after="0" w:line="254" w:lineRule="auto"/>
        <w:rPr>
          <w:sz w:val="20"/>
          <w:szCs w:val="20"/>
          <w:color w:val="auto"/>
        </w:rPr>
      </w:pPr>
      <w:r>
        <w:rPr>
          <w:rFonts w:ascii="Arial" w:cs="Arial" w:eastAsia="Arial" w:hAnsi="Arial"/>
          <w:sz w:val="18"/>
          <w:szCs w:val="18"/>
          <w:color w:val="auto"/>
        </w:rPr>
        <w:t>Our Class A Common Stock and Class A Special Common Stock are quoted on The Nasdaq National Market under the ticker symbols “CMCSA” and “CMCSK”. On March 27, 2006, the reported last sale prices on The Nasdaq National Market for our Class A Common Stock and our Class A Special Common Stock were $26.72 and $26.64.</w:t>
      </w:r>
    </w:p>
    <w:p>
      <w:pPr>
        <w:spacing w:after="0" w:line="84" w:lineRule="exact"/>
        <w:rPr>
          <w:sz w:val="20"/>
          <w:szCs w:val="20"/>
          <w:color w:val="auto"/>
        </w:rPr>
      </w:pPr>
    </w:p>
    <w:p>
      <w:pPr>
        <w:ind w:right="400" w:firstLine="438"/>
        <w:spacing w:after="0" w:line="264"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74" w:lineRule="exact"/>
        <w:rPr>
          <w:sz w:val="20"/>
          <w:szCs w:val="20"/>
          <w:color w:val="auto"/>
        </w:rPr>
      </w:pPr>
    </w:p>
    <w:p>
      <w:pPr>
        <w:ind w:left="800" w:hanging="33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Maturity</w:t>
      </w:r>
    </w:p>
    <w:p>
      <w:pPr>
        <w:spacing w:after="0" w:line="16" w:lineRule="exact"/>
        <w:rPr>
          <w:rFonts w:ascii="Arial" w:cs="Arial" w:eastAsia="Arial" w:hAnsi="Arial"/>
          <w:sz w:val="18"/>
          <w:szCs w:val="18"/>
          <w:color w:val="auto"/>
        </w:rPr>
      </w:pPr>
    </w:p>
    <w:p>
      <w:pPr>
        <w:ind w:left="800" w:hanging="33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rate</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Sinking fund terms</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of payments</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Dividends</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Redemption terms</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Listing on a securities exchange</w:t>
      </w:r>
    </w:p>
    <w:p>
      <w:pPr>
        <w:spacing w:after="0" w:line="4" w:lineRule="exact"/>
        <w:rPr>
          <w:rFonts w:ascii="Arial" w:cs="Arial" w:eastAsia="Arial" w:hAnsi="Arial"/>
          <w:sz w:val="18"/>
          <w:szCs w:val="18"/>
          <w:color w:val="auto"/>
        </w:rPr>
      </w:pPr>
    </w:p>
    <w:p>
      <w:pPr>
        <w:ind w:left="780" w:hanging="311"/>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payable at maturity</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Conversion or exchange rights</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Liquidation amount</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Subsidiary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7249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52" w:lineRule="exact"/>
        <w:rPr>
          <w:sz w:val="20"/>
          <w:szCs w:val="20"/>
          <w:color w:val="auto"/>
        </w:rPr>
      </w:pPr>
    </w:p>
    <w:p>
      <w:pPr>
        <w:ind w:firstLine="441"/>
        <w:spacing w:after="0" w:line="271" w:lineRule="auto"/>
        <w:rPr>
          <w:sz w:val="20"/>
          <w:szCs w:val="20"/>
          <w:color w:val="auto"/>
        </w:rPr>
      </w:pPr>
      <w:r>
        <w:rPr>
          <w:rFonts w:ascii="Arial" w:cs="Arial" w:eastAsia="Arial" w:hAnsi="Arial"/>
          <w:sz w:val="18"/>
          <w:szCs w:val="18"/>
          <w:b w:val="1"/>
          <w:bCs w:val="1"/>
          <w:color w:val="auto"/>
        </w:rPr>
        <w:t>Investing in these securities involves certain risks. See “Item 1A — Risk Factors” beginning on page 18 of our annual report on Form 10-K for the year ended December 31, 2005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249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21" w:lineRule="exact"/>
        <w:rPr>
          <w:sz w:val="20"/>
          <w:szCs w:val="20"/>
          <w:color w:val="auto"/>
        </w:rPr>
      </w:pPr>
    </w:p>
    <w:p>
      <w:pPr>
        <w:ind w:right="200" w:firstLine="441"/>
        <w:spacing w:after="0" w:line="271"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249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40" w:lineRule="exact"/>
        <w:rPr>
          <w:sz w:val="20"/>
          <w:szCs w:val="20"/>
          <w:color w:val="auto"/>
        </w:rPr>
      </w:pPr>
    </w:p>
    <w:p>
      <w:pPr>
        <w:ind w:right="20" w:firstLine="438"/>
        <w:spacing w:after="0" w:line="254"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March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220980</wp:posOffset>
            </wp:positionV>
            <wp:extent cx="7253605" cy="40176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401764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bookmarkStart w:id="16" w:name="page17"/>
    <w:bookmarkEnd w:id="16"/>
    <w:tbl>
      <w:tblPr>
        <w:tblLayout w:type="fixed"/>
        <w:tblInd w:w="40" w:type="dxa"/>
        <w:tblCellMar>
          <w:top w:w="0" w:type="dxa"/>
          <w:left w:w="0" w:type="dxa"/>
          <w:bottom w:w="0" w:type="dxa"/>
          <w:right w:w="0" w:type="dxa"/>
        </w:tblCellMar>
      </w:tblPr>
      <w:tr>
        <w:trPr>
          <w:trHeight w:val="229"/>
        </w:trPr>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40" w:type="dxa"/>
            <w:vAlign w:val="bottom"/>
            <w:gridSpan w:val="2"/>
          </w:tcPr>
          <w:p>
            <w:pPr>
              <w:ind w:left="128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0580" w:type="dxa"/>
            <w:vAlign w:val="bottom"/>
            <w:gridSpan w:val="14"/>
            <w:vMerge w:val="restart"/>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The Companies</w:t>
              </w:r>
            </w:hyperlink>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8"/>
        </w:trPr>
        <w:tc>
          <w:tcPr>
            <w:tcW w:w="10580" w:type="dxa"/>
            <w:vAlign w:val="bottom"/>
            <w:gridSpan w:val="14"/>
            <w:vMerge w:val="continue"/>
          </w:tcPr>
          <w:p>
            <w:pPr>
              <w:spacing w:after="0"/>
              <w:rPr>
                <w:sz w:val="15"/>
                <w:szCs w:val="15"/>
                <w:color w:val="auto"/>
              </w:rPr>
            </w:pPr>
          </w:p>
        </w:tc>
        <w:tc>
          <w:tcPr>
            <w:tcW w:w="800" w:type="dxa"/>
            <w:vAlign w:val="bottom"/>
          </w:tcPr>
          <w:p>
            <w:pPr>
              <w:jc w:val="right"/>
              <w:ind w:right="133"/>
              <w:spacing w:after="0" w:line="178"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40" w:type="dxa"/>
            <w:vAlign w:val="bottom"/>
            <w:tcBorders>
              <w:bottom w:val="single" w:sz="8" w:color="0000EE"/>
            </w:tcBorders>
            <w:gridSpan w:val="10"/>
          </w:tcPr>
          <w:p>
            <w:pPr>
              <w:spacing w:after="0" w:line="192"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Caution Concerning Forwardlooking Statements</w:t>
              </w:r>
            </w:hyperlink>
          </w:p>
        </w:tc>
        <w:tc>
          <w:tcPr>
            <w:tcW w:w="7140" w:type="dxa"/>
            <w:vAlign w:val="bottom"/>
            <w:gridSpan w:val="4"/>
          </w:tcPr>
          <w:p>
            <w:pPr>
              <w:spacing w:after="0"/>
              <w:rPr>
                <w:sz w:val="16"/>
                <w:szCs w:val="16"/>
                <w:color w:val="auto"/>
              </w:rPr>
            </w:pPr>
          </w:p>
        </w:tc>
        <w:tc>
          <w:tcPr>
            <w:tcW w:w="800" w:type="dxa"/>
            <w:vAlign w:val="bottom"/>
          </w:tcPr>
          <w:p>
            <w:pPr>
              <w:jc w:val="right"/>
              <w:ind w:right="133"/>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0000EE"/>
            </w:tcBorders>
            <w:gridSpan w:val="4"/>
          </w:tcPr>
          <w:p>
            <w:pPr>
              <w:spacing w:after="0" w:line="192" w:lineRule="exact"/>
              <w:rPr>
                <w:rFonts w:ascii="Arial" w:cs="Arial" w:eastAsia="Arial" w:hAnsi="Arial"/>
                <w:sz w:val="18"/>
                <w:szCs w:val="18"/>
                <w:color w:val="0000EE"/>
                <w:w w:val="85"/>
              </w:rPr>
            </w:pPr>
            <w:hyperlink w:anchor="page20">
              <w:r>
                <w:rPr>
                  <w:rFonts w:ascii="Arial" w:cs="Arial" w:eastAsia="Arial" w:hAnsi="Arial"/>
                  <w:sz w:val="18"/>
                  <w:szCs w:val="18"/>
                  <w:color w:val="0000EE"/>
                  <w:w w:val="85"/>
                </w:rPr>
                <w:t>Use of Proceeds</w:t>
              </w:r>
            </w:hyperlink>
          </w:p>
        </w:tc>
        <w:tc>
          <w:tcPr>
            <w:tcW w:w="9420" w:type="dxa"/>
            <w:vAlign w:val="bottom"/>
            <w:gridSpan w:val="10"/>
          </w:tcPr>
          <w:p>
            <w:pPr>
              <w:spacing w:after="0"/>
              <w:rPr>
                <w:sz w:val="16"/>
                <w:szCs w:val="16"/>
                <w:color w:val="auto"/>
              </w:rPr>
            </w:pPr>
          </w:p>
        </w:tc>
        <w:tc>
          <w:tcPr>
            <w:tcW w:w="800" w:type="dxa"/>
            <w:vAlign w:val="bottom"/>
          </w:tcPr>
          <w:p>
            <w:pPr>
              <w:jc w:val="right"/>
              <w:ind w:right="133"/>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2"/>
        </w:trPr>
        <w:tc>
          <w:tcPr>
            <w:tcW w:w="10580" w:type="dxa"/>
            <w:vAlign w:val="bottom"/>
            <w:gridSpan w:val="14"/>
          </w:tcPr>
          <w:p>
            <w:pPr>
              <w:spacing w:after="0" w:line="192" w:lineRule="exact"/>
              <w:rPr>
                <w:rFonts w:ascii="Arial" w:cs="Arial" w:eastAsia="Arial" w:hAnsi="Arial"/>
                <w:sz w:val="18"/>
                <w:szCs w:val="18"/>
                <w:color w:val="0000EE"/>
              </w:rPr>
            </w:pPr>
            <w:hyperlink w:anchor="page20">
              <w:r>
                <w:rPr>
                  <w:rFonts w:ascii="Arial" w:cs="Arial" w:eastAsia="Arial" w:hAnsi="Arial"/>
                  <w:sz w:val="18"/>
                  <w:szCs w:val="18"/>
                  <w:color w:val="0000EE"/>
                </w:rPr>
                <w:t>Dividend Policy</w:t>
              </w:r>
            </w:hyperlink>
          </w:p>
        </w:tc>
        <w:tc>
          <w:tcPr>
            <w:tcW w:w="800" w:type="dxa"/>
            <w:vAlign w:val="bottom"/>
          </w:tcPr>
          <w:p>
            <w:pPr>
              <w:jc w:val="right"/>
              <w:ind w:right="133"/>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14"/>
          </w:tcPr>
          <w:p>
            <w:pPr>
              <w:spacing w:after="0" w:line="192" w:lineRule="exact"/>
              <w:rPr>
                <w:rFonts w:ascii="Arial" w:cs="Arial" w:eastAsia="Arial" w:hAnsi="Arial"/>
                <w:sz w:val="18"/>
                <w:szCs w:val="18"/>
                <w:color w:val="0000EE"/>
              </w:rPr>
            </w:pPr>
            <w:hyperlink w:anchor="page20">
              <w:r>
                <w:rPr>
                  <w:rFonts w:ascii="Arial" w:cs="Arial" w:eastAsia="Arial" w:hAnsi="Arial"/>
                  <w:sz w:val="18"/>
                  <w:szCs w:val="18"/>
                  <w:color w:val="0000EE"/>
                </w:rPr>
                <w:t>Ratios of Earnings to Fixed Charges</w:t>
              </w:r>
            </w:hyperlink>
          </w:p>
        </w:tc>
        <w:tc>
          <w:tcPr>
            <w:tcW w:w="800" w:type="dxa"/>
            <w:vAlign w:val="bottom"/>
          </w:tcPr>
          <w:p>
            <w:pPr>
              <w:jc w:val="right"/>
              <w:ind w:right="133"/>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14"/>
          </w:tcPr>
          <w:p>
            <w:pPr>
              <w:spacing w:after="0" w:line="192" w:lineRule="exact"/>
              <w:rPr>
                <w:rFonts w:ascii="Arial" w:cs="Arial" w:eastAsia="Arial" w:hAnsi="Arial"/>
                <w:sz w:val="18"/>
                <w:szCs w:val="18"/>
                <w:color w:val="0000EE"/>
              </w:rPr>
            </w:pPr>
            <w:hyperlink w:anchor="page21">
              <w:r>
                <w:rPr>
                  <w:rFonts w:ascii="Arial" w:cs="Arial" w:eastAsia="Arial" w:hAnsi="Arial"/>
                  <w:sz w:val="18"/>
                  <w:szCs w:val="18"/>
                  <w:color w:val="0000EE"/>
                </w:rPr>
                <w:t>Ratio of Earnings to Combined Fixed Charges and Preferred Dividends</w:t>
              </w:r>
            </w:hyperlink>
          </w:p>
        </w:tc>
        <w:tc>
          <w:tcPr>
            <w:tcW w:w="800" w:type="dxa"/>
            <w:vAlign w:val="bottom"/>
          </w:tcPr>
          <w:p>
            <w:pPr>
              <w:jc w:val="right"/>
              <w:ind w:right="133"/>
              <w:spacing w:after="0" w:line="19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2"/>
        </w:trPr>
        <w:tc>
          <w:tcPr>
            <w:tcW w:w="5040" w:type="dxa"/>
            <w:vAlign w:val="bottom"/>
            <w:tcBorders>
              <w:top w:val="single" w:sz="8" w:color="0000EE"/>
            </w:tcBorders>
            <w:gridSpan w:val="13"/>
          </w:tcPr>
          <w:p>
            <w:pPr>
              <w:spacing w:after="0" w:line="192" w:lineRule="exact"/>
              <w:rPr>
                <w:rFonts w:ascii="Arial" w:cs="Arial" w:eastAsia="Arial" w:hAnsi="Arial"/>
                <w:sz w:val="18"/>
                <w:szCs w:val="18"/>
                <w:color w:val="0000EE"/>
              </w:rPr>
            </w:pPr>
            <w:hyperlink w:anchor="page22">
              <w:r>
                <w:rPr>
                  <w:rFonts w:ascii="Arial" w:cs="Arial" w:eastAsia="Arial" w:hAnsi="Arial"/>
                  <w:sz w:val="18"/>
                  <w:szCs w:val="18"/>
                  <w:color w:val="0000EE"/>
                </w:rPr>
                <w:t>Description of Debt Securities and Cable Guarantees</w:t>
              </w:r>
            </w:hyperlink>
          </w:p>
        </w:tc>
        <w:tc>
          <w:tcPr>
            <w:tcW w:w="5540" w:type="dxa"/>
            <w:vAlign w:val="bottom"/>
          </w:tcPr>
          <w:p>
            <w:pPr>
              <w:spacing w:after="0"/>
              <w:rPr>
                <w:sz w:val="16"/>
                <w:szCs w:val="16"/>
                <w:color w:val="auto"/>
              </w:rPr>
            </w:pPr>
          </w:p>
        </w:tc>
        <w:tc>
          <w:tcPr>
            <w:tcW w:w="800" w:type="dxa"/>
            <w:vAlign w:val="bottom"/>
          </w:tcPr>
          <w:p>
            <w:pPr>
              <w:jc w:val="right"/>
              <w:ind w:right="133"/>
              <w:spacing w:after="0" w:line="19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2"/>
        </w:trPr>
        <w:tc>
          <w:tcPr>
            <w:tcW w:w="3740" w:type="dxa"/>
            <w:vAlign w:val="bottom"/>
            <w:tcBorders>
              <w:top w:val="single" w:sz="8" w:color="0000EE"/>
            </w:tcBorders>
            <w:gridSpan w:val="12"/>
          </w:tcPr>
          <w:p>
            <w:pPr>
              <w:spacing w:after="0" w:line="192" w:lineRule="exact"/>
              <w:rPr>
                <w:rFonts w:ascii="Arial" w:cs="Arial" w:eastAsia="Arial" w:hAnsi="Arial"/>
                <w:sz w:val="18"/>
                <w:szCs w:val="18"/>
                <w:color w:val="0000EE"/>
              </w:rPr>
            </w:pPr>
            <w:hyperlink w:anchor="page36">
              <w:r>
                <w:rPr>
                  <w:rFonts w:ascii="Arial" w:cs="Arial" w:eastAsia="Arial" w:hAnsi="Arial"/>
                  <w:sz w:val="18"/>
                  <w:szCs w:val="18"/>
                  <w:color w:val="0000EE"/>
                </w:rPr>
                <w:t>Global Securities</w:t>
              </w:r>
            </w:hyperlink>
          </w:p>
        </w:tc>
        <w:tc>
          <w:tcPr>
            <w:tcW w:w="6840" w:type="dxa"/>
            <w:vAlign w:val="bottom"/>
            <w:gridSpan w:val="2"/>
          </w:tcPr>
          <w:p>
            <w:pPr>
              <w:spacing w:after="0"/>
              <w:rPr>
                <w:sz w:val="16"/>
                <w:szCs w:val="16"/>
                <w:color w:val="auto"/>
              </w:rPr>
            </w:pPr>
          </w:p>
        </w:tc>
        <w:tc>
          <w:tcPr>
            <w:tcW w:w="800" w:type="dxa"/>
            <w:vAlign w:val="bottom"/>
          </w:tcPr>
          <w:p>
            <w:pPr>
              <w:jc w:val="right"/>
              <w:ind w:right="133"/>
              <w:spacing w:after="0" w:line="19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70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14"/>
          </w:tcPr>
          <w:p>
            <w:pPr>
              <w:spacing w:after="0" w:line="192" w:lineRule="exact"/>
              <w:rPr>
                <w:rFonts w:ascii="Arial" w:cs="Arial" w:eastAsia="Arial" w:hAnsi="Arial"/>
                <w:sz w:val="18"/>
                <w:szCs w:val="18"/>
                <w:color w:val="0000EE"/>
              </w:rPr>
            </w:pPr>
            <w:hyperlink w:anchor="page38">
              <w:r>
                <w:rPr>
                  <w:rFonts w:ascii="Arial" w:cs="Arial" w:eastAsia="Arial" w:hAnsi="Arial"/>
                  <w:sz w:val="18"/>
                  <w:szCs w:val="18"/>
                  <w:color w:val="0000EE"/>
                </w:rPr>
                <w:t>Description of Capital Stock</w:t>
              </w:r>
            </w:hyperlink>
          </w:p>
        </w:tc>
        <w:tc>
          <w:tcPr>
            <w:tcW w:w="800" w:type="dxa"/>
            <w:vAlign w:val="bottom"/>
          </w:tcPr>
          <w:p>
            <w:pPr>
              <w:jc w:val="right"/>
              <w:ind w:right="133"/>
              <w:spacing w:after="0" w:line="19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2"/>
        </w:trPr>
        <w:tc>
          <w:tcPr>
            <w:tcW w:w="1420" w:type="dxa"/>
            <w:vAlign w:val="bottom"/>
            <w:tcBorders>
              <w:top w:val="single" w:sz="8" w:color="0000EE"/>
              <w:bottom w:val="single" w:sz="8" w:color="0000EE"/>
            </w:tcBorders>
            <w:gridSpan w:val="6"/>
          </w:tcPr>
          <w:p>
            <w:pPr>
              <w:spacing w:after="0" w:line="192"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Plan of Distribution</w:t>
              </w:r>
            </w:hyperlink>
          </w:p>
        </w:tc>
        <w:tc>
          <w:tcPr>
            <w:tcW w:w="600" w:type="dxa"/>
            <w:vAlign w:val="bottom"/>
            <w:tcBorders>
              <w:top w:val="single" w:sz="8" w:color="0000EE"/>
            </w:tcBorders>
            <w:gridSpan w:val="2"/>
          </w:tcPr>
          <w:p>
            <w:pPr>
              <w:spacing w:after="0"/>
              <w:rPr>
                <w:sz w:val="16"/>
                <w:szCs w:val="16"/>
                <w:color w:val="auto"/>
              </w:rPr>
            </w:pPr>
          </w:p>
        </w:tc>
        <w:tc>
          <w:tcPr>
            <w:tcW w:w="8560" w:type="dxa"/>
            <w:vAlign w:val="bottom"/>
            <w:gridSpan w:val="6"/>
          </w:tcPr>
          <w:p>
            <w:pPr>
              <w:spacing w:after="0"/>
              <w:rPr>
                <w:sz w:val="16"/>
                <w:szCs w:val="16"/>
                <w:color w:val="auto"/>
              </w:rPr>
            </w:pPr>
          </w:p>
        </w:tc>
        <w:tc>
          <w:tcPr>
            <w:tcW w:w="800" w:type="dxa"/>
            <w:vAlign w:val="bottom"/>
          </w:tcPr>
          <w:p>
            <w:pPr>
              <w:jc w:val="right"/>
              <w:ind w:right="133"/>
              <w:spacing w:after="0" w:line="19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2"/>
        </w:trPr>
        <w:tc>
          <w:tcPr>
            <w:tcW w:w="1000" w:type="dxa"/>
            <w:vAlign w:val="bottom"/>
            <w:tcBorders>
              <w:bottom w:val="single" w:sz="8" w:color="0000EE"/>
            </w:tcBorders>
            <w:gridSpan w:val="2"/>
          </w:tcPr>
          <w:p>
            <w:pPr>
              <w:spacing w:after="0" w:line="192"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Legal Matters</w:t>
              </w:r>
            </w:hyperlink>
          </w:p>
        </w:tc>
        <w:tc>
          <w:tcPr>
            <w:tcW w:w="9580" w:type="dxa"/>
            <w:vAlign w:val="bottom"/>
            <w:gridSpan w:val="12"/>
          </w:tcPr>
          <w:p>
            <w:pPr>
              <w:spacing w:after="0"/>
              <w:rPr>
                <w:sz w:val="16"/>
                <w:szCs w:val="16"/>
                <w:color w:val="auto"/>
              </w:rPr>
            </w:pPr>
          </w:p>
        </w:tc>
        <w:tc>
          <w:tcPr>
            <w:tcW w:w="800" w:type="dxa"/>
            <w:vAlign w:val="bottom"/>
          </w:tcPr>
          <w:p>
            <w:pPr>
              <w:jc w:val="right"/>
              <w:ind w:right="133"/>
              <w:spacing w:after="0" w:line="19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2"/>
        </w:trPr>
        <w:tc>
          <w:tcPr>
            <w:tcW w:w="10580" w:type="dxa"/>
            <w:vAlign w:val="bottom"/>
            <w:gridSpan w:val="14"/>
          </w:tcPr>
          <w:p>
            <w:pPr>
              <w:spacing w:after="0" w:line="192" w:lineRule="exact"/>
              <w:rPr>
                <w:rFonts w:ascii="Arial" w:cs="Arial" w:eastAsia="Arial" w:hAnsi="Arial"/>
                <w:sz w:val="18"/>
                <w:szCs w:val="18"/>
                <w:color w:val="0000EE"/>
              </w:rPr>
            </w:pPr>
            <w:hyperlink w:anchor="page43">
              <w:r>
                <w:rPr>
                  <w:rFonts w:ascii="Arial" w:cs="Arial" w:eastAsia="Arial" w:hAnsi="Arial"/>
                  <w:sz w:val="18"/>
                  <w:szCs w:val="18"/>
                  <w:color w:val="0000EE"/>
                </w:rPr>
                <w:t>Experts</w:t>
              </w:r>
            </w:hyperlink>
          </w:p>
        </w:tc>
        <w:tc>
          <w:tcPr>
            <w:tcW w:w="800" w:type="dxa"/>
            <w:vAlign w:val="bottom"/>
          </w:tcPr>
          <w:p>
            <w:pPr>
              <w:jc w:val="right"/>
              <w:ind w:right="133"/>
              <w:spacing w:after="0" w:line="19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70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14"/>
          </w:tcPr>
          <w:p>
            <w:pPr>
              <w:spacing w:after="0" w:line="192" w:lineRule="exact"/>
              <w:rPr>
                <w:rFonts w:ascii="Arial" w:cs="Arial" w:eastAsia="Arial" w:hAnsi="Arial"/>
                <w:sz w:val="18"/>
                <w:szCs w:val="18"/>
                <w:color w:val="0000EE"/>
              </w:rPr>
            </w:pPr>
            <w:hyperlink w:anchor="page43">
              <w:r>
                <w:rPr>
                  <w:rFonts w:ascii="Arial" w:cs="Arial" w:eastAsia="Arial" w:hAnsi="Arial"/>
                  <w:sz w:val="18"/>
                  <w:szCs w:val="18"/>
                  <w:color w:val="0000EE"/>
                </w:rPr>
                <w:t>Available Information</w:t>
              </w:r>
            </w:hyperlink>
          </w:p>
        </w:tc>
        <w:tc>
          <w:tcPr>
            <w:tcW w:w="800" w:type="dxa"/>
            <w:vAlign w:val="bottom"/>
          </w:tcPr>
          <w:p>
            <w:pPr>
              <w:jc w:val="right"/>
              <w:ind w:right="133"/>
              <w:spacing w:after="0" w:line="19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560" w:type="dxa"/>
            <w:vAlign w:val="bottom"/>
            <w:gridSpan w:val="7"/>
            <w:shd w:val="clear" w:color="auto" w:fill="0000EE"/>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70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14"/>
          </w:tcPr>
          <w:p>
            <w:pPr>
              <w:spacing w:after="0" w:line="192" w:lineRule="exact"/>
              <w:rPr>
                <w:rFonts w:ascii="Arial" w:cs="Arial" w:eastAsia="Arial" w:hAnsi="Arial"/>
                <w:sz w:val="18"/>
                <w:szCs w:val="18"/>
                <w:color w:val="0000EE"/>
              </w:rPr>
            </w:pPr>
            <w:hyperlink w:anchor="page44">
              <w:r>
                <w:rPr>
                  <w:rFonts w:ascii="Arial" w:cs="Arial" w:eastAsia="Arial" w:hAnsi="Arial"/>
                  <w:sz w:val="18"/>
                  <w:szCs w:val="18"/>
                  <w:color w:val="0000EE"/>
                </w:rPr>
                <w:t>Incorporation of Certain Documents by Reference</w:t>
              </w:r>
            </w:hyperlink>
          </w:p>
        </w:tc>
        <w:tc>
          <w:tcPr>
            <w:tcW w:w="800" w:type="dxa"/>
            <w:vAlign w:val="bottom"/>
          </w:tcPr>
          <w:p>
            <w:pPr>
              <w:jc w:val="right"/>
              <w:ind w:right="133"/>
              <w:spacing w:after="0" w:line="19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right="340" w:firstLine="258"/>
        <w:spacing w:after="0" w:line="329" w:lineRule="auto"/>
        <w:rPr>
          <w:sz w:val="20"/>
          <w:szCs w:val="20"/>
          <w:color w:val="auto"/>
        </w:rPr>
      </w:pPr>
      <w:r>
        <w:rPr>
          <w:rFonts w:ascii="Arial" w:cs="Arial" w:eastAsia="Arial" w:hAnsi="Arial"/>
          <w:sz w:val="15"/>
          <w:szCs w:val="15"/>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31" w:lineRule="exact"/>
        <w:rPr>
          <w:sz w:val="20"/>
          <w:szCs w:val="20"/>
          <w:color w:val="auto"/>
        </w:rPr>
      </w:pPr>
    </w:p>
    <w:p>
      <w:pPr>
        <w:ind w:right="520" w:firstLine="261"/>
        <w:spacing w:after="0" w:line="254" w:lineRule="auto"/>
        <w:rPr>
          <w:sz w:val="20"/>
          <w:szCs w:val="20"/>
          <w:color w:val="auto"/>
        </w:rPr>
      </w:pPr>
      <w:r>
        <w:rPr>
          <w:rFonts w:ascii="Arial" w:cs="Arial" w:eastAsia="Arial" w:hAnsi="Arial"/>
          <w:sz w:val="18"/>
          <w:szCs w:val="18"/>
          <w:color w:val="auto"/>
        </w:rPr>
        <w:t>We refer to Comcast Corporation in this prospectus as “Comcast” or “we,” “us,” “our” or comparable terms and to Comcast Holdings Corporation as “Comcast Holdings.” We refer to Comcast Cable Communications, LLC, Comcast Cable Communications Holdings, Inc., Comcast Cable Holdings, LLC, Comcast MO Group, Inc. and Comcast MO of Delaware, LLC collectively as the “Cable Guarantors.”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6010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3930" cy="6010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THE COMPANIES</w:t>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Comcast Corporation</w:t>
      </w:r>
    </w:p>
    <w:p>
      <w:pPr>
        <w:spacing w:after="0" w:line="117" w:lineRule="exact"/>
        <w:rPr>
          <w:sz w:val="20"/>
          <w:szCs w:val="20"/>
          <w:color w:val="auto"/>
        </w:rPr>
      </w:pPr>
    </w:p>
    <w:p>
      <w:pPr>
        <w:ind w:left="180" w:firstLine="261"/>
        <w:spacing w:after="0" w:line="251" w:lineRule="auto"/>
        <w:rPr>
          <w:sz w:val="20"/>
          <w:szCs w:val="20"/>
          <w:color w:val="auto"/>
        </w:rPr>
      </w:pPr>
      <w:r>
        <w:rPr>
          <w:rFonts w:ascii="Arial" w:cs="Arial" w:eastAsia="Arial" w:hAnsi="Arial"/>
          <w:sz w:val="18"/>
          <w:szCs w:val="18"/>
          <w:color w:val="auto"/>
        </w:rPr>
        <w:t>We are the largest broadband cable provider in the United States and offer a wide variety of consumer entertainment and communication products and services. As of December 31, 2005, we served more than 21 million video subscribers, 8 million high-speed Internet subscribers and 1 million phone subscribers We were incorporated under the laws of Pennsylvania in December 2001. Through our predecessors (including our immediate predecessor Comcast Holdings), we have developed, managed and operated broadband cable systems since 1963.</w:t>
      </w:r>
    </w:p>
    <w:p>
      <w:pPr>
        <w:spacing w:after="0" w:line="87" w:lineRule="exact"/>
        <w:rPr>
          <w:sz w:val="20"/>
          <w:szCs w:val="20"/>
          <w:color w:val="auto"/>
        </w:rPr>
      </w:pPr>
    </w:p>
    <w:p>
      <w:pPr>
        <w:ind w:left="180" w:right="140" w:firstLine="261"/>
        <w:spacing w:after="0" w:line="264" w:lineRule="auto"/>
        <w:rPr>
          <w:sz w:val="20"/>
          <w:szCs w:val="20"/>
          <w:color w:val="auto"/>
        </w:rPr>
      </w:pPr>
      <w:r>
        <w:rPr>
          <w:rFonts w:ascii="Arial" w:cs="Arial" w:eastAsia="Arial" w:hAnsi="Arial"/>
          <w:sz w:val="18"/>
          <w:szCs w:val="18"/>
          <w:color w:val="auto"/>
        </w:rPr>
        <w:t>We manage our operations through two reportable segments, “Cable” and “Content”. The Cable segment generates approximately 95% of our consolidated revenues.</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Cable segment develops, manages and operates our broadband cable systems, including video, high-speed Internet and phone services.</w:t>
      </w:r>
    </w:p>
    <w:p>
      <w:pPr>
        <w:spacing w:after="0" w:line="122" w:lineRule="exact"/>
        <w:rPr>
          <w:sz w:val="20"/>
          <w:szCs w:val="20"/>
          <w:color w:val="auto"/>
        </w:rPr>
      </w:pPr>
    </w:p>
    <w:p>
      <w:pPr>
        <w:ind w:left="180" w:right="640" w:firstLine="264"/>
        <w:spacing w:after="0" w:line="264" w:lineRule="auto"/>
        <w:rPr>
          <w:sz w:val="20"/>
          <w:szCs w:val="20"/>
          <w:color w:val="auto"/>
        </w:rPr>
      </w:pPr>
      <w:r>
        <w:rPr>
          <w:rFonts w:ascii="Arial" w:cs="Arial" w:eastAsia="Arial" w:hAnsi="Arial"/>
          <w:sz w:val="18"/>
          <w:szCs w:val="18"/>
          <w:color w:val="auto"/>
        </w:rPr>
        <w:t>Our Content segment includes our six national cable networks: E! Entertainment Television, Style Network, The Golf Channel, OLN, G4, and AZN Television.</w:t>
      </w:r>
    </w:p>
    <w:p>
      <w:pPr>
        <w:spacing w:after="0" w:line="74" w:lineRule="exact"/>
        <w:rPr>
          <w:sz w:val="20"/>
          <w:szCs w:val="20"/>
          <w:color w:val="auto"/>
        </w:rPr>
      </w:pPr>
    </w:p>
    <w:p>
      <w:pPr>
        <w:ind w:left="180" w:right="260" w:firstLine="264"/>
        <w:spacing w:after="0" w:line="264" w:lineRule="auto"/>
        <w:rPr>
          <w:sz w:val="20"/>
          <w:szCs w:val="20"/>
          <w:color w:val="auto"/>
        </w:rPr>
      </w:pPr>
      <w:r>
        <w:rPr>
          <w:rFonts w:ascii="Arial" w:cs="Arial" w:eastAsia="Arial" w:hAnsi="Arial"/>
          <w:sz w:val="18"/>
          <w:szCs w:val="18"/>
          <w:color w:val="auto"/>
        </w:rPr>
        <w:t>Our other business interests include Comcast Spectacor, which owns the Philadelphia Flyers, the Philadelphia 76ers and two large multipurpose arenas in Philadelphia, and manages other facilities for sporting events, concerts and other events.</w:t>
      </w:r>
    </w:p>
    <w:p>
      <w:pPr>
        <w:spacing w:after="0" w:line="74" w:lineRule="exact"/>
        <w:rPr>
          <w:sz w:val="20"/>
          <w:szCs w:val="20"/>
          <w:color w:val="auto"/>
        </w:rPr>
      </w:pPr>
    </w:p>
    <w:p>
      <w:pPr>
        <w:ind w:left="180" w:right="40" w:firstLine="264"/>
        <w:spacing w:after="0" w:line="25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 “Available Information” in the accompanying prospectus.</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Cable Guarantors</w:t>
      </w:r>
    </w:p>
    <w:p>
      <w:pPr>
        <w:spacing w:after="0" w:line="117" w:lineRule="exact"/>
        <w:rPr>
          <w:sz w:val="20"/>
          <w:szCs w:val="20"/>
          <w:color w:val="auto"/>
        </w:rPr>
      </w:pPr>
    </w:p>
    <w:p>
      <w:pPr>
        <w:ind w:left="180" w:right="80" w:firstLine="264"/>
        <w:spacing w:after="0" w:line="312" w:lineRule="auto"/>
        <w:rPr>
          <w:sz w:val="20"/>
          <w:szCs w:val="20"/>
          <w:color w:val="auto"/>
        </w:rPr>
      </w:pPr>
      <w:r>
        <w:rPr>
          <w:rFonts w:ascii="Arial" w:cs="Arial" w:eastAsia="Arial" w:hAnsi="Arial"/>
          <w:sz w:val="15"/>
          <w:szCs w:val="15"/>
          <w:color w:val="auto"/>
        </w:rPr>
        <w:t>Our obligations, including the payment of principal, premium, if any, and interest on the debt securities issued pursuant to this prospectus will be fully and unconditionally guaranteed by each of Comcast Cable, Comcast Cable Communications Holdings, Comcast Cable Holdings, Comcast MO Group and Comcast MO of Delaware. In this prospectus, we refer to these guarantors as the cable guarantors and to these guarantees as the cable guarantees. We have numerous other subsidiaries that will not be guarantors on the debt securities. If indicated in the relevant prospectus supplement, our obligations under the other securities we are offering and selling may be fully and unconditionally guaranteed by specified cable guarantors.</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111" w:lineRule="exact"/>
        <w:rPr>
          <w:sz w:val="20"/>
          <w:szCs w:val="20"/>
          <w:color w:val="auto"/>
        </w:rPr>
      </w:pPr>
    </w:p>
    <w:p>
      <w:pPr>
        <w:ind w:left="980" w:right="160" w:hanging="458"/>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87" w:lineRule="exact"/>
        <w:rPr>
          <w:rFonts w:ascii="Arial" w:cs="Arial" w:eastAsia="Arial" w:hAnsi="Arial"/>
          <w:sz w:val="18"/>
          <w:szCs w:val="18"/>
          <w:color w:val="auto"/>
        </w:rPr>
      </w:pPr>
    </w:p>
    <w:p>
      <w:pPr>
        <w:ind w:left="980" w:hanging="458"/>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cable guarantor.</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111" w:lineRule="exact"/>
        <w:rPr>
          <w:sz w:val="20"/>
          <w:szCs w:val="20"/>
          <w:color w:val="auto"/>
        </w:rPr>
      </w:pPr>
    </w:p>
    <w:p>
      <w:pPr>
        <w:ind w:left="180" w:right="40" w:firstLine="264"/>
        <w:spacing w:after="0" w:line="264"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wholly-owned subsidiary of ours.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Comcast Cable Communications Holdings, Inc.</w:t>
      </w:r>
    </w:p>
    <w:p>
      <w:pPr>
        <w:spacing w:after="0" w:line="111" w:lineRule="exact"/>
        <w:rPr>
          <w:sz w:val="20"/>
          <w:szCs w:val="20"/>
          <w:color w:val="auto"/>
        </w:rPr>
      </w:pPr>
    </w:p>
    <w:p>
      <w:pPr>
        <w:ind w:left="180" w:right="40" w:firstLine="264"/>
        <w:spacing w:after="0" w:line="264" w:lineRule="auto"/>
        <w:rPr>
          <w:sz w:val="20"/>
          <w:szCs w:val="20"/>
          <w:color w:val="auto"/>
        </w:rPr>
      </w:pPr>
      <w:r>
        <w:rPr>
          <w:rFonts w:ascii="Arial" w:cs="Arial" w:eastAsia="Arial" w:hAnsi="Arial"/>
          <w:sz w:val="18"/>
          <w:szCs w:val="18"/>
          <w:color w:val="auto"/>
        </w:rPr>
        <w:t>Comcast Cable Communications Holdings is a Delaware corporation (formerly known as AT&amp;T Broadband Corp.) incorporated in 2001 and a wholly-owne subsidiary of ours.</w:t>
      </w:r>
    </w:p>
    <w:p>
      <w:pPr>
        <w:spacing w:after="0" w:line="3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2936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3930" cy="2936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111" w:lineRule="exact"/>
        <w:rPr>
          <w:sz w:val="20"/>
          <w:szCs w:val="20"/>
          <w:color w:val="auto"/>
        </w:rPr>
      </w:pPr>
    </w:p>
    <w:p>
      <w:pPr>
        <w:ind w:left="180" w:firstLine="264"/>
        <w:spacing w:after="0" w:line="264" w:lineRule="auto"/>
        <w:rPr>
          <w:sz w:val="20"/>
          <w:szCs w:val="20"/>
          <w:color w:val="auto"/>
        </w:rPr>
      </w:pPr>
      <w:r>
        <w:rPr>
          <w:rFonts w:ascii="Arial" w:cs="Arial" w:eastAsia="Arial" w:hAnsi="Arial"/>
          <w:sz w:val="18"/>
          <w:szCs w:val="18"/>
          <w:color w:val="auto"/>
        </w:rPr>
        <w:t>Comcast Cable Holdings is a Delaware limited liability company (formerly known as AT&amp;T Broadband, LLC) formed in 1994. Comcast Cable Holdings is a wholly-owned subsidiary of Comcast Cable Communications Holdings.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111" w:lineRule="exact"/>
        <w:rPr>
          <w:sz w:val="20"/>
          <w:szCs w:val="20"/>
          <w:color w:val="auto"/>
        </w:rPr>
      </w:pPr>
    </w:p>
    <w:p>
      <w:pPr>
        <w:ind w:left="180" w:right="260" w:firstLine="264"/>
        <w:spacing w:after="0" w:line="264" w:lineRule="auto"/>
        <w:rPr>
          <w:sz w:val="20"/>
          <w:szCs w:val="20"/>
          <w:color w:val="auto"/>
        </w:rPr>
      </w:pPr>
      <w:r>
        <w:rPr>
          <w:rFonts w:ascii="Arial" w:cs="Arial" w:eastAsia="Arial" w:hAnsi="Arial"/>
          <w:sz w:val="18"/>
          <w:szCs w:val="18"/>
          <w:color w:val="auto"/>
        </w:rPr>
        <w:t>Comcast MO Group is a Delaware corporation (formerly known as MediaOne Group, Inc.) incorporated in 1999. Comcast MO Group is a wholly-owned subsidiary of Comcast Cable Communications Holdings.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Comcast MO of Delaware, LLC</w:t>
      </w:r>
    </w:p>
    <w:p>
      <w:pPr>
        <w:spacing w:after="0" w:line="111" w:lineRule="exact"/>
        <w:rPr>
          <w:sz w:val="20"/>
          <w:szCs w:val="20"/>
          <w:color w:val="auto"/>
        </w:rPr>
      </w:pPr>
    </w:p>
    <w:p>
      <w:pPr>
        <w:ind w:left="180" w:right="80" w:firstLine="264"/>
        <w:spacing w:after="0" w:line="264" w:lineRule="auto"/>
        <w:rPr>
          <w:sz w:val="20"/>
          <w:szCs w:val="20"/>
          <w:color w:val="auto"/>
        </w:rPr>
      </w:pPr>
      <w:r>
        <w:rPr>
          <w:rFonts w:ascii="Arial" w:cs="Arial" w:eastAsia="Arial" w:hAnsi="Arial"/>
          <w:sz w:val="18"/>
          <w:szCs w:val="18"/>
          <w:color w:val="auto"/>
        </w:rPr>
        <w:t>Comcast MO of Delaware, which was incorporated in 1996 as a Delaware corporation, became a Delaware limited liability company in 2003. Comcast MO of Delaware is an indirect wholly-owned subsidiary of Comcast MO Group.</w:t>
      </w:r>
    </w:p>
    <w:p>
      <w:pPr>
        <w:spacing w:after="0" w:line="200" w:lineRule="exact"/>
        <w:rPr>
          <w:sz w:val="20"/>
          <w:szCs w:val="20"/>
          <w:color w:val="auto"/>
        </w:rPr>
      </w:pPr>
    </w:p>
    <w:p>
      <w:pPr>
        <w:spacing w:after="0" w:line="231" w:lineRule="exact"/>
        <w:rPr>
          <w:sz w:val="20"/>
          <w:szCs w:val="20"/>
          <w:color w:val="auto"/>
        </w:rPr>
      </w:pPr>
    </w:p>
    <w:p>
      <w:pPr>
        <w:ind w:left="180" w:right="40" w:firstLine="264"/>
        <w:spacing w:after="0" w:line="254" w:lineRule="auto"/>
        <w:rPr>
          <w:sz w:val="20"/>
          <w:szCs w:val="20"/>
          <w:color w:val="auto"/>
        </w:rPr>
      </w:pPr>
      <w:r>
        <w:rPr>
          <w:rFonts w:ascii="Arial" w:cs="Arial" w:eastAsia="Arial" w:hAnsi="Arial"/>
          <w:sz w:val="18"/>
          <w:szCs w:val="18"/>
          <w:color w:val="auto"/>
        </w:rPr>
        <w:t>Our principal executive offices are located at 1500 Market Street, Philadelphia, Pennsylvania 19102-2148, and our telephone number is (215) 665-1700. We maintain a website at http://www.comcast.com where general information about us is available. We are not incorporating the contents of the website into this prospectus.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cable guarantor’s principal place of business is 1500 Market Street, Philadelphia, Pennsylvania 19102-2148.</w:t>
      </w:r>
    </w:p>
    <w:p>
      <w:pPr>
        <w:spacing w:after="0" w:line="34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80" w:right="3100" w:firstLine="2847"/>
        <w:spacing w:after="0" w:line="371" w:lineRule="auto"/>
        <w:rPr>
          <w:sz w:val="20"/>
          <w:szCs w:val="20"/>
          <w:color w:val="auto"/>
        </w:rPr>
      </w:pPr>
      <w:r>
        <w:rPr>
          <w:rFonts w:ascii="Arial" w:cs="Arial" w:eastAsia="Arial" w:hAnsi="Arial"/>
          <w:sz w:val="18"/>
          <w:szCs w:val="18"/>
          <w:b w:val="1"/>
          <w:bCs w:val="1"/>
          <w:color w:val="auto"/>
        </w:rPr>
        <w:t xml:space="preserve">CAUTION CONCERNING FORWARD-LOOKING STATEMENTS </w:t>
      </w:r>
      <w:r>
        <w:rPr>
          <w:rFonts w:ascii="Arial" w:cs="Arial" w:eastAsia="Arial" w:hAnsi="Arial"/>
          <w:sz w:val="18"/>
          <w:szCs w:val="18"/>
          <w:color w:val="auto"/>
        </w:rPr>
        <w:t>Our businesses may be affected by, among other things, the following:</w:t>
      </w:r>
    </w:p>
    <w:p>
      <w:pPr>
        <w:spacing w:after="0" w:line="1" w:lineRule="exact"/>
        <w:rPr>
          <w:sz w:val="20"/>
          <w:szCs w:val="20"/>
          <w:color w:val="auto"/>
        </w:rPr>
      </w:pPr>
    </w:p>
    <w:p>
      <w:pPr>
        <w:ind w:left="820" w:hanging="470"/>
        <w:spacing w:after="0"/>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of the services offered by our cable systems face a wide range of competition that could adversely affect our future results of operations.</w:t>
      </w:r>
    </w:p>
    <w:p>
      <w:pPr>
        <w:spacing w:after="0" w:line="135" w:lineRule="exact"/>
        <w:rPr>
          <w:rFonts w:ascii="Arial" w:cs="Arial" w:eastAsia="Arial" w:hAnsi="Arial"/>
          <w:sz w:val="17"/>
          <w:szCs w:val="17"/>
          <w:color w:val="auto"/>
        </w:rPr>
      </w:pPr>
    </w:p>
    <w:p>
      <w:pPr>
        <w:ind w:left="820" w:hanging="47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Programming costs are increasing, which could adversely affect our future results of operations.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subject to regulation by federal, state and local governments, which may change and cause increased costs and restrictions.</w:t>
      </w:r>
    </w:p>
    <w:p>
      <w:pPr>
        <w:spacing w:after="0" w:line="123" w:lineRule="exact"/>
        <w:rPr>
          <w:rFonts w:ascii="Arial" w:cs="Arial" w:eastAsia="Arial" w:hAnsi="Arial"/>
          <w:sz w:val="18"/>
          <w:szCs w:val="18"/>
          <w:color w:val="auto"/>
        </w:rPr>
      </w:pPr>
    </w:p>
    <w:p>
      <w:pPr>
        <w:ind w:left="820" w:right="40" w:hanging="470"/>
        <w:spacing w:after="0" w:line="264"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face increased competition because of technological advances and changing regulatory requirements, which could adversely affect our future results of operations.</w:t>
      </w:r>
    </w:p>
    <w:p>
      <w:pPr>
        <w:spacing w:after="0" w:line="87" w:lineRule="exact"/>
        <w:rPr>
          <w:rFonts w:ascii="Arial" w:cs="Arial" w:eastAsia="Arial" w:hAnsi="Arial"/>
          <w:sz w:val="18"/>
          <w:szCs w:val="18"/>
          <w:color w:val="auto"/>
        </w:rPr>
      </w:pPr>
    </w:p>
    <w:p>
      <w:pPr>
        <w:ind w:left="820" w:right="560" w:hanging="470"/>
        <w:spacing w:after="0" w:line="264"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 including litigation associated with our acquisition of AT&amp;T’s Broadband operations.</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Chairman and CEO has considerable influence over our operations.</w:t>
      </w:r>
    </w:p>
    <w:p>
      <w:pPr>
        <w:spacing w:after="0" w:line="123" w:lineRule="exact"/>
        <w:rPr>
          <w:rFonts w:ascii="Arial" w:cs="Arial" w:eastAsia="Arial" w:hAnsi="Arial"/>
          <w:sz w:val="18"/>
          <w:szCs w:val="18"/>
          <w:color w:val="auto"/>
        </w:rPr>
      </w:pPr>
    </w:p>
    <w:p>
      <w:pPr>
        <w:ind w:left="820" w:hanging="470"/>
        <w:spacing w:after="0" w:line="264"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74" w:lineRule="exact"/>
        <w:rPr>
          <w:sz w:val="20"/>
          <w:szCs w:val="20"/>
          <w:color w:val="auto"/>
        </w:rPr>
      </w:pPr>
    </w:p>
    <w:p>
      <w:pPr>
        <w:ind w:right="40" w:firstLine="264"/>
        <w:spacing w:after="0" w:line="308" w:lineRule="auto"/>
        <w:rPr>
          <w:sz w:val="20"/>
          <w:szCs w:val="20"/>
          <w:color w:val="auto"/>
        </w:rPr>
      </w:pPr>
      <w:r>
        <w:rPr>
          <w:rFonts w:ascii="Arial" w:cs="Arial" w:eastAsia="Arial" w:hAnsi="Arial"/>
          <w:sz w:val="15"/>
          <w:szCs w:val="15"/>
          <w:color w:val="auto"/>
        </w:rPr>
        <w:t>In this prospectus and in the documents we incorporate by reference, we state our expectations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“Item 1A — Risk Factors” in our Annual Report on Form 10-K for the year ended December 31, 2005 incorporated herein by reference. Those factors may cause our actual results to differ materially from any of our forward-looking statements.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17" w:lineRule="exact"/>
        <w:rPr>
          <w:sz w:val="20"/>
          <w:szCs w:val="20"/>
          <w:color w:val="auto"/>
        </w:rPr>
      </w:pPr>
    </w:p>
    <w:p>
      <w:pPr>
        <w:jc w:val="both"/>
        <w:ind w:right="440" w:firstLine="261"/>
        <w:spacing w:after="0" w:line="276" w:lineRule="auto"/>
        <w:rPr>
          <w:sz w:val="20"/>
          <w:szCs w:val="20"/>
          <w:color w:val="auto"/>
        </w:rPr>
      </w:pPr>
      <w:r>
        <w:rPr>
          <w:rFonts w:ascii="Arial" w:cs="Arial" w:eastAsia="Arial" w:hAnsi="Arial"/>
          <w:sz w:val="17"/>
          <w:szCs w:val="17"/>
          <w:color w:val="auto"/>
        </w:rPr>
        <w:t>We intend to use the net proceeds from the sale of the securities for working capital and general corporate purposes.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272"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DIVIDEND POLICY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do not intend to pay dividends on our common stock for the foreseeable future.</w:t>
      </w:r>
    </w:p>
    <w:p>
      <w:pPr>
        <w:spacing w:after="0" w:line="316" w:lineRule="exact"/>
        <w:rPr>
          <w:sz w:val="20"/>
          <w:szCs w:val="20"/>
          <w:color w:val="auto"/>
        </w:rPr>
      </w:pPr>
    </w:p>
    <w:p>
      <w:pPr>
        <w:ind w:left="280" w:right="3840" w:firstLine="3578"/>
        <w:spacing w:after="0" w:line="395" w:lineRule="auto"/>
        <w:rPr>
          <w:sz w:val="20"/>
          <w:szCs w:val="20"/>
          <w:color w:val="auto"/>
        </w:rPr>
      </w:pPr>
      <w:r>
        <w:rPr>
          <w:rFonts w:ascii="Arial" w:cs="Arial" w:eastAsia="Arial" w:hAnsi="Arial"/>
          <w:sz w:val="17"/>
          <w:szCs w:val="17"/>
          <w:b w:val="1"/>
          <w:bCs w:val="1"/>
          <w:color w:val="auto"/>
        </w:rPr>
        <w:t xml:space="preserve">RATIOS OF EARNINGS TO FIXED CHARGES </w:t>
      </w:r>
      <w:r>
        <w:rPr>
          <w:rFonts w:ascii="Arial" w:cs="Arial" w:eastAsia="Arial" w:hAnsi="Arial"/>
          <w:sz w:val="17"/>
          <w:szCs w:val="17"/>
          <w:color w:val="auto"/>
        </w:rPr>
        <w:t>Our ratio of earnings to fixed charges was as follows for the respective periods indicated: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180" w:type="dxa"/>
            <w:vAlign w:val="bottom"/>
            <w:tcBorders>
              <w:top w:val="single" w:sz="8" w:color="auto"/>
            </w:tcBorders>
          </w:tcPr>
          <w:p>
            <w:pPr>
              <w:jc w:val="right"/>
              <w:ind w:right="861"/>
              <w:spacing w:after="0" w:line="152" w:lineRule="exact"/>
              <w:rPr>
                <w:sz w:val="20"/>
                <w:szCs w:val="20"/>
                <w:color w:val="auto"/>
              </w:rPr>
            </w:pPr>
            <w:r>
              <w:rPr>
                <w:rFonts w:ascii="Arial" w:cs="Arial" w:eastAsia="Arial" w:hAnsi="Arial"/>
                <w:sz w:val="14"/>
                <w:szCs w:val="14"/>
                <w:b w:val="1"/>
                <w:bCs w:val="1"/>
                <w:color w:val="auto"/>
              </w:rPr>
              <w:t>2005</w:t>
            </w:r>
          </w:p>
        </w:tc>
        <w:tc>
          <w:tcPr>
            <w:tcW w:w="2400" w:type="dxa"/>
            <w:vAlign w:val="bottom"/>
            <w:tcBorders>
              <w:top w:val="single" w:sz="8" w:color="auto"/>
            </w:tcBorders>
            <w:gridSpan w:val="2"/>
          </w:tcPr>
          <w:p>
            <w:pPr>
              <w:jc w:val="right"/>
              <w:ind w:right="792"/>
              <w:spacing w:after="0" w:line="152" w:lineRule="exact"/>
              <w:rPr>
                <w:sz w:val="20"/>
                <w:szCs w:val="20"/>
                <w:color w:val="auto"/>
              </w:rPr>
            </w:pPr>
            <w:r>
              <w:rPr>
                <w:rFonts w:ascii="Arial" w:cs="Arial" w:eastAsia="Arial" w:hAnsi="Arial"/>
                <w:sz w:val="14"/>
                <w:szCs w:val="14"/>
                <w:b w:val="1"/>
                <w:bCs w:val="1"/>
                <w:color w:val="auto"/>
              </w:rPr>
              <w:t>2004</w:t>
            </w:r>
          </w:p>
        </w:tc>
        <w:tc>
          <w:tcPr>
            <w:tcW w:w="2420" w:type="dxa"/>
            <w:vAlign w:val="bottom"/>
            <w:tcBorders>
              <w:top w:val="single" w:sz="8" w:color="auto"/>
            </w:tcBorders>
            <w:gridSpan w:val="2"/>
          </w:tcPr>
          <w:p>
            <w:pPr>
              <w:jc w:val="right"/>
              <w:ind w:right="812"/>
              <w:spacing w:after="0" w:line="152" w:lineRule="exact"/>
              <w:rPr>
                <w:sz w:val="20"/>
                <w:szCs w:val="20"/>
                <w:color w:val="auto"/>
              </w:rPr>
            </w:pPr>
            <w:r>
              <w:rPr>
                <w:rFonts w:ascii="Arial" w:cs="Arial" w:eastAsia="Arial" w:hAnsi="Arial"/>
                <w:sz w:val="14"/>
                <w:szCs w:val="14"/>
                <w:b w:val="1"/>
                <w:bCs w:val="1"/>
                <w:color w:val="auto"/>
              </w:rPr>
              <w:t>2003</w:t>
            </w:r>
          </w:p>
        </w:tc>
        <w:tc>
          <w:tcPr>
            <w:tcW w:w="2380" w:type="dxa"/>
            <w:vAlign w:val="bottom"/>
            <w:tcBorders>
              <w:top w:val="single" w:sz="8" w:color="auto"/>
            </w:tcBorders>
            <w:gridSpan w:val="2"/>
          </w:tcPr>
          <w:p>
            <w:pPr>
              <w:jc w:val="right"/>
              <w:ind w:right="792"/>
              <w:spacing w:after="0" w:line="152" w:lineRule="exact"/>
              <w:rPr>
                <w:sz w:val="20"/>
                <w:szCs w:val="20"/>
                <w:color w:val="auto"/>
              </w:rPr>
            </w:pPr>
            <w:r>
              <w:rPr>
                <w:rFonts w:ascii="Arial" w:cs="Arial" w:eastAsia="Arial" w:hAnsi="Arial"/>
                <w:sz w:val="14"/>
                <w:szCs w:val="14"/>
                <w:b w:val="1"/>
                <w:bCs w:val="1"/>
                <w:color w:val="auto"/>
              </w:rPr>
              <w:t>2002</w:t>
            </w:r>
          </w:p>
        </w:tc>
        <w:tc>
          <w:tcPr>
            <w:tcW w:w="2040" w:type="dxa"/>
            <w:vAlign w:val="bottom"/>
            <w:tcBorders>
              <w:top w:val="single" w:sz="8" w:color="auto"/>
            </w:tcBorders>
            <w:gridSpan w:val="2"/>
          </w:tcPr>
          <w:p>
            <w:pPr>
              <w:jc w:val="right"/>
              <w:ind w:right="612"/>
              <w:spacing w:after="0" w:line="152" w:lineRule="exact"/>
              <w:rPr>
                <w:sz w:val="20"/>
                <w:szCs w:val="20"/>
                <w:color w:val="auto"/>
              </w:rPr>
            </w:pPr>
            <w:r>
              <w:rPr>
                <w:rFonts w:ascii="Arial" w:cs="Arial" w:eastAsia="Arial" w:hAnsi="Arial"/>
                <w:sz w:val="14"/>
                <w:szCs w:val="14"/>
                <w:b w:val="1"/>
                <w:bCs w:val="1"/>
                <w:color w:val="auto"/>
              </w:rPr>
              <w:t>2001</w:t>
            </w:r>
          </w:p>
        </w:tc>
      </w:tr>
      <w:tr>
        <w:trPr>
          <w:trHeight w:val="217"/>
        </w:trPr>
        <w:tc>
          <w:tcPr>
            <w:tcW w:w="2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2.01x</w:t>
            </w:r>
          </w:p>
        </w:tc>
        <w:tc>
          <w:tcPr>
            <w:tcW w:w="340" w:type="dxa"/>
            <w:vAlign w:val="bottom"/>
          </w:tcPr>
          <w:p>
            <w:pPr>
              <w:spacing w:after="0"/>
              <w:rPr>
                <w:sz w:val="18"/>
                <w:szCs w:val="18"/>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1.97x</w:t>
            </w:r>
          </w:p>
        </w:tc>
        <w:tc>
          <w:tcPr>
            <w:tcW w:w="340" w:type="dxa"/>
            <w:vAlign w:val="bottom"/>
          </w:tcPr>
          <w:p>
            <w:pPr>
              <w:spacing w:after="0"/>
              <w:rPr>
                <w:sz w:val="18"/>
                <w:szCs w:val="18"/>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340" w:type="dxa"/>
            <w:vAlign w:val="bottom"/>
          </w:tcPr>
          <w:p>
            <w:pPr>
              <w:spacing w:after="0"/>
              <w:rPr>
                <w:sz w:val="18"/>
                <w:szCs w:val="18"/>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34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1.33x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22510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16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For the years ended December 31, 2003 and 2002, we had a $76 million and $490 million deficiency, respectively, of earnings to fixed charges.</w:t>
      </w:r>
    </w:p>
    <w:p>
      <w:pPr>
        <w:spacing w:after="0" w:line="111" w:lineRule="exact"/>
        <w:rPr>
          <w:sz w:val="20"/>
          <w:szCs w:val="20"/>
          <w:color w:val="auto"/>
        </w:rPr>
      </w:pPr>
    </w:p>
    <w:p>
      <w:pPr>
        <w:ind w:right="320" w:firstLine="264"/>
        <w:spacing w:after="0" w:line="364" w:lineRule="auto"/>
        <w:rPr>
          <w:sz w:val="20"/>
          <w:szCs w:val="20"/>
          <w:color w:val="auto"/>
        </w:rPr>
      </w:pPr>
      <w:r>
        <w:rPr>
          <w:rFonts w:ascii="Arial" w:cs="Arial" w:eastAsia="Arial" w:hAnsi="Arial"/>
          <w:sz w:val="15"/>
          <w:szCs w:val="15"/>
          <w:color w:val="auto"/>
        </w:rPr>
        <w:t>For purposes of calculating the ratio of earnings to fixed charges, earnings is the amount resulting from (1) adding (a) pretax income from continuing operations before adjustment for minority interests in consolidated subsidiaries or income or loss from equity investees, (b) fixed charges, (c) amortization of</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right="240"/>
        <w:spacing w:after="0" w:line="299" w:lineRule="auto"/>
        <w:rPr>
          <w:sz w:val="20"/>
          <w:szCs w:val="20"/>
          <w:color w:val="auto"/>
        </w:rPr>
      </w:pPr>
      <w:r>
        <w:rPr>
          <w:rFonts w:ascii="Arial" w:cs="Arial" w:eastAsia="Arial" w:hAnsi="Arial"/>
          <w:sz w:val="15"/>
          <w:szCs w:val="15"/>
          <w:color w:val="auto"/>
        </w:rPr>
        <w:t>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 (w) interest expensed and capitalized,</w:t>
      </w:r>
    </w:p>
    <w:p>
      <w:pPr>
        <w:spacing w:after="0" w:line="2" w:lineRule="exact"/>
        <w:rPr>
          <w:sz w:val="20"/>
          <w:szCs w:val="20"/>
          <w:color w:val="auto"/>
        </w:rPr>
      </w:pPr>
    </w:p>
    <w:p>
      <w:pPr>
        <w:ind w:firstLine="6"/>
        <w:spacing w:after="0" w:line="248" w:lineRule="auto"/>
        <w:tabs>
          <w:tab w:leader="none" w:pos="2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COMBINED FIXED CHARGES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PREFERRED DIVIDENDS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180" w:type="dxa"/>
            <w:vAlign w:val="bottom"/>
            <w:tcBorders>
              <w:top w:val="single" w:sz="8" w:color="auto"/>
            </w:tcBorders>
          </w:tcPr>
          <w:p>
            <w:pPr>
              <w:jc w:val="right"/>
              <w:ind w:right="861"/>
              <w:spacing w:after="0" w:line="152" w:lineRule="exact"/>
              <w:rPr>
                <w:sz w:val="20"/>
                <w:szCs w:val="20"/>
                <w:color w:val="auto"/>
              </w:rPr>
            </w:pPr>
            <w:r>
              <w:rPr>
                <w:rFonts w:ascii="Arial" w:cs="Arial" w:eastAsia="Arial" w:hAnsi="Arial"/>
                <w:sz w:val="14"/>
                <w:szCs w:val="14"/>
                <w:b w:val="1"/>
                <w:bCs w:val="1"/>
                <w:color w:val="auto"/>
              </w:rPr>
              <w:t>2005</w:t>
            </w:r>
          </w:p>
        </w:tc>
        <w:tc>
          <w:tcPr>
            <w:tcW w:w="2400" w:type="dxa"/>
            <w:vAlign w:val="bottom"/>
            <w:tcBorders>
              <w:top w:val="single" w:sz="8" w:color="auto"/>
            </w:tcBorders>
            <w:gridSpan w:val="2"/>
          </w:tcPr>
          <w:p>
            <w:pPr>
              <w:jc w:val="right"/>
              <w:ind w:right="792"/>
              <w:spacing w:after="0" w:line="152" w:lineRule="exact"/>
              <w:rPr>
                <w:sz w:val="20"/>
                <w:szCs w:val="20"/>
                <w:color w:val="auto"/>
              </w:rPr>
            </w:pPr>
            <w:r>
              <w:rPr>
                <w:rFonts w:ascii="Arial" w:cs="Arial" w:eastAsia="Arial" w:hAnsi="Arial"/>
                <w:sz w:val="14"/>
                <w:szCs w:val="14"/>
                <w:b w:val="1"/>
                <w:bCs w:val="1"/>
                <w:color w:val="auto"/>
              </w:rPr>
              <w:t>2004</w:t>
            </w:r>
          </w:p>
        </w:tc>
        <w:tc>
          <w:tcPr>
            <w:tcW w:w="2420" w:type="dxa"/>
            <w:vAlign w:val="bottom"/>
            <w:tcBorders>
              <w:top w:val="single" w:sz="8" w:color="auto"/>
            </w:tcBorders>
            <w:gridSpan w:val="2"/>
          </w:tcPr>
          <w:p>
            <w:pPr>
              <w:jc w:val="right"/>
              <w:ind w:right="812"/>
              <w:spacing w:after="0" w:line="152" w:lineRule="exact"/>
              <w:rPr>
                <w:sz w:val="20"/>
                <w:szCs w:val="20"/>
                <w:color w:val="auto"/>
              </w:rPr>
            </w:pPr>
            <w:r>
              <w:rPr>
                <w:rFonts w:ascii="Arial" w:cs="Arial" w:eastAsia="Arial" w:hAnsi="Arial"/>
                <w:sz w:val="14"/>
                <w:szCs w:val="14"/>
                <w:b w:val="1"/>
                <w:bCs w:val="1"/>
                <w:color w:val="auto"/>
              </w:rPr>
              <w:t>2003</w:t>
            </w:r>
          </w:p>
        </w:tc>
        <w:tc>
          <w:tcPr>
            <w:tcW w:w="2380" w:type="dxa"/>
            <w:vAlign w:val="bottom"/>
            <w:tcBorders>
              <w:top w:val="single" w:sz="8" w:color="auto"/>
            </w:tcBorders>
            <w:gridSpan w:val="2"/>
          </w:tcPr>
          <w:p>
            <w:pPr>
              <w:jc w:val="right"/>
              <w:ind w:right="792"/>
              <w:spacing w:after="0" w:line="152" w:lineRule="exact"/>
              <w:rPr>
                <w:sz w:val="20"/>
                <w:szCs w:val="20"/>
                <w:color w:val="auto"/>
              </w:rPr>
            </w:pPr>
            <w:r>
              <w:rPr>
                <w:rFonts w:ascii="Arial" w:cs="Arial" w:eastAsia="Arial" w:hAnsi="Arial"/>
                <w:sz w:val="14"/>
                <w:szCs w:val="14"/>
                <w:b w:val="1"/>
                <w:bCs w:val="1"/>
                <w:color w:val="auto"/>
              </w:rPr>
              <w:t>2002</w:t>
            </w:r>
          </w:p>
        </w:tc>
        <w:tc>
          <w:tcPr>
            <w:tcW w:w="2040" w:type="dxa"/>
            <w:vAlign w:val="bottom"/>
            <w:tcBorders>
              <w:top w:val="single" w:sz="8" w:color="auto"/>
            </w:tcBorders>
            <w:gridSpan w:val="2"/>
          </w:tcPr>
          <w:p>
            <w:pPr>
              <w:jc w:val="right"/>
              <w:ind w:right="612"/>
              <w:spacing w:after="0" w:line="152" w:lineRule="exact"/>
              <w:rPr>
                <w:sz w:val="20"/>
                <w:szCs w:val="20"/>
                <w:color w:val="auto"/>
              </w:rPr>
            </w:pPr>
            <w:r>
              <w:rPr>
                <w:rFonts w:ascii="Arial" w:cs="Arial" w:eastAsia="Arial" w:hAnsi="Arial"/>
                <w:sz w:val="14"/>
                <w:szCs w:val="14"/>
                <w:b w:val="1"/>
                <w:bCs w:val="1"/>
                <w:color w:val="auto"/>
              </w:rPr>
              <w:t>2001</w:t>
            </w:r>
          </w:p>
        </w:tc>
      </w:tr>
      <w:tr>
        <w:trPr>
          <w:trHeight w:val="217"/>
        </w:trPr>
        <w:tc>
          <w:tcPr>
            <w:tcW w:w="2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2.01x</w:t>
            </w:r>
          </w:p>
        </w:tc>
        <w:tc>
          <w:tcPr>
            <w:tcW w:w="340" w:type="dxa"/>
            <w:vAlign w:val="bottom"/>
          </w:tcPr>
          <w:p>
            <w:pPr>
              <w:spacing w:after="0"/>
              <w:rPr>
                <w:sz w:val="18"/>
                <w:szCs w:val="18"/>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1.97x</w:t>
            </w:r>
          </w:p>
        </w:tc>
        <w:tc>
          <w:tcPr>
            <w:tcW w:w="340" w:type="dxa"/>
            <w:vAlign w:val="bottom"/>
          </w:tcPr>
          <w:p>
            <w:pPr>
              <w:spacing w:after="0"/>
              <w:rPr>
                <w:sz w:val="18"/>
                <w:szCs w:val="18"/>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340" w:type="dxa"/>
            <w:vAlign w:val="bottom"/>
          </w:tcPr>
          <w:p>
            <w:pPr>
              <w:spacing w:after="0"/>
              <w:rPr>
                <w:sz w:val="18"/>
                <w:szCs w:val="18"/>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34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1.33x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22510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167" w:lineRule="exact"/>
        <w:rPr>
          <w:sz w:val="20"/>
          <w:szCs w:val="20"/>
          <w:color w:val="auto"/>
        </w:rPr>
      </w:pPr>
    </w:p>
    <w:p>
      <w:pPr>
        <w:ind w:left="340" w:right="260" w:hanging="334"/>
        <w:spacing w:after="0" w:line="26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years ended December 31, 2003 and 2002, we had a $76 million and $490 million deficiency, respectively, of earnings to combined fixed charges and preferred dividends.</w:t>
      </w:r>
    </w:p>
    <w:p>
      <w:pPr>
        <w:spacing w:after="0" w:line="7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For purposes of calculating the ratio of earnings to combined fixed charges and preferred dividends, earnings is the amount resulting from (1) adding</w:t>
      </w:r>
    </w:p>
    <w:p>
      <w:pPr>
        <w:spacing w:after="0" w:line="51" w:lineRule="exact"/>
        <w:rPr>
          <w:sz w:val="20"/>
          <w:szCs w:val="20"/>
          <w:color w:val="auto"/>
        </w:rPr>
      </w:pPr>
    </w:p>
    <w:p>
      <w:pPr>
        <w:ind w:left="240" w:hanging="234"/>
        <w:spacing w:after="0"/>
        <w:tabs>
          <w:tab w:leader="none" w:pos="2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pretax income from continuing operations before adjustment for minority interests in consolidated subsidiaries or income or loss from equity investees,</w:t>
      </w:r>
    </w:p>
    <w:p>
      <w:pPr>
        <w:spacing w:after="0" w:line="39" w:lineRule="exact"/>
        <w:rPr>
          <w:rFonts w:ascii="Arial" w:cs="Arial" w:eastAsia="Arial" w:hAnsi="Arial"/>
          <w:sz w:val="15"/>
          <w:szCs w:val="15"/>
          <w:color w:val="auto"/>
        </w:rPr>
      </w:pPr>
    </w:p>
    <w:p>
      <w:pPr>
        <w:ind w:right="160" w:firstLine="6"/>
        <w:spacing w:after="0" w:line="294" w:lineRule="auto"/>
        <w:tabs>
          <w:tab w:leader="none" w:pos="25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w:t>
      </w:r>
    </w:p>
    <w:p>
      <w:pPr>
        <w:spacing w:after="0" w:line="1" w:lineRule="exact"/>
        <w:rPr>
          <w:rFonts w:ascii="Arial" w:cs="Arial" w:eastAsia="Arial" w:hAnsi="Arial"/>
          <w:sz w:val="15"/>
          <w:szCs w:val="15"/>
          <w:color w:val="auto"/>
        </w:rPr>
      </w:pPr>
    </w:p>
    <w:p>
      <w:pPr>
        <w:jc w:val="both"/>
        <w:ind w:right="160" w:firstLine="6"/>
        <w:spacing w:after="0" w:line="248" w:lineRule="auto"/>
        <w:tabs>
          <w:tab w:leader="none" w:pos="2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DESCRIPTION OF DEBT SECURITIES AND CABLE GUARANTEES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Our debt securities, consisting of notes, debentures or other evidences of indebtedness, may be issued from time to time in one or more series:</w:t>
      </w:r>
    </w:p>
    <w:p>
      <w:pPr>
        <w:spacing w:after="0" w:line="122" w:lineRule="exact"/>
        <w:rPr>
          <w:sz w:val="20"/>
          <w:szCs w:val="20"/>
          <w:color w:val="auto"/>
        </w:rPr>
      </w:pPr>
    </w:p>
    <w:p>
      <w:pPr>
        <w:ind w:left="820" w:right="160" w:hanging="470"/>
        <w:spacing w:after="0" w:line="264"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case of senior debt securities, under a senior indenture dated January 7, 2003, as amended by a supplemental indenture dated March 25, 2003, entered into among us, the cable guarantors and The Bank of New York, as trustee; and</w:t>
      </w:r>
    </w:p>
    <w:p>
      <w:pPr>
        <w:spacing w:after="0" w:line="87" w:lineRule="exact"/>
        <w:rPr>
          <w:rFonts w:ascii="Arial" w:cs="Arial" w:eastAsia="Arial" w:hAnsi="Arial"/>
          <w:sz w:val="18"/>
          <w:szCs w:val="18"/>
          <w:color w:val="auto"/>
        </w:rPr>
      </w:pPr>
    </w:p>
    <w:p>
      <w:pPr>
        <w:ind w:left="820" w:right="280" w:hanging="470"/>
        <w:spacing w:after="0" w:line="264"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case of subordinated debt securities, under a subordinated indenture to be entered into among us, the cable guarantors and The Bank of New York, as trustee.</w:t>
      </w:r>
    </w:p>
    <w:p>
      <w:pPr>
        <w:spacing w:after="0" w:line="74" w:lineRule="exact"/>
        <w:rPr>
          <w:sz w:val="20"/>
          <w:szCs w:val="20"/>
          <w:color w:val="auto"/>
        </w:rPr>
      </w:pPr>
    </w:p>
    <w:p>
      <w:pPr>
        <w:ind w:right="300" w:firstLine="261"/>
        <w:spacing w:after="0" w:line="264" w:lineRule="auto"/>
        <w:rPr>
          <w:sz w:val="20"/>
          <w:szCs w:val="20"/>
          <w:color w:val="auto"/>
        </w:rPr>
      </w:pPr>
      <w:r>
        <w:rPr>
          <w:rFonts w:ascii="Arial" w:cs="Arial" w:eastAsia="Arial" w:hAnsi="Arial"/>
          <w:sz w:val="18"/>
          <w:szCs w:val="18"/>
          <w:color w:val="auto"/>
        </w:rPr>
        <w:t>The senior indenture and supplemental indenture are included, and the subordinated indenture will be substantially in the form included, as exhibits to the registration statement of which this prospectus is a part.</w:t>
      </w:r>
    </w:p>
    <w:p>
      <w:pPr>
        <w:spacing w:after="0" w:line="74" w:lineRule="exact"/>
        <w:rPr>
          <w:sz w:val="20"/>
          <w:szCs w:val="20"/>
          <w:color w:val="auto"/>
        </w:rPr>
      </w:pPr>
    </w:p>
    <w:p>
      <w:pPr>
        <w:ind w:right="280" w:firstLine="264"/>
        <w:spacing w:after="0" w:line="251" w:lineRule="auto"/>
        <w:rPr>
          <w:sz w:val="20"/>
          <w:szCs w:val="20"/>
          <w:color w:val="auto"/>
        </w:rPr>
      </w:pPr>
      <w:r>
        <w:rPr>
          <w:rFonts w:ascii="Arial" w:cs="Arial" w:eastAsia="Arial" w:hAnsi="Arial"/>
          <w:sz w:val="18"/>
          <w:szCs w:val="18"/>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the caption “Description of Common Stock,” the terms “we,” “us” and “our” refer solely to Comcast Corporation and such references do not include any subsidiaries of Comcast Corporation.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40" w:firstLine="261"/>
        <w:spacing w:after="0" w:line="268" w:lineRule="auto"/>
        <w:rPr>
          <w:sz w:val="20"/>
          <w:szCs w:val="20"/>
          <w:color w:val="auto"/>
        </w:rPr>
      </w:pPr>
      <w:r>
        <w:rPr>
          <w:rFonts w:ascii="Arial" w:cs="Arial" w:eastAsia="Arial" w:hAnsi="Arial"/>
          <w:sz w:val="17"/>
          <w:szCs w:val="17"/>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Securities—Subordination.” In general, however, if we declare bankruptcy, holders of the senior debt securities will be paid in full before the holders of subordinated debt securities will receive anything. The debt securities will be fully and unconditionally guaranteed by the cable guarantors, as described below. The debt securities will not be guaranteed by any of our other subsidiaries.</w:t>
      </w:r>
    </w:p>
    <w:p>
      <w:pPr>
        <w:spacing w:after="0" w:line="73" w:lineRule="exact"/>
        <w:rPr>
          <w:sz w:val="20"/>
          <w:szCs w:val="20"/>
          <w:color w:val="auto"/>
        </w:rPr>
      </w:pPr>
    </w:p>
    <w:p>
      <w:pPr>
        <w:ind w:firstLine="261"/>
        <w:spacing w:after="0" w:line="306" w:lineRule="auto"/>
        <w:rPr>
          <w:sz w:val="20"/>
          <w:szCs w:val="20"/>
          <w:color w:val="auto"/>
        </w:rPr>
      </w:pPr>
      <w:r>
        <w:rPr>
          <w:rFonts w:ascii="Arial" w:cs="Arial" w:eastAsia="Arial" w:hAnsi="Arial"/>
          <w:sz w:val="15"/>
          <w:szCs w:val="15"/>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cable guarantors with respect to the cable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111" w:lineRule="exact"/>
        <w:rPr>
          <w:sz w:val="20"/>
          <w:szCs w:val="20"/>
          <w:color w:val="auto"/>
        </w:rPr>
      </w:pPr>
    </w:p>
    <w:p>
      <w:pPr>
        <w:ind w:left="820" w:hanging="47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percentage of their principal amount (</w:t>
      </w:r>
      <w:r>
        <w:rPr>
          <w:rFonts w:ascii="Arial" w:cs="Arial" w:eastAsia="Arial" w:hAnsi="Arial"/>
          <w:sz w:val="18"/>
          <w:szCs w:val="18"/>
          <w:i w:val="1"/>
          <w:iCs w:val="1"/>
          <w:color w:val="auto"/>
        </w:rPr>
        <w:t>i.e.</w:t>
      </w:r>
      <w:r>
        <w:rPr>
          <w:rFonts w:ascii="Arial" w:cs="Arial" w:eastAsia="Arial" w:hAnsi="Arial"/>
          <w:sz w:val="18"/>
          <w:szCs w:val="18"/>
          <w:color w:val="auto"/>
        </w:rPr>
        <w:t>, price) at which the debt securities will be issued;</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20" w:right="580" w:hanging="470"/>
        <w:spacing w:after="0" w:line="254"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96" w:lineRule="exact"/>
        <w:rPr>
          <w:rFonts w:ascii="Arial" w:cs="Arial" w:eastAsia="Arial" w:hAnsi="Arial"/>
          <w:sz w:val="18"/>
          <w:szCs w:val="18"/>
          <w:color w:val="auto"/>
        </w:rPr>
      </w:pPr>
    </w:p>
    <w:p>
      <w:pPr>
        <w:ind w:left="820" w:hanging="47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23" w:lineRule="exact"/>
        <w:rPr>
          <w:rFonts w:ascii="Arial" w:cs="Arial" w:eastAsia="Arial" w:hAnsi="Arial"/>
          <w:sz w:val="18"/>
          <w:szCs w:val="18"/>
          <w:color w:val="auto"/>
        </w:rPr>
      </w:pPr>
    </w:p>
    <w:p>
      <w:pPr>
        <w:ind w:left="820" w:right="700" w:hanging="470"/>
        <w:spacing w:after="0" w:line="264"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23" w:lineRule="exact"/>
        <w:rPr>
          <w:rFonts w:ascii="Arial" w:cs="Arial" w:eastAsia="Arial" w:hAnsi="Arial"/>
          <w:sz w:val="18"/>
          <w:szCs w:val="18"/>
          <w:color w:val="auto"/>
        </w:rPr>
      </w:pPr>
    </w:p>
    <w:p>
      <w:pPr>
        <w:ind w:left="820" w:right="160" w:hanging="470"/>
        <w:spacing w:after="0" w:line="264"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87" w:lineRule="exact"/>
        <w:rPr>
          <w:rFonts w:ascii="Arial" w:cs="Arial" w:eastAsia="Arial" w:hAnsi="Arial"/>
          <w:sz w:val="18"/>
          <w:szCs w:val="18"/>
          <w:color w:val="auto"/>
        </w:rPr>
      </w:pPr>
    </w:p>
    <w:p>
      <w:pPr>
        <w:ind w:left="820" w:right="180" w:hanging="470"/>
        <w:spacing w:after="0" w:line="264"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87" w:lineRule="exact"/>
        <w:rPr>
          <w:rFonts w:ascii="Arial" w:cs="Arial" w:eastAsia="Arial" w:hAnsi="Arial"/>
          <w:sz w:val="18"/>
          <w:szCs w:val="18"/>
          <w:color w:val="auto"/>
        </w:rPr>
      </w:pPr>
    </w:p>
    <w:p>
      <w:pPr>
        <w:ind w:left="820" w:right="340" w:hanging="470"/>
        <w:spacing w:after="0" w:line="264"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87" w:lineRule="exact"/>
        <w:rPr>
          <w:rFonts w:ascii="Arial" w:cs="Arial" w:eastAsia="Arial" w:hAnsi="Arial"/>
          <w:sz w:val="18"/>
          <w:szCs w:val="18"/>
          <w:color w:val="auto"/>
        </w:rPr>
      </w:pPr>
    </w:p>
    <w:p>
      <w:pPr>
        <w:ind w:left="820" w:right="80" w:hanging="470"/>
        <w:spacing w:after="0" w:line="264"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123" w:lineRule="exact"/>
        <w:rPr>
          <w:rFonts w:ascii="Arial" w:cs="Arial" w:eastAsia="Arial" w:hAnsi="Arial"/>
          <w:sz w:val="18"/>
          <w:szCs w:val="18"/>
          <w:color w:val="auto"/>
        </w:rPr>
      </w:pPr>
    </w:p>
    <w:p>
      <w:pPr>
        <w:ind w:left="820" w:right="20" w:hanging="470"/>
        <w:spacing w:after="0" w:line="264"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74" w:lineRule="exact"/>
        <w:rPr>
          <w:sz w:val="20"/>
          <w:szCs w:val="20"/>
          <w:color w:val="auto"/>
        </w:rPr>
      </w:pPr>
    </w:p>
    <w:p>
      <w:pPr>
        <w:ind w:firstLine="258"/>
        <w:spacing w:after="0" w:line="254"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84" w:lineRule="exact"/>
        <w:rPr>
          <w:sz w:val="20"/>
          <w:szCs w:val="20"/>
          <w:color w:val="auto"/>
        </w:rPr>
      </w:pPr>
    </w:p>
    <w:p>
      <w:pPr>
        <w:ind w:right="160" w:firstLine="264"/>
        <w:spacing w:after="0" w:line="251"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87" w:lineRule="exact"/>
        <w:rPr>
          <w:sz w:val="20"/>
          <w:szCs w:val="20"/>
          <w:color w:val="auto"/>
        </w:rPr>
      </w:pPr>
    </w:p>
    <w:p>
      <w:pPr>
        <w:ind w:right="100" w:firstLine="261"/>
        <w:spacing w:after="0" w:line="248"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Cable Guarantees</w:t>
      </w:r>
    </w:p>
    <w:p>
      <w:pPr>
        <w:spacing w:after="0" w:line="111" w:lineRule="exact"/>
        <w:rPr>
          <w:sz w:val="20"/>
          <w:szCs w:val="20"/>
          <w:color w:val="auto"/>
        </w:rPr>
      </w:pPr>
    </w:p>
    <w:p>
      <w:pPr>
        <w:ind w:right="140" w:firstLine="264"/>
        <w:spacing w:after="0" w:line="254" w:lineRule="auto"/>
        <w:rPr>
          <w:sz w:val="20"/>
          <w:szCs w:val="20"/>
          <w:color w:val="auto"/>
        </w:rPr>
      </w:pPr>
      <w:r>
        <w:rPr>
          <w:rFonts w:ascii="Arial" w:cs="Arial" w:eastAsia="Arial" w:hAnsi="Arial"/>
          <w:sz w:val="18"/>
          <w:szCs w:val="18"/>
          <w:color w:val="auto"/>
        </w:rPr>
        <w:t>Our obligations under the senior debt securities, including the payment of principal, premium, if any, and interest, will be fully and unconditionally guaranteed by each of the cable guarantors. The cable guarantees will rank equally with all other general unsecured and unsubordinated obligations of the cable guarantors.</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111" w:lineRule="exact"/>
        <w:rPr>
          <w:sz w:val="20"/>
          <w:szCs w:val="20"/>
          <w:color w:val="auto"/>
        </w:rPr>
      </w:pPr>
    </w:p>
    <w:p>
      <w:pPr>
        <w:ind w:left="820" w:right="200" w:hanging="470"/>
        <w:spacing w:after="0" w:line="264"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cable guarantor.</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1" w:lineRule="exact"/>
        <w:rPr>
          <w:sz w:val="20"/>
          <w:szCs w:val="20"/>
          <w:color w:val="auto"/>
        </w:rPr>
      </w:pPr>
    </w:p>
    <w:p>
      <w:pPr>
        <w:ind w:right="80" w:firstLine="261"/>
        <w:spacing w:after="0" w:line="254" w:lineRule="auto"/>
        <w:rPr>
          <w:sz w:val="20"/>
          <w:szCs w:val="20"/>
          <w:color w:val="auto"/>
        </w:rPr>
      </w:pPr>
      <w:r>
        <w:rPr>
          <w:rFonts w:ascii="Arial" w:cs="Arial" w:eastAsia="Arial" w:hAnsi="Arial"/>
          <w:sz w:val="18"/>
          <w:szCs w:val="18"/>
          <w:color w:val="auto"/>
        </w:rPr>
        <w:t>We and the cable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84" w:lineRule="exact"/>
        <w:rPr>
          <w:sz w:val="20"/>
          <w:szCs w:val="20"/>
          <w:color w:val="auto"/>
        </w:rPr>
      </w:pPr>
    </w:p>
    <w:p>
      <w:pPr>
        <w:ind w:right="280" w:firstLine="261"/>
        <w:spacing w:after="0" w:line="254"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84" w:lineRule="exact"/>
        <w:rPr>
          <w:sz w:val="20"/>
          <w:szCs w:val="20"/>
          <w:color w:val="auto"/>
        </w:rPr>
      </w:pPr>
    </w:p>
    <w:p>
      <w:pPr>
        <w:jc w:val="both"/>
        <w:ind w:right="280" w:firstLine="264"/>
        <w:spacing w:after="0" w:line="251" w:lineRule="auto"/>
        <w:rPr>
          <w:sz w:val="20"/>
          <w:szCs w:val="20"/>
          <w:color w:val="auto"/>
        </w:rPr>
      </w:pPr>
      <w:r>
        <w:rPr>
          <w:rFonts w:ascii="Arial" w:cs="Arial" w:eastAsia="Arial" w:hAnsi="Arial"/>
          <w:sz w:val="18"/>
          <w:szCs w:val="18"/>
          <w:i w:val="1"/>
          <w:iCs w:val="1"/>
          <w:color w:val="auto"/>
        </w:rPr>
        <w:t xml:space="preserve">Limitation on Liens Securing Indebtedness. </w:t>
      </w:r>
      <w:r>
        <w:rPr>
          <w:rFonts w:ascii="Arial" w:cs="Arial" w:eastAsia="Arial" w:hAnsi="Arial"/>
          <w:sz w:val="18"/>
          <w:szCs w:val="18"/>
          <w:color w:val="auto"/>
        </w:rPr>
        <w:t>Neither we nor any cable guarantor shall create, incur or assume any Lien (other than any Permitted Lien) on</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wholly-owned subsidiaries, to secure the payment of our Indebtedness or that of any cable guarantor, unless we secure the outstanding senior debt securities equally and ratably with (or prior to) all Indebtedness secured by such Lien, so long as such Indebtedness shall be so secured.</w:t>
      </w:r>
    </w:p>
    <w:p>
      <w:pPr>
        <w:spacing w:after="0" w:line="87" w:lineRule="exact"/>
        <w:rPr>
          <w:sz w:val="20"/>
          <w:szCs w:val="20"/>
          <w:color w:val="auto"/>
        </w:rPr>
      </w:pPr>
    </w:p>
    <w:p>
      <w:pPr>
        <w:jc w:val="both"/>
        <w:ind w:right="300" w:firstLine="264"/>
        <w:spacing w:after="0" w:line="264" w:lineRule="auto"/>
        <w:rPr>
          <w:sz w:val="20"/>
          <w:szCs w:val="20"/>
          <w:color w:val="auto"/>
        </w:rPr>
      </w:pPr>
      <w:r>
        <w:rPr>
          <w:rFonts w:ascii="Arial" w:cs="Arial" w:eastAsia="Arial" w:hAnsi="Arial"/>
          <w:sz w:val="18"/>
          <w:szCs w:val="18"/>
          <w:i w:val="1"/>
          <w:iCs w:val="1"/>
          <w:color w:val="auto"/>
        </w:rPr>
        <w:t xml:space="preserve">Limitation on Sale and Leaseback Transactions. </w:t>
      </w:r>
      <w:r>
        <w:rPr>
          <w:rFonts w:ascii="Arial" w:cs="Arial" w:eastAsia="Arial" w:hAnsi="Arial"/>
          <w:sz w:val="18"/>
          <w:szCs w:val="18"/>
          <w:color w:val="auto"/>
        </w:rPr>
        <w:t>Neither we nor any cable guarantor shall enter into any Sale and Leaseback Transaction involving any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wholly-owned subsidiaries.</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restriction in the foregoing paragraph shall not apply to any Sale and Leaseback Transaction if:</w:t>
      </w:r>
    </w:p>
    <w:p>
      <w:pPr>
        <w:spacing w:after="0" w:line="111" w:lineRule="exact"/>
        <w:rPr>
          <w:sz w:val="20"/>
          <w:szCs w:val="20"/>
          <w:color w:val="auto"/>
        </w:rPr>
      </w:pPr>
    </w:p>
    <w:p>
      <w:pPr>
        <w:ind w:left="820" w:hanging="47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lease is for a period not in excess of three years, including renewal of rights;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lease secures or relates to industrial revenue or similar financing;</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transaction is solely between us and a cable guarantor or between or among cable guarantors; or</w:t>
      </w:r>
    </w:p>
    <w:p>
      <w:pPr>
        <w:spacing w:after="0" w:line="123" w:lineRule="exact"/>
        <w:rPr>
          <w:rFonts w:ascii="Arial" w:cs="Arial" w:eastAsia="Arial" w:hAnsi="Arial"/>
          <w:sz w:val="18"/>
          <w:szCs w:val="18"/>
          <w:color w:val="auto"/>
        </w:rPr>
      </w:pPr>
    </w:p>
    <w:p>
      <w:pPr>
        <w:ind w:left="820" w:hanging="470"/>
        <w:spacing w:after="0" w:line="254"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the applicable cable guarantor, within 270 days after the sale is completed, applies an amount equal to or greater than (a) the net proceeds of the sale of the assets or part thereof leased or (b) the fair market value of the assets or part thereof leased (as determined in good faith by our Board of Directors) either to:</w:t>
      </w:r>
    </w:p>
    <w:p>
      <w:pPr>
        <w:spacing w:after="0" w:line="84" w:lineRule="exact"/>
        <w:rPr>
          <w:sz w:val="20"/>
          <w:szCs w:val="20"/>
          <w:color w:val="auto"/>
        </w:rPr>
      </w:pPr>
    </w:p>
    <w:p>
      <w:pPr>
        <w:ind w:left="1040" w:hanging="452"/>
        <w:spacing w:after="0" w:line="232" w:lineRule="auto"/>
        <w:tabs>
          <w:tab w:leader="none" w:pos="1040" w:val="left"/>
        </w:tabs>
        <w:numPr>
          <w:ilvl w:val="0"/>
          <w:numId w:val="22"/>
        </w:numPr>
        <w:rPr>
          <w:rFonts w:ascii="Arial" w:cs="Arial" w:eastAsia="Arial" w:hAnsi="Arial"/>
          <w:sz w:val="21"/>
          <w:szCs w:val="21"/>
          <w:color w:val="auto"/>
        </w:rPr>
      </w:pPr>
      <w:r>
        <w:rPr>
          <w:rFonts w:ascii="Arial" w:cs="Arial" w:eastAsia="Arial" w:hAnsi="Arial"/>
          <w:sz w:val="18"/>
          <w:szCs w:val="18"/>
          <w:color w:val="auto"/>
        </w:rPr>
        <w:t>the retirement (or open market purchase) of senior debt securities, our other long-term Indebtedness ranking on a parity with or senior to the senior debt securities or long-term Indebtedness of a cable guarantor; or</w:t>
      </w:r>
    </w:p>
    <w:p>
      <w:pPr>
        <w:spacing w:after="0" w:line="108" w:lineRule="exact"/>
        <w:rPr>
          <w:rFonts w:ascii="Arial" w:cs="Arial" w:eastAsia="Arial" w:hAnsi="Arial"/>
          <w:sz w:val="21"/>
          <w:szCs w:val="21"/>
          <w:color w:val="auto"/>
        </w:rPr>
      </w:pPr>
    </w:p>
    <w:p>
      <w:pPr>
        <w:ind w:left="1040" w:right="440" w:hanging="452"/>
        <w:spacing w:after="0" w:line="232" w:lineRule="auto"/>
        <w:tabs>
          <w:tab w:leader="none" w:pos="1040" w:val="left"/>
        </w:tabs>
        <w:numPr>
          <w:ilvl w:val="0"/>
          <w:numId w:val="22"/>
        </w:numPr>
        <w:rPr>
          <w:rFonts w:ascii="Arial" w:cs="Arial" w:eastAsia="Arial" w:hAnsi="Arial"/>
          <w:sz w:val="21"/>
          <w:szCs w:val="21"/>
          <w:color w:val="auto"/>
        </w:rPr>
      </w:pPr>
      <w:r>
        <w:rPr>
          <w:rFonts w:ascii="Arial" w:cs="Arial" w:eastAsia="Arial" w:hAnsi="Arial"/>
          <w:sz w:val="18"/>
          <w:szCs w:val="18"/>
          <w:color w:val="auto"/>
        </w:rPr>
        <w:t>the purchase by us or any cable guarantor of other property, plant or equipment related to our business or the business of any cable guarantor having a value at least equal to the value of the assets or part thereof leased.</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firstLine="261"/>
        <w:spacing w:after="0" w:line="264" w:lineRule="auto"/>
        <w:rPr>
          <w:sz w:val="20"/>
          <w:szCs w:val="20"/>
          <w:color w:val="auto"/>
        </w:rPr>
      </w:pPr>
      <w:r>
        <w:rPr>
          <w:rFonts w:ascii="Arial" w:cs="Arial" w:eastAsia="Arial" w:hAnsi="Arial"/>
          <w:sz w:val="18"/>
          <w:szCs w:val="18"/>
          <w:color w:val="auto"/>
        </w:rPr>
        <w:t>This provision and the provision described under “—Limitation on Liens Securing Indebtedness” do not apply to any of our subsidiaries other than the cable guarantors.</w:t>
      </w:r>
    </w:p>
    <w:p>
      <w:pPr>
        <w:spacing w:after="0" w:line="68" w:lineRule="exact"/>
        <w:rPr>
          <w:sz w:val="20"/>
          <w:szCs w:val="20"/>
          <w:color w:val="auto"/>
        </w:rPr>
      </w:pPr>
    </w:p>
    <w:p>
      <w:pPr>
        <w:ind w:right="40" w:firstLine="264"/>
        <w:spacing w:after="0" w:line="258" w:lineRule="auto"/>
        <w:rPr>
          <w:sz w:val="20"/>
          <w:szCs w:val="20"/>
          <w:color w:val="auto"/>
        </w:rPr>
      </w:pPr>
      <w:r>
        <w:rPr>
          <w:rFonts w:ascii="Arial" w:cs="Arial" w:eastAsia="Arial" w:hAnsi="Arial"/>
          <w:sz w:val="18"/>
          <w:szCs w:val="18"/>
          <w:b w:val="1"/>
          <w:bCs w:val="1"/>
          <w:color w:val="auto"/>
        </w:rPr>
        <w:t xml:space="preserve">“Capitalized Lease” </w:t>
      </w:r>
      <w:r>
        <w:rPr>
          <w:rFonts w:ascii="Arial" w:cs="Arial" w:eastAsia="Arial" w:hAnsi="Arial"/>
          <w:sz w:val="18"/>
          <w:szCs w:val="18"/>
          <w:color w:val="auto"/>
        </w:rPr>
        <w:t>means, as applied to any person, any lease of any property (whether real, personal, or mixed) of which the discounted present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73" w:lineRule="exact"/>
        <w:rPr>
          <w:sz w:val="20"/>
          <w:szCs w:val="20"/>
          <w:color w:val="auto"/>
        </w:rPr>
      </w:pPr>
    </w:p>
    <w:p>
      <w:pPr>
        <w:ind w:firstLine="264"/>
        <w:spacing w:after="0" w:line="258" w:lineRule="auto"/>
        <w:rPr>
          <w:sz w:val="20"/>
          <w:szCs w:val="20"/>
          <w:color w:val="auto"/>
        </w:rPr>
      </w:pPr>
      <w:r>
        <w:rPr>
          <w:rFonts w:ascii="Arial" w:cs="Arial" w:eastAsia="Arial" w:hAnsi="Arial"/>
          <w:sz w:val="18"/>
          <w:szCs w:val="18"/>
          <w:b w:val="1"/>
          <w:bCs w:val="1"/>
          <w:color w:val="auto"/>
        </w:rPr>
        <w:t xml:space="preserve">“Capital Stock” </w:t>
      </w:r>
      <w:r>
        <w:rPr>
          <w:rFonts w:ascii="Arial" w:cs="Arial" w:eastAsia="Arial" w:hAnsi="Arial"/>
          <w:sz w:val="18"/>
          <w:szCs w:val="18"/>
          <w:color w:val="auto"/>
        </w:rPr>
        <w:t>means, with respect to any person, any and all shares, interests, participations, or other equivalents (however designated, whether voting or</w:t>
      </w:r>
      <w:r>
        <w:rPr>
          <w:rFonts w:ascii="Arial" w:cs="Arial" w:eastAsia="Arial" w:hAnsi="Arial"/>
          <w:sz w:val="18"/>
          <w:szCs w:val="18"/>
          <w:b w:val="1"/>
          <w:bCs w:val="1"/>
          <w:color w:val="auto"/>
        </w:rPr>
        <w:t xml:space="preserve"> </w:t>
      </w:r>
      <w:r>
        <w:rPr>
          <w:rFonts w:ascii="Arial" w:cs="Arial" w:eastAsia="Arial" w:hAnsi="Arial"/>
          <w:sz w:val="18"/>
          <w:szCs w:val="18"/>
          <w:color w:val="auto"/>
        </w:rPr>
        <w:t>nonvoting) of such person’s capital stock or other ownership interests, whether outstanding as of, or issued after, the date of the senior indenture, including, without limitation, all common stock and preferred stock.</w:t>
      </w:r>
    </w:p>
    <w:p>
      <w:pPr>
        <w:spacing w:after="0" w:line="73" w:lineRule="exact"/>
        <w:rPr>
          <w:sz w:val="20"/>
          <w:szCs w:val="20"/>
          <w:color w:val="auto"/>
        </w:rPr>
      </w:pPr>
    </w:p>
    <w:p>
      <w:pPr>
        <w:ind w:right="260" w:firstLine="264"/>
        <w:spacing w:after="0" w:line="271" w:lineRule="auto"/>
        <w:rPr>
          <w:sz w:val="20"/>
          <w:szCs w:val="20"/>
          <w:color w:val="auto"/>
        </w:rPr>
      </w:pPr>
      <w:r>
        <w:rPr>
          <w:rFonts w:ascii="Arial" w:cs="Arial" w:eastAsia="Arial" w:hAnsi="Arial"/>
          <w:sz w:val="18"/>
          <w:szCs w:val="18"/>
          <w:b w:val="1"/>
          <w:bCs w:val="1"/>
          <w:color w:val="auto"/>
        </w:rPr>
        <w:t xml:space="preserve">“Currency Agreement” </w:t>
      </w:r>
      <w:r>
        <w:rPr>
          <w:rFonts w:ascii="Arial" w:cs="Arial" w:eastAsia="Arial" w:hAnsi="Arial"/>
          <w:sz w:val="18"/>
          <w:szCs w:val="18"/>
          <w:color w:val="auto"/>
        </w:rPr>
        <w:t>means any foreign exchange contract, currency swap agreement, or other similar agreement or arrangement designed to protect</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the fluctuation in currency values.</w:t>
      </w:r>
    </w:p>
    <w:p>
      <w:pPr>
        <w:spacing w:after="0" w:line="62" w:lineRule="exact"/>
        <w:rPr>
          <w:sz w:val="20"/>
          <w:szCs w:val="20"/>
          <w:color w:val="auto"/>
        </w:rPr>
      </w:pPr>
    </w:p>
    <w:p>
      <w:pPr>
        <w:ind w:right="20" w:firstLine="264"/>
        <w:spacing w:after="0" w:line="251" w:lineRule="auto"/>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 generally accepted accounting principles in the United States of America as in effect as of the date of determination,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senior indenture shall be computed in conformity with GAAP applied on a consistent basis.</w:t>
      </w:r>
    </w:p>
    <w:p>
      <w:pPr>
        <w:spacing w:after="0" w:line="82" w:lineRule="exact"/>
        <w:rPr>
          <w:sz w:val="20"/>
          <w:szCs w:val="20"/>
          <w:color w:val="auto"/>
        </w:rPr>
      </w:pPr>
    </w:p>
    <w:p>
      <w:pPr>
        <w:ind w:right="160" w:firstLine="264"/>
        <w:spacing w:after="0" w:line="372" w:lineRule="auto"/>
        <w:rPr>
          <w:sz w:val="20"/>
          <w:szCs w:val="20"/>
          <w:color w:val="auto"/>
        </w:rPr>
      </w:pPr>
      <w:r>
        <w:rPr>
          <w:rFonts w:ascii="Arial" w:cs="Arial" w:eastAsia="Arial" w:hAnsi="Arial"/>
          <w:sz w:val="15"/>
          <w:szCs w:val="15"/>
          <w:b w:val="1"/>
          <w:bCs w:val="1"/>
          <w:color w:val="auto"/>
        </w:rPr>
        <w:t xml:space="preserve">“Guarantee” </w:t>
      </w:r>
      <w:r>
        <w:rPr>
          <w:rFonts w:ascii="Arial" w:cs="Arial" w:eastAsia="Arial" w:hAnsi="Arial"/>
          <w:sz w:val="15"/>
          <w:szCs w:val="15"/>
          <w:color w:val="auto"/>
        </w:rPr>
        <w:t>means any obligation, contingent or otherwise, of any person directly or indirectly guaranteeing any Indebtedness or other obligation of any</w:t>
      </w:r>
      <w:r>
        <w:rPr>
          <w:rFonts w:ascii="Arial" w:cs="Arial" w:eastAsia="Arial" w:hAnsi="Arial"/>
          <w:sz w:val="15"/>
          <w:szCs w:val="15"/>
          <w:b w:val="1"/>
          <w:bCs w:val="1"/>
          <w:color w:val="auto"/>
        </w:rPr>
        <w:t xml:space="preserve"> </w:t>
      </w:r>
      <w:r>
        <w:rPr>
          <w:rFonts w:ascii="Arial" w:cs="Arial" w:eastAsia="Arial" w:hAnsi="Arial"/>
          <w:sz w:val="15"/>
          <w:szCs w:val="15"/>
          <w:color w:val="auto"/>
        </w:rPr>
        <w:t>other person and, without limiting the generality of the foregoing, any obligation, direct or indirect, contingent or otherwise, of such person:</w:t>
      </w:r>
    </w:p>
    <w:p>
      <w:pPr>
        <w:ind w:left="820" w:right="80" w:hanging="470"/>
        <w:spacing w:after="0" w:line="254"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96" w:lineRule="exact"/>
        <w:rPr>
          <w:rFonts w:ascii="Arial" w:cs="Arial" w:eastAsia="Arial" w:hAnsi="Arial"/>
          <w:sz w:val="18"/>
          <w:szCs w:val="18"/>
          <w:color w:val="auto"/>
        </w:rPr>
      </w:pPr>
    </w:p>
    <w:p>
      <w:pPr>
        <w:ind w:left="820" w:right="220" w:hanging="470"/>
        <w:spacing w:after="0" w:line="264"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entered into for purposes of assuring in any other manner the obligee of such Indebtedness or other obligation of the payment thereof or to protect such obligee against loss in respect thereof (in whole or in part);</w:t>
      </w:r>
    </w:p>
    <w:p>
      <w:pPr>
        <w:spacing w:after="0" w:line="7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provided that the term “Guarantee” shall not include endorsements for collection or deposit in the ordinary course of business. The term “Guarantee” used as a verb has a corresponding meaning.</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means, with respect to any person at any date of determination (without duplication):</w:t>
      </w:r>
    </w:p>
    <w:p>
      <w:pPr>
        <w:spacing w:after="0" w:line="117" w:lineRule="exact"/>
        <w:rPr>
          <w:sz w:val="20"/>
          <w:szCs w:val="20"/>
          <w:color w:val="auto"/>
        </w:rPr>
      </w:pPr>
    </w:p>
    <w:p>
      <w:pPr>
        <w:ind w:left="820" w:hanging="47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all obligations of such person in respect of letters of credit or other similar instruments (including reimbursement obligations with respect thereto);</w:t>
      </w:r>
    </w:p>
    <w:p>
      <w:pPr>
        <w:spacing w:after="0" w:line="158" w:lineRule="exact"/>
        <w:rPr>
          <w:rFonts w:ascii="Arial" w:cs="Arial" w:eastAsia="Arial" w:hAnsi="Arial"/>
          <w:sz w:val="15"/>
          <w:szCs w:val="15"/>
          <w:color w:val="auto"/>
        </w:rPr>
      </w:pPr>
    </w:p>
    <w:p>
      <w:pPr>
        <w:ind w:left="820" w:right="40" w:hanging="470"/>
        <w:spacing w:after="0" w:line="264"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(but excluding trade accounts payable or accrued liabilities arising in the ordinary course of business);</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obligations of such person as lessee under Capitalized Leases;</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3"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20" w:right="560" w:hanging="470"/>
        <w:spacing w:after="0" w:line="264"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Indebtedness of other persons secured by a Lien on any asset of such person, whether or not such Indebtedness is assumed by such person; provided that the amount of such Indebtedness shall be the lesser of:</w:t>
      </w:r>
    </w:p>
    <w:p>
      <w:pPr>
        <w:spacing w:after="0" w:line="55" w:lineRule="exact"/>
        <w:rPr>
          <w:sz w:val="20"/>
          <w:szCs w:val="20"/>
          <w:color w:val="auto"/>
        </w:rPr>
      </w:pPr>
    </w:p>
    <w:p>
      <w:pPr>
        <w:ind w:left="1040" w:hanging="452"/>
        <w:spacing w:after="0"/>
        <w:tabs>
          <w:tab w:leader="none" w:pos="1040" w:val="left"/>
        </w:tabs>
        <w:numPr>
          <w:ilvl w:val="1"/>
          <w:numId w:val="26"/>
        </w:numPr>
        <w:rPr>
          <w:rFonts w:ascii="Arial" w:cs="Arial" w:eastAsia="Arial" w:hAnsi="Arial"/>
          <w:sz w:val="21"/>
          <w:szCs w:val="21"/>
          <w:color w:val="auto"/>
        </w:rPr>
      </w:pPr>
      <w:r>
        <w:rPr>
          <w:rFonts w:ascii="Arial" w:cs="Arial" w:eastAsia="Arial" w:hAnsi="Arial"/>
          <w:sz w:val="18"/>
          <w:szCs w:val="18"/>
          <w:color w:val="auto"/>
        </w:rPr>
        <w:t>the fair market value of such asset at such date of determination; and</w:t>
      </w:r>
    </w:p>
    <w:p>
      <w:pPr>
        <w:spacing w:after="0" w:line="115" w:lineRule="exact"/>
        <w:rPr>
          <w:rFonts w:ascii="Arial" w:cs="Arial" w:eastAsia="Arial" w:hAnsi="Arial"/>
          <w:sz w:val="21"/>
          <w:szCs w:val="21"/>
          <w:color w:val="auto"/>
        </w:rPr>
      </w:pPr>
    </w:p>
    <w:p>
      <w:pPr>
        <w:ind w:left="1040" w:hanging="452"/>
        <w:spacing w:after="0"/>
        <w:tabs>
          <w:tab w:leader="none" w:pos="1040" w:val="left"/>
        </w:tabs>
        <w:numPr>
          <w:ilvl w:val="1"/>
          <w:numId w:val="26"/>
        </w:numPr>
        <w:rPr>
          <w:rFonts w:ascii="Arial" w:cs="Arial" w:eastAsia="Arial" w:hAnsi="Arial"/>
          <w:sz w:val="21"/>
          <w:szCs w:val="21"/>
          <w:color w:val="auto"/>
        </w:rPr>
      </w:pPr>
      <w:r>
        <w:rPr>
          <w:rFonts w:ascii="Arial" w:cs="Arial" w:eastAsia="Arial" w:hAnsi="Arial"/>
          <w:sz w:val="18"/>
          <w:szCs w:val="18"/>
          <w:color w:val="auto"/>
        </w:rPr>
        <w:t>the amount of such Indebtedness;</w:t>
      </w:r>
    </w:p>
    <w:p>
      <w:pPr>
        <w:spacing w:after="0" w:line="120" w:lineRule="exact"/>
        <w:rPr>
          <w:rFonts w:ascii="Arial" w:cs="Arial" w:eastAsia="Arial" w:hAnsi="Arial"/>
          <w:sz w:val="21"/>
          <w:szCs w:val="21"/>
          <w:color w:val="auto"/>
        </w:rPr>
      </w:pPr>
    </w:p>
    <w:p>
      <w:pPr>
        <w:ind w:left="820" w:hanging="47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Indebtedness of other persons to the extent Guaranteed by such person;</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obligations under Currency Agreements and Interest Rate Agreements.</w:t>
      </w:r>
    </w:p>
    <w:p>
      <w:pPr>
        <w:spacing w:after="0" w:line="111" w:lineRule="exact"/>
        <w:rPr>
          <w:sz w:val="20"/>
          <w:szCs w:val="20"/>
          <w:color w:val="auto"/>
        </w:rPr>
      </w:pPr>
    </w:p>
    <w:p>
      <w:pPr>
        <w:ind w:right="280" w:firstLine="264"/>
        <w:spacing w:after="0" w:line="264" w:lineRule="auto"/>
        <w:rPr>
          <w:sz w:val="20"/>
          <w:szCs w:val="20"/>
          <w:color w:val="auto"/>
        </w:rPr>
      </w:pPr>
      <w:r>
        <w:rPr>
          <w:rFonts w:ascii="Arial" w:cs="Arial" w:eastAsia="Arial" w:hAnsi="Arial"/>
          <w:sz w:val="18"/>
          <w:szCs w:val="18"/>
          <w:color w:val="auto"/>
        </w:rPr>
        <w:t>Notwithstanding the foregoing, in no event will the term “Indebtedness” be deemed to include letters of credit or bonds that secure performance or surety bonds or similar instruments that are issued in the ordinary course of business.</w:t>
      </w:r>
    </w:p>
    <w:p>
      <w:pPr>
        <w:spacing w:after="0" w:line="74" w:lineRule="exact"/>
        <w:rPr>
          <w:sz w:val="20"/>
          <w:szCs w:val="20"/>
          <w:color w:val="auto"/>
        </w:rPr>
      </w:pPr>
    </w:p>
    <w:p>
      <w:pPr>
        <w:ind w:right="160" w:firstLine="261"/>
        <w:spacing w:after="0" w:line="364" w:lineRule="auto"/>
        <w:rPr>
          <w:sz w:val="20"/>
          <w:szCs w:val="20"/>
          <w:color w:val="auto"/>
        </w:rPr>
      </w:pPr>
      <w:r>
        <w:rPr>
          <w:rFonts w:ascii="Arial" w:cs="Arial" w:eastAsia="Arial" w:hAnsi="Arial"/>
          <w:sz w:val="15"/>
          <w:szCs w:val="15"/>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6" w:lineRule="exact"/>
        <w:rPr>
          <w:sz w:val="20"/>
          <w:szCs w:val="20"/>
          <w:color w:val="auto"/>
        </w:rPr>
      </w:pPr>
    </w:p>
    <w:p>
      <w:pPr>
        <w:ind w:left="820" w:right="420" w:hanging="470"/>
        <w:spacing w:after="0" w:line="364" w:lineRule="auto"/>
        <w:tabs>
          <w:tab w:leader="none" w:pos="8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19" w:lineRule="exact"/>
        <w:rPr>
          <w:rFonts w:ascii="Arial" w:cs="Arial" w:eastAsia="Arial" w:hAnsi="Arial"/>
          <w:sz w:val="15"/>
          <w:szCs w:val="15"/>
          <w:color w:val="auto"/>
        </w:rPr>
      </w:pPr>
    </w:p>
    <w:p>
      <w:pPr>
        <w:ind w:left="820" w:hanging="47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Indebtedness shall not include any liability for federal, state, local, or other taxes.</w:t>
      </w:r>
    </w:p>
    <w:p>
      <w:pPr>
        <w:spacing w:after="0" w:line="105" w:lineRule="exact"/>
        <w:rPr>
          <w:sz w:val="20"/>
          <w:szCs w:val="20"/>
          <w:color w:val="auto"/>
        </w:rPr>
      </w:pPr>
    </w:p>
    <w:p>
      <w:pPr>
        <w:ind w:firstLine="264"/>
        <w:spacing w:after="0" w:line="310" w:lineRule="auto"/>
        <w:rPr>
          <w:sz w:val="20"/>
          <w:szCs w:val="20"/>
          <w:color w:val="auto"/>
        </w:rPr>
      </w:pPr>
      <w:r>
        <w:rPr>
          <w:rFonts w:ascii="Arial" w:cs="Arial" w:eastAsia="Arial" w:hAnsi="Arial"/>
          <w:sz w:val="15"/>
          <w:szCs w:val="15"/>
          <w:b w:val="1"/>
          <w:bCs w:val="1"/>
          <w:color w:val="auto"/>
        </w:rPr>
        <w:t xml:space="preserve">“Interest Rate Agreements” </w:t>
      </w:r>
      <w:r>
        <w:rPr>
          <w:rFonts w:ascii="Arial" w:cs="Arial" w:eastAsia="Arial" w:hAnsi="Arial"/>
          <w:sz w:val="15"/>
          <w:szCs w:val="15"/>
          <w:color w:val="auto"/>
        </w:rPr>
        <w:t>means any obligations of any person pursuant to any interest rate swaps, caps, collars, and similar arrangements providing</w:t>
      </w:r>
      <w:r>
        <w:rPr>
          <w:rFonts w:ascii="Arial" w:cs="Arial" w:eastAsia="Arial" w:hAnsi="Arial"/>
          <w:sz w:val="15"/>
          <w:szCs w:val="15"/>
          <w:b w:val="1"/>
          <w:bCs w:val="1"/>
          <w:color w:val="auto"/>
        </w:rPr>
        <w:t xml:space="preserve"> </w:t>
      </w:r>
      <w:r>
        <w:rPr>
          <w:rFonts w:ascii="Arial" w:cs="Arial" w:eastAsia="Arial" w:hAnsi="Arial"/>
          <w:sz w:val="15"/>
          <w:szCs w:val="15"/>
          <w:color w:val="auto"/>
        </w:rPr>
        <w:t>protection against fluctuations in interest rates. For purposes of the senior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39" w:lineRule="exact"/>
        <w:rPr>
          <w:sz w:val="20"/>
          <w:szCs w:val="20"/>
          <w:color w:val="auto"/>
        </w:rPr>
      </w:pPr>
    </w:p>
    <w:p>
      <w:pPr>
        <w:ind w:right="140" w:firstLine="264"/>
        <w:spacing w:after="0" w:line="253" w:lineRule="auto"/>
        <w:rPr>
          <w:sz w:val="20"/>
          <w:szCs w:val="20"/>
          <w:color w:val="auto"/>
        </w:rPr>
      </w:pPr>
      <w:r>
        <w:rPr>
          <w:rFonts w:ascii="Arial" w:cs="Arial" w:eastAsia="Arial" w:hAnsi="Arial"/>
          <w:sz w:val="18"/>
          <w:szCs w:val="18"/>
          <w:b w:val="1"/>
          <w:bCs w:val="1"/>
          <w:color w:val="auto"/>
        </w:rPr>
        <w:t xml:space="preserve">“Lien” </w:t>
      </w:r>
      <w:r>
        <w:rPr>
          <w:rFonts w:ascii="Arial" w:cs="Arial" w:eastAsia="Arial" w:hAnsi="Arial"/>
          <w:sz w:val="18"/>
          <w:szCs w:val="18"/>
          <w:color w:val="auto"/>
        </w:rPr>
        <w:t>means, with respect to any asset, any mortgage, lien, pledge, charge, security interest or encumbrance of any kind, or any other type of preferential</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 that has the practical effect of creating a security interest, in respect of such asset. For the purposes of the senior indenture,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“Permitted Liens” </w:t>
      </w:r>
      <w:r>
        <w:rPr>
          <w:rFonts w:ascii="Arial" w:cs="Arial" w:eastAsia="Arial" w:hAnsi="Arial"/>
          <w:sz w:val="18"/>
          <w:szCs w:val="18"/>
          <w:color w:val="auto"/>
        </w:rPr>
        <w:t>means:</w:t>
      </w:r>
    </w:p>
    <w:p>
      <w:pPr>
        <w:spacing w:after="0" w:line="117" w:lineRule="exact"/>
        <w:rPr>
          <w:sz w:val="20"/>
          <w:szCs w:val="20"/>
          <w:color w:val="auto"/>
        </w:rPr>
      </w:pPr>
    </w:p>
    <w:p>
      <w:pPr>
        <w:ind w:left="820" w:hanging="47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on any asset incurred prior to the date of the senior indenture;</w:t>
      </w:r>
    </w:p>
    <w:p>
      <w:pPr>
        <w:spacing w:after="0" w:line="123" w:lineRule="exact"/>
        <w:rPr>
          <w:rFonts w:ascii="Arial" w:cs="Arial" w:eastAsia="Arial" w:hAnsi="Arial"/>
          <w:sz w:val="18"/>
          <w:szCs w:val="18"/>
          <w:color w:val="auto"/>
        </w:rPr>
      </w:pPr>
    </w:p>
    <w:p>
      <w:pPr>
        <w:ind w:left="820" w:right="120" w:hanging="470"/>
        <w:spacing w:after="0" w:line="250"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on any assets acquired after the date of the senior indenture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senior indenture existing at the time of such acquisition (whether or not assumed by us or any cable guarantor), provided that any such Lien shall attach only to the assets so acquired;</w:t>
      </w:r>
    </w:p>
    <w:p>
      <w:pPr>
        <w:spacing w:after="0" w:line="99" w:lineRule="exact"/>
        <w:rPr>
          <w:rFonts w:ascii="Arial" w:cs="Arial" w:eastAsia="Arial" w:hAnsi="Arial"/>
          <w:sz w:val="18"/>
          <w:szCs w:val="18"/>
          <w:color w:val="auto"/>
        </w:rPr>
      </w:pPr>
    </w:p>
    <w:p>
      <w:pPr>
        <w:ind w:left="820" w:hanging="47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on any assets in favor of us or any cable guarantor;</w:t>
      </w:r>
    </w:p>
    <w:p>
      <w:pPr>
        <w:spacing w:after="0" w:line="123" w:lineRule="exact"/>
        <w:rPr>
          <w:rFonts w:ascii="Arial" w:cs="Arial" w:eastAsia="Arial" w:hAnsi="Arial"/>
          <w:sz w:val="18"/>
          <w:szCs w:val="18"/>
          <w:color w:val="auto"/>
        </w:rPr>
      </w:pPr>
    </w:p>
    <w:p>
      <w:pPr>
        <w:ind w:left="820" w:right="40" w:hanging="470"/>
        <w:spacing w:after="0" w:line="264"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on assets incurred in connection with the issuance of tax-exempt governmental obligations (including, without limitation, industrial revenue bonds and similar financing);</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20" w:right="100" w:hanging="470"/>
        <w:spacing w:after="0" w:line="264"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Lien granted by any cable guarantor on assets to the extent limitations on the incurrence of such Liens are prohibited by any agreement to which such cable guarantor is subject as of the date of the senior indenture; and</w:t>
      </w:r>
    </w:p>
    <w:p>
      <w:pPr>
        <w:spacing w:after="0" w:line="87" w:lineRule="exact"/>
        <w:rPr>
          <w:rFonts w:ascii="Arial" w:cs="Arial" w:eastAsia="Arial" w:hAnsi="Arial"/>
          <w:sz w:val="18"/>
          <w:szCs w:val="18"/>
          <w:color w:val="auto"/>
        </w:rPr>
      </w:pPr>
    </w:p>
    <w:p>
      <w:pPr>
        <w:ind w:left="820" w:right="200" w:hanging="470"/>
        <w:spacing w:after="0" w:line="254"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78" w:lineRule="exact"/>
        <w:rPr>
          <w:sz w:val="20"/>
          <w:szCs w:val="20"/>
          <w:color w:val="auto"/>
        </w:rPr>
      </w:pPr>
    </w:p>
    <w:p>
      <w:pPr>
        <w:ind w:right="20" w:firstLine="264"/>
        <w:spacing w:after="0" w:line="253" w:lineRule="auto"/>
        <w:rPr>
          <w:sz w:val="20"/>
          <w:szCs w:val="20"/>
          <w:color w:val="auto"/>
        </w:rPr>
      </w:pPr>
      <w:r>
        <w:rPr>
          <w:rFonts w:ascii="Arial" w:cs="Arial" w:eastAsia="Arial" w:hAnsi="Arial"/>
          <w:sz w:val="18"/>
          <w:szCs w:val="18"/>
          <w:b w:val="1"/>
          <w:bCs w:val="1"/>
          <w:color w:val="auto"/>
        </w:rPr>
        <w:t xml:space="preserve">“Sale and Leaseback Transaction” </w:t>
      </w:r>
      <w:r>
        <w:rPr>
          <w:rFonts w:ascii="Arial" w:cs="Arial" w:eastAsia="Arial" w:hAnsi="Arial"/>
          <w:sz w:val="18"/>
          <w:szCs w:val="18"/>
          <w:color w:val="auto"/>
        </w:rPr>
        <w:t>means any direct or indirect arrangement with any person or to which any such person is a party, providing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leasing to us or a cable guarantor of any property, whether owned by us or such cable guarantor at the date of the original issuance of the debt securities or later acquired, which has been or is to be sold or transferred by us or such cable guarantor to such person or to any other person by whom funds have been or are to be advanced on the security of such property.</w:t>
      </w:r>
    </w:p>
    <w:p>
      <w:pPr>
        <w:spacing w:after="0" w:line="86" w:lineRule="exact"/>
        <w:rPr>
          <w:sz w:val="20"/>
          <w:szCs w:val="20"/>
          <w:color w:val="auto"/>
        </w:rPr>
      </w:pPr>
    </w:p>
    <w:p>
      <w:pPr>
        <w:ind w:firstLine="264"/>
        <w:spacing w:after="0" w:line="251" w:lineRule="auto"/>
        <w:rPr>
          <w:sz w:val="20"/>
          <w:szCs w:val="20"/>
          <w:color w:val="auto"/>
        </w:rPr>
      </w:pPr>
      <w:r>
        <w:rPr>
          <w:rFonts w:ascii="Arial" w:cs="Arial" w:eastAsia="Arial" w:hAnsi="Arial"/>
          <w:sz w:val="18"/>
          <w:szCs w:val="18"/>
          <w:i w:val="1"/>
          <w:iCs w:val="1"/>
          <w:color w:val="auto"/>
        </w:rPr>
        <w:t xml:space="preserve">Financial Information. </w:t>
      </w:r>
      <w:r>
        <w:rPr>
          <w:rFonts w:ascii="Arial" w:cs="Arial" w:eastAsia="Arial" w:hAnsi="Arial"/>
          <w:sz w:val="18"/>
          <w:szCs w:val="18"/>
          <w:color w:val="auto"/>
        </w:rPr>
        <w:t>We will file, whether or not required to do so under applicable law, with the trustee, within 15 days after being required to file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under the Securities Exchange Act of 1934 (hereinafter, the “Exchange Act”), copies of the annual reports and the information, documents and other reports to be filed pursuant to Section 13 or 15(d) of the Exchange Act. We intend to file all such reports, information and documents with the SEC, whether or not required by Section 13 or 15(d), and will send copies to the trustee within such 15-day period.</w:t>
      </w:r>
    </w:p>
    <w:p>
      <w:pPr>
        <w:spacing w:after="0" w:line="87" w:lineRule="exact"/>
        <w:rPr>
          <w:sz w:val="20"/>
          <w:szCs w:val="20"/>
          <w:color w:val="auto"/>
        </w:rPr>
      </w:pPr>
    </w:p>
    <w:p>
      <w:pPr>
        <w:ind w:right="40" w:firstLine="264"/>
        <w:spacing w:after="0" w:line="317" w:lineRule="auto"/>
        <w:rPr>
          <w:sz w:val="20"/>
          <w:szCs w:val="20"/>
          <w:color w:val="auto"/>
        </w:rPr>
      </w:pPr>
      <w:r>
        <w:rPr>
          <w:rFonts w:ascii="Arial" w:cs="Arial" w:eastAsia="Arial" w:hAnsi="Arial"/>
          <w:sz w:val="15"/>
          <w:szCs w:val="15"/>
          <w:i w:val="1"/>
          <w:iCs w:val="1"/>
          <w:color w:val="auto"/>
        </w:rPr>
        <w:t xml:space="preserve">Consolidation, Merger and Sale of Assets. </w:t>
      </w:r>
      <w:r>
        <w:rPr>
          <w:rFonts w:ascii="Arial" w:cs="Arial" w:eastAsia="Arial" w:hAnsi="Arial"/>
          <w:sz w:val="15"/>
          <w:szCs w:val="15"/>
          <w:color w:val="auto"/>
        </w:rPr>
        <w:t>The senior indenture restricts our ability to consolidate with, merge with or into, or sell, convey, transfer, lease, or</w:t>
      </w:r>
      <w:r>
        <w:rPr>
          <w:rFonts w:ascii="Arial" w:cs="Arial" w:eastAsia="Arial" w:hAnsi="Arial"/>
          <w:sz w:val="15"/>
          <w:szCs w:val="15"/>
          <w:i w:val="1"/>
          <w:iCs w:val="1"/>
          <w:color w:val="auto"/>
        </w:rPr>
        <w:t xml:space="preserve"> </w:t>
      </w:r>
      <w:r>
        <w:rPr>
          <w:rFonts w:ascii="Arial" w:cs="Arial" w:eastAsia="Arial" w:hAnsi="Arial"/>
          <w:sz w:val="15"/>
          <w:szCs w:val="15"/>
          <w:color w:val="auto"/>
        </w:rPr>
        <w:t>otherwise dispose of all or substantially all of our property and assets to any person (other than a consolidation with or merger with or into or a sale, conveyance, transfer, lease or other disposition to a wholly-owned subsidiary with a positive net worth; provided that, in connection with any merger of us and a wholly-owned subsidiary, no consideration other than common stock in the surviving person shall be issued or distributed to our stockholders) unless:</w:t>
      </w:r>
    </w:p>
    <w:p>
      <w:pPr>
        <w:spacing w:after="0" w:line="41" w:lineRule="exact"/>
        <w:rPr>
          <w:sz w:val="20"/>
          <w:szCs w:val="20"/>
          <w:color w:val="auto"/>
        </w:rPr>
      </w:pPr>
    </w:p>
    <w:p>
      <w:pPr>
        <w:ind w:left="820" w:right="80" w:hanging="470"/>
        <w:spacing w:after="0" w:line="251"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all or substantially all of our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senior debt securities and under the senior indenture;</w:t>
      </w:r>
    </w:p>
    <w:p>
      <w:pPr>
        <w:spacing w:after="0" w:line="99" w:lineRule="exact"/>
        <w:rPr>
          <w:rFonts w:ascii="Arial" w:cs="Arial" w:eastAsia="Arial" w:hAnsi="Arial"/>
          <w:sz w:val="18"/>
          <w:szCs w:val="18"/>
          <w:color w:val="auto"/>
        </w:rPr>
      </w:pPr>
    </w:p>
    <w:p>
      <w:pPr>
        <w:ind w:left="820" w:hanging="470"/>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23" w:lineRule="exact"/>
        <w:rPr>
          <w:rFonts w:ascii="Arial" w:cs="Arial" w:eastAsia="Arial" w:hAnsi="Arial"/>
          <w:sz w:val="18"/>
          <w:szCs w:val="18"/>
          <w:color w:val="auto"/>
        </w:rPr>
      </w:pPr>
    </w:p>
    <w:p>
      <w:pPr>
        <w:ind w:left="820" w:right="160" w:hanging="470"/>
        <w:spacing w:after="0" w:line="254"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transfer and such supplemental indenture complies with this provision and that all conditions precedent provided for in the senior indenture and notes relating to such transaction have been complied with;</w:t>
      </w:r>
    </w:p>
    <w:p>
      <w:pPr>
        <w:spacing w:after="0" w:line="8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the foregoing limitations will not apply if, in the good faith determination of our board of directors set forth in a board resolution,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purpose of such transaction is to change our state of incorporation; and provided further that any such transaction shall not have as one of its purposes the evasion of the foregoing limitations.</w:t>
      </w:r>
    </w:p>
    <w:p>
      <w:pPr>
        <w:spacing w:after="0" w:line="84" w:lineRule="exact"/>
        <w:rPr>
          <w:sz w:val="20"/>
          <w:szCs w:val="20"/>
          <w:color w:val="auto"/>
        </w:rPr>
      </w:pPr>
    </w:p>
    <w:p>
      <w:pPr>
        <w:ind w:right="140" w:firstLine="264"/>
        <w:spacing w:after="0" w:line="264" w:lineRule="auto"/>
        <w:rPr>
          <w:sz w:val="20"/>
          <w:szCs w:val="20"/>
          <w:color w:val="auto"/>
        </w:rPr>
      </w:pPr>
      <w:r>
        <w:rPr>
          <w:rFonts w:ascii="Arial" w:cs="Arial" w:eastAsia="Arial" w:hAnsi="Arial"/>
          <w:sz w:val="18"/>
          <w:szCs w:val="18"/>
          <w:color w:val="auto"/>
        </w:rPr>
        <w:t>Upon any express assumption of our obligations as described above, we will be released and discharged from all obligations and covenants under the senior indenture and all the senior debt securities.</w:t>
      </w:r>
    </w:p>
    <w:p>
      <w:pPr>
        <w:spacing w:after="0" w:line="74" w:lineRule="exact"/>
        <w:rPr>
          <w:sz w:val="20"/>
          <w:szCs w:val="20"/>
          <w:color w:val="auto"/>
        </w:rPr>
      </w:pPr>
    </w:p>
    <w:p>
      <w:pPr>
        <w:ind w:right="20" w:firstLine="261"/>
        <w:spacing w:after="0" w:line="329" w:lineRule="auto"/>
        <w:rPr>
          <w:sz w:val="20"/>
          <w:szCs w:val="20"/>
          <w:color w:val="auto"/>
        </w:rPr>
      </w:pPr>
      <w:r>
        <w:rPr>
          <w:rFonts w:ascii="Arial" w:cs="Arial" w:eastAsia="Arial" w:hAnsi="Arial"/>
          <w:sz w:val="15"/>
          <w:szCs w:val="15"/>
          <w:color w:val="auto"/>
        </w:rPr>
        <w:t>The senior indenture and the cable guarantees do not limit the ability of any cable guarantor to 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the senior indenture and its cable guarantee.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1" w:lineRule="exact"/>
        <w:rPr>
          <w:sz w:val="20"/>
          <w:szCs w:val="20"/>
          <w:color w:val="auto"/>
        </w:rPr>
      </w:pPr>
    </w:p>
    <w:p>
      <w:pPr>
        <w:ind w:right="40" w:firstLine="264"/>
        <w:spacing w:after="0" w:line="264" w:lineRule="auto"/>
        <w:rPr>
          <w:sz w:val="20"/>
          <w:szCs w:val="20"/>
          <w:color w:val="auto"/>
        </w:rPr>
      </w:pPr>
      <w:r>
        <w:rPr>
          <w:rFonts w:ascii="Arial" w:cs="Arial" w:eastAsia="Arial" w:hAnsi="Arial"/>
          <w:sz w:val="18"/>
          <w:szCs w:val="18"/>
          <w:color w:val="auto"/>
        </w:rPr>
        <w:t>For purposes of this section, the term “Obligor” shall mean each of us, Comcast Cable, Comcast Cable Communications Holdings, Comcast Cable Holdings, Comcast MO Group and Comcast MO of Delaware, in each case excluding such entity’s subsidiaries.</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 event of default for a series of senior debt securities is defined under the senior indenture as being:</w:t>
      </w:r>
    </w:p>
    <w:p>
      <w:pPr>
        <w:spacing w:after="0" w:line="111" w:lineRule="exact"/>
        <w:rPr>
          <w:sz w:val="20"/>
          <w:szCs w:val="20"/>
          <w:color w:val="auto"/>
        </w:rPr>
      </w:pPr>
    </w:p>
    <w:p>
      <w:pPr>
        <w:ind w:right="440" w:firstLine="270"/>
        <w:spacing w:after="0" w:line="264" w:lineRule="auto"/>
        <w:tabs>
          <w:tab w:leader="none" w:pos="5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default by any Obligor in the payment of principal or premium, if any, on the senior debt securities of such series when the same becomes due and payable, whether at maturity, upon redemption, by declaration or otherwise;</w:t>
      </w:r>
    </w:p>
    <w:p>
      <w:pPr>
        <w:spacing w:after="0" w:line="73" w:lineRule="exact"/>
        <w:rPr>
          <w:rFonts w:ascii="Arial" w:cs="Arial" w:eastAsia="Arial" w:hAnsi="Arial"/>
          <w:sz w:val="18"/>
          <w:szCs w:val="18"/>
          <w:color w:val="auto"/>
        </w:rPr>
      </w:pPr>
    </w:p>
    <w:p>
      <w:pPr>
        <w:ind w:right="320" w:firstLine="270"/>
        <w:spacing w:after="0" w:line="264" w:lineRule="auto"/>
        <w:tabs>
          <w:tab w:leader="none" w:pos="5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default by any Obligor in the payment of interest on the senior debt securities of such series when the same becomes due and payable, if that default continues for a period of 30 days;</w:t>
      </w:r>
    </w:p>
    <w:p>
      <w:pPr>
        <w:spacing w:after="0" w:line="73" w:lineRule="exact"/>
        <w:rPr>
          <w:rFonts w:ascii="Arial" w:cs="Arial" w:eastAsia="Arial" w:hAnsi="Arial"/>
          <w:sz w:val="18"/>
          <w:szCs w:val="18"/>
          <w:color w:val="auto"/>
        </w:rPr>
      </w:pPr>
    </w:p>
    <w:p>
      <w:pPr>
        <w:ind w:right="20" w:firstLine="270"/>
        <w:spacing w:after="0" w:line="276" w:lineRule="auto"/>
        <w:tabs>
          <w:tab w:leader="none" w:pos="514"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default by any Obligor in the performance of or breach by any Obligor of any of its other covenants or agreements in the senior indenture applicable to the senior debt securities of such series and that default or breach continues for a period of 30 consecutive days after written notice is received from the trustee or from the holders of 25% or more in aggregate principal amount of the senior debt securities of all affected series;</w:t>
      </w:r>
    </w:p>
    <w:p>
      <w:pPr>
        <w:spacing w:after="0" w:line="66" w:lineRule="exact"/>
        <w:rPr>
          <w:rFonts w:ascii="Arial" w:cs="Arial" w:eastAsia="Arial" w:hAnsi="Arial"/>
          <w:sz w:val="17"/>
          <w:szCs w:val="17"/>
          <w:color w:val="auto"/>
        </w:rPr>
      </w:pPr>
    </w:p>
    <w:p>
      <w:pPr>
        <w:ind w:left="520" w:hanging="250"/>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cable guarantee is not (or is claimed by any cable guarantor not to be) in full force and effect;</w:t>
      </w:r>
    </w:p>
    <w:p>
      <w:pPr>
        <w:spacing w:after="0" w:line="110" w:lineRule="exact"/>
        <w:rPr>
          <w:rFonts w:ascii="Arial" w:cs="Arial" w:eastAsia="Arial" w:hAnsi="Arial"/>
          <w:sz w:val="18"/>
          <w:szCs w:val="18"/>
          <w:color w:val="auto"/>
        </w:rPr>
      </w:pPr>
    </w:p>
    <w:p>
      <w:pPr>
        <w:ind w:left="520" w:hanging="250"/>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10" w:lineRule="exact"/>
        <w:rPr>
          <w:rFonts w:ascii="Arial" w:cs="Arial" w:eastAsia="Arial" w:hAnsi="Arial"/>
          <w:sz w:val="18"/>
          <w:szCs w:val="18"/>
          <w:color w:val="auto"/>
        </w:rPr>
      </w:pPr>
    </w:p>
    <w:p>
      <w:pPr>
        <w:ind w:left="1160" w:right="420" w:hanging="466"/>
        <w:spacing w:after="0" w:line="264" w:lineRule="auto"/>
        <w:tabs>
          <w:tab w:leader="none" w:pos="1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relief in respect of any Obligor in an involuntary case under any applicable bankruptcy, insolvency, or other similar law now or hereafter in effect;</w:t>
      </w:r>
    </w:p>
    <w:p>
      <w:pPr>
        <w:spacing w:after="0" w:line="87" w:lineRule="exact"/>
        <w:rPr>
          <w:rFonts w:ascii="Arial" w:cs="Arial" w:eastAsia="Arial" w:hAnsi="Arial"/>
          <w:sz w:val="18"/>
          <w:szCs w:val="18"/>
          <w:color w:val="auto"/>
        </w:rPr>
      </w:pPr>
    </w:p>
    <w:p>
      <w:pPr>
        <w:ind w:left="1160" w:right="260" w:hanging="466"/>
        <w:spacing w:after="0" w:line="264" w:lineRule="auto"/>
        <w:tabs>
          <w:tab w:leader="none" w:pos="1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appointment of a receiver, liquidator, assignee, custodian, trustee, sequestrator or similar official of any Obligor for any substantial part of such party’s property and assets; or</w:t>
      </w:r>
    </w:p>
    <w:p>
      <w:pPr>
        <w:spacing w:after="0" w:line="87" w:lineRule="exact"/>
        <w:rPr>
          <w:rFonts w:ascii="Arial" w:cs="Arial" w:eastAsia="Arial" w:hAnsi="Arial"/>
          <w:sz w:val="18"/>
          <w:szCs w:val="18"/>
          <w:color w:val="auto"/>
        </w:rPr>
      </w:pPr>
    </w:p>
    <w:p>
      <w:pPr>
        <w:ind w:left="1160" w:right="840" w:hanging="466"/>
        <w:spacing w:after="0" w:line="264" w:lineRule="auto"/>
        <w:tabs>
          <w:tab w:leader="none" w:pos="1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winding up or liquidation of any Obligor’s affairs and such decree or order shall remain unstayed and in effect for a period of 180 consecutive days; or</w:t>
      </w:r>
    </w:p>
    <w:p>
      <w:pPr>
        <w:spacing w:after="0" w:line="73" w:lineRule="exact"/>
        <w:rPr>
          <w:rFonts w:ascii="Arial" w:cs="Arial" w:eastAsia="Arial" w:hAnsi="Arial"/>
          <w:sz w:val="18"/>
          <w:szCs w:val="18"/>
          <w:color w:val="auto"/>
        </w:rPr>
      </w:pPr>
    </w:p>
    <w:p>
      <w:pPr>
        <w:ind w:left="520" w:hanging="250"/>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Obligor:</w:t>
      </w:r>
    </w:p>
    <w:p>
      <w:pPr>
        <w:spacing w:after="0" w:line="110" w:lineRule="exact"/>
        <w:rPr>
          <w:rFonts w:ascii="Arial" w:cs="Arial" w:eastAsia="Arial" w:hAnsi="Arial"/>
          <w:sz w:val="18"/>
          <w:szCs w:val="18"/>
          <w:color w:val="auto"/>
        </w:rPr>
      </w:pPr>
    </w:p>
    <w:p>
      <w:pPr>
        <w:ind w:left="1160" w:hanging="466"/>
        <w:spacing w:after="0" w:line="264" w:lineRule="auto"/>
        <w:tabs>
          <w:tab w:leader="none" w:pos="1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 or consents to the entry of an order for relief in an involuntary case under any such law;</w:t>
      </w:r>
    </w:p>
    <w:p>
      <w:pPr>
        <w:spacing w:after="0" w:line="87" w:lineRule="exact"/>
        <w:rPr>
          <w:rFonts w:ascii="Arial" w:cs="Arial" w:eastAsia="Arial" w:hAnsi="Arial"/>
          <w:sz w:val="18"/>
          <w:szCs w:val="18"/>
          <w:color w:val="auto"/>
        </w:rPr>
      </w:pPr>
    </w:p>
    <w:p>
      <w:pPr>
        <w:ind w:left="1160" w:right="80" w:hanging="466"/>
        <w:spacing w:after="0" w:line="264" w:lineRule="auto"/>
        <w:tabs>
          <w:tab w:leader="none" w:pos="1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such party or for any substantial part of such party’s property; or</w:t>
      </w:r>
    </w:p>
    <w:p>
      <w:pPr>
        <w:spacing w:after="0" w:line="87" w:lineRule="exact"/>
        <w:rPr>
          <w:rFonts w:ascii="Arial" w:cs="Arial" w:eastAsia="Arial" w:hAnsi="Arial"/>
          <w:sz w:val="18"/>
          <w:szCs w:val="18"/>
          <w:color w:val="auto"/>
        </w:rPr>
      </w:pPr>
    </w:p>
    <w:p>
      <w:pPr>
        <w:ind w:left="1160" w:hanging="466"/>
        <w:spacing w:after="0"/>
        <w:tabs>
          <w:tab w:leader="none" w:pos="1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default under any Obligor’s other indebtedness is not a default under the senior indenture.</w:t>
      </w:r>
    </w:p>
    <w:p>
      <w:pPr>
        <w:spacing w:after="0" w:line="111" w:lineRule="exact"/>
        <w:rPr>
          <w:sz w:val="20"/>
          <w:szCs w:val="20"/>
          <w:color w:val="auto"/>
        </w:rPr>
      </w:pPr>
    </w:p>
    <w:p>
      <w:pPr>
        <w:ind w:right="100" w:firstLine="264"/>
        <w:spacing w:after="0" w:line="266" w:lineRule="auto"/>
        <w:rPr>
          <w:sz w:val="20"/>
          <w:szCs w:val="20"/>
          <w:color w:val="auto"/>
        </w:rPr>
      </w:pPr>
      <w:r>
        <w:rPr>
          <w:rFonts w:ascii="Arial" w:cs="Arial" w:eastAsia="Arial" w:hAnsi="Arial"/>
          <w:sz w:val="17"/>
          <w:szCs w:val="17"/>
          <w:color w:val="auto"/>
        </w:rPr>
        <w:t>If an event of default other than an event of default specified in clauses (5) and (6) above occurs with respect to an issue of senior debt securities and is continuing under the senior indenture, then, and in each and every such case, either the trustee or the holders of not less than 25% in aggregate principal amount of such senior debt securities then outstanding under the senior indenture by written notice to us (and to the trustee, if such notice is given by the holders), may declare the principal amount of and accrued interest, if any, on such senior debt securities to be immediately due and payable and upon any such declaration, the same shall become immediately due and payable. The amount due upon acceleration shall include only the original issue price of the senior debt securities and accrued interest to the date of acceleration, if any.</w:t>
      </w:r>
    </w:p>
    <w:p>
      <w:pPr>
        <w:spacing w:after="0" w:line="76" w:lineRule="exact"/>
        <w:rPr>
          <w:sz w:val="20"/>
          <w:szCs w:val="20"/>
          <w:color w:val="auto"/>
        </w:rPr>
      </w:pPr>
    </w:p>
    <w:p>
      <w:pPr>
        <w:ind w:right="200" w:firstLine="264"/>
        <w:spacing w:after="0" w:line="264" w:lineRule="auto"/>
        <w:rPr>
          <w:sz w:val="20"/>
          <w:szCs w:val="20"/>
          <w:color w:val="auto"/>
        </w:rPr>
      </w:pPr>
      <w:r>
        <w:rPr>
          <w:rFonts w:ascii="Arial" w:cs="Arial" w:eastAsia="Arial" w:hAnsi="Arial"/>
          <w:sz w:val="18"/>
          <w:szCs w:val="18"/>
          <w:color w:val="auto"/>
        </w:rPr>
        <w:t>If an event of default specified in clauses (5) and (6) above occurs with respect to any Obligor, the principal amount of and accrued interest, if any, on each issue of senior debt securities then outstanding</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shall be and become immediately due and payable without any notice or other action on the part of the trustee or any holder. Upon certain conditions declarations of acceleration may be rescinded and annulled and past defaults may be waived by the holders of a majority in aggregate principal amount of an issue of senior debt securities that has been accelerated. Furthermore, subject to various provisions in the senior indenture, the holders of at 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spacing w:after="0" w:line="76" w:lineRule="exact"/>
        <w:rPr>
          <w:sz w:val="20"/>
          <w:szCs w:val="20"/>
          <w:color w:val="auto"/>
        </w:rPr>
      </w:pPr>
    </w:p>
    <w:p>
      <w:pPr>
        <w:ind w:right="40" w:firstLine="261"/>
        <w:spacing w:after="0" w:line="308" w:lineRule="auto"/>
        <w:rPr>
          <w:sz w:val="20"/>
          <w:szCs w:val="20"/>
          <w:color w:val="auto"/>
        </w:rPr>
      </w:pPr>
      <w:r>
        <w:rPr>
          <w:rFonts w:ascii="Arial" w:cs="Arial" w:eastAsia="Arial" w:hAnsi="Arial"/>
          <w:sz w:val="15"/>
          <w:szCs w:val="15"/>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would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senior indenture or any series of senior debt securities unless:</w:t>
      </w:r>
    </w:p>
    <w:p>
      <w:pPr>
        <w:spacing w:after="0" w:line="48" w:lineRule="exact"/>
        <w:rPr>
          <w:sz w:val="20"/>
          <w:szCs w:val="20"/>
          <w:color w:val="auto"/>
        </w:rPr>
      </w:pPr>
    </w:p>
    <w:p>
      <w:pPr>
        <w:ind w:left="820" w:hanging="47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23" w:lineRule="exact"/>
        <w:rPr>
          <w:rFonts w:ascii="Arial" w:cs="Arial" w:eastAsia="Arial" w:hAnsi="Arial"/>
          <w:sz w:val="18"/>
          <w:szCs w:val="18"/>
          <w:color w:val="auto"/>
        </w:rPr>
      </w:pPr>
    </w:p>
    <w:p>
      <w:pPr>
        <w:ind w:left="820" w:right="300" w:hanging="470"/>
        <w:spacing w:after="0" w:line="264"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 and</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w:t>
      </w:r>
    </w:p>
    <w:p>
      <w:pPr>
        <w:spacing w:after="0" w:line="111" w:lineRule="exact"/>
        <w:rPr>
          <w:sz w:val="20"/>
          <w:szCs w:val="20"/>
          <w:color w:val="auto"/>
        </w:rPr>
      </w:pPr>
    </w:p>
    <w:p>
      <w:pPr>
        <w:jc w:val="both"/>
        <w:ind w:right="40" w:firstLine="261"/>
        <w:spacing w:after="0" w:line="299" w:lineRule="auto"/>
        <w:rPr>
          <w:sz w:val="20"/>
          <w:szCs w:val="20"/>
          <w:color w:val="auto"/>
        </w:rPr>
      </w:pPr>
      <w:r>
        <w:rPr>
          <w:rFonts w:ascii="Arial" w:cs="Arial" w:eastAsia="Arial" w:hAnsi="Arial"/>
          <w:sz w:val="15"/>
          <w:szCs w:val="15"/>
          <w:color w:val="auto"/>
        </w:rPr>
        <w:t>These limitations, however, do not apply to the right of any holder of a senior debt security to receive payment of the principal of, premium, if any, or interest on such senior debt security, or to bring suit for the enforcement of any such payment, on or after the due date for the senior debt securities, which right shall not be impaired or affected without the consent of the holder. The senior indenture requires certain of our officers to certify, on or before a date not more than</w:t>
      </w:r>
    </w:p>
    <w:p>
      <w:pPr>
        <w:spacing w:after="0" w:line="2"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120 days after the end of each fiscal year, as to their knowledge of our compliance with all conditions and covenants under the senior indenture, such compliance to be determined without regard to any period of grace or requirement of notice provided under the senior indenture.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1" w:lineRule="exact"/>
        <w:rPr>
          <w:sz w:val="20"/>
          <w:szCs w:val="20"/>
          <w:color w:val="auto"/>
        </w:rPr>
      </w:pPr>
    </w:p>
    <w:p>
      <w:pPr>
        <w:ind w:right="200" w:firstLine="261"/>
        <w:spacing w:after="0" w:line="264" w:lineRule="auto"/>
        <w:rPr>
          <w:sz w:val="20"/>
          <w:szCs w:val="20"/>
          <w:color w:val="auto"/>
        </w:rPr>
      </w:pPr>
      <w:r>
        <w:rPr>
          <w:rFonts w:ascii="Arial" w:cs="Arial" w:eastAsia="Arial" w:hAnsi="Arial"/>
          <w:sz w:val="18"/>
          <w:szCs w:val="18"/>
          <w:color w:val="auto"/>
        </w:rPr>
        <w:t>The senior indenture provides that, except as otherwise provided in this paragraph, we may discharge our obligations with respect to an issue of senior debt securities and the senior indenture with respect to that series of senior debt securities if:</w:t>
      </w:r>
    </w:p>
    <w:p>
      <w:pPr>
        <w:spacing w:after="0" w:line="74" w:lineRule="exact"/>
        <w:rPr>
          <w:sz w:val="20"/>
          <w:szCs w:val="20"/>
          <w:color w:val="auto"/>
        </w:rPr>
      </w:pPr>
    </w:p>
    <w:p>
      <w:pPr>
        <w:ind w:left="820" w:right="200" w:hanging="470"/>
        <w:spacing w:after="0" w:line="264"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previously authenticated and delivered with certain exceptions, have been delivered to the trustee for cancellation and we have paid all sums payable under the senior indenture; or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20" w:right="880" w:hanging="470"/>
        <w:spacing w:after="0" w:line="264"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mature within one year or all of them are to be called for redemption within one year under arrangements satisfactory to the trustee for giving the notice of redemption and:</w:t>
      </w:r>
    </w:p>
    <w:p>
      <w:pPr>
        <w:spacing w:after="0" w:line="74" w:lineRule="exact"/>
        <w:rPr>
          <w:sz w:val="20"/>
          <w:szCs w:val="20"/>
          <w:color w:val="auto"/>
        </w:rPr>
      </w:pPr>
    </w:p>
    <w:p>
      <w:pPr>
        <w:ind w:left="1040" w:hanging="452"/>
        <w:spacing w:after="0" w:line="257" w:lineRule="auto"/>
        <w:tabs>
          <w:tab w:leader="none" w:pos="1040" w:val="left"/>
        </w:tabs>
        <w:numPr>
          <w:ilvl w:val="0"/>
          <w:numId w:val="35"/>
        </w:numPr>
        <w:rPr>
          <w:rFonts w:ascii="Arial" w:cs="Arial" w:eastAsia="Arial" w:hAnsi="Arial"/>
          <w:sz w:val="20"/>
          <w:szCs w:val="20"/>
          <w:color w:val="auto"/>
        </w:rPr>
      </w:pPr>
      <w:r>
        <w:rPr>
          <w:rFonts w:ascii="Arial" w:cs="Arial" w:eastAsia="Arial" w:hAnsi="Arial"/>
          <w:sz w:val="17"/>
          <w:szCs w:val="17"/>
          <w:color w:val="auto"/>
        </w:rPr>
        <w:t>we irrevocably deposit in trust with the trustee, as trust funds solely for the benefit of the holders of the senior debt securities of the affected series, for that purpose,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the affected series to maturity or redemption, as the case may be, and to pay all other sums payable by it under the senior indenture; and</w:t>
      </w:r>
    </w:p>
    <w:p>
      <w:pPr>
        <w:spacing w:after="0" w:line="96" w:lineRule="exact"/>
        <w:rPr>
          <w:rFonts w:ascii="Arial" w:cs="Arial" w:eastAsia="Arial" w:hAnsi="Arial"/>
          <w:sz w:val="20"/>
          <w:szCs w:val="20"/>
          <w:color w:val="auto"/>
        </w:rPr>
      </w:pPr>
    </w:p>
    <w:p>
      <w:pPr>
        <w:jc w:val="both"/>
        <w:ind w:left="1040" w:right="340" w:hanging="452"/>
        <w:spacing w:after="0" w:line="236" w:lineRule="auto"/>
        <w:tabs>
          <w:tab w:leader="none" w:pos="1040" w:val="left"/>
        </w:tabs>
        <w:numPr>
          <w:ilvl w:val="0"/>
          <w:numId w:val="35"/>
        </w:numPr>
        <w:rPr>
          <w:rFonts w:ascii="Arial" w:cs="Arial" w:eastAsia="Arial" w:hAnsi="Arial"/>
          <w:sz w:val="21"/>
          <w:szCs w:val="21"/>
          <w:color w:val="auto"/>
        </w:rPr>
      </w:pPr>
      <w:r>
        <w:rPr>
          <w:rFonts w:ascii="Arial" w:cs="Arial" w:eastAsia="Arial" w:hAnsi="Arial"/>
          <w:sz w:val="18"/>
          <w:szCs w:val="18"/>
          <w:color w:val="auto"/>
        </w:rPr>
        <w:t>we deliver to the trustee an officers’ certificate and an opinion of counsel, in each case stating that all conditions precedent provided for in the senior indenture relating to the satisfaction and discharge of the senior indenture with respect to the senior debt securities of the affected series have been complied with.</w:t>
      </w:r>
    </w:p>
    <w:p>
      <w:pPr>
        <w:spacing w:after="0" w:line="96" w:lineRule="exact"/>
        <w:rPr>
          <w:sz w:val="20"/>
          <w:szCs w:val="20"/>
          <w:color w:val="auto"/>
        </w:rPr>
      </w:pPr>
    </w:p>
    <w:p>
      <w:pPr>
        <w:ind w:right="100" w:firstLine="261"/>
        <w:spacing w:after="0" w:line="264" w:lineRule="auto"/>
        <w:rPr>
          <w:sz w:val="20"/>
          <w:szCs w:val="20"/>
          <w:color w:val="auto"/>
        </w:rPr>
      </w:pPr>
      <w:r>
        <w:rPr>
          <w:rFonts w:ascii="Arial" w:cs="Arial" w:eastAsia="Arial" w:hAnsi="Arial"/>
          <w:sz w:val="17"/>
          <w:szCs w:val="17"/>
          <w:color w:val="auto"/>
        </w:rPr>
        <w:t>With respect to all senior debt securities which have been delivered to the trustee for cancellation and for which have been paid all sums payable by us under the senior indenture, only our obligations to compensate and indemnify the trustee and our right to recover excess money held by the trustee under the senior indenture shall survive. With respect to senior debt securities which mature within one year or are to be called for redemption within one year under redemption arrangements satisfactory to the trustee,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senior indenture also provides that, except as otherwise provided in this paragraph, we:</w:t>
      </w:r>
    </w:p>
    <w:p>
      <w:pPr>
        <w:spacing w:after="0" w:line="111" w:lineRule="exact"/>
        <w:rPr>
          <w:sz w:val="20"/>
          <w:szCs w:val="20"/>
          <w:color w:val="auto"/>
        </w:rPr>
      </w:pPr>
    </w:p>
    <w:p>
      <w:pPr>
        <w:ind w:left="820" w:right="180" w:hanging="470"/>
        <w:spacing w:after="0" w:line="364" w:lineRule="auto"/>
        <w:tabs>
          <w:tab w:leader="none" w:pos="8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will be deemed to have paid and will be discharged from any and all obligations in respect of a series of senior debt securities, and the provisions of the senior indenture and the cable guarantees will no longer be in effect with respect to those senior debt securities (“legal defeasance”); and</w:t>
      </w:r>
    </w:p>
    <w:p>
      <w:pPr>
        <w:spacing w:after="0" w:line="19" w:lineRule="exact"/>
        <w:rPr>
          <w:rFonts w:ascii="Arial" w:cs="Arial" w:eastAsia="Arial" w:hAnsi="Arial"/>
          <w:sz w:val="15"/>
          <w:szCs w:val="15"/>
          <w:color w:val="auto"/>
        </w:rPr>
      </w:pPr>
    </w:p>
    <w:p>
      <w:pPr>
        <w:ind w:left="820" w:right="40" w:hanging="470"/>
        <w:spacing w:after="0" w:line="254"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may omit to comply with any term, provision or condition of the senior indenture described above under “—Certain Covenants” and such omission shall be deemed not to be an event of default under the third clause of the first paragraph of “—Events of Default” with respect to that series of senior debt securities (“covenant defeasance”);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following conditions shall have been satisfied:</w:t>
      </w:r>
    </w:p>
    <w:p>
      <w:pPr>
        <w:spacing w:after="0" w:line="111" w:lineRule="exact"/>
        <w:rPr>
          <w:sz w:val="20"/>
          <w:szCs w:val="20"/>
          <w:color w:val="auto"/>
        </w:rPr>
      </w:pPr>
    </w:p>
    <w:p>
      <w:pPr>
        <w:ind w:left="820" w:hanging="470"/>
        <w:spacing w:after="0" w:line="308" w:lineRule="auto"/>
        <w:tabs>
          <w:tab w:leader="none" w:pos="8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20" w:right="200" w:hanging="470"/>
        <w:spacing w:after="0" w:line="264"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senior indenture, the cable guarantees or any other material agreement or instrument to which we are a party or by which we are bound;</w:t>
      </w:r>
    </w:p>
    <w:p>
      <w:pPr>
        <w:spacing w:after="0" w:line="87" w:lineRule="exact"/>
        <w:rPr>
          <w:rFonts w:ascii="Arial" w:cs="Arial" w:eastAsia="Arial" w:hAnsi="Arial"/>
          <w:sz w:val="18"/>
          <w:szCs w:val="18"/>
          <w:color w:val="auto"/>
        </w:rPr>
      </w:pPr>
    </w:p>
    <w:p>
      <w:pPr>
        <w:ind w:left="820" w:right="520" w:hanging="470"/>
        <w:spacing w:after="0" w:line="264"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senior debt securities of such series shall have occurred and be continuing on the date of such deposit;</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shall have delivered to the trustee:</w:t>
      </w:r>
    </w:p>
    <w:p>
      <w:pPr>
        <w:spacing w:after="0" w:line="111" w:lineRule="exact"/>
        <w:rPr>
          <w:sz w:val="20"/>
          <w:szCs w:val="20"/>
          <w:color w:val="auto"/>
        </w:rPr>
      </w:pPr>
    </w:p>
    <w:p>
      <w:pPr>
        <w:ind w:left="1040" w:right="100" w:hanging="452"/>
        <w:spacing w:after="0"/>
        <w:tabs>
          <w:tab w:leader="none" w:pos="1040" w:val="left"/>
        </w:tabs>
        <w:numPr>
          <w:ilvl w:val="1"/>
          <w:numId w:val="39"/>
        </w:numPr>
        <w:rPr>
          <w:rFonts w:ascii="Arial" w:cs="Arial" w:eastAsia="Arial" w:hAnsi="Arial"/>
          <w:sz w:val="21"/>
          <w:szCs w:val="21"/>
          <w:color w:val="auto"/>
        </w:rPr>
      </w:pPr>
      <w:r>
        <w:rPr>
          <w:rFonts w:ascii="Arial" w:cs="Arial" w:eastAsia="Arial" w:hAnsi="Arial"/>
          <w:sz w:val="18"/>
          <w:szCs w:val="18"/>
          <w:color w:val="auto"/>
        </w:rPr>
        <w:t>either an opinion of counsel that the holders of the senior debt securities of such series will not recognize income, gain or loss for federal income tax purposes as a result of our exercising our option under this provision of the senior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107" w:lineRule="exact"/>
        <w:rPr>
          <w:rFonts w:ascii="Arial" w:cs="Arial" w:eastAsia="Arial" w:hAnsi="Arial"/>
          <w:sz w:val="21"/>
          <w:szCs w:val="21"/>
          <w:color w:val="auto"/>
        </w:rPr>
      </w:pPr>
    </w:p>
    <w:p>
      <w:pPr>
        <w:ind w:left="1040" w:right="60" w:hanging="452"/>
        <w:spacing w:after="0" w:line="232" w:lineRule="auto"/>
        <w:tabs>
          <w:tab w:leader="none" w:pos="1040" w:val="left"/>
        </w:tabs>
        <w:numPr>
          <w:ilvl w:val="1"/>
          <w:numId w:val="39"/>
        </w:numPr>
        <w:rPr>
          <w:rFonts w:ascii="Arial" w:cs="Arial" w:eastAsia="Arial" w:hAnsi="Arial"/>
          <w:sz w:val="21"/>
          <w:szCs w:val="21"/>
          <w:color w:val="auto"/>
        </w:rPr>
      </w:pPr>
      <w:r>
        <w:rPr>
          <w:rFonts w:ascii="Arial" w:cs="Arial" w:eastAsia="Arial" w:hAnsi="Arial"/>
          <w:sz w:val="18"/>
          <w:szCs w:val="18"/>
          <w:color w:val="auto"/>
        </w:rPr>
        <w:t>an opinion of counsel that the holders of the senior debt securities of such series have a valid security interest in the trust funds subject to no prior liens under the Uniform Commercial Code; and</w:t>
      </w:r>
    </w:p>
    <w:p>
      <w:pPr>
        <w:spacing w:after="0" w:line="95" w:lineRule="exact"/>
        <w:rPr>
          <w:rFonts w:ascii="Arial" w:cs="Arial" w:eastAsia="Arial" w:hAnsi="Arial"/>
          <w:sz w:val="21"/>
          <w:szCs w:val="21"/>
          <w:color w:val="auto"/>
        </w:rPr>
      </w:pPr>
    </w:p>
    <w:p>
      <w:pPr>
        <w:ind w:left="820" w:hanging="470"/>
        <w:spacing w:after="0" w:line="293" w:lineRule="auto"/>
        <w:tabs>
          <w:tab w:leader="none" w:pos="8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an opinion of counsel, in each case stating that all conditions precedent provided for in the senior indenture relating to the defeasance contemplated of the senior debt securities of such series have been complied with.</w:t>
      </w:r>
    </w:p>
    <w:p>
      <w:pPr>
        <w:spacing w:after="0" w:line="52" w:lineRule="exact"/>
        <w:rPr>
          <w:sz w:val="20"/>
          <w:szCs w:val="20"/>
          <w:color w:val="auto"/>
        </w:rPr>
      </w:pPr>
    </w:p>
    <w:p>
      <w:pPr>
        <w:ind w:right="40" w:firstLine="264"/>
        <w:spacing w:after="0" w:line="265" w:lineRule="auto"/>
        <w:rPr>
          <w:sz w:val="20"/>
          <w:szCs w:val="20"/>
          <w:color w:val="auto"/>
        </w:rPr>
      </w:pPr>
      <w:r>
        <w:rPr>
          <w:rFonts w:ascii="Arial" w:cs="Arial" w:eastAsia="Arial" w:hAnsi="Arial"/>
          <w:sz w:val="17"/>
          <w:szCs w:val="17"/>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and the trustee may amend or supplement the senior indenture or the senior debt securities without notice to or the consent of any holder:</w:t>
      </w:r>
    </w:p>
    <w:p>
      <w:pPr>
        <w:spacing w:after="0" w:line="122" w:lineRule="exact"/>
        <w:rPr>
          <w:sz w:val="20"/>
          <w:szCs w:val="20"/>
          <w:color w:val="auto"/>
        </w:rPr>
      </w:pPr>
    </w:p>
    <w:p>
      <w:pPr>
        <w:ind w:left="820" w:right="120" w:hanging="470"/>
        <w:spacing w:after="0" w:line="264"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indenture; provided that such amendments or supplements shall not adversely affect the interests of the holders in any material respect;</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of Assets;”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comply with any requirements of the SEC in connection with the qualification of the senior indenture under the Trust Indenture Act;</w:t>
      </w:r>
    </w:p>
    <w:p>
      <w:pPr>
        <w:spacing w:after="0" w:line="135" w:lineRule="exact"/>
        <w:rPr>
          <w:rFonts w:ascii="Arial" w:cs="Arial" w:eastAsia="Arial" w:hAnsi="Arial"/>
          <w:sz w:val="17"/>
          <w:szCs w:val="17"/>
          <w:color w:val="auto"/>
        </w:rPr>
      </w:pPr>
    </w:p>
    <w:p>
      <w:pPr>
        <w:ind w:left="820" w:hanging="470"/>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provide for uncertificated notes and to make all appropriate changes for such purpose;</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20" w:right="60" w:hanging="470"/>
        <w:spacing w:after="0" w:line="364" w:lineRule="auto"/>
        <w:tabs>
          <w:tab w:leader="none" w:pos="8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19" w:lineRule="exact"/>
        <w:rPr>
          <w:rFonts w:ascii="Arial" w:cs="Arial" w:eastAsia="Arial" w:hAnsi="Arial"/>
          <w:sz w:val="15"/>
          <w:szCs w:val="15"/>
          <w:color w:val="auto"/>
        </w:rPr>
      </w:pPr>
    </w:p>
    <w:p>
      <w:pPr>
        <w:ind w:left="820" w:hanging="470"/>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make any change so long as no senior debt securities are outstanding.</w:t>
      </w:r>
    </w:p>
    <w:p>
      <w:pPr>
        <w:spacing w:after="0" w:line="111" w:lineRule="exact"/>
        <w:rPr>
          <w:sz w:val="20"/>
          <w:szCs w:val="20"/>
          <w:color w:val="auto"/>
        </w:rPr>
      </w:pPr>
    </w:p>
    <w:p>
      <w:pPr>
        <w:ind w:firstLine="264"/>
        <w:spacing w:after="0" w:line="268" w:lineRule="auto"/>
        <w:rPr>
          <w:sz w:val="20"/>
          <w:szCs w:val="20"/>
          <w:color w:val="auto"/>
        </w:rPr>
      </w:pPr>
      <w:r>
        <w:rPr>
          <w:rFonts w:ascii="Arial" w:cs="Arial" w:eastAsia="Arial" w:hAnsi="Arial"/>
          <w:sz w:val="17"/>
          <w:szCs w:val="17"/>
          <w:color w:val="auto"/>
        </w:rPr>
        <w:t>Subject to certain conditions, without prior notice to any holder of senior debt securities, modifications and amendments of the senior indenture may be made by us and the trustee with respect to any series of senior debt securities with the written consent of the holders of a majority in principal amount of the affected series of senior debt securities, and our compliance with any provision of the senior indenture with respect to any series of senior debt securities may be waived by written notice to the trustee by the holders of a majority in principal amount of the affected series of senior debt securities outstanding; provided, however, that each affected holder must consent to any modification, amendment or waiver that:</w:t>
      </w:r>
    </w:p>
    <w:p>
      <w:pPr>
        <w:spacing w:after="0" w:line="73" w:lineRule="exact"/>
        <w:rPr>
          <w:sz w:val="20"/>
          <w:szCs w:val="20"/>
          <w:color w:val="auto"/>
        </w:rPr>
      </w:pPr>
    </w:p>
    <w:p>
      <w:pPr>
        <w:ind w:left="820" w:right="520" w:hanging="470"/>
        <w:spacing w:after="0" w:line="264"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sinking fund obligation or any installment of interest on, the senior debt securities of the affected series;</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the senior debt securities of the affected series;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the place or currency of payment of principal of, or premium, if any, or interest on, the senior debt securities of the affected series;</w:t>
      </w:r>
    </w:p>
    <w:p>
      <w:pPr>
        <w:spacing w:after="0" w:line="135" w:lineRule="exact"/>
        <w:rPr>
          <w:rFonts w:ascii="Arial" w:cs="Arial" w:eastAsia="Arial" w:hAnsi="Arial"/>
          <w:sz w:val="17"/>
          <w:szCs w:val="17"/>
          <w:color w:val="auto"/>
        </w:rPr>
      </w:pPr>
    </w:p>
    <w:p>
      <w:pPr>
        <w:ind w:left="820" w:hanging="470"/>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123" w:lineRule="exact"/>
        <w:rPr>
          <w:rFonts w:ascii="Arial" w:cs="Arial" w:eastAsia="Arial" w:hAnsi="Arial"/>
          <w:sz w:val="18"/>
          <w:szCs w:val="18"/>
          <w:color w:val="auto"/>
        </w:rPr>
      </w:pPr>
    </w:p>
    <w:p>
      <w:pPr>
        <w:ind w:left="820" w:right="160" w:hanging="470"/>
        <w:spacing w:after="0" w:line="293" w:lineRule="auto"/>
        <w:tabs>
          <w:tab w:leader="none" w:pos="8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the provisions relating to the waiver of past defaults or changes or impairs the right of holders to receive payment or to institute suit for the enforcement of any payment of the senior debt securities of the affected series on or after the due date therefor;</w:t>
      </w:r>
    </w:p>
    <w:p>
      <w:pPr>
        <w:spacing w:after="0" w:line="65" w:lineRule="exact"/>
        <w:rPr>
          <w:rFonts w:ascii="Arial" w:cs="Arial" w:eastAsia="Arial" w:hAnsi="Arial"/>
          <w:sz w:val="17"/>
          <w:szCs w:val="17"/>
          <w:color w:val="auto"/>
        </w:rPr>
      </w:pPr>
    </w:p>
    <w:p>
      <w:pPr>
        <w:ind w:left="820" w:right="20" w:hanging="470"/>
        <w:spacing w:after="0" w:line="264"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senior debt securities of the affected series the consent of whose holders is necessary to modify or amend or to waive certain provisions of or defaults under the senior indenture;</w:t>
      </w:r>
    </w:p>
    <w:p>
      <w:pPr>
        <w:spacing w:after="0" w:line="87" w:lineRule="exact"/>
        <w:rPr>
          <w:rFonts w:ascii="Arial" w:cs="Arial" w:eastAsia="Arial" w:hAnsi="Arial"/>
          <w:sz w:val="18"/>
          <w:szCs w:val="18"/>
          <w:color w:val="auto"/>
        </w:rPr>
      </w:pPr>
    </w:p>
    <w:p>
      <w:pPr>
        <w:ind w:left="820" w:right="260" w:hanging="470"/>
        <w:spacing w:after="0" w:line="264"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alters or impairs the right of holders to convert the senior debt securities of the affected series at the rate and upon the terms provided in the senior indenture;</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waives a default in the payment of principal of, premium, if any, or interest on the senior debt securities;</w:t>
      </w:r>
    </w:p>
    <w:p>
      <w:pPr>
        <w:spacing w:after="0" w:line="123" w:lineRule="exact"/>
        <w:rPr>
          <w:rFonts w:ascii="Arial" w:cs="Arial" w:eastAsia="Arial" w:hAnsi="Arial"/>
          <w:sz w:val="18"/>
          <w:szCs w:val="18"/>
          <w:color w:val="auto"/>
        </w:rPr>
      </w:pPr>
    </w:p>
    <w:p>
      <w:pPr>
        <w:ind w:left="820" w:right="320" w:hanging="470"/>
        <w:spacing w:after="0" w:line="264"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adversely affects the rights of such holder under any mandatory redemption or repurchase provision or any right of redemption or repurchase that such holder has;</w:t>
      </w:r>
    </w:p>
    <w:p>
      <w:pPr>
        <w:spacing w:after="0" w:line="87" w:lineRule="exact"/>
        <w:rPr>
          <w:rFonts w:ascii="Arial" w:cs="Arial" w:eastAsia="Arial" w:hAnsi="Arial"/>
          <w:sz w:val="18"/>
          <w:szCs w:val="18"/>
          <w:color w:val="auto"/>
        </w:rPr>
      </w:pPr>
    </w:p>
    <w:p>
      <w:pPr>
        <w:ind w:left="820" w:right="400" w:hanging="470"/>
        <w:spacing w:after="0" w:line="364" w:lineRule="auto"/>
        <w:tabs>
          <w:tab w:leader="none" w:pos="8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modifies any of the provisions of this paragraph, except to increase any required percentage or to provide that certain other provisions cannot be modified or waived without the consent of the holder of each senior debt security of the series affected by the modification; or</w:t>
      </w:r>
    </w:p>
    <w:p>
      <w:pPr>
        <w:spacing w:after="0" w:line="19" w:lineRule="exact"/>
        <w:rPr>
          <w:rFonts w:ascii="Arial" w:cs="Arial" w:eastAsia="Arial" w:hAnsi="Arial"/>
          <w:sz w:val="15"/>
          <w:szCs w:val="15"/>
          <w:color w:val="auto"/>
        </w:rPr>
      </w:pPr>
    </w:p>
    <w:p>
      <w:pPr>
        <w:ind w:left="820" w:hanging="470"/>
        <w:spacing w:after="0" w:line="264"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or waives any provision in the senior indenture that, pursuant to a board resolution or supplemental indenture establishing the terms of one or more series of senior debt securities, is prohibited from being so changed or waived.</w:t>
      </w:r>
    </w:p>
    <w:p>
      <w:pPr>
        <w:spacing w:after="0" w:line="74" w:lineRule="exact"/>
        <w:rPr>
          <w:sz w:val="20"/>
          <w:szCs w:val="20"/>
          <w:color w:val="auto"/>
        </w:rPr>
      </w:pPr>
    </w:p>
    <w:p>
      <w:pPr>
        <w:ind w:right="20" w:firstLine="264"/>
        <w:spacing w:after="0" w:line="250" w:lineRule="auto"/>
        <w:rPr>
          <w:sz w:val="20"/>
          <w:szCs w:val="20"/>
          <w:color w:val="auto"/>
        </w:rPr>
      </w:pPr>
      <w:r>
        <w:rPr>
          <w:rFonts w:ascii="Arial" w:cs="Arial" w:eastAsia="Arial" w:hAnsi="Arial"/>
          <w:sz w:val="18"/>
          <w:szCs w:val="18"/>
          <w:color w:val="auto"/>
        </w:rPr>
        <w:t>It is not necessary for the consent of the holders under the senior indenture to approve the particular form of any note amendment, supplement or waiver, but it shall be sufficient if such consent approves the substance thereof. After an amendment, supplement or waiver under the senior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111" w:lineRule="exact"/>
        <w:rPr>
          <w:sz w:val="20"/>
          <w:szCs w:val="20"/>
          <w:color w:val="auto"/>
        </w:rPr>
      </w:pPr>
    </w:p>
    <w:p>
      <w:pPr>
        <w:ind w:firstLine="261"/>
        <w:spacing w:after="0" w:line="250" w:lineRule="auto"/>
        <w:rPr>
          <w:sz w:val="20"/>
          <w:szCs w:val="20"/>
          <w:color w:val="auto"/>
        </w:rPr>
      </w:pPr>
      <w:r>
        <w:rPr>
          <w:rFonts w:ascii="Arial" w:cs="Arial" w:eastAsia="Arial" w:hAnsi="Arial"/>
          <w:sz w:val="18"/>
          <w:szCs w:val="18"/>
          <w:color w:val="auto"/>
        </w:rPr>
        <w:t>The senior indenture provides that no recourse shall be had under or upon any obligation, covenant, or agreement of ours or the cable guarantors in the senior indenture or any supplemental indenture, or in any of the senior debt securities or because of the creation of any indebtedness represented thereby, against any incorporator, stockholder, officer, director, employee of ours or any cable guarantor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1" w:lineRule="exact"/>
        <w:rPr>
          <w:sz w:val="20"/>
          <w:szCs w:val="20"/>
          <w:color w:val="auto"/>
        </w:rPr>
      </w:pPr>
    </w:p>
    <w:p>
      <w:pPr>
        <w:ind w:right="120" w:firstLine="261"/>
        <w:spacing w:after="0" w:line="251" w:lineRule="auto"/>
        <w:rPr>
          <w:sz w:val="20"/>
          <w:szCs w:val="20"/>
          <w:color w:val="auto"/>
        </w:rPr>
      </w:pPr>
      <w:r>
        <w:rPr>
          <w:rFonts w:ascii="Arial" w:cs="Arial" w:eastAsia="Arial" w:hAnsi="Arial"/>
          <w:sz w:val="18"/>
          <w:szCs w:val="18"/>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Governing Law</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senior indenture and the debt securities will be governed by, and construed in accordance with, the internal laws of the State of New York.</w:t>
      </w: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Trustees</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11" w:lineRule="exact"/>
        <w:rPr>
          <w:sz w:val="20"/>
          <w:szCs w:val="20"/>
          <w:color w:val="auto"/>
        </w:rPr>
      </w:pPr>
    </w:p>
    <w:p>
      <w:pPr>
        <w:ind w:right="540" w:firstLine="264"/>
        <w:spacing w:after="0" w:line="264" w:lineRule="auto"/>
        <w:rPr>
          <w:sz w:val="20"/>
          <w:szCs w:val="20"/>
          <w:color w:val="auto"/>
        </w:rPr>
      </w:pPr>
      <w:r>
        <w:rPr>
          <w:rFonts w:ascii="Arial" w:cs="Arial" w:eastAsia="Arial" w:hAnsi="Arial"/>
          <w:sz w:val="18"/>
          <w:szCs w:val="18"/>
          <w:color w:val="auto"/>
        </w:rPr>
        <w:t>Brian L. Roberts, our director, President and Chief Executive Officer and a director of Comcast Holdings, is a member of the board of directors of the Trustee.</w:t>
      </w:r>
    </w:p>
    <w:p>
      <w:pPr>
        <w:spacing w:after="0" w:line="74" w:lineRule="exact"/>
        <w:rPr>
          <w:sz w:val="20"/>
          <w:szCs w:val="20"/>
          <w:color w:val="auto"/>
        </w:rPr>
      </w:pPr>
    </w:p>
    <w:p>
      <w:pPr>
        <w:ind w:right="20" w:firstLine="264"/>
        <w:spacing w:after="0" w:line="264" w:lineRule="auto"/>
        <w:rPr>
          <w:sz w:val="20"/>
          <w:szCs w:val="20"/>
          <w:color w:val="auto"/>
        </w:rPr>
      </w:pPr>
      <w:r>
        <w:rPr>
          <w:rFonts w:ascii="Arial" w:cs="Arial" w:eastAsia="Arial" w:hAnsi="Arial"/>
          <w:sz w:val="18"/>
          <w:szCs w:val="18"/>
          <w:color w:val="auto"/>
        </w:rPr>
        <w:t>John R. Alchin, our Executive Vice President, Co-Chief Financial Officer and Treasurer, is a member of the board of directors of BNY Hamilton Funds, Inc., an affiliate of the Trustee.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117" w:lineRule="exact"/>
        <w:rPr>
          <w:sz w:val="20"/>
          <w:szCs w:val="20"/>
          <w:color w:val="auto"/>
        </w:rPr>
      </w:pPr>
    </w:p>
    <w:p>
      <w:pPr>
        <w:ind w:right="40" w:firstLine="264"/>
        <w:spacing w:after="0" w:line="254"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Subordination</w:t>
      </w:r>
    </w:p>
    <w:p>
      <w:pPr>
        <w:spacing w:after="0" w:line="111" w:lineRule="exact"/>
        <w:rPr>
          <w:sz w:val="20"/>
          <w:szCs w:val="20"/>
          <w:color w:val="auto"/>
        </w:rPr>
      </w:pPr>
    </w:p>
    <w:p>
      <w:pPr>
        <w:ind w:right="20" w:firstLine="261"/>
        <w:spacing w:after="0" w:line="264" w:lineRule="auto"/>
        <w:rPr>
          <w:sz w:val="20"/>
          <w:szCs w:val="20"/>
          <w:color w:val="auto"/>
        </w:rPr>
      </w:pPr>
      <w:r>
        <w:rPr>
          <w:rFonts w:ascii="Arial" w:cs="Arial" w:eastAsia="Arial" w:hAnsi="Arial"/>
          <w:sz w:val="17"/>
          <w:szCs w:val="17"/>
          <w:color w:val="auto"/>
        </w:rPr>
        <w:t>The indebtedness evidenced by the subordinated debt securities is subordinate to the prior payment in full of all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subordination provisions also apply in the same way to each cable guarantor with respect to the Senior Indebtedness of such cable guarantor.</w:t>
      </w:r>
    </w:p>
    <w:p>
      <w:pPr>
        <w:spacing w:after="0" w:line="122" w:lineRule="exact"/>
        <w:rPr>
          <w:sz w:val="20"/>
          <w:szCs w:val="20"/>
          <w:color w:val="auto"/>
        </w:rPr>
      </w:pPr>
    </w:p>
    <w:p>
      <w:pPr>
        <w:ind w:right="440" w:firstLine="261"/>
        <w:spacing w:after="0" w:line="364" w:lineRule="auto"/>
        <w:rPr>
          <w:sz w:val="20"/>
          <w:szCs w:val="20"/>
          <w:color w:val="auto"/>
        </w:rPr>
      </w:pPr>
      <w:r>
        <w:rPr>
          <w:rFonts w:ascii="Arial" w:cs="Arial" w:eastAsia="Arial" w:hAnsi="Arial"/>
          <w:sz w:val="15"/>
          <w:szCs w:val="15"/>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6" w:lineRule="exact"/>
        <w:rPr>
          <w:sz w:val="20"/>
          <w:szCs w:val="20"/>
          <w:color w:val="auto"/>
        </w:rPr>
      </w:pPr>
    </w:p>
    <w:p>
      <w:pPr>
        <w:ind w:left="820" w:right="20" w:hanging="470"/>
        <w:spacing w:after="0" w:line="302" w:lineRule="auto"/>
        <w:tabs>
          <w:tab w:leader="none" w:pos="8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all of the indebtedness of that person for money borrowed, including any indebtedness secured by a mortgage or other lien which is (1) given to secure all or part of the purchase price of property subject to the mortgage or lien, whether given to the vendor of that property or to another lender, or</w:t>
      </w:r>
    </w:p>
    <w:p>
      <w:pPr>
        <w:ind w:left="820"/>
        <w:spacing w:after="0"/>
        <w:rPr>
          <w:rFonts w:ascii="Arial" w:cs="Arial" w:eastAsia="Arial" w:hAnsi="Arial"/>
          <w:sz w:val="15"/>
          <w:szCs w:val="15"/>
          <w:color w:val="auto"/>
        </w:rPr>
      </w:pPr>
      <w:r>
        <w:rPr>
          <w:rFonts w:ascii="Arial" w:cs="Arial" w:eastAsia="Arial" w:hAnsi="Arial"/>
          <w:sz w:val="18"/>
          <w:szCs w:val="18"/>
          <w:color w:val="auto"/>
        </w:rPr>
        <w:t>(2) existing on property at the time that person acquires it;</w:t>
      </w:r>
    </w:p>
    <w:p>
      <w:pPr>
        <w:spacing w:after="0" w:line="112" w:lineRule="exact"/>
        <w:rPr>
          <w:rFonts w:ascii="Arial" w:cs="Arial" w:eastAsia="Arial" w:hAnsi="Arial"/>
          <w:sz w:val="15"/>
          <w:szCs w:val="15"/>
          <w:color w:val="auto"/>
        </w:rPr>
      </w:pPr>
    </w:p>
    <w:p>
      <w:pPr>
        <w:ind w:left="820" w:hanging="470"/>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of the indebtedness of that person evidenced by notes, debentures, bonds or other securities sold by that person for money;</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all of the lease obligations which are capitalized on the books of that person in accordance with generally accepted accounting principles;</w:t>
      </w:r>
    </w:p>
    <w:p>
      <w:pPr>
        <w:spacing w:after="0" w:line="135" w:lineRule="exact"/>
        <w:rPr>
          <w:rFonts w:ascii="Arial" w:cs="Arial" w:eastAsia="Arial" w:hAnsi="Arial"/>
          <w:sz w:val="17"/>
          <w:szCs w:val="17"/>
          <w:color w:val="auto"/>
        </w:rPr>
      </w:pPr>
    </w:p>
    <w:p>
      <w:pPr>
        <w:ind w:left="820" w:right="380" w:hanging="470"/>
        <w:spacing w:after="0" w:line="254"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96" w:lineRule="exact"/>
        <w:rPr>
          <w:rFonts w:ascii="Arial" w:cs="Arial" w:eastAsia="Arial" w:hAnsi="Arial"/>
          <w:sz w:val="18"/>
          <w:szCs w:val="18"/>
          <w:color w:val="auto"/>
        </w:rPr>
      </w:pPr>
    </w:p>
    <w:p>
      <w:pPr>
        <w:ind w:left="820" w:right="480" w:hanging="470"/>
        <w:spacing w:after="0" w:line="264"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74"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 assumption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ours or any cable guarantor to which we and the cable guarantors are a party, including our and the cable guarantors’, guarantees of each others’ debt securities and other indebtedness for borrowed money, constitute Senior Indebtedness for purposes of the subordinated debt indenture.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117" w:lineRule="exact"/>
        <w:rPr>
          <w:sz w:val="20"/>
          <w:szCs w:val="20"/>
          <w:color w:val="auto"/>
        </w:rPr>
      </w:pPr>
    </w:p>
    <w:p>
      <w:pPr>
        <w:ind w:right="260" w:firstLine="261"/>
        <w:spacing w:after="0" w:line="251"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87" w:lineRule="exact"/>
        <w:rPr>
          <w:sz w:val="20"/>
          <w:szCs w:val="20"/>
          <w:color w:val="auto"/>
        </w:rPr>
      </w:pPr>
    </w:p>
    <w:p>
      <w:pPr>
        <w:ind w:right="260" w:firstLine="264"/>
        <w:spacing w:after="0" w:line="264" w:lineRule="auto"/>
        <w:rPr>
          <w:sz w:val="20"/>
          <w:szCs w:val="20"/>
          <w:color w:val="auto"/>
        </w:rPr>
      </w:pPr>
      <w:r>
        <w:rPr>
          <w:rFonts w:ascii="Arial" w:cs="Arial" w:eastAsia="Arial" w:hAnsi="Arial"/>
          <w:sz w:val="18"/>
          <w:szCs w:val="18"/>
          <w:color w:val="auto"/>
        </w:rPr>
        <w:t>Unless otherwise indicated in the prospectus supplement, the following provisions will apply to debt securities being offered that may be exchanged for or converted into capital stock:</w:t>
      </w:r>
    </w:p>
    <w:p>
      <w:pPr>
        <w:spacing w:after="0" w:line="74" w:lineRule="exact"/>
        <w:rPr>
          <w:sz w:val="20"/>
          <w:szCs w:val="20"/>
          <w:color w:val="auto"/>
        </w:rPr>
      </w:pPr>
    </w:p>
    <w:p>
      <w:pPr>
        <w:ind w:right="40" w:firstLine="261"/>
        <w:spacing w:after="0" w:line="251" w:lineRule="auto"/>
        <w:rPr>
          <w:sz w:val="20"/>
          <w:szCs w:val="20"/>
          <w:color w:val="auto"/>
        </w:rPr>
      </w:pPr>
      <w:r>
        <w:rPr>
          <w:rFonts w:ascii="Arial" w:cs="Arial" w:eastAsia="Arial" w:hAnsi="Arial"/>
          <w:sz w:val="18"/>
          <w:szCs w:val="18"/>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87" w:lineRule="exact"/>
        <w:rPr>
          <w:sz w:val="20"/>
          <w:szCs w:val="20"/>
          <w:color w:val="auto"/>
        </w:rPr>
      </w:pPr>
    </w:p>
    <w:p>
      <w:pPr>
        <w:ind w:firstLine="261"/>
        <w:spacing w:after="0" w:line="254" w:lineRule="auto"/>
        <w:rPr>
          <w:sz w:val="20"/>
          <w:szCs w:val="20"/>
          <w:color w:val="auto"/>
        </w:rPr>
      </w:pPr>
      <w:r>
        <w:rPr>
          <w:rFonts w:ascii="Arial" w:cs="Arial" w:eastAsia="Arial" w:hAnsi="Arial"/>
          <w:sz w:val="18"/>
          <w:szCs w:val="18"/>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security holder, if applicable, such right will terminate upon receipt of written notice of the exercise of such option.</w:t>
      </w:r>
    </w:p>
    <w:p>
      <w:pPr>
        <w:spacing w:after="0" w:line="111" w:lineRule="exact"/>
        <w:rPr>
          <w:sz w:val="20"/>
          <w:szCs w:val="20"/>
          <w:color w:val="auto"/>
        </w:rPr>
      </w:pPr>
    </w:p>
    <w:p>
      <w:pPr>
        <w:ind w:right="20" w:firstLine="264"/>
        <w:spacing w:after="0" w:line="264" w:lineRule="auto"/>
        <w:rPr>
          <w:sz w:val="20"/>
          <w:szCs w:val="20"/>
          <w:color w:val="auto"/>
        </w:rPr>
      </w:pPr>
      <w:r>
        <w:rPr>
          <w:rFonts w:ascii="Arial" w:cs="Arial" w:eastAsia="Arial" w:hAnsi="Arial"/>
          <w:sz w:val="18"/>
          <w:szCs w:val="18"/>
          <w:color w:val="auto"/>
        </w:rPr>
        <w:t>Unless the terms of the specific debt securities being offered provide otherwise, in certain events, the conversion rate will be subject to adjustment as set forth in the indentures. Such events include:</w:t>
      </w:r>
    </w:p>
    <w:p>
      <w:pPr>
        <w:spacing w:after="0" w:line="74" w:lineRule="exact"/>
        <w:rPr>
          <w:sz w:val="20"/>
          <w:szCs w:val="20"/>
          <w:color w:val="auto"/>
        </w:rPr>
      </w:pPr>
    </w:p>
    <w:p>
      <w:pPr>
        <w:ind w:left="820" w:right="200" w:hanging="470"/>
        <w:spacing w:after="0" w:line="264"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issuance of shares of any class of capital stock of ours as a dividend on the class of capital stock into which the debt securities of such series are convertible;</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subdivisions, combinations and reclassifications of the class of capital stock into which debt securities of such series are convertible;</w:t>
      </w:r>
    </w:p>
    <w:p>
      <w:pPr>
        <w:spacing w:after="0" w:line="123" w:lineRule="exact"/>
        <w:rPr>
          <w:rFonts w:ascii="Arial" w:cs="Arial" w:eastAsia="Arial" w:hAnsi="Arial"/>
          <w:sz w:val="18"/>
          <w:szCs w:val="18"/>
          <w:color w:val="auto"/>
        </w:rPr>
      </w:pPr>
    </w:p>
    <w:p>
      <w:pPr>
        <w:ind w:left="820" w:right="40" w:hanging="470"/>
        <w:spacing w:after="0" w:line="254"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issuance to all holders of the class of capital stock into which debt securities of such series are convertible or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96" w:lineRule="exact"/>
        <w:rPr>
          <w:rFonts w:ascii="Arial" w:cs="Arial" w:eastAsia="Arial" w:hAnsi="Arial"/>
          <w:sz w:val="18"/>
          <w:szCs w:val="18"/>
          <w:color w:val="auto"/>
        </w:rPr>
      </w:pPr>
    </w:p>
    <w:p>
      <w:pPr>
        <w:ind w:left="820" w:right="40" w:hanging="470"/>
        <w:spacing w:after="0" w:line="264"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distributions of cash in excess of certain threshold amounts.</w:t>
      </w:r>
    </w:p>
    <w:p>
      <w:pPr>
        <w:spacing w:after="0" w:line="111" w:lineRule="exact"/>
        <w:rPr>
          <w:sz w:val="20"/>
          <w:szCs w:val="20"/>
          <w:color w:val="auto"/>
        </w:rPr>
      </w:pPr>
    </w:p>
    <w:p>
      <w:pPr>
        <w:ind w:right="840" w:firstLine="264"/>
        <w:spacing w:after="0" w:line="364" w:lineRule="auto"/>
        <w:rPr>
          <w:sz w:val="20"/>
          <w:szCs w:val="20"/>
          <w:color w:val="auto"/>
        </w:rPr>
      </w:pPr>
      <w:r>
        <w:rPr>
          <w:rFonts w:ascii="Arial" w:cs="Arial" w:eastAsia="Arial" w:hAnsi="Arial"/>
          <w:sz w:val="15"/>
          <w:szCs w:val="15"/>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6" w:lineRule="exact"/>
        <w:rPr>
          <w:sz w:val="20"/>
          <w:szCs w:val="20"/>
          <w:color w:val="auto"/>
        </w:rPr>
      </w:pPr>
    </w:p>
    <w:p>
      <w:pPr>
        <w:ind w:firstLine="264"/>
        <w:spacing w:after="0" w:line="317" w:lineRule="auto"/>
        <w:rPr>
          <w:sz w:val="20"/>
          <w:szCs w:val="20"/>
          <w:color w:val="auto"/>
        </w:rPr>
      </w:pPr>
      <w:r>
        <w:rPr>
          <w:rFonts w:ascii="Arial" w:cs="Arial" w:eastAsia="Arial" w:hAnsi="Arial"/>
          <w:sz w:val="15"/>
          <w:szCs w:val="15"/>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SECURITIES</w:t>
      </w:r>
    </w:p>
    <w:p>
      <w:pPr>
        <w:spacing w:after="0" w:line="117" w:lineRule="exact"/>
        <w:rPr>
          <w:sz w:val="20"/>
          <w:szCs w:val="20"/>
          <w:color w:val="auto"/>
        </w:rPr>
      </w:pPr>
    </w:p>
    <w:p>
      <w:pPr>
        <w:ind w:right="80" w:firstLine="261"/>
        <w:spacing w:after="0" w:line="265" w:lineRule="auto"/>
        <w:rPr>
          <w:sz w:val="20"/>
          <w:szCs w:val="20"/>
          <w:color w:val="auto"/>
        </w:rPr>
      </w:pPr>
      <w:r>
        <w:rPr>
          <w:rFonts w:ascii="Arial" w:cs="Arial" w:eastAsia="Arial" w:hAnsi="Arial"/>
          <w:sz w:val="17"/>
          <w:szCs w:val="17"/>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77" w:lineRule="exact"/>
        <w:rPr>
          <w:sz w:val="20"/>
          <w:szCs w:val="20"/>
          <w:color w:val="auto"/>
        </w:rPr>
      </w:pPr>
    </w:p>
    <w:p>
      <w:pPr>
        <w:ind w:right="180" w:firstLine="261"/>
        <w:spacing w:after="0" w:line="293" w:lineRule="auto"/>
        <w:rPr>
          <w:sz w:val="20"/>
          <w:szCs w:val="20"/>
          <w:color w:val="auto"/>
        </w:rPr>
      </w:pPr>
      <w:r>
        <w:rPr>
          <w:rFonts w:ascii="Arial" w:cs="Arial" w:eastAsia="Arial" w:hAnsi="Arial"/>
          <w:sz w:val="17"/>
          <w:szCs w:val="17"/>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52" w:lineRule="exact"/>
        <w:rPr>
          <w:sz w:val="20"/>
          <w:szCs w:val="20"/>
          <w:color w:val="auto"/>
        </w:rPr>
      </w:pPr>
    </w:p>
    <w:p>
      <w:pPr>
        <w:ind w:firstLine="264"/>
        <w:spacing w:after="0" w:line="304"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51" w:lineRule="exact"/>
        <w:rPr>
          <w:sz w:val="20"/>
          <w:szCs w:val="20"/>
          <w:color w:val="auto"/>
        </w:rPr>
      </w:pPr>
    </w:p>
    <w:p>
      <w:pPr>
        <w:ind w:right="120" w:firstLine="264"/>
        <w:spacing w:after="0" w:line="301" w:lineRule="auto"/>
        <w:rPr>
          <w:sz w:val="20"/>
          <w:szCs w:val="20"/>
          <w:color w:val="auto"/>
        </w:rPr>
      </w:pPr>
      <w:r>
        <w:rPr>
          <w:rFonts w:ascii="Arial" w:cs="Arial" w:eastAsia="Arial" w:hAnsi="Arial"/>
          <w:sz w:val="15"/>
          <w:szCs w:val="15"/>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266" w:lineRule="exact"/>
        <w:rPr>
          <w:sz w:val="20"/>
          <w:szCs w:val="20"/>
          <w:color w:val="auto"/>
        </w:rPr>
      </w:pPr>
    </w:p>
    <w:p>
      <w:pPr>
        <w:ind w:right="180" w:firstLine="264"/>
        <w:spacing w:after="0" w:line="251"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74" w:lineRule="exact"/>
        <w:rPr>
          <w:sz w:val="20"/>
          <w:szCs w:val="20"/>
          <w:color w:val="auto"/>
        </w:rPr>
      </w:pPr>
    </w:p>
    <w:p>
      <w:pPr>
        <w:ind w:right="440" w:firstLine="261"/>
        <w:spacing w:after="0" w:line="249" w:lineRule="auto"/>
        <w:rPr>
          <w:sz w:val="20"/>
          <w:szCs w:val="20"/>
          <w:color w:val="auto"/>
        </w:rPr>
      </w:pPr>
      <w:r>
        <w:rPr>
          <w:rFonts w:ascii="Arial" w:cs="Arial" w:eastAsia="Arial" w:hAnsi="Arial"/>
          <w:sz w:val="18"/>
          <w:szCs w:val="18"/>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87" w:lineRule="exact"/>
        <w:rPr>
          <w:sz w:val="20"/>
          <w:szCs w:val="20"/>
          <w:color w:val="auto"/>
        </w:rPr>
      </w:pPr>
    </w:p>
    <w:p>
      <w:pPr>
        <w:ind w:right="20" w:firstLine="264"/>
        <w:spacing w:after="0" w:line="306" w:lineRule="auto"/>
        <w:rPr>
          <w:sz w:val="20"/>
          <w:szCs w:val="20"/>
          <w:color w:val="auto"/>
        </w:rPr>
      </w:pPr>
      <w:r>
        <w:rPr>
          <w:rFonts w:ascii="Arial" w:cs="Arial" w:eastAsia="Arial" w:hAnsi="Arial"/>
          <w:sz w:val="15"/>
          <w:szCs w:val="15"/>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17" w:lineRule="exact"/>
        <w:rPr>
          <w:sz w:val="20"/>
          <w:szCs w:val="20"/>
          <w:color w:val="auto"/>
        </w:rPr>
      </w:pPr>
    </w:p>
    <w:p>
      <w:pPr>
        <w:ind w:right="120" w:firstLine="261"/>
        <w:spacing w:after="0" w:line="264" w:lineRule="auto"/>
        <w:rPr>
          <w:sz w:val="20"/>
          <w:szCs w:val="20"/>
          <w:color w:val="auto"/>
        </w:rPr>
      </w:pPr>
      <w:r>
        <w:rPr>
          <w:rFonts w:ascii="Arial" w:cs="Arial" w:eastAsia="Arial" w:hAnsi="Arial"/>
          <w:sz w:val="18"/>
          <w:szCs w:val="18"/>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74" w:lineRule="exact"/>
        <w:rPr>
          <w:sz w:val="20"/>
          <w:szCs w:val="20"/>
          <w:color w:val="auto"/>
        </w:rPr>
      </w:pPr>
    </w:p>
    <w:p>
      <w:pPr>
        <w:ind w:right="40" w:firstLine="261"/>
        <w:spacing w:after="0" w:line="254" w:lineRule="auto"/>
        <w:rPr>
          <w:sz w:val="20"/>
          <w:szCs w:val="20"/>
          <w:color w:val="auto"/>
        </w:rPr>
      </w:pPr>
      <w:r>
        <w:rPr>
          <w:rFonts w:ascii="Arial" w:cs="Arial" w:eastAsia="Arial" w:hAnsi="Arial"/>
          <w:sz w:val="18"/>
          <w:szCs w:val="18"/>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and 75 million shares of Class B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17" w:lineRule="exact"/>
        <w:rPr>
          <w:sz w:val="20"/>
          <w:szCs w:val="20"/>
          <w:color w:val="auto"/>
        </w:rPr>
      </w:pPr>
    </w:p>
    <w:p>
      <w:pPr>
        <w:ind w:right="60" w:firstLine="264"/>
        <w:spacing w:after="0" w:line="251"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87" w:lineRule="exact"/>
        <w:rPr>
          <w:sz w:val="20"/>
          <w:szCs w:val="20"/>
          <w:color w:val="auto"/>
        </w:rPr>
      </w:pPr>
    </w:p>
    <w:p>
      <w:pPr>
        <w:ind w:right="20" w:firstLine="264"/>
        <w:spacing w:after="0" w:line="268" w:lineRule="auto"/>
        <w:rPr>
          <w:sz w:val="20"/>
          <w:szCs w:val="20"/>
          <w:color w:val="auto"/>
        </w:rPr>
      </w:pPr>
      <w:r>
        <w:rPr>
          <w:rFonts w:ascii="Arial" w:cs="Arial" w:eastAsia="Arial" w:hAnsi="Arial"/>
          <w:sz w:val="17"/>
          <w:szCs w:val="17"/>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do not intend to pay dividends on our common stock for the foreseeable future.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17" w:lineRule="exact"/>
        <w:rPr>
          <w:sz w:val="20"/>
          <w:szCs w:val="20"/>
          <w:color w:val="auto"/>
        </w:rPr>
      </w:pPr>
    </w:p>
    <w:p>
      <w:pPr>
        <w:ind w:right="100" w:firstLine="264"/>
        <w:spacing w:after="0" w:line="364" w:lineRule="auto"/>
        <w:rPr>
          <w:sz w:val="20"/>
          <w:szCs w:val="20"/>
          <w:color w:val="auto"/>
        </w:rPr>
      </w:pPr>
      <w:r>
        <w:rPr>
          <w:rFonts w:ascii="Arial" w:cs="Arial" w:eastAsia="Arial" w:hAnsi="Arial"/>
          <w:sz w:val="15"/>
          <w:szCs w:val="15"/>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6" w:lineRule="exact"/>
        <w:rPr>
          <w:sz w:val="20"/>
          <w:szCs w:val="20"/>
          <w:color w:val="auto"/>
        </w:rPr>
      </w:pPr>
    </w:p>
    <w:p>
      <w:pPr>
        <w:ind w:right="280" w:firstLine="264"/>
        <w:spacing w:after="0" w:line="264" w:lineRule="auto"/>
        <w:rPr>
          <w:sz w:val="20"/>
          <w:szCs w:val="20"/>
          <w:color w:val="auto"/>
        </w:rPr>
      </w:pPr>
      <w:r>
        <w:rPr>
          <w:rFonts w:ascii="Arial" w:cs="Arial" w:eastAsia="Arial" w:hAnsi="Arial"/>
          <w:sz w:val="18"/>
          <w:szCs w:val="18"/>
          <w:color w:val="auto"/>
        </w:rPr>
        <w:t>On all matters submitted for a vote of holders of all classes of our voting stock, holders of our Class A Common Stock in the aggregate hold 66</w:t>
      </w:r>
      <w:r>
        <w:rPr>
          <w:rFonts w:ascii="Arial" w:cs="Arial" w:eastAsia="Arial" w:hAnsi="Arial"/>
          <w:sz w:val="10"/>
          <w:szCs w:val="10"/>
          <w:color w:val="auto"/>
        </w:rPr>
        <w:t>2</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of the aggregate voting power of our capital stock as of February 28, 2006.</w:t>
      </w:r>
    </w:p>
    <w:p>
      <w:pPr>
        <w:spacing w:after="0" w:line="74" w:lineRule="exact"/>
        <w:rPr>
          <w:sz w:val="20"/>
          <w:szCs w:val="20"/>
          <w:color w:val="auto"/>
        </w:rPr>
      </w:pPr>
    </w:p>
    <w:p>
      <w:pPr>
        <w:ind w:firstLine="264"/>
        <w:spacing w:after="0" w:line="297" w:lineRule="auto"/>
        <w:rPr>
          <w:sz w:val="20"/>
          <w:szCs w:val="20"/>
          <w:color w:val="auto"/>
        </w:rPr>
      </w:pPr>
      <w:r>
        <w:rPr>
          <w:rFonts w:ascii="Arial" w:cs="Arial" w:eastAsia="Arial" w:hAnsi="Arial"/>
          <w:sz w:val="15"/>
          <w:szCs w:val="15"/>
          <w:color w:val="auto"/>
        </w:rPr>
        <w:t>Each share of our Class A Common Stock has the number of votes equal to a quotient the numerator of which is the excess of (1) 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our Class A Common Stock. “Total Number of Votes” on any record date is equal to a quotient the numerator of which is the Total Number of B Votes on such record date and the denominator of which is the B Voting Percentage (as defined below in this paragraph) on such record date. “Total Number of B Votes” on any record date is equal to the product of (1) 15 and</w:t>
      </w:r>
    </w:p>
    <w:p>
      <w:pPr>
        <w:spacing w:after="0" w:line="3" w:lineRule="exact"/>
        <w:rPr>
          <w:sz w:val="20"/>
          <w:szCs w:val="20"/>
          <w:color w:val="auto"/>
        </w:rPr>
      </w:pPr>
    </w:p>
    <w:p>
      <w:pPr>
        <w:ind w:right="20" w:firstLine="6"/>
        <w:spacing w:after="0" w:line="246" w:lineRule="auto"/>
        <w:tabs>
          <w:tab w:leader="none" w:pos="25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number of outstanding shares of our Class B Common Stock on such record date. “Total Number of Other Votes” on any record date means the aggregate number of votes to which holders of all classes of our capital stock other than holders of our Class A Common Stock and our Class B Common Stock are entitled to cast on such record date in an election of directors. “B Voting Percentage” on any record date means the portion (expressed as a percentage) of the total number of votes to which all holders of our Class B Common Stock are entitled to cast on such record date in an election of directors. Initially, the B Voting Percentage will be 33</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subject to reduction as described below.</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80" w:firstLine="264"/>
        <w:spacing w:after="0" w:line="271" w:lineRule="auto"/>
        <w:rPr>
          <w:sz w:val="20"/>
          <w:szCs w:val="20"/>
          <w:color w:val="auto"/>
        </w:rPr>
      </w:pPr>
      <w:r>
        <w:rPr>
          <w:rFonts w:ascii="Arial" w:cs="Arial" w:eastAsia="Arial" w:hAnsi="Arial"/>
          <w:sz w:val="17"/>
          <w:szCs w:val="17"/>
          <w:color w:val="auto"/>
        </w:rPr>
        <w:t>Subject to the next sentence, on all matters submitted for a vote of holders of one or more classes of our voting stock, holders of our Class B Common Stock in the aggregate will hold 33</w:t>
      </w:r>
      <w:r>
        <w:rPr>
          <w:rFonts w:ascii="Arial" w:cs="Arial" w:eastAsia="Arial" w:hAnsi="Arial"/>
          <w:sz w:val="9"/>
          <w:szCs w:val="9"/>
          <w:color w:val="auto"/>
        </w:rPr>
        <w:t>1</w:t>
      </w:r>
      <w:r>
        <w:rPr>
          <w:rFonts w:ascii="Arial" w:cs="Arial" w:eastAsia="Arial" w:hAnsi="Arial"/>
          <w:sz w:val="17"/>
          <w:szCs w:val="17"/>
          <w:color w:val="auto"/>
        </w:rPr>
        <w:t>/</w:t>
      </w:r>
      <w:r>
        <w:rPr>
          <w:rFonts w:ascii="Arial" w:cs="Arial" w:eastAsia="Arial" w:hAnsi="Arial"/>
          <w:sz w:val="9"/>
          <w:szCs w:val="9"/>
          <w:color w:val="auto"/>
        </w:rPr>
        <w:t>3</w:t>
      </w:r>
      <w:r>
        <w:rPr>
          <w:rFonts w:ascii="Arial" w:cs="Arial" w:eastAsia="Arial" w:hAnsi="Arial"/>
          <w:sz w:val="17"/>
          <w:szCs w:val="17"/>
          <w:color w:val="auto"/>
        </w:rPr>
        <w:t>% of the aggregate voting power of our capital stock, regardless of the number of shares of our Class A Common Stock or any other class of our capital stock outstanding at any time. If the number of shares of our Class B Common Stock outstanding is reduced for any reason (</w:t>
      </w:r>
      <w:r>
        <w:rPr>
          <w:rFonts w:ascii="Arial" w:cs="Arial" w:eastAsia="Arial" w:hAnsi="Arial"/>
          <w:sz w:val="17"/>
          <w:szCs w:val="17"/>
          <w:i w:val="1"/>
          <w:iCs w:val="1"/>
          <w:color w:val="auto"/>
        </w:rPr>
        <w:t>e.g.</w:t>
      </w:r>
      <w:r>
        <w:rPr>
          <w:rFonts w:ascii="Arial" w:cs="Arial" w:eastAsia="Arial" w:hAnsi="Arial"/>
          <w:sz w:val="17"/>
          <w:szCs w:val="17"/>
          <w:color w:val="auto"/>
        </w:rPr>
        <w:t>, by repurchase or conversion), the aggregate voting power of our Class B Common Stock will be proportionately reduced.</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Each share of our Class B Common Stock has 15 votes.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117" w:lineRule="exact"/>
        <w:rPr>
          <w:sz w:val="20"/>
          <w:szCs w:val="20"/>
          <w:color w:val="auto"/>
        </w:rPr>
      </w:pPr>
    </w:p>
    <w:p>
      <w:pPr>
        <w:ind w:firstLine="264"/>
        <w:spacing w:after="0" w:line="304" w:lineRule="auto"/>
        <w:rPr>
          <w:sz w:val="20"/>
          <w:szCs w:val="20"/>
          <w:color w:val="auto"/>
        </w:rPr>
      </w:pPr>
      <w:r>
        <w:rPr>
          <w:rFonts w:ascii="Arial" w:cs="Arial" w:eastAsia="Arial" w:hAnsi="Arial"/>
          <w:sz w:val="15"/>
          <w:szCs w:val="15"/>
          <w:color w:val="auto"/>
        </w:rPr>
        <w:t>Except as required by law, holders of Class A Special Common Stock and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117" w:lineRule="exact"/>
        <w:rPr>
          <w:sz w:val="20"/>
          <w:szCs w:val="20"/>
          <w:color w:val="auto"/>
        </w:rPr>
      </w:pPr>
    </w:p>
    <w:p>
      <w:pPr>
        <w:ind w:right="120" w:firstLine="264"/>
        <w:spacing w:after="0" w:line="308" w:lineRule="auto"/>
        <w:rPr>
          <w:sz w:val="20"/>
          <w:szCs w:val="20"/>
          <w:color w:val="auto"/>
        </w:rPr>
      </w:pPr>
      <w:r>
        <w:rPr>
          <w:rFonts w:ascii="Arial" w:cs="Arial" w:eastAsia="Arial" w:hAnsi="Arial"/>
          <w:sz w:val="15"/>
          <w:szCs w:val="15"/>
          <w:color w:val="auto"/>
        </w:rPr>
        <w:t>Brian L. Roberts, our President and CEO, through his control of BRCC Holdings LLC and certain trusts, which own all outstanding shares of our Class B Common Stock, holds a nondilutable 33</w:t>
      </w:r>
      <w:r>
        <w:rPr>
          <w:rFonts w:ascii="Arial" w:cs="Arial" w:eastAsia="Arial" w:hAnsi="Arial"/>
          <w:sz w:val="9"/>
          <w:szCs w:val="9"/>
          <w:color w:val="auto"/>
        </w:rPr>
        <w:t>1</w:t>
      </w:r>
      <w:r>
        <w:rPr>
          <w:rFonts w:ascii="Arial" w:cs="Arial" w:eastAsia="Arial" w:hAnsi="Arial"/>
          <w:sz w:val="15"/>
          <w:szCs w:val="15"/>
          <w:color w:val="auto"/>
        </w:rPr>
        <w:t>/</w:t>
      </w:r>
      <w:r>
        <w:rPr>
          <w:rFonts w:ascii="Arial" w:cs="Arial" w:eastAsia="Arial" w:hAnsi="Arial"/>
          <w:sz w:val="9"/>
          <w:szCs w:val="9"/>
          <w:color w:val="auto"/>
        </w:rPr>
        <w:t>3</w:t>
      </w:r>
      <w:r>
        <w:rPr>
          <w:rFonts w:ascii="Arial" w:cs="Arial" w:eastAsia="Arial" w:hAnsi="Arial"/>
          <w:sz w:val="15"/>
          <w:szCs w:val="15"/>
          <w:color w:val="auto"/>
        </w:rPr>
        <w:t>% of the combined voting power of our stock and also has separate approval rights over certain material transactions involving us, as described above under “—Approval Rights.” The Class B Common Stock is convertible on a share-for-share basis into Class A Common Stock or Class A Special Common Stock. As of February 28, 2006, if BRCC Holdings LLC, the trusts and Mr. Roberts were to convert the Class B Common Stock which they are deemed to beneficially own into Class A Common Stock, Mr. Roberts would beneficially own 10,170,995 shares of Class A Common Stock, which is less than 1% of the Class A Common Stock that would be outstanding after the conversion.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117" w:lineRule="exact"/>
        <w:rPr>
          <w:sz w:val="20"/>
          <w:szCs w:val="20"/>
          <w:color w:val="auto"/>
        </w:rPr>
      </w:pPr>
    </w:p>
    <w:p>
      <w:pPr>
        <w:jc w:val="both"/>
        <w:ind w:right="180" w:firstLine="264"/>
        <w:spacing w:after="0" w:line="254"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117" w:lineRule="exact"/>
        <w:rPr>
          <w:sz w:val="20"/>
          <w:szCs w:val="20"/>
          <w:color w:val="auto"/>
        </w:rPr>
      </w:pPr>
    </w:p>
    <w:p>
      <w:pPr>
        <w:ind w:right="200" w:firstLine="264"/>
        <w:spacing w:after="0" w:line="251"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w:t>
      </w:r>
      <w:r>
        <w:rPr>
          <w:rFonts w:ascii="Arial" w:cs="Arial" w:eastAsia="Arial" w:hAnsi="Arial"/>
          <w:sz w:val="18"/>
          <w:szCs w:val="18"/>
          <w:i w:val="1"/>
          <w:iCs w:val="1"/>
          <w:color w:val="auto"/>
        </w:rPr>
        <w:t>i.e.</w:t>
      </w:r>
      <w:r>
        <w:rPr>
          <w:rFonts w:ascii="Arial" w:cs="Arial" w:eastAsia="Arial" w:hAnsi="Arial"/>
          <w:sz w:val="18"/>
          <w:szCs w:val="18"/>
          <w:color w:val="auto"/>
        </w:rPr>
        <w:t>, the same amount of cash or the same number of shares of each class of stock issued in the transaction in proportion to the number of shares of our common stock held by them, respectively, without regard to class), holders of each such class of our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color w:val="auto"/>
        </w:rPr>
        <w:t>common stock will receive “mirror” securities (</w:t>
      </w:r>
      <w:r>
        <w:rPr>
          <w:rFonts w:ascii="Arial" w:cs="Arial" w:eastAsia="Arial" w:hAnsi="Arial"/>
          <w:sz w:val="15"/>
          <w:szCs w:val="15"/>
          <w:i w:val="1"/>
          <w:iCs w:val="1"/>
          <w:color w:val="auto"/>
        </w:rPr>
        <w:t>i.e.</w:t>
      </w:r>
      <w:r>
        <w:rPr>
          <w:rFonts w:ascii="Arial" w:cs="Arial" w:eastAsia="Arial" w:hAnsi="Arial"/>
          <w:sz w:val="15"/>
          <w:szCs w:val="15"/>
          <w:color w:val="auto"/>
        </w:rPr>
        <w:t>, shares of a class of stock having substantially equivalent rights as the applicable class of our common stock).</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holders of Class A Common Stock, Class A Special Common Stock and Class B Common Stock do not have any preemptive rights. All shares of</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Class A Common Stock, Class A Special Common Stock and Class B Common Stock presently outstanding are, and all shares of the Class A Common Stock and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Class A Special Common Stock offered hereby, or issuable upon conversion, exchange or exercise of securities offered hereby, will, when issued, be, fully paid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and non-assessable. We have been advised that the Class A Common Stock and Class A Special Common Stock are exempt from existing Pennsylvania personal</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property tax.</w:t>
      </w:r>
    </w:p>
    <w:p>
      <w:pPr>
        <w:spacing w:after="0" w:line="99" w:lineRule="exact"/>
        <w:rPr>
          <w:sz w:val="20"/>
          <w:szCs w:val="20"/>
          <w:color w:val="auto"/>
        </w:rPr>
      </w:pPr>
    </w:p>
    <w:p>
      <w:pPr>
        <w:ind w:right="820" w:firstLine="261"/>
        <w:spacing w:after="0" w:line="264" w:lineRule="auto"/>
        <w:rPr>
          <w:sz w:val="20"/>
          <w:szCs w:val="20"/>
          <w:color w:val="auto"/>
        </w:rPr>
      </w:pPr>
      <w:r>
        <w:rPr>
          <w:rFonts w:ascii="Arial" w:cs="Arial" w:eastAsia="Arial" w:hAnsi="Arial"/>
          <w:sz w:val="18"/>
          <w:szCs w:val="18"/>
          <w:color w:val="auto"/>
        </w:rPr>
        <w:t>The transfer agent and registrar for our Class A Special Common Stock and Class A Common Stock is Computershare, 250 Royall Street, Canton, Massachusetts 02021. Their telephone number is (888) 883-8903.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 Plan</w:t>
      </w:r>
    </w:p>
    <w:p>
      <w:pPr>
        <w:spacing w:after="0" w:line="117" w:lineRule="exact"/>
        <w:rPr>
          <w:sz w:val="20"/>
          <w:szCs w:val="20"/>
          <w:color w:val="auto"/>
        </w:rPr>
      </w:pPr>
    </w:p>
    <w:p>
      <w:pPr>
        <w:ind w:right="320" w:firstLine="261"/>
        <w:spacing w:after="0" w:line="264" w:lineRule="auto"/>
        <w:rPr>
          <w:sz w:val="20"/>
          <w:szCs w:val="20"/>
          <w:color w:val="auto"/>
        </w:rPr>
      </w:pPr>
      <w:r>
        <w:rPr>
          <w:rFonts w:ascii="Arial" w:cs="Arial" w:eastAsia="Arial" w:hAnsi="Arial"/>
          <w:sz w:val="18"/>
          <w:szCs w:val="18"/>
          <w:color w:val="auto"/>
        </w:rPr>
        <w:t>The following description of the material terms of a rights agreement with respect to a shareholder rights plan is qualified by reference to the terms of the rights agreement, which is included as an exhibit to the registration statement of which this prospectus is a part.</w:t>
      </w:r>
    </w:p>
    <w:p>
      <w:pPr>
        <w:spacing w:after="0" w:line="74" w:lineRule="exact"/>
        <w:rPr>
          <w:sz w:val="20"/>
          <w:szCs w:val="20"/>
          <w:color w:val="auto"/>
        </w:rPr>
      </w:pPr>
    </w:p>
    <w:p>
      <w:pPr>
        <w:ind w:right="160" w:firstLine="264"/>
        <w:spacing w:after="0" w:line="250" w:lineRule="auto"/>
        <w:rPr>
          <w:sz w:val="20"/>
          <w:szCs w:val="20"/>
          <w:color w:val="auto"/>
        </w:rPr>
      </w:pPr>
      <w:r>
        <w:rPr>
          <w:rFonts w:ascii="Arial" w:cs="Arial" w:eastAsia="Arial" w:hAnsi="Arial"/>
          <w:sz w:val="18"/>
          <w:szCs w:val="18"/>
          <w:b w:val="1"/>
          <w:bCs w:val="1"/>
          <w:i w:val="1"/>
          <w:iCs w:val="1"/>
          <w:color w:val="auto"/>
        </w:rPr>
        <w:t xml:space="preserve">The Rights. </w:t>
      </w:r>
      <w:r>
        <w:rPr>
          <w:rFonts w:ascii="Arial" w:cs="Arial" w:eastAsia="Arial" w:hAnsi="Arial"/>
          <w:sz w:val="18"/>
          <w:szCs w:val="18"/>
          <w:color w:val="auto"/>
        </w:rPr>
        <w:t>Pursuant to the rights agreement, our board declared on November 18, 2002 a dividend of one preferred stock purchase right (the “Rights”)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outstanding share of our Class A Common Stock, Class A Special Common Stock and Class B Common Stock payable to holders of record on November 18, 2002. Shares of Common Stock issued after the record date and prior to the Distribution Date will be issued with a Right attached so that all shares of Common Stock outstanding prior to the Distribution Date will have Rights attached. 2.5 million shares of Preferred Stock have been reserved for issuance upon exercise of the Rights.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Rights holders have no rights as a shareholder of the Company, including the right to vote or to receive dividends.</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rights agreement includes antidilution provisions designed to prevent efforts to diminish the effectiveness of the Rights.</w:t>
      </w:r>
    </w:p>
    <w:p>
      <w:pPr>
        <w:spacing w:after="0" w:line="111" w:lineRule="exact"/>
        <w:rPr>
          <w:sz w:val="20"/>
          <w:szCs w:val="20"/>
          <w:color w:val="auto"/>
        </w:rPr>
      </w:pPr>
    </w:p>
    <w:p>
      <w:pPr>
        <w:ind w:right="40" w:firstLine="261"/>
        <w:spacing w:after="0" w:line="266" w:lineRule="auto"/>
        <w:rPr>
          <w:sz w:val="20"/>
          <w:szCs w:val="20"/>
          <w:color w:val="auto"/>
        </w:rPr>
      </w:pPr>
      <w:r>
        <w:rPr>
          <w:rFonts w:ascii="Arial" w:cs="Arial" w:eastAsia="Arial" w:hAnsi="Arial"/>
          <w:sz w:val="17"/>
          <w:szCs w:val="17"/>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76" w:lineRule="exact"/>
        <w:rPr>
          <w:sz w:val="20"/>
          <w:szCs w:val="20"/>
          <w:color w:val="auto"/>
        </w:rPr>
      </w:pPr>
    </w:p>
    <w:p>
      <w:pPr>
        <w:ind w:right="20" w:firstLine="264"/>
        <w:spacing w:after="0" w:line="250"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Prior to the Distribution Date, (1) the Rights will be evidenced by the certificates of the relevant underlying common stock and the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86" w:lineRule="exact"/>
        <w:rPr>
          <w:sz w:val="20"/>
          <w:szCs w:val="20"/>
          <w:color w:val="auto"/>
        </w:rPr>
      </w:pPr>
    </w:p>
    <w:p>
      <w:pPr>
        <w:ind w:right="40" w:firstLine="264"/>
        <w:spacing w:after="0" w:line="264" w:lineRule="auto"/>
        <w:rPr>
          <w:sz w:val="20"/>
          <w:szCs w:val="20"/>
          <w:color w:val="auto"/>
        </w:rPr>
      </w:pPr>
      <w:r>
        <w:rPr>
          <w:rFonts w:ascii="Arial" w:cs="Arial" w:eastAsia="Arial" w:hAnsi="Arial"/>
          <w:sz w:val="18"/>
          <w:szCs w:val="18"/>
          <w:b w:val="1"/>
          <w:bCs w:val="1"/>
          <w:i w:val="1"/>
          <w:iCs w:val="1"/>
          <w:color w:val="auto"/>
        </w:rPr>
        <w:t xml:space="preserve">Exercisability. </w:t>
      </w:r>
      <w:r>
        <w:rPr>
          <w:rFonts w:ascii="Arial" w:cs="Arial" w:eastAsia="Arial" w:hAnsi="Arial"/>
          <w:sz w:val="18"/>
          <w:szCs w:val="18"/>
          <w:color w:val="auto"/>
        </w:rPr>
        <w:t>The Rights will not be exercisable prior to the Distribution Date. After the Distribution Date, but prior to the occurrence of an event described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 under “—‘Flip In’ Feature” or</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“—‘Flip Over’ Feature,” each Right will be exercisable to purchase for $125 one one-thousandth of a share of our Series A Participating Cumulative Preferred Stock.</w:t>
      </w:r>
    </w:p>
    <w:p>
      <w:pPr>
        <w:spacing w:after="0" w:line="74" w:lineRule="exact"/>
        <w:rPr>
          <w:sz w:val="20"/>
          <w:szCs w:val="20"/>
          <w:color w:val="auto"/>
        </w:rPr>
      </w:pPr>
    </w:p>
    <w:p>
      <w:pPr>
        <w:ind w:right="140" w:firstLine="264"/>
        <w:spacing w:after="0" w:line="312" w:lineRule="auto"/>
        <w:rPr>
          <w:sz w:val="20"/>
          <w:szCs w:val="20"/>
          <w:color w:val="auto"/>
        </w:rPr>
      </w:pPr>
      <w:r>
        <w:rPr>
          <w:rFonts w:ascii="Arial" w:cs="Arial" w:eastAsia="Arial" w:hAnsi="Arial"/>
          <w:sz w:val="15"/>
          <w:szCs w:val="15"/>
          <w:b w:val="1"/>
          <w:bCs w:val="1"/>
          <w:i w:val="1"/>
          <w:iCs w:val="1"/>
          <w:color w:val="auto"/>
        </w:rPr>
        <w:t xml:space="preserve">“Flip In” Feature. </w:t>
      </w:r>
      <w:r>
        <w:rPr>
          <w:rFonts w:ascii="Arial" w:cs="Arial" w:eastAsia="Arial" w:hAnsi="Arial"/>
          <w:sz w:val="15"/>
          <w:szCs w:val="15"/>
          <w:color w:val="auto"/>
        </w:rPr>
        <w:t>If any person becomes an Acquiring Person, each holder of a Right, except for the Acquiring Person or certain affiliated persons, will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have the right to acquire, instead of one one-thousandth of a share of our Series A Participating Cumulative Preferred Stock, a number of shares of our Class A common stock, in each case having a market value equal to twice the exercise price of the Right. For example, if an initial purchase price of $125 was in effect on the date that the flip in feature of the Rights was exercised, any holder of a Right, except for the person that has become an Acquiring Person or certain affiliated persons, could exercise his or her Right by paying to us $125 in order to receive shares of our Class A common stock having a value equal to $250.</w:t>
      </w:r>
    </w:p>
    <w:p>
      <w:pPr>
        <w:spacing w:after="0" w:line="43" w:lineRule="exact"/>
        <w:rPr>
          <w:sz w:val="20"/>
          <w:szCs w:val="20"/>
          <w:color w:val="auto"/>
        </w:rPr>
      </w:pPr>
    </w:p>
    <w:p>
      <w:pPr>
        <w:ind w:firstLine="264"/>
        <w:spacing w:after="0" w:line="268" w:lineRule="auto"/>
        <w:rPr>
          <w:sz w:val="20"/>
          <w:szCs w:val="20"/>
          <w:color w:val="auto"/>
        </w:rPr>
      </w:pPr>
      <w:r>
        <w:rPr>
          <w:rFonts w:ascii="Arial" w:cs="Arial" w:eastAsia="Arial" w:hAnsi="Arial"/>
          <w:sz w:val="17"/>
          <w:szCs w:val="17"/>
          <w:b w:val="1"/>
          <w:bCs w:val="1"/>
          <w:i w:val="1"/>
          <w:iCs w:val="1"/>
          <w:color w:val="auto"/>
        </w:rPr>
        <w:t xml:space="preserve">“Exchange” Feature. </w:t>
      </w:r>
      <w:r>
        <w:rPr>
          <w:rFonts w:ascii="Arial" w:cs="Arial" w:eastAsia="Arial" w:hAnsi="Arial"/>
          <w:sz w:val="17"/>
          <w:szCs w:val="17"/>
          <w:color w:val="auto"/>
        </w:rPr>
        <w:t>At any time after a person becomes an Acquiring Person (but before any person becomes the beneficial owner of our voting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73" w:lineRule="exact"/>
        <w:rPr>
          <w:sz w:val="20"/>
          <w:szCs w:val="20"/>
          <w:color w:val="auto"/>
        </w:rPr>
      </w:pPr>
    </w:p>
    <w:p>
      <w:pPr>
        <w:ind w:right="20" w:firstLine="264"/>
        <w:spacing w:after="0" w:line="250" w:lineRule="auto"/>
        <w:rPr>
          <w:sz w:val="20"/>
          <w:szCs w:val="20"/>
          <w:color w:val="auto"/>
        </w:rPr>
      </w:pPr>
      <w:r>
        <w:rPr>
          <w:rFonts w:ascii="Arial" w:cs="Arial" w:eastAsia="Arial" w:hAnsi="Arial"/>
          <w:sz w:val="18"/>
          <w:szCs w:val="18"/>
          <w:b w:val="1"/>
          <w:bCs w:val="1"/>
          <w:i w:val="1"/>
          <w:iCs w:val="1"/>
          <w:color w:val="auto"/>
        </w:rPr>
        <w:t xml:space="preserve">“Flip Over” Feature. </w:t>
      </w:r>
      <w:r>
        <w:rPr>
          <w:rFonts w:ascii="Arial" w:cs="Arial" w:eastAsia="Arial" w:hAnsi="Arial"/>
          <w:sz w:val="18"/>
          <w:szCs w:val="18"/>
          <w:color w:val="auto"/>
        </w:rPr>
        <w:t>If, after a person becomes an Acquiring Person, (1) we are involved in a merger or other business combination in which we are not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surviving corporation or any of 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86" w:lineRule="exact"/>
        <w:rPr>
          <w:sz w:val="20"/>
          <w:szCs w:val="20"/>
          <w:color w:val="auto"/>
        </w:rPr>
      </w:pPr>
    </w:p>
    <w:p>
      <w:pPr>
        <w:ind w:right="20" w:firstLine="264"/>
        <w:spacing w:after="0" w:line="254" w:lineRule="auto"/>
        <w:rPr>
          <w:sz w:val="20"/>
          <w:szCs w:val="20"/>
          <w:color w:val="auto"/>
        </w:rPr>
      </w:pPr>
      <w:r>
        <w:rPr>
          <w:rFonts w:ascii="Arial" w:cs="Arial" w:eastAsia="Arial" w:hAnsi="Arial"/>
          <w:sz w:val="18"/>
          <w:szCs w:val="18"/>
          <w:b w:val="1"/>
          <w:bCs w:val="1"/>
          <w:i w:val="1"/>
          <w:iCs w:val="1"/>
          <w:color w:val="auto"/>
        </w:rPr>
        <w:t xml:space="preserve">Redemption of Rights. </w:t>
      </w:r>
      <w:r>
        <w:rPr>
          <w:rFonts w:ascii="Arial" w:cs="Arial" w:eastAsia="Arial" w:hAnsi="Arial"/>
          <w:sz w:val="18"/>
          <w:szCs w:val="18"/>
          <w:color w:val="auto"/>
        </w:rPr>
        <w:t>Our Board may redeem all of the Rights at a price of $0.001 per Right at any time prior to the time that any person becomes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Acquiring Person. The right to exercise will terminate upon redemption, and at that time, holders of the Rights will have the right to receive only the redemption price for each Right they hold.</w:t>
      </w:r>
    </w:p>
    <w:p>
      <w:pPr>
        <w:spacing w:after="0" w:line="84" w:lineRule="exact"/>
        <w:rPr>
          <w:sz w:val="20"/>
          <w:szCs w:val="20"/>
          <w:color w:val="auto"/>
        </w:rPr>
      </w:pPr>
    </w:p>
    <w:p>
      <w:pPr>
        <w:ind w:right="60" w:firstLine="264"/>
        <w:spacing w:after="0" w:line="329" w:lineRule="auto"/>
        <w:rPr>
          <w:sz w:val="20"/>
          <w:szCs w:val="20"/>
          <w:color w:val="auto"/>
        </w:rPr>
      </w:pPr>
      <w:r>
        <w:rPr>
          <w:rFonts w:ascii="Arial" w:cs="Arial" w:eastAsia="Arial" w:hAnsi="Arial"/>
          <w:sz w:val="15"/>
          <w:szCs w:val="15"/>
          <w:b w:val="1"/>
          <w:bCs w:val="1"/>
          <w:i w:val="1"/>
          <w:iCs w:val="1"/>
          <w:color w:val="auto"/>
        </w:rPr>
        <w:t xml:space="preserve">Amendment of Rights. </w:t>
      </w:r>
      <w:r>
        <w:rPr>
          <w:rFonts w:ascii="Arial" w:cs="Arial" w:eastAsia="Arial" w:hAnsi="Arial"/>
          <w:sz w:val="15"/>
          <w:szCs w:val="15"/>
          <w:color w:val="auto"/>
        </w:rPr>
        <w:t>For so long as the Rights are redeemable, the rights agreement may be amended in any respect. At any time when the Rights are no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3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 xml:space="preserve">Expiration of Rights. </w:t>
      </w:r>
      <w:r>
        <w:rPr>
          <w:rFonts w:ascii="Arial" w:cs="Arial" w:eastAsia="Arial" w:hAnsi="Arial"/>
          <w:sz w:val="18"/>
          <w:szCs w:val="18"/>
          <w:color w:val="auto"/>
        </w:rPr>
        <w:t>If not previously exercised or redeemed, the Rights will expire on November 18, 2012, unless earlier exchanged.</w:t>
      </w:r>
    </w:p>
    <w:p>
      <w:pPr>
        <w:spacing w:after="0" w:line="111" w:lineRule="exact"/>
        <w:rPr>
          <w:sz w:val="20"/>
          <w:szCs w:val="20"/>
          <w:color w:val="auto"/>
        </w:rPr>
      </w:pPr>
    </w:p>
    <w:p>
      <w:pPr>
        <w:ind w:firstLine="264"/>
        <w:spacing w:after="0" w:line="329" w:lineRule="auto"/>
        <w:rPr>
          <w:sz w:val="20"/>
          <w:szCs w:val="20"/>
          <w:color w:val="auto"/>
        </w:rPr>
      </w:pPr>
      <w:r>
        <w:rPr>
          <w:rFonts w:ascii="Arial" w:cs="Arial" w:eastAsia="Arial" w:hAnsi="Arial"/>
          <w:sz w:val="15"/>
          <w:szCs w:val="15"/>
          <w:b w:val="1"/>
          <w:bCs w:val="1"/>
          <w:i w:val="1"/>
          <w:iCs w:val="1"/>
          <w:color w:val="auto"/>
        </w:rPr>
        <w:t xml:space="preserve">Anti-Takeover Effects. </w:t>
      </w:r>
      <w:r>
        <w:rPr>
          <w:rFonts w:ascii="Arial" w:cs="Arial" w:eastAsia="Arial" w:hAnsi="Arial"/>
          <w:sz w:val="15"/>
          <w:szCs w:val="15"/>
          <w:color w:val="auto"/>
        </w:rPr>
        <w:t>The Rights have certain anti-takeover effects. The Rights may cause substantial dilution to a person that attempts to acquire 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31" w:lineRule="exact"/>
        <w:rPr>
          <w:sz w:val="20"/>
          <w:szCs w:val="20"/>
          <w:color w:val="auto"/>
        </w:rPr>
      </w:pPr>
    </w:p>
    <w:p>
      <w:pPr>
        <w:ind w:right="180" w:firstLine="264"/>
        <w:spacing w:after="0" w:line="264" w:lineRule="auto"/>
        <w:rPr>
          <w:sz w:val="20"/>
          <w:szCs w:val="20"/>
          <w:color w:val="auto"/>
        </w:rPr>
      </w:pPr>
      <w:r>
        <w:rPr>
          <w:rFonts w:ascii="Arial" w:cs="Arial" w:eastAsia="Arial" w:hAnsi="Arial"/>
          <w:sz w:val="18"/>
          <w:szCs w:val="18"/>
          <w:b w:val="1"/>
          <w:bCs w:val="1"/>
          <w:i w:val="1"/>
          <w:iCs w:val="1"/>
          <w:color w:val="auto"/>
        </w:rPr>
        <w:t xml:space="preserve">Taxation. </w:t>
      </w:r>
      <w:r>
        <w:rPr>
          <w:rFonts w:ascii="Arial" w:cs="Arial" w:eastAsia="Arial" w:hAnsi="Arial"/>
          <w:sz w:val="18"/>
          <w:szCs w:val="18"/>
          <w:color w:val="auto"/>
        </w:rPr>
        <w:t>While the dividend of the Rights was not taxable to stockholders or to us, stockholders or we may, depending upon the circumstances, recognize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taxable income in the event that the Rights become exercisable as set forth above.</w:t>
      </w:r>
    </w:p>
    <w:p>
      <w:pPr>
        <w:spacing w:after="0" w:line="74" w:lineRule="exact"/>
        <w:rPr>
          <w:sz w:val="20"/>
          <w:szCs w:val="20"/>
          <w:color w:val="auto"/>
        </w:rPr>
      </w:pPr>
    </w:p>
    <w:p>
      <w:pPr>
        <w:jc w:val="both"/>
        <w:ind w:right="40" w:firstLine="264"/>
        <w:spacing w:after="0" w:line="251" w:lineRule="auto"/>
        <w:rPr>
          <w:sz w:val="20"/>
          <w:szCs w:val="20"/>
          <w:color w:val="auto"/>
        </w:rPr>
      </w:pPr>
      <w:r>
        <w:rPr>
          <w:rFonts w:ascii="Arial" w:cs="Arial" w:eastAsia="Arial" w:hAnsi="Arial"/>
          <w:sz w:val="18"/>
          <w:szCs w:val="18"/>
          <w:b w:val="1"/>
          <w:bCs w:val="1"/>
          <w:i w:val="1"/>
          <w:iCs w:val="1"/>
          <w:color w:val="auto"/>
        </w:rPr>
        <w:t xml:space="preserve">Series A Preferred Stock. </w:t>
      </w:r>
      <w:r>
        <w:rPr>
          <w:rFonts w:ascii="Arial" w:cs="Arial" w:eastAsia="Arial" w:hAnsi="Arial"/>
          <w:sz w:val="18"/>
          <w:szCs w:val="18"/>
          <w:color w:val="auto"/>
        </w:rPr>
        <w:t>In connection with the creation of the Rights, our Board authorized the issuance of shares of our preferred stock designated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A Participating Cumulative Preferred Stock. The dividend, liquidation, voting and redemption features of our Series A Participating Cumulative Preferred Stock have been designed so that the value of one-thousandth of a share of our Series A Participating Cumulative Preferred Stock approximates the value of one share of our Class A common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may sell the securities being offered hereby in four ways:</w:t>
      </w:r>
    </w:p>
    <w:p>
      <w:pPr>
        <w:spacing w:after="0" w:line="111" w:lineRule="exact"/>
        <w:rPr>
          <w:sz w:val="20"/>
          <w:szCs w:val="20"/>
          <w:color w:val="auto"/>
        </w:rPr>
      </w:pPr>
    </w:p>
    <w:p>
      <w:pPr>
        <w:ind w:left="820" w:hanging="470"/>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11" w:lineRule="exact"/>
        <w:rPr>
          <w:sz w:val="20"/>
          <w:szCs w:val="20"/>
          <w:color w:val="auto"/>
        </w:rPr>
      </w:pPr>
    </w:p>
    <w:p>
      <w:pPr>
        <w:ind w:right="20" w:firstLine="261"/>
        <w:spacing w:after="0" w:line="250" w:lineRule="auto"/>
        <w:rPr>
          <w:sz w:val="20"/>
          <w:szCs w:val="20"/>
          <w:color w:val="auto"/>
        </w:rPr>
      </w:pPr>
      <w:r>
        <w:rPr>
          <w:rFonts w:ascii="Arial" w:cs="Arial" w:eastAsia="Arial" w:hAnsi="Arial"/>
          <w:sz w:val="18"/>
          <w:szCs w:val="18"/>
          <w:color w:val="auto"/>
        </w:rPr>
        <w:t>We may directly solicit offers to purchase securities, or we may designate agents to solicit such offers. We will, in the prospectus supplement relating to such offering, name any agent that could be viewed as an underwriter under the Securities Act of 1933 (hereinafter, the “Securities Act”) and describe any commissions we or our trust subsidiaries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86" w:lineRule="exact"/>
        <w:rPr>
          <w:sz w:val="20"/>
          <w:szCs w:val="20"/>
          <w:color w:val="auto"/>
        </w:rPr>
      </w:pPr>
    </w:p>
    <w:p>
      <w:pPr>
        <w:ind w:firstLine="264"/>
        <w:spacing w:after="0" w:line="254"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our agreement with them.</w:t>
      </w:r>
    </w:p>
    <w:p>
      <w:pPr>
        <w:spacing w:after="0" w:line="84" w:lineRule="exact"/>
        <w:rPr>
          <w:sz w:val="20"/>
          <w:szCs w:val="20"/>
          <w:color w:val="auto"/>
        </w:rPr>
      </w:pPr>
    </w:p>
    <w:p>
      <w:pPr>
        <w:ind w:right="260" w:firstLine="264"/>
        <w:spacing w:after="0" w:line="264"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74" w:lineRule="exact"/>
        <w:rPr>
          <w:sz w:val="20"/>
          <w:szCs w:val="20"/>
          <w:color w:val="auto"/>
        </w:rPr>
      </w:pPr>
    </w:p>
    <w:p>
      <w:pPr>
        <w:ind w:right="220" w:firstLine="264"/>
        <w:spacing w:after="0" w:line="254"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84" w:lineRule="exact"/>
        <w:rPr>
          <w:sz w:val="20"/>
          <w:szCs w:val="20"/>
          <w:color w:val="auto"/>
        </w:rPr>
      </w:pPr>
    </w:p>
    <w:p>
      <w:pPr>
        <w:ind w:firstLine="264"/>
        <w:spacing w:after="0" w:line="304" w:lineRule="auto"/>
        <w:rPr>
          <w:sz w:val="20"/>
          <w:szCs w:val="20"/>
          <w:color w:val="auto"/>
        </w:rPr>
      </w:pPr>
      <w:r>
        <w:rPr>
          <w:rFonts w:ascii="Arial" w:cs="Arial" w:eastAsia="Arial" w:hAnsi="Arial"/>
          <w:sz w:val="15"/>
          <w:szCs w:val="15"/>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51" w:lineRule="exact"/>
        <w:rPr>
          <w:sz w:val="20"/>
          <w:szCs w:val="20"/>
          <w:color w:val="auto"/>
        </w:rPr>
      </w:pPr>
    </w:p>
    <w:p>
      <w:pPr>
        <w:ind w:right="100" w:firstLine="255"/>
        <w:spacing w:after="0" w:line="264"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17" w:lineRule="exact"/>
        <w:rPr>
          <w:sz w:val="20"/>
          <w:szCs w:val="20"/>
          <w:color w:val="auto"/>
        </w:rPr>
      </w:pPr>
    </w:p>
    <w:p>
      <w:pPr>
        <w:ind w:right="100" w:firstLine="255"/>
        <w:spacing w:after="0" w:line="251" w:lineRule="auto"/>
        <w:rPr>
          <w:sz w:val="20"/>
          <w:szCs w:val="20"/>
          <w:color w:val="auto"/>
        </w:rPr>
      </w:pPr>
      <w:r>
        <w:rPr>
          <w:rFonts w:ascii="Arial" w:cs="Arial" w:eastAsia="Arial" w:hAnsi="Arial"/>
          <w:sz w:val="18"/>
          <w:szCs w:val="18"/>
          <w:color w:val="auto"/>
        </w:rPr>
        <w:t>As to matters governed by Pennsylvania law, Arthur R. Block, Esquire, Senior Vice President, General Counsel and Secretary of Comcast, and as to matters governed by New York and Delaware law, Davis Polk &amp; Wardwell, will pass upon the validity of the securities on our behalf and on behalf of the cable guarantors, although we may use other counsel, including our employees, to do so. Unless otherwise indicated in the accompanying prospectus supplement, Cahill Gordon &amp; Reindel will represent the underwriters.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17" w:lineRule="exact"/>
        <w:rPr>
          <w:sz w:val="20"/>
          <w:szCs w:val="20"/>
          <w:color w:val="auto"/>
        </w:rPr>
      </w:pPr>
    </w:p>
    <w:p>
      <w:pPr>
        <w:ind w:right="140" w:firstLine="261"/>
        <w:spacing w:after="0" w:line="271" w:lineRule="auto"/>
        <w:rPr>
          <w:sz w:val="20"/>
          <w:szCs w:val="20"/>
          <w:color w:val="auto"/>
        </w:rPr>
      </w:pPr>
      <w:r>
        <w:rPr>
          <w:rFonts w:ascii="Arial" w:cs="Arial" w:eastAsia="Arial" w:hAnsi="Arial"/>
          <w:sz w:val="17"/>
          <w:szCs w:val="17"/>
          <w:color w:val="auto"/>
        </w:rPr>
        <w:t>The financial statements, the related financial statement schedule, and management’s report on the effectiveness of internal control over financial reporting, incorporated in this prospectus by reference from Comcast Corporation’s Annual Report on Form 10-K, have been audited by Deloitte &amp; Touche LLP, an independent registered public accounting firm, as stated in their reports, which are incorporated herein by reference, and have been so incorporated in reliance upon the reports of such firm given upon their authority as experts in accounting and auditing.</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AVAILABLE INFORMATION</w:t>
      </w:r>
    </w:p>
    <w:p>
      <w:pPr>
        <w:spacing w:after="0" w:line="117" w:lineRule="exact"/>
        <w:rPr>
          <w:sz w:val="20"/>
          <w:szCs w:val="20"/>
          <w:color w:val="auto"/>
        </w:rPr>
      </w:pPr>
    </w:p>
    <w:p>
      <w:pPr>
        <w:ind w:right="40" w:firstLine="261"/>
        <w:spacing w:after="0" w:line="304" w:lineRule="auto"/>
        <w:rPr>
          <w:sz w:val="20"/>
          <w:szCs w:val="20"/>
          <w:color w:val="auto"/>
        </w:rPr>
      </w:pPr>
      <w:r>
        <w:rPr>
          <w:rFonts w:ascii="Arial" w:cs="Arial" w:eastAsia="Arial" w:hAnsi="Arial"/>
          <w:sz w:val="15"/>
          <w:szCs w:val="15"/>
          <w:color w:val="auto"/>
        </w:rPr>
        <w:t>We, along with the cable guarantors, have filed this prospectus as part of a combined registration statement on Form S-3 with the SEC. The registration statement contains exhibits and other information that are not contained in this prospectus. In particular, the registration statement includes as exhibits forms of our underwriting agreements, copies of our senior indenture and subordinated indenture, forms of our senior debt security and subordinated debt security, a form of preferred security, a form of unit agreement, a form of purchase contract agreement, a form of pledge agreement, a form of warrant agreement for warrants sold separately, a form of warrant for warrants sold separately, a form of warrant agreement for warrants sold attached to securities, a form of warrant for warrants sold attached to securities, a form of deposit agreement and a form of depositary share.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51" w:lineRule="exact"/>
        <w:rPr>
          <w:sz w:val="20"/>
          <w:szCs w:val="20"/>
          <w:color w:val="auto"/>
        </w:rPr>
      </w:pPr>
    </w:p>
    <w:p>
      <w:pPr>
        <w:ind w:right="20" w:firstLine="261"/>
        <w:spacing w:after="0" w:line="308" w:lineRule="auto"/>
        <w:rPr>
          <w:sz w:val="20"/>
          <w:szCs w:val="20"/>
          <w:color w:val="auto"/>
        </w:rPr>
      </w:pPr>
      <w:r>
        <w:rPr>
          <w:rFonts w:ascii="Arial" w:cs="Arial" w:eastAsia="Arial" w:hAnsi="Arial"/>
          <w:sz w:val="15"/>
          <w:szCs w:val="15"/>
          <w:color w:val="auto"/>
        </w:rPr>
        <w:t xml:space="preserve">We file annual, quarterly and special reports and other information with the SEC. Comcast Cable Communications Holdings, Comcast Cable, Comcast Cable Holdings, Comcast MO Group and Comcast MO of Delaware do not currently file information with the SEC. Although the cable guarantors would normally be required to file information with the SEC on an ongoing basis, we expect that the cable guarantors will be exempt from this filing obligation for as long as we continue to file our information with the SEC. You may read and copy any document we file at the SEC’s public reference room located at 100 F Street, NE, Washington, D.C. 20549. Please call the SEC at 1-800-SEC-0330 for further information on the public reference rooms. Our SEC filings, including the complete registration statement and all of the exhibits to it are available through the SEC’s web site at </w:t>
      </w:r>
      <w:r>
        <w:rPr>
          <w:rFonts w:ascii="Arial" w:cs="Arial" w:eastAsia="Arial" w:hAnsi="Arial"/>
          <w:sz w:val="15"/>
          <w:szCs w:val="15"/>
          <w:i w:val="1"/>
          <w:iCs w:val="1"/>
          <w:color w:val="auto"/>
        </w:rPr>
        <w:t>http://www.sec.gov</w:t>
      </w:r>
      <w:r>
        <w:rPr>
          <w:rFonts w:ascii="Arial" w:cs="Arial" w:eastAsia="Arial" w:hAnsi="Arial"/>
          <w:sz w:val="15"/>
          <w:szCs w:val="15"/>
          <w:color w:val="auto"/>
        </w:rPr>
        <w:t>.</w:t>
      </w:r>
    </w:p>
    <w:p>
      <w:pPr>
        <w:spacing w:after="0" w:line="48" w:lineRule="exact"/>
        <w:rPr>
          <w:sz w:val="20"/>
          <w:szCs w:val="20"/>
          <w:color w:val="auto"/>
        </w:rPr>
      </w:pPr>
    </w:p>
    <w:p>
      <w:pPr>
        <w:ind w:firstLine="258"/>
        <w:spacing w:after="0" w:line="250" w:lineRule="auto"/>
        <w:rPr>
          <w:sz w:val="20"/>
          <w:szCs w:val="20"/>
          <w:color w:val="auto"/>
        </w:rPr>
      </w:pPr>
      <w:r>
        <w:rPr>
          <w:rFonts w:ascii="Arial" w:cs="Arial" w:eastAsia="Arial" w:hAnsi="Arial"/>
          <w:sz w:val="18"/>
          <w:szCs w:val="18"/>
          <w:color w:val="auto"/>
        </w:rPr>
        <w:t>You should rely only on the information contained in this prospectus, in the accompanying prospectus supplement and in material we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the prospectus supplement and our filings with the SEC is accurate only as of its date, regardless of the time of delivery of this prospectus and the prospectus supplement or of any sale of the securities.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17" w:lineRule="exact"/>
        <w:rPr>
          <w:sz w:val="20"/>
          <w:szCs w:val="20"/>
          <w:color w:val="auto"/>
        </w:rPr>
      </w:pPr>
    </w:p>
    <w:p>
      <w:pPr>
        <w:ind w:right="120" w:firstLine="261"/>
        <w:spacing w:after="0" w:line="329" w:lineRule="auto"/>
        <w:rPr>
          <w:sz w:val="20"/>
          <w:szCs w:val="20"/>
          <w:color w:val="auto"/>
        </w:rPr>
      </w:pPr>
      <w:r>
        <w:rPr>
          <w:rFonts w:ascii="Arial" w:cs="Arial" w:eastAsia="Arial" w:hAnsi="Arial"/>
          <w:sz w:val="15"/>
          <w:szCs w:val="15"/>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111" w:lineRule="exact"/>
        <w:rPr>
          <w:sz w:val="20"/>
          <w:szCs w:val="20"/>
          <w:color w:val="auto"/>
        </w:rPr>
      </w:pPr>
    </w:p>
    <w:p>
      <w:pPr>
        <w:ind w:left="820" w:hanging="470"/>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2005, filed on February 22, 2006.</w:t>
      </w:r>
    </w:p>
    <w:p>
      <w:pPr>
        <w:spacing w:after="0" w:line="123" w:lineRule="exact"/>
        <w:rPr>
          <w:rFonts w:ascii="Arial" w:cs="Arial" w:eastAsia="Arial" w:hAnsi="Arial"/>
          <w:sz w:val="18"/>
          <w:szCs w:val="18"/>
          <w:color w:val="auto"/>
        </w:rPr>
      </w:pPr>
    </w:p>
    <w:p>
      <w:pPr>
        <w:ind w:left="820" w:right="80" w:hanging="470"/>
        <w:spacing w:after="0" w:line="264"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section of the Definitive Proxy Statement on Schedule 14A for the 2006 annual meeting of stockholders incorporated by reference in the Annual Report on Form 10-K for the year ended December 31, 2005.</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Current Reports on Form 8-K filed on January 26, 2006, February 28, 2006 and March 6, 2006.</w:t>
      </w:r>
    </w:p>
    <w:p>
      <w:pPr>
        <w:spacing w:after="0" w:line="123" w:lineRule="exact"/>
        <w:rPr>
          <w:rFonts w:ascii="Arial" w:cs="Arial" w:eastAsia="Arial" w:hAnsi="Arial"/>
          <w:sz w:val="18"/>
          <w:szCs w:val="18"/>
          <w:color w:val="auto"/>
        </w:rPr>
      </w:pPr>
    </w:p>
    <w:p>
      <w:pPr>
        <w:ind w:left="820" w:hanging="470"/>
        <w:spacing w:after="0" w:line="264"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description of our capital stock incorporated in our Current Report on Form 8-K12G3 and Registration Statement on Form 8-A12G, each filed on November 18, 2002, as the same may be amended from time to time.</w:t>
      </w:r>
    </w:p>
    <w:p>
      <w:pPr>
        <w:spacing w:after="0" w:line="74" w:lineRule="exact"/>
        <w:rPr>
          <w:sz w:val="20"/>
          <w:szCs w:val="20"/>
          <w:color w:val="auto"/>
        </w:rPr>
      </w:pPr>
    </w:p>
    <w:p>
      <w:pPr>
        <w:ind w:firstLine="261"/>
        <w:spacing w:after="0" w:line="268" w:lineRule="auto"/>
        <w:rPr>
          <w:sz w:val="20"/>
          <w:szCs w:val="20"/>
          <w:color w:val="auto"/>
        </w:rPr>
      </w:pPr>
      <w:r>
        <w:rPr>
          <w:rFonts w:ascii="Arial" w:cs="Arial" w:eastAsia="Arial" w:hAnsi="Arial"/>
          <w:sz w:val="17"/>
          <w:szCs w:val="17"/>
          <w:color w:val="auto"/>
        </w:rPr>
        <w:t>We also incorporate by reference into this prospectus additional documents that we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1500 Market Street, Philadelphia, Pennsylvania 19102-2148, (215) 665-1700.</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724916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232410</wp:posOffset>
            </wp:positionV>
            <wp:extent cx="7249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367030</wp:posOffset>
            </wp:positionV>
            <wp:extent cx="1402715" cy="3613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02715" cy="36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780"/>
        <w:spacing w:after="0"/>
        <w:rPr>
          <w:sz w:val="20"/>
          <w:szCs w:val="20"/>
          <w:color w:val="auto"/>
        </w:rPr>
      </w:pPr>
      <w:r>
        <w:rPr>
          <w:rFonts w:ascii="Arial" w:cs="Arial" w:eastAsia="Arial" w:hAnsi="Arial"/>
          <w:sz w:val="25"/>
          <w:szCs w:val="25"/>
          <w:b w:val="1"/>
          <w:bCs w:val="1"/>
          <w:color w:val="auto"/>
        </w:rPr>
        <w:t>$900,000,000 5.875% Notes due 2018</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25"/>
          <w:szCs w:val="25"/>
          <w:b w:val="1"/>
          <w:bCs w:val="1"/>
          <w:color w:val="auto"/>
        </w:rPr>
        <w:t>$600,000,000 6.45% Notes due 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570230</wp:posOffset>
            </wp:positionV>
            <wp:extent cx="30492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14605</wp:posOffset>
            </wp:positionV>
            <wp:extent cx="30492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20" w:type="dxa"/>
            <w:vAlign w:val="bottom"/>
          </w:tcPr>
          <w:p>
            <w:pPr>
              <w:spacing w:after="0"/>
              <w:rPr>
                <w:sz w:val="19"/>
                <w:szCs w:val="19"/>
                <w:color w:val="auto"/>
              </w:rPr>
            </w:pPr>
          </w:p>
        </w:tc>
        <w:tc>
          <w:tcPr>
            <w:tcW w:w="3420" w:type="dxa"/>
            <w:vAlign w:val="bottom"/>
          </w:tcPr>
          <w:p>
            <w:pPr>
              <w:jc w:val="center"/>
              <w:ind w:right="152"/>
              <w:spacing w:after="0"/>
              <w:rPr>
                <w:sz w:val="20"/>
                <w:szCs w:val="20"/>
                <w:color w:val="auto"/>
              </w:rPr>
            </w:pPr>
            <w:r>
              <w:rPr>
                <w:rFonts w:ascii="Arial" w:cs="Arial" w:eastAsia="Arial" w:hAnsi="Arial"/>
                <w:sz w:val="18"/>
                <w:szCs w:val="18"/>
                <w:i w:val="1"/>
                <w:iCs w:val="1"/>
                <w:color w:val="auto"/>
                <w:w w:val="90"/>
              </w:rPr>
              <w:t>Joint Book-Running Managers</w:t>
            </w:r>
          </w:p>
        </w:tc>
        <w:tc>
          <w:tcPr>
            <w:tcW w:w="3880" w:type="dxa"/>
            <w:vAlign w:val="bottom"/>
          </w:tcPr>
          <w:p>
            <w:pPr>
              <w:spacing w:after="0"/>
              <w:rPr>
                <w:sz w:val="19"/>
                <w:szCs w:val="19"/>
                <w:color w:val="auto"/>
              </w:rPr>
            </w:pPr>
          </w:p>
        </w:tc>
      </w:tr>
      <w:tr>
        <w:trPr>
          <w:trHeight w:val="648"/>
        </w:trPr>
        <w:tc>
          <w:tcPr>
            <w:tcW w:w="4120" w:type="dxa"/>
            <w:vAlign w:val="bottom"/>
          </w:tcPr>
          <w:p>
            <w:pPr>
              <w:ind w:left="140"/>
              <w:spacing w:after="0"/>
              <w:rPr>
                <w:sz w:val="20"/>
                <w:szCs w:val="20"/>
                <w:color w:val="auto"/>
              </w:rPr>
            </w:pPr>
            <w:r>
              <w:rPr>
                <w:rFonts w:ascii="Arial" w:cs="Arial" w:eastAsia="Arial" w:hAnsi="Arial"/>
                <w:sz w:val="18"/>
                <w:szCs w:val="18"/>
                <w:b w:val="1"/>
                <w:bCs w:val="1"/>
                <w:color w:val="auto"/>
              </w:rPr>
              <w:t>Banc of America Securities LLC</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1"/>
              </w:rPr>
              <w:t>JPMorgan</w:t>
            </w:r>
          </w:p>
        </w:tc>
        <w:tc>
          <w:tcPr>
            <w:tcW w:w="3880" w:type="dxa"/>
            <w:vAlign w:val="bottom"/>
          </w:tcPr>
          <w:p>
            <w:pPr>
              <w:ind w:left="2360"/>
              <w:spacing w:after="0"/>
              <w:rPr>
                <w:sz w:val="20"/>
                <w:szCs w:val="20"/>
                <w:color w:val="auto"/>
              </w:rPr>
            </w:pPr>
            <w:r>
              <w:rPr>
                <w:rFonts w:ascii="Arial" w:cs="Arial" w:eastAsia="Arial" w:hAnsi="Arial"/>
                <w:sz w:val="18"/>
                <w:szCs w:val="18"/>
                <w:b w:val="1"/>
                <w:bCs w:val="1"/>
                <w:color w:val="auto"/>
                <w:w w:val="85"/>
              </w:rPr>
              <w:t>Wachovia Securities</w:t>
            </w:r>
          </w:p>
        </w:tc>
      </w:tr>
      <w:tr>
        <w:trPr>
          <w:trHeight w:val="213"/>
        </w:trPr>
        <w:tc>
          <w:tcPr>
            <w:tcW w:w="4120" w:type="dxa"/>
            <w:vAlign w:val="bottom"/>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3880" w:type="dxa"/>
            <w:vAlign w:val="bottom"/>
          </w:tcPr>
          <w:p>
            <w:pPr>
              <w:spacing w:after="0"/>
              <w:rPr>
                <w:sz w:val="18"/>
                <w:szCs w:val="18"/>
                <w:color w:val="auto"/>
              </w:rPr>
            </w:pPr>
          </w:p>
        </w:tc>
      </w:tr>
      <w:tr>
        <w:trPr>
          <w:trHeight w:val="411"/>
        </w:trPr>
        <w:tc>
          <w:tcPr>
            <w:tcW w:w="4120" w:type="dxa"/>
            <w:vAlign w:val="bottom"/>
          </w:tcPr>
          <w:p>
            <w:pPr>
              <w:jc w:val="center"/>
              <w:ind w:right="252"/>
              <w:spacing w:after="0"/>
              <w:rPr>
                <w:sz w:val="20"/>
                <w:szCs w:val="20"/>
                <w:color w:val="auto"/>
              </w:rPr>
            </w:pPr>
            <w:r>
              <w:rPr>
                <w:rFonts w:ascii="Arial" w:cs="Arial" w:eastAsia="Arial" w:hAnsi="Arial"/>
                <w:sz w:val="18"/>
                <w:szCs w:val="18"/>
                <w:b w:val="1"/>
                <w:bCs w:val="1"/>
                <w:color w:val="auto"/>
                <w:w w:val="94"/>
              </w:rPr>
              <w:t>ABN AMRO Incorporated</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Barclays Capital</w:t>
            </w:r>
          </w:p>
        </w:tc>
        <w:tc>
          <w:tcPr>
            <w:tcW w:w="3880" w:type="dxa"/>
            <w:vAlign w:val="bottom"/>
          </w:tcPr>
          <w:p>
            <w:pPr>
              <w:jc w:val="center"/>
              <w:ind w:left="272"/>
              <w:spacing w:after="0"/>
              <w:rPr>
                <w:sz w:val="20"/>
                <w:szCs w:val="20"/>
                <w:color w:val="auto"/>
              </w:rPr>
            </w:pPr>
            <w:r>
              <w:rPr>
                <w:rFonts w:ascii="Arial" w:cs="Arial" w:eastAsia="Arial" w:hAnsi="Arial"/>
                <w:sz w:val="18"/>
                <w:szCs w:val="18"/>
                <w:b w:val="1"/>
                <w:bCs w:val="1"/>
                <w:color w:val="auto"/>
                <w:w w:val="93"/>
              </w:rPr>
              <w:t>BNP PARIBAS</w:t>
            </w:r>
          </w:p>
        </w:tc>
      </w:tr>
      <w:tr>
        <w:trPr>
          <w:trHeight w:val="212"/>
        </w:trPr>
        <w:tc>
          <w:tcPr>
            <w:tcW w:w="4120" w:type="dxa"/>
            <w:vAlign w:val="bottom"/>
          </w:tcPr>
          <w:p>
            <w:pPr>
              <w:jc w:val="center"/>
              <w:ind w:right="252"/>
              <w:spacing w:after="0"/>
              <w:rPr>
                <w:sz w:val="20"/>
                <w:szCs w:val="20"/>
                <w:color w:val="auto"/>
              </w:rPr>
            </w:pPr>
            <w:r>
              <w:rPr>
                <w:rFonts w:ascii="Arial" w:cs="Arial" w:eastAsia="Arial" w:hAnsi="Arial"/>
                <w:sz w:val="18"/>
                <w:szCs w:val="18"/>
                <w:b w:val="1"/>
                <w:bCs w:val="1"/>
                <w:color w:val="auto"/>
                <w:w w:val="92"/>
              </w:rPr>
              <w:t>Citigroup</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Daiwa Securities America Inc.</w:t>
            </w:r>
          </w:p>
        </w:tc>
        <w:tc>
          <w:tcPr>
            <w:tcW w:w="3880" w:type="dxa"/>
            <w:vAlign w:val="bottom"/>
          </w:tcPr>
          <w:p>
            <w:pPr>
              <w:jc w:val="center"/>
              <w:ind w:left="272"/>
              <w:spacing w:after="0"/>
              <w:rPr>
                <w:sz w:val="20"/>
                <w:szCs w:val="20"/>
                <w:color w:val="auto"/>
              </w:rPr>
            </w:pPr>
            <w:r>
              <w:rPr>
                <w:rFonts w:ascii="Arial" w:cs="Arial" w:eastAsia="Arial" w:hAnsi="Arial"/>
                <w:sz w:val="18"/>
                <w:szCs w:val="18"/>
                <w:b w:val="1"/>
                <w:bCs w:val="1"/>
                <w:color w:val="auto"/>
                <w:w w:val="86"/>
              </w:rPr>
              <w:t>Deutsche Bank Securities</w:t>
            </w:r>
          </w:p>
        </w:tc>
      </w:tr>
      <w:tr>
        <w:trPr>
          <w:trHeight w:val="212"/>
        </w:trPr>
        <w:tc>
          <w:tcPr>
            <w:tcW w:w="4120" w:type="dxa"/>
            <w:vAlign w:val="bottom"/>
          </w:tcPr>
          <w:p>
            <w:pPr>
              <w:jc w:val="center"/>
              <w:ind w:right="232"/>
              <w:spacing w:after="0"/>
              <w:rPr>
                <w:sz w:val="20"/>
                <w:szCs w:val="20"/>
                <w:color w:val="auto"/>
              </w:rPr>
            </w:pPr>
            <w:r>
              <w:rPr>
                <w:rFonts w:ascii="Arial" w:cs="Arial" w:eastAsia="Arial" w:hAnsi="Arial"/>
                <w:sz w:val="18"/>
                <w:szCs w:val="18"/>
                <w:b w:val="1"/>
                <w:bCs w:val="1"/>
                <w:color w:val="auto"/>
                <w:w w:val="89"/>
              </w:rPr>
              <w:t>Goldman, Sachs &amp; Co.</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2"/>
              </w:rPr>
              <w:t>Lazard Capital Markets</w:t>
            </w:r>
          </w:p>
        </w:tc>
        <w:tc>
          <w:tcPr>
            <w:tcW w:w="3880" w:type="dxa"/>
            <w:vAlign w:val="bottom"/>
          </w:tcPr>
          <w:p>
            <w:pPr>
              <w:jc w:val="center"/>
              <w:ind w:left="252"/>
              <w:spacing w:after="0"/>
              <w:rPr>
                <w:sz w:val="20"/>
                <w:szCs w:val="20"/>
                <w:color w:val="auto"/>
              </w:rPr>
            </w:pPr>
            <w:r>
              <w:rPr>
                <w:rFonts w:ascii="Arial" w:cs="Arial" w:eastAsia="Arial" w:hAnsi="Arial"/>
                <w:sz w:val="18"/>
                <w:szCs w:val="18"/>
                <w:b w:val="1"/>
                <w:bCs w:val="1"/>
                <w:color w:val="auto"/>
                <w:w w:val="89"/>
              </w:rPr>
              <w:t>Lehman Brothers</w:t>
            </w:r>
          </w:p>
        </w:tc>
      </w:tr>
      <w:tr>
        <w:trPr>
          <w:trHeight w:val="212"/>
        </w:trPr>
        <w:tc>
          <w:tcPr>
            <w:tcW w:w="4120" w:type="dxa"/>
            <w:vAlign w:val="bottom"/>
          </w:tcPr>
          <w:p>
            <w:pPr>
              <w:jc w:val="center"/>
              <w:ind w:right="252"/>
              <w:spacing w:after="0"/>
              <w:rPr>
                <w:sz w:val="20"/>
                <w:szCs w:val="20"/>
                <w:color w:val="auto"/>
              </w:rPr>
            </w:pPr>
            <w:r>
              <w:rPr>
                <w:rFonts w:ascii="Arial" w:cs="Arial" w:eastAsia="Arial" w:hAnsi="Arial"/>
                <w:sz w:val="18"/>
                <w:szCs w:val="18"/>
                <w:b w:val="1"/>
                <w:bCs w:val="1"/>
                <w:color w:val="auto"/>
                <w:w w:val="93"/>
              </w:rPr>
              <w:t>Merrill Lynch &amp; Co.</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0"/>
              </w:rPr>
              <w:t>Morgan Stanley</w:t>
            </w:r>
          </w:p>
        </w:tc>
        <w:tc>
          <w:tcPr>
            <w:tcW w:w="3880" w:type="dxa"/>
            <w:vAlign w:val="bottom"/>
          </w:tcPr>
          <w:p>
            <w:pPr>
              <w:jc w:val="center"/>
              <w:ind w:left="272"/>
              <w:spacing w:after="0"/>
              <w:rPr>
                <w:sz w:val="20"/>
                <w:szCs w:val="20"/>
                <w:color w:val="auto"/>
              </w:rPr>
            </w:pPr>
            <w:r>
              <w:rPr>
                <w:rFonts w:ascii="Arial" w:cs="Arial" w:eastAsia="Arial" w:hAnsi="Arial"/>
                <w:sz w:val="18"/>
                <w:szCs w:val="18"/>
                <w:b w:val="1"/>
                <w:bCs w:val="1"/>
                <w:color w:val="auto"/>
                <w:w w:val="89"/>
              </w:rPr>
              <w:t>The Royal Bank of Scotland</w:t>
            </w:r>
          </w:p>
        </w:tc>
      </w:tr>
      <w:tr>
        <w:trPr>
          <w:trHeight w:val="229"/>
        </w:trPr>
        <w:tc>
          <w:tcPr>
            <w:tcW w:w="4120" w:type="dxa"/>
            <w:vAlign w:val="bottom"/>
          </w:tcPr>
          <w:p>
            <w:pPr>
              <w:jc w:val="center"/>
              <w:ind w:right="252"/>
              <w:spacing w:after="0"/>
              <w:rPr>
                <w:sz w:val="20"/>
                <w:szCs w:val="20"/>
                <w:color w:val="auto"/>
              </w:rPr>
            </w:pPr>
            <w:r>
              <w:rPr>
                <w:rFonts w:ascii="Arial" w:cs="Arial" w:eastAsia="Arial" w:hAnsi="Arial"/>
                <w:sz w:val="18"/>
                <w:szCs w:val="18"/>
                <w:b w:val="1"/>
                <w:bCs w:val="1"/>
                <w:color w:val="auto"/>
                <w:w w:val="88"/>
              </w:rPr>
              <w:t>UBS Investment Bank</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3"/>
              </w:rPr>
              <w:t>BNY Capital Markets, Inc.</w:t>
            </w:r>
          </w:p>
        </w:tc>
        <w:tc>
          <w:tcPr>
            <w:tcW w:w="3880" w:type="dxa"/>
            <w:vAlign w:val="bottom"/>
          </w:tcPr>
          <w:p>
            <w:pPr>
              <w:jc w:val="center"/>
              <w:ind w:left="272"/>
              <w:spacing w:after="0"/>
              <w:rPr>
                <w:sz w:val="20"/>
                <w:szCs w:val="20"/>
                <w:color w:val="auto"/>
              </w:rPr>
            </w:pPr>
            <w:r>
              <w:rPr>
                <w:rFonts w:ascii="Arial" w:cs="Arial" w:eastAsia="Arial" w:hAnsi="Arial"/>
                <w:sz w:val="18"/>
                <w:szCs w:val="18"/>
                <w:b w:val="1"/>
                <w:bCs w:val="1"/>
                <w:color w:val="auto"/>
                <w:w w:val="88"/>
              </w:rPr>
              <w:t>SunTrust Robinson Humphrey</w:t>
            </w:r>
          </w:p>
        </w:tc>
      </w:tr>
      <w:tr>
        <w:trPr>
          <w:trHeight w:val="213"/>
        </w:trPr>
        <w:tc>
          <w:tcPr>
            <w:tcW w:w="4120" w:type="dxa"/>
            <w:vAlign w:val="bottom"/>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3880" w:type="dxa"/>
            <w:vAlign w:val="bottom"/>
          </w:tcPr>
          <w:p>
            <w:pPr>
              <w:spacing w:after="0"/>
              <w:rPr>
                <w:sz w:val="18"/>
                <w:szCs w:val="18"/>
                <w:color w:val="auto"/>
              </w:rPr>
            </w:pPr>
          </w:p>
        </w:tc>
      </w:tr>
      <w:tr>
        <w:trPr>
          <w:trHeight w:val="411"/>
        </w:trPr>
        <w:tc>
          <w:tcPr>
            <w:tcW w:w="4120" w:type="dxa"/>
            <w:vAlign w:val="bottom"/>
          </w:tcPr>
          <w:p>
            <w:pPr>
              <w:jc w:val="center"/>
              <w:ind w:right="252"/>
              <w:spacing w:after="0"/>
              <w:rPr>
                <w:sz w:val="20"/>
                <w:szCs w:val="20"/>
                <w:color w:val="auto"/>
              </w:rPr>
            </w:pPr>
            <w:r>
              <w:rPr>
                <w:rFonts w:ascii="Arial" w:cs="Arial" w:eastAsia="Arial" w:hAnsi="Arial"/>
                <w:sz w:val="18"/>
                <w:szCs w:val="18"/>
                <w:b w:val="1"/>
                <w:bCs w:val="1"/>
                <w:color w:val="auto"/>
                <w:w w:val="92"/>
              </w:rPr>
              <w:t>Guzman &amp; Company</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3"/>
              </w:rPr>
              <w:t>Ramirez &amp; Co., Inc.</w:t>
            </w:r>
          </w:p>
        </w:tc>
        <w:tc>
          <w:tcPr>
            <w:tcW w:w="3880" w:type="dxa"/>
            <w:vAlign w:val="bottom"/>
          </w:tcPr>
          <w:p>
            <w:pPr>
              <w:jc w:val="center"/>
              <w:ind w:left="252"/>
              <w:spacing w:after="0"/>
              <w:rPr>
                <w:sz w:val="20"/>
                <w:szCs w:val="20"/>
                <w:color w:val="auto"/>
              </w:rPr>
            </w:pPr>
            <w:r>
              <w:rPr>
                <w:rFonts w:ascii="Arial" w:cs="Arial" w:eastAsia="Arial" w:hAnsi="Arial"/>
                <w:sz w:val="18"/>
                <w:szCs w:val="18"/>
                <w:b w:val="1"/>
                <w:bCs w:val="1"/>
                <w:color w:val="auto"/>
                <w:w w:val="91"/>
              </w:rPr>
              <w:t>The Williams Capital Group, L.P.</w:t>
            </w:r>
          </w:p>
        </w:tc>
      </w:tr>
      <w:tr>
        <w:trPr>
          <w:trHeight w:val="212"/>
        </w:trPr>
        <w:tc>
          <w:tcPr>
            <w:tcW w:w="4120" w:type="dxa"/>
            <w:vAlign w:val="bottom"/>
          </w:tcPr>
          <w:p>
            <w:pPr>
              <w:jc w:val="center"/>
              <w:ind w:right="252"/>
              <w:spacing w:after="0"/>
              <w:rPr>
                <w:sz w:val="20"/>
                <w:szCs w:val="20"/>
                <w:color w:val="auto"/>
              </w:rPr>
            </w:pPr>
            <w:r>
              <w:rPr>
                <w:rFonts w:ascii="Arial" w:cs="Arial" w:eastAsia="Arial" w:hAnsi="Arial"/>
                <w:sz w:val="18"/>
                <w:szCs w:val="18"/>
                <w:b w:val="1"/>
                <w:bCs w:val="1"/>
                <w:color w:val="auto"/>
                <w:w w:val="89"/>
              </w:rPr>
              <w:t>Blaylock &amp; Company, Inc.</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3"/>
              </w:rPr>
              <w:t>Cabrera Capital Markets, Inc.</w:t>
            </w:r>
          </w:p>
        </w:tc>
        <w:tc>
          <w:tcPr>
            <w:tcW w:w="3880" w:type="dxa"/>
            <w:vAlign w:val="bottom"/>
          </w:tcPr>
          <w:p>
            <w:pPr>
              <w:jc w:val="center"/>
              <w:ind w:left="272"/>
              <w:spacing w:after="0"/>
              <w:rPr>
                <w:sz w:val="20"/>
                <w:szCs w:val="20"/>
                <w:color w:val="auto"/>
              </w:rPr>
            </w:pPr>
            <w:r>
              <w:rPr>
                <w:rFonts w:ascii="Arial" w:cs="Arial" w:eastAsia="Arial" w:hAnsi="Arial"/>
                <w:sz w:val="18"/>
                <w:szCs w:val="18"/>
                <w:b w:val="1"/>
                <w:bCs w:val="1"/>
                <w:color w:val="auto"/>
                <w:w w:val="93"/>
              </w:rPr>
              <w:t>Loop Capital Markets, LLC</w:t>
            </w:r>
          </w:p>
        </w:tc>
      </w:tr>
      <w:tr>
        <w:trPr>
          <w:trHeight w:val="229"/>
        </w:trPr>
        <w:tc>
          <w:tcPr>
            <w:tcW w:w="4120" w:type="dxa"/>
            <w:vAlign w:val="bottom"/>
          </w:tcPr>
          <w:p>
            <w:pPr>
              <w:jc w:val="center"/>
              <w:ind w:right="252"/>
              <w:spacing w:after="0"/>
              <w:rPr>
                <w:sz w:val="20"/>
                <w:szCs w:val="20"/>
                <w:color w:val="auto"/>
              </w:rPr>
            </w:pPr>
            <w:r>
              <w:rPr>
                <w:rFonts w:ascii="Arial" w:cs="Arial" w:eastAsia="Arial" w:hAnsi="Arial"/>
                <w:sz w:val="18"/>
                <w:szCs w:val="18"/>
                <w:b w:val="1"/>
                <w:bCs w:val="1"/>
                <w:color w:val="auto"/>
                <w:w w:val="93"/>
              </w:rPr>
              <w:t>M.R. Beal &amp; Company</w:t>
            </w:r>
          </w:p>
        </w:tc>
        <w:tc>
          <w:tcPr>
            <w:tcW w:w="3420" w:type="dxa"/>
            <w:vAlign w:val="bottom"/>
          </w:tcPr>
          <w:p>
            <w:pPr>
              <w:spacing w:after="0"/>
              <w:rPr>
                <w:sz w:val="19"/>
                <w:szCs w:val="19"/>
                <w:color w:val="auto"/>
              </w:rPr>
            </w:pPr>
          </w:p>
        </w:tc>
        <w:tc>
          <w:tcPr>
            <w:tcW w:w="3880" w:type="dxa"/>
            <w:vAlign w:val="bottom"/>
          </w:tcPr>
          <w:p>
            <w:pPr>
              <w:jc w:val="center"/>
              <w:ind w:left="252"/>
              <w:spacing w:after="0"/>
              <w:rPr>
                <w:sz w:val="20"/>
                <w:szCs w:val="20"/>
                <w:color w:val="auto"/>
              </w:rPr>
            </w:pPr>
            <w:r>
              <w:rPr>
                <w:rFonts w:ascii="Arial" w:cs="Arial" w:eastAsia="Arial" w:hAnsi="Arial"/>
                <w:sz w:val="18"/>
                <w:szCs w:val="18"/>
                <w:b w:val="1"/>
                <w:bCs w:val="1"/>
                <w:color w:val="auto"/>
                <w:w w:val="91"/>
              </w:rPr>
              <w:t>Siebert Capital Markets</w:t>
            </w:r>
          </w:p>
        </w:tc>
      </w:tr>
      <w:tr>
        <w:trPr>
          <w:trHeight w:val="265"/>
        </w:trPr>
        <w:tc>
          <w:tcPr>
            <w:tcW w:w="4120" w:type="dxa"/>
            <w:vAlign w:val="bottom"/>
          </w:tcPr>
          <w:p>
            <w:pPr>
              <w:spacing w:after="0"/>
              <w:rPr>
                <w:sz w:val="23"/>
                <w:szCs w:val="23"/>
                <w:color w:val="auto"/>
              </w:rPr>
            </w:pPr>
          </w:p>
        </w:tc>
        <w:tc>
          <w:tcPr>
            <w:tcW w:w="3420" w:type="dxa"/>
            <w:vAlign w:val="bottom"/>
          </w:tcPr>
          <w:p>
            <w:pPr>
              <w:jc w:val="center"/>
              <w:ind w:right="132"/>
              <w:spacing w:after="0"/>
              <w:rPr>
                <w:sz w:val="20"/>
                <w:szCs w:val="20"/>
                <w:color w:val="auto"/>
              </w:rPr>
            </w:pPr>
            <w:r>
              <w:rPr>
                <w:rFonts w:ascii="Arial" w:cs="Arial" w:eastAsia="Arial" w:hAnsi="Arial"/>
                <w:sz w:val="18"/>
                <w:szCs w:val="18"/>
                <w:color w:val="auto"/>
                <w:w w:val="88"/>
              </w:rPr>
              <w:t>November 14, 2006</w:t>
            </w:r>
          </w:p>
        </w:tc>
        <w:tc>
          <w:tcPr>
            <w:tcW w:w="3880" w:type="dxa"/>
            <w:vAlign w:val="bottom"/>
          </w:tcPr>
          <w:p>
            <w:pPr>
              <w:spacing w:after="0"/>
              <w:rPr>
                <w:sz w:val="23"/>
                <w:szCs w:val="23"/>
                <w:color w:val="auto"/>
              </w:rPr>
            </w:pPr>
          </w:p>
        </w:tc>
      </w:tr>
      <w:tr>
        <w:trPr>
          <w:trHeight w:val="146"/>
        </w:trPr>
        <w:tc>
          <w:tcPr>
            <w:tcW w:w="4120" w:type="dxa"/>
            <w:vAlign w:val="bottom"/>
            <w:tcBorders>
              <w:bottom w:val="single" w:sz="8" w:color="auto"/>
            </w:tcBorders>
          </w:tcPr>
          <w:p>
            <w:pPr>
              <w:spacing w:after="0"/>
              <w:rPr>
                <w:sz w:val="12"/>
                <w:szCs w:val="12"/>
                <w:color w:val="auto"/>
              </w:rPr>
            </w:pPr>
          </w:p>
        </w:tc>
        <w:tc>
          <w:tcPr>
            <w:tcW w:w="3420" w:type="dxa"/>
            <w:vAlign w:val="bottom"/>
            <w:tcBorders>
              <w:bottom w:val="single" w:sz="8" w:color="auto"/>
            </w:tcBorders>
          </w:tcPr>
          <w:p>
            <w:pPr>
              <w:spacing w:after="0"/>
              <w:rPr>
                <w:sz w:val="12"/>
                <w:szCs w:val="12"/>
                <w:color w:val="auto"/>
              </w:rPr>
            </w:pPr>
          </w:p>
        </w:tc>
        <w:tc>
          <w:tcPr>
            <w:tcW w:w="3880" w:type="dxa"/>
            <w:vAlign w:val="bottom"/>
            <w:tcBorders>
              <w:bottom w:val="single" w:sz="8" w:color="auto"/>
            </w:tcBorders>
          </w:tcPr>
          <w:p>
            <w:pPr>
              <w:spacing w:after="0"/>
              <w:rPr>
                <w:sz w:val="12"/>
                <w:szCs w:val="12"/>
                <w:color w:val="auto"/>
              </w:rPr>
            </w:pPr>
          </w:p>
        </w:tc>
      </w:tr>
      <w:tr>
        <w:trPr>
          <w:trHeight w:val="26"/>
        </w:trPr>
        <w:tc>
          <w:tcPr>
            <w:tcW w:w="412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420"/>
      </w:cols>
      <w:pgMar w:left="240" w:top="4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lowerRoman"/>
      <w:start w:val="10"/>
    </w:lvl>
  </w:abstractNum>
  <w:abstractNum w:abstractNumId="4">
    <w:nsid w:val="B03E0C6"/>
    <w:multiLevelType w:val="hybridMultilevel"/>
    <w:lvl w:ilvl="0">
      <w:lvlJc w:val="left"/>
      <w:lvlText w:val="•"/>
      <w:numFmt w:val="bullet"/>
      <w:start w:val="1"/>
    </w:lvl>
    <w:lvl w:ilvl="1">
      <w:lvlJc w:val="left"/>
      <w:lvlText w:val="•"/>
      <w:numFmt w:val="bullet"/>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lowerLetter"/>
      <w:start w:val="1"/>
    </w:lvl>
    <w:lvl w:ilvl="1">
      <w:lvlJc w:val="left"/>
      <w:lvlText w:val="(%2)"/>
      <w:numFmt w:val="lowerRoman"/>
      <w:start w:val="1"/>
    </w:lvl>
  </w:abstractNum>
  <w:abstractNum w:abstractNumId="7">
    <w:nsid w:val="71F32454"/>
    <w:multiLevelType w:val="hybridMultilevel"/>
    <w:lvl w:ilvl="0">
      <w:lvlJc w:val="left"/>
      <w:lvlText w:val="(%1)"/>
      <w:numFmt w:val="lowerLetter"/>
      <w:start w:val="2"/>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1)"/>
      <w:numFmt w:val="lowerRoman"/>
      <w:start w:val="10"/>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lowerLetter"/>
      <w:start w:val="1"/>
    </w:lvl>
  </w:abstractNum>
  <w:abstractNum w:abstractNumId="15">
    <w:nsid w:val="737B8DDC"/>
    <w:multiLevelType w:val="hybridMultilevel"/>
    <w:lvl w:ilvl="0">
      <w:lvlJc w:val="left"/>
      <w:lvlText w:val="(%1)"/>
      <w:numFmt w:val="lowerLetter"/>
      <w:start w:val="23"/>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o"/>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lvl w:ilvl="1">
      <w:lvlJc w:val="left"/>
      <w:lvlText w:val="o"/>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1)"/>
      <w:numFmt w:val="decimal"/>
      <w:start w:val="1"/>
    </w:lvl>
    <w:lvl w:ilvl="1">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o"/>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lvl w:ilvl="1">
      <w:lvlJc w:val="left"/>
      <w:lvlText w:val="o"/>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decimal"/>
      <w:start w:val="2"/>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2019-12-15T05:16:07Z</dcterms:created>
  <dcterms:modified xsi:type="dcterms:W3CDTF">2019-12-15T05:16:07Z</dcterms:modified>
</cp:coreProperties>
</file>