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024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Transition Report pursuant to Section 13 or 15(d) of the Securities Exchange Act of 1934 for the Transition Period from</w:t>
            </w:r>
          </w:p>
        </w:tc>
        <w:tc>
          <w:tcPr>
            <w:tcW w:w="880" w:type="dxa"/>
            <w:vAlign w:val="bottom"/>
          </w:tcPr>
          <w:p>
            <w:pPr>
              <w:ind w:left="740"/>
              <w:spacing w:after="0"/>
              <w:rPr>
                <w:sz w:val="20"/>
                <w:szCs w:val="20"/>
                <w:color w:val="auto"/>
              </w:rPr>
            </w:pPr>
            <w:r>
              <w:rPr>
                <w:rFonts w:ascii="Arial" w:cs="Arial" w:eastAsia="Arial" w:hAnsi="Arial"/>
                <w:sz w:val="18"/>
                <w:szCs w:val="18"/>
                <w:b w:val="1"/>
                <w:bCs w:val="1"/>
                <w:color w:val="auto"/>
                <w:w w:val="70"/>
              </w:rPr>
              <w:t>to</w:t>
            </w:r>
          </w:p>
        </w:tc>
      </w:tr>
      <w:tr>
        <w:trPr>
          <w:trHeight w:val="228"/>
        </w:trPr>
        <w:tc>
          <w:tcPr>
            <w:tcW w:w="300" w:type="dxa"/>
            <w:vAlign w:val="bottom"/>
          </w:tcPr>
          <w:p>
            <w:pPr>
              <w:spacing w:after="0"/>
              <w:rPr>
                <w:sz w:val="19"/>
                <w:szCs w:val="19"/>
                <w:color w:val="auto"/>
              </w:rPr>
            </w:pPr>
          </w:p>
        </w:tc>
        <w:tc>
          <w:tcPr>
            <w:tcW w:w="4220" w:type="dxa"/>
            <w:vAlign w:val="bottom"/>
          </w:tcPr>
          <w:p>
            <w:pPr>
              <w:jc w:val="right"/>
              <w:ind w:right="3052"/>
              <w:spacing w:after="0"/>
              <w:rPr>
                <w:sz w:val="20"/>
                <w:szCs w:val="20"/>
                <w:color w:val="auto"/>
              </w:rPr>
            </w:pPr>
            <w:r>
              <w:rPr>
                <w:rFonts w:ascii="Arial" w:cs="Arial" w:eastAsia="Arial" w:hAnsi="Arial"/>
                <w:sz w:val="18"/>
                <w:szCs w:val="18"/>
                <w:b w:val="1"/>
                <w:bCs w:val="1"/>
                <w:color w:val="auto"/>
              </w:rPr>
              <w:t>.</w:t>
            </w:r>
          </w:p>
        </w:tc>
        <w:tc>
          <w:tcPr>
            <w:tcW w:w="2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84"/>
        </w:trPr>
        <w:tc>
          <w:tcPr>
            <w:tcW w:w="300" w:type="dxa"/>
            <w:vAlign w:val="bottom"/>
          </w:tcPr>
          <w:p>
            <w:pPr>
              <w:spacing w:after="0"/>
              <w:rPr>
                <w:sz w:val="24"/>
                <w:szCs w:val="24"/>
                <w:color w:val="auto"/>
              </w:rPr>
            </w:pPr>
          </w:p>
        </w:tc>
        <w:tc>
          <w:tcPr>
            <w:tcW w:w="10240" w:type="dxa"/>
            <w:vAlign w:val="bottom"/>
            <w:gridSpan w:val="3"/>
          </w:tcPr>
          <w:p>
            <w:pPr>
              <w:ind w:left="4060"/>
              <w:spacing w:after="0"/>
              <w:rPr>
                <w:sz w:val="20"/>
                <w:szCs w:val="20"/>
                <w:color w:val="auto"/>
              </w:rPr>
            </w:pPr>
            <w:r>
              <w:rPr>
                <w:rFonts w:ascii="Arial" w:cs="Arial" w:eastAsia="Arial" w:hAnsi="Arial"/>
                <w:sz w:val="18"/>
                <w:szCs w:val="18"/>
                <w:b w:val="1"/>
                <w:bCs w:val="1"/>
                <w:color w:val="auto"/>
              </w:rPr>
              <w:t>Commission File Number 001-32871</w:t>
            </w:r>
          </w:p>
        </w:tc>
        <w:tc>
          <w:tcPr>
            <w:tcW w:w="880" w:type="dxa"/>
            <w:vAlign w:val="bottom"/>
          </w:tcPr>
          <w:p>
            <w:pPr>
              <w:spacing w:after="0"/>
              <w:rPr>
                <w:sz w:val="24"/>
                <w:szCs w:val="24"/>
                <w:color w:val="auto"/>
              </w:rPr>
            </w:pPr>
          </w:p>
        </w:tc>
      </w:tr>
      <w:tr>
        <w:trPr>
          <w:trHeight w:val="164"/>
        </w:trPr>
        <w:tc>
          <w:tcPr>
            <w:tcW w:w="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364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43180</wp:posOffset>
            </wp:positionV>
            <wp:extent cx="2933065"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39"/>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5" w:lineRule="exact"/>
        <w:rPr>
          <w:sz w:val="24"/>
          <w:szCs w:val="24"/>
          <w:color w:val="auto"/>
        </w:rPr>
      </w:pPr>
    </w:p>
    <w:p>
      <w:pPr>
        <w:ind w:left="20" w:right="3920"/>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As of September 30, 2008, there were 2,060,122,419 shares of our Class A Common Stock, 810,211,191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15"/>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Borders>
              <w:bottom w:val="single" w:sz="8" w:color="0000EE"/>
            </w:tcBorders>
            <w:gridSpan w:val="12"/>
          </w:tcPr>
          <w:p>
            <w:pPr>
              <w:spacing w:after="0" w:line="170" w:lineRule="exact"/>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780" w:type="dxa"/>
            <w:vAlign w:val="bottom"/>
            <w:gridSpan w:val="11"/>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876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 as of September 30, 2008 and December 31, 2007 (Unaudited)</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 of Operations for the Three and Nine Months Ended September 30, 2008 and 2007</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3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40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5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 of Cash Flows for the Nine Months Ended September 30, 2008 and 2007 (Unaudited)</w:t>
              </w:r>
            </w:hyperlink>
          </w:p>
        </w:tc>
        <w:tc>
          <w:tcPr>
            <w:tcW w:w="2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gridSpan w:val="4"/>
            <w:vMerge w:val="restart"/>
          </w:tcPr>
          <w:p>
            <w:pPr>
              <w:spacing w:after="0"/>
              <w:rPr>
                <w:rFonts w:ascii="Arial" w:cs="Arial" w:eastAsia="Arial" w:hAnsi="Arial"/>
                <w:sz w:val="18"/>
                <w:szCs w:val="18"/>
                <w:b w:val="1"/>
                <w:bCs w:val="1"/>
                <w:color w:val="0000EE"/>
                <w:w w:val="94"/>
              </w:rPr>
            </w:pPr>
            <w:hyperlink w:anchor="page6">
              <w:r>
                <w:rPr>
                  <w:rFonts w:ascii="Arial" w:cs="Arial" w:eastAsia="Arial" w:hAnsi="Arial"/>
                  <w:sz w:val="18"/>
                  <w:szCs w:val="18"/>
                  <w:b w:val="1"/>
                  <w:bCs w:val="1"/>
                  <w:color w:val="0000EE"/>
                  <w:w w:val="94"/>
                </w:rPr>
                <w:t>Item 2.</w:t>
              </w:r>
            </w:hyperlink>
          </w:p>
        </w:tc>
        <w:tc>
          <w:tcPr>
            <w:tcW w:w="740" w:type="dxa"/>
            <w:vAlign w:val="bottom"/>
            <w:gridSpan w:val="2"/>
            <w:vMerge w:val="restart"/>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gridSpan w:val="4"/>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4"/>
              </w:rPr>
            </w:pPr>
            <w:hyperlink w:anchor="page24">
              <w:r>
                <w:rPr>
                  <w:rFonts w:ascii="Arial" w:cs="Arial" w:eastAsia="Arial" w:hAnsi="Arial"/>
                  <w:sz w:val="18"/>
                  <w:szCs w:val="18"/>
                  <w:b w:val="1"/>
                  <w:bCs w:val="1"/>
                  <w:color w:val="0000EE"/>
                  <w:w w:val="94"/>
                </w:rPr>
                <w:t>Item 3.</w:t>
              </w:r>
            </w:hyperlink>
          </w:p>
        </w:tc>
        <w:tc>
          <w:tcPr>
            <w:tcW w:w="740" w:type="dxa"/>
            <w:vAlign w:val="bottom"/>
            <w:gridSpan w:val="2"/>
          </w:tcPr>
          <w:p>
            <w:pPr>
              <w:spacing w:after="0"/>
              <w:rPr>
                <w:sz w:val="17"/>
                <w:szCs w:val="17"/>
                <w:color w:val="auto"/>
              </w:rPr>
            </w:pPr>
          </w:p>
        </w:tc>
        <w:tc>
          <w:tcPr>
            <w:tcW w:w="4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46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4.</w:t>
              </w:r>
            </w:hyperlink>
          </w:p>
        </w:tc>
        <w:tc>
          <w:tcPr>
            <w:tcW w:w="8760" w:type="dxa"/>
            <w:vAlign w:val="bottom"/>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80" w:type="dxa"/>
            <w:vAlign w:val="bottom"/>
            <w:gridSpan w:val="24"/>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gridSpan w:val="4"/>
          </w:tcPr>
          <w:p>
            <w:pPr>
              <w:spacing w:after="0" w:line="196" w:lineRule="exact"/>
              <w:rPr>
                <w:rFonts w:ascii="Arial" w:cs="Arial" w:eastAsia="Arial" w:hAnsi="Arial"/>
                <w:sz w:val="18"/>
                <w:szCs w:val="18"/>
                <w:b w:val="1"/>
                <w:bCs w:val="1"/>
                <w:color w:val="0000EE"/>
                <w:w w:val="94"/>
              </w:rPr>
            </w:pPr>
            <w:hyperlink w:anchor="page32">
              <w:r>
                <w:rPr>
                  <w:rFonts w:ascii="Arial" w:cs="Arial" w:eastAsia="Arial" w:hAnsi="Arial"/>
                  <w:sz w:val="18"/>
                  <w:szCs w:val="18"/>
                  <w:b w:val="1"/>
                  <w:bCs w:val="1"/>
                  <w:color w:val="0000EE"/>
                  <w:w w:val="94"/>
                </w:rPr>
                <w:t>Item 1.</w:t>
              </w:r>
            </w:hyperlink>
          </w:p>
        </w:tc>
        <w:tc>
          <w:tcPr>
            <w:tcW w:w="740" w:type="dxa"/>
            <w:vAlign w:val="bottom"/>
            <w:gridSpan w:val="2"/>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1A.</w:t>
              </w:r>
            </w:hyperlink>
          </w:p>
        </w:tc>
        <w:tc>
          <w:tcPr>
            <w:tcW w:w="8760" w:type="dxa"/>
            <w:vAlign w:val="bottom"/>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gridSpan w:val="4"/>
          </w:tcPr>
          <w:p>
            <w:pPr>
              <w:spacing w:after="0" w:line="196" w:lineRule="exact"/>
              <w:rPr>
                <w:rFonts w:ascii="Arial" w:cs="Arial" w:eastAsia="Arial" w:hAnsi="Arial"/>
                <w:sz w:val="18"/>
                <w:szCs w:val="18"/>
                <w:b w:val="1"/>
                <w:bCs w:val="1"/>
                <w:color w:val="0000EE"/>
                <w:w w:val="94"/>
              </w:rPr>
            </w:pPr>
            <w:hyperlink w:anchor="page32">
              <w:r>
                <w:rPr>
                  <w:rFonts w:ascii="Arial" w:cs="Arial" w:eastAsia="Arial" w:hAnsi="Arial"/>
                  <w:sz w:val="18"/>
                  <w:szCs w:val="18"/>
                  <w:b w:val="1"/>
                  <w:bCs w:val="1"/>
                  <w:color w:val="0000EE"/>
                  <w:w w:val="94"/>
                </w:rPr>
                <w:t>Item 2.</w:t>
              </w:r>
            </w:hyperlink>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Item 6.</w:t>
              </w:r>
            </w:hyperlink>
          </w:p>
        </w:tc>
        <w:tc>
          <w:tcPr>
            <w:tcW w:w="20" w:type="dxa"/>
            <w:vAlign w:val="bottom"/>
            <w:tcBorders>
              <w:top w:val="single" w:sz="8" w:color="0000EE"/>
            </w:tcBorders>
          </w:tcPr>
          <w:p>
            <w:pPr>
              <w:spacing w:after="0"/>
              <w:rPr>
                <w:sz w:val="17"/>
                <w:szCs w:val="17"/>
                <w:color w:val="auto"/>
              </w:rPr>
            </w:pPr>
          </w:p>
        </w:tc>
        <w:tc>
          <w:tcPr>
            <w:tcW w:w="740" w:type="dxa"/>
            <w:vAlign w:val="bottom"/>
            <w:gridSpan w:val="2"/>
          </w:tcPr>
          <w:p>
            <w:pPr>
              <w:spacing w:after="0"/>
              <w:rPr>
                <w:sz w:val="17"/>
                <w:szCs w:val="17"/>
                <w:color w:val="auto"/>
              </w:rPr>
            </w:pPr>
          </w:p>
        </w:tc>
        <w:tc>
          <w:tcPr>
            <w:tcW w:w="42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452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gridSpan w:val="8"/>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15"/>
        </w:trPr>
        <w:tc>
          <w:tcPr>
            <w:tcW w:w="20" w:type="dxa"/>
            <w:vAlign w:val="bottom"/>
            <w:tcBorders>
              <w:top w:val="single" w:sz="8" w:color="0000EE"/>
            </w:tcBorders>
          </w:tcPr>
          <w:p>
            <w:pPr>
              <w:spacing w:after="0"/>
              <w:rPr>
                <w:sz w:val="10"/>
                <w:szCs w:val="10"/>
                <w:color w:val="auto"/>
              </w:rPr>
            </w:pPr>
          </w:p>
        </w:tc>
        <w:tc>
          <w:tcPr>
            <w:tcW w:w="70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40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Quarterly Report on Form 10-Q is for the three and nine months ended September 30, 2008. This Quarterly Report modifies and supersedes documents filed prior to this Quarterly Report.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 We undertake no obligation to update any forward-looking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weakening economic conditions may reduce subscriber spending on video, Internet and phone services and may reduce our rate of growth of subscriber additions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37"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680" w:type="dxa"/>
            <w:vAlign w:val="bottom"/>
            <w:gridSpan w:val="2"/>
          </w:tcPr>
          <w:p>
            <w:pPr>
              <w:ind w:left="560"/>
              <w:spacing w:after="0"/>
              <w:rPr>
                <w:sz w:val="20"/>
                <w:szCs w:val="20"/>
                <w:color w:val="auto"/>
              </w:rPr>
            </w:pPr>
            <w:r>
              <w:rPr>
                <w:rFonts w:ascii="Arial" w:cs="Arial" w:eastAsia="Arial" w:hAnsi="Arial"/>
                <w:sz w:val="14"/>
                <w:szCs w:val="14"/>
                <w:color w:val="auto"/>
              </w:rPr>
              <w:t>September 30,</w:t>
            </w:r>
          </w:p>
        </w:tc>
        <w:tc>
          <w:tcPr>
            <w:tcW w:w="1120" w:type="dxa"/>
            <w:vAlign w:val="bottom"/>
            <w:gridSpan w:val="2"/>
          </w:tcPr>
          <w:p>
            <w:pPr>
              <w:ind w:left="28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59"/>
        </w:trPr>
        <w:tc>
          <w:tcPr>
            <w:tcW w:w="862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720" w:type="dxa"/>
            <w:vAlign w:val="bottom"/>
          </w:tcPr>
          <w:p>
            <w:pPr>
              <w:spacing w:after="0"/>
              <w:rPr>
                <w:sz w:val="13"/>
                <w:szCs w:val="13"/>
                <w:color w:val="auto"/>
              </w:rPr>
            </w:pPr>
          </w:p>
        </w:tc>
        <w:tc>
          <w:tcPr>
            <w:tcW w:w="960" w:type="dxa"/>
            <w:vAlign w:val="bottom"/>
          </w:tcPr>
          <w:p>
            <w:pPr>
              <w:jc w:val="right"/>
              <w:ind w:right="513"/>
              <w:spacing w:after="0" w:line="159" w:lineRule="exact"/>
              <w:rPr>
                <w:sz w:val="20"/>
                <w:szCs w:val="20"/>
                <w:color w:val="auto"/>
              </w:rPr>
            </w:pPr>
            <w:r>
              <w:rPr>
                <w:rFonts w:ascii="Arial" w:cs="Arial" w:eastAsia="Arial" w:hAnsi="Arial"/>
                <w:sz w:val="14"/>
                <w:szCs w:val="14"/>
                <w:color w:val="auto"/>
              </w:rPr>
              <w:t>2008</w:t>
            </w:r>
          </w:p>
        </w:tc>
        <w:tc>
          <w:tcPr>
            <w:tcW w:w="440" w:type="dxa"/>
            <w:vAlign w:val="bottom"/>
          </w:tcPr>
          <w:p>
            <w:pPr>
              <w:spacing w:after="0"/>
              <w:rPr>
                <w:sz w:val="13"/>
                <w:szCs w:val="13"/>
                <w:color w:val="auto"/>
              </w:rPr>
            </w:pPr>
          </w:p>
        </w:tc>
        <w:tc>
          <w:tcPr>
            <w:tcW w:w="680" w:type="dxa"/>
            <w:vAlign w:val="bottom"/>
          </w:tcPr>
          <w:p>
            <w:pPr>
              <w:jc w:val="right"/>
              <w:ind w:right="233"/>
              <w:spacing w:after="0" w:line="159"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2,714</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203</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less allowance for doubtful accounts of $187 and $181</w:t>
            </w: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1,658</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7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938</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5,513</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5,203</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$22,671 and $19,808</w:t>
            </w: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23,910</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Franchise rights</w:t>
            </w:r>
          </w:p>
        </w:tc>
        <w:tc>
          <w:tcPr>
            <w:tcW w:w="72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59,452</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14,909</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$7,826 and $6,977</w:t>
            </w:r>
          </w:p>
        </w:tc>
        <w:tc>
          <w:tcPr>
            <w:tcW w:w="72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4,570</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7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color w:val="auto"/>
              </w:rPr>
              <w:t>939</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w w:val="92"/>
              </w:rPr>
              <w:t>114,496</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113,417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20" w:type="dxa"/>
            <w:vAlign w:val="bottom"/>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3,187</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2,985</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7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color w:val="auto"/>
              </w:rPr>
              <w:t>3,087</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9,259</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30,601</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27,209</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6,925</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Minority interest</w:t>
            </w:r>
          </w:p>
        </w:tc>
        <w:tc>
          <w:tcPr>
            <w:tcW w:w="72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298</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Commitments and Contingencies (Note 12)</w:t>
            </w: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Stockholders’ Equity:</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w w:val="98"/>
              </w:rPr>
              <w:t>Class A common stock, $0.01 par value—authorized, 7,500,000,000 shares; issued, 2,425,583,169 and</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2,419,025,659; outstanding, 2,060,122,419 and 2,053,564,909</w:t>
            </w:r>
          </w:p>
        </w:tc>
        <w:tc>
          <w:tcPr>
            <w:tcW w:w="720" w:type="dxa"/>
            <w:vAlign w:val="bottom"/>
          </w:tcPr>
          <w:p>
            <w:pPr>
              <w:spacing w:after="0"/>
              <w:rPr>
                <w:sz w:val="19"/>
                <w:szCs w:val="19"/>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3"/>
              </w:rPr>
              <w:t>Class A Special common stock, $0.01 par value—authorized, 7,500,000,000 shares; issued, 881,145,955 and</w:t>
            </w: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shd w:val="clear" w:color="auto" w:fill="E5E5E5"/>
          </w:tcPr>
          <w:p>
            <w:pPr>
              <w:ind w:left="640"/>
              <w:spacing w:after="0"/>
              <w:rPr>
                <w:sz w:val="20"/>
                <w:szCs w:val="20"/>
                <w:color w:val="auto"/>
              </w:rPr>
            </w:pPr>
            <w:r>
              <w:rPr>
                <w:rFonts w:ascii="Arial" w:cs="Arial" w:eastAsia="Arial" w:hAnsi="Arial"/>
                <w:sz w:val="18"/>
                <w:szCs w:val="18"/>
                <w:color w:val="auto"/>
              </w:rPr>
              <w:t>1,018,960,463; outstanding, 810,211,191 and 948,025,699</w:t>
            </w:r>
          </w:p>
        </w:tc>
        <w:tc>
          <w:tcPr>
            <w:tcW w:w="720" w:type="dxa"/>
            <w:vAlign w:val="bottom"/>
            <w:shd w:val="clear" w:color="auto" w:fill="E5E5E5"/>
          </w:tcPr>
          <w:p>
            <w:pPr>
              <w:spacing w:after="0"/>
              <w:rPr>
                <w:sz w:val="19"/>
                <w:szCs w:val="19"/>
                <w:color w:val="auto"/>
              </w:rPr>
            </w:pPr>
          </w:p>
        </w:tc>
        <w:tc>
          <w:tcPr>
            <w:tcW w:w="96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9</w:t>
            </w:r>
          </w:p>
        </w:tc>
        <w:tc>
          <w:tcPr>
            <w:tcW w:w="44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w w:val="94"/>
              </w:rPr>
              <w:t>Class B common stock, $0.01 par value—authorized, 75,000,000 shares; issued and outstanding, 9,444,375</w:t>
            </w:r>
          </w:p>
        </w:tc>
        <w:tc>
          <w:tcPr>
            <w:tcW w:w="72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40,556</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720" w:type="dxa"/>
            <w:vAlign w:val="bottom"/>
          </w:tcPr>
          <w:p>
            <w:pPr>
              <w:spacing w:after="0"/>
              <w:rPr>
                <w:sz w:val="18"/>
                <w:szCs w:val="18"/>
                <w:color w:val="auto"/>
              </w:rPr>
            </w:pP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7,196</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Treasury stock—365,460,750 Class A common shares and 70,934,764 Class A Special common shares</w:t>
            </w: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(7,517)</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7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(64)</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stockholders’ equity</w:t>
            </w:r>
          </w:p>
        </w:tc>
        <w:tc>
          <w:tcPr>
            <w:tcW w:w="7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color w:val="auto"/>
              </w:rPr>
              <w:t>40,204</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41,340</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w w:val="92"/>
              </w:rPr>
              <w:t>114,496</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113,417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3"/>
          </w:tcPr>
          <w:p>
            <w:pPr>
              <w:jc w:val="right"/>
              <w:ind w:right="333"/>
              <w:spacing w:after="0"/>
              <w:rPr>
                <w:sz w:val="20"/>
                <w:szCs w:val="20"/>
                <w:color w:val="auto"/>
              </w:rPr>
            </w:pPr>
            <w:r>
              <w:rPr>
                <w:rFonts w:ascii="Arial" w:cs="Arial" w:eastAsia="Arial" w:hAnsi="Arial"/>
                <w:sz w:val="14"/>
                <w:szCs w:val="14"/>
                <w:color w:val="auto"/>
                <w:w w:val="93"/>
              </w:rPr>
              <w:t>Three Months Ended</w:t>
            </w:r>
          </w:p>
        </w:tc>
        <w:tc>
          <w:tcPr>
            <w:tcW w:w="260" w:type="dxa"/>
            <w:vAlign w:val="bottom"/>
          </w:tcPr>
          <w:p>
            <w:pPr>
              <w:spacing w:after="0"/>
              <w:rPr>
                <w:sz w:val="14"/>
                <w:szCs w:val="14"/>
                <w:color w:val="auto"/>
              </w:rPr>
            </w:pPr>
          </w:p>
        </w:tc>
        <w:tc>
          <w:tcPr>
            <w:tcW w:w="1520" w:type="dxa"/>
            <w:vAlign w:val="bottom"/>
            <w:gridSpan w:val="3"/>
          </w:tcPr>
          <w:p>
            <w:pPr>
              <w:jc w:val="right"/>
              <w:ind w:right="213"/>
              <w:spacing w:after="0"/>
              <w:rPr>
                <w:sz w:val="20"/>
                <w:szCs w:val="20"/>
                <w:color w:val="auto"/>
              </w:rPr>
            </w:pPr>
            <w:r>
              <w:rPr>
                <w:rFonts w:ascii="Arial" w:cs="Arial" w:eastAsia="Arial" w:hAnsi="Arial"/>
                <w:sz w:val="14"/>
                <w:szCs w:val="14"/>
                <w:color w:val="auto"/>
                <w:w w:val="97"/>
              </w:rPr>
              <w:t>Nine Months Ended</w:t>
            </w:r>
          </w:p>
        </w:tc>
        <w:tc>
          <w:tcPr>
            <w:tcW w:w="0" w:type="dxa"/>
            <w:vAlign w:val="bottom"/>
          </w:tcPr>
          <w:p>
            <w:pPr>
              <w:spacing w:after="0"/>
              <w:rPr>
                <w:sz w:val="1"/>
                <w:szCs w:val="1"/>
                <w:color w:val="auto"/>
              </w:rPr>
            </w:pPr>
          </w:p>
        </w:tc>
      </w:tr>
      <w:tr>
        <w:trPr>
          <w:trHeight w:val="159"/>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533"/>
              <w:spacing w:after="0" w:line="159" w:lineRule="exact"/>
              <w:rPr>
                <w:sz w:val="20"/>
                <w:szCs w:val="20"/>
                <w:color w:val="auto"/>
              </w:rPr>
            </w:pPr>
            <w:r>
              <w:rPr>
                <w:rFonts w:ascii="Arial" w:cs="Arial" w:eastAsia="Arial" w:hAnsi="Arial"/>
                <w:sz w:val="14"/>
                <w:szCs w:val="14"/>
                <w:color w:val="auto"/>
              </w:rPr>
              <w:t>September 30</w:t>
            </w: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39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5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ind w:right="295"/>
              <w:spacing w:after="0" w:line="142" w:lineRule="exact"/>
              <w:rPr>
                <w:sz w:val="20"/>
                <w:szCs w:val="20"/>
                <w:color w:val="auto"/>
              </w:rPr>
            </w:pPr>
            <w:r>
              <w:rPr>
                <w:rFonts w:ascii="Arial" w:cs="Arial" w:eastAsia="Arial" w:hAnsi="Arial"/>
                <w:sz w:val="14"/>
                <w:szCs w:val="14"/>
                <w:color w:val="auto"/>
              </w:rPr>
              <w:t>2008</w:t>
            </w:r>
          </w:p>
        </w:tc>
        <w:tc>
          <w:tcPr>
            <w:tcW w:w="280" w:type="dxa"/>
            <w:vAlign w:val="bottom"/>
          </w:tcPr>
          <w:p>
            <w:pPr>
              <w:spacing w:after="0"/>
              <w:rPr>
                <w:sz w:val="12"/>
                <w:szCs w:val="12"/>
                <w:color w:val="auto"/>
              </w:rPr>
            </w:pPr>
          </w:p>
        </w:tc>
        <w:tc>
          <w:tcPr>
            <w:tcW w:w="660" w:type="dxa"/>
            <w:vAlign w:val="bottom"/>
          </w:tcPr>
          <w:p>
            <w:pPr>
              <w:jc w:val="right"/>
              <w:ind w:right="273"/>
              <w:spacing w:after="0" w:line="142" w:lineRule="exact"/>
              <w:rPr>
                <w:sz w:val="20"/>
                <w:szCs w:val="20"/>
                <w:color w:val="auto"/>
              </w:rPr>
            </w:pPr>
            <w:r>
              <w:rPr>
                <w:rFonts w:ascii="Arial" w:cs="Arial" w:eastAsia="Arial" w:hAnsi="Arial"/>
                <w:sz w:val="14"/>
                <w:szCs w:val="14"/>
                <w:color w:val="auto"/>
                <w:w w:val="89"/>
              </w:rPr>
              <w:t>2007</w:t>
            </w:r>
          </w:p>
        </w:tc>
        <w:tc>
          <w:tcPr>
            <w:tcW w:w="260" w:type="dxa"/>
            <w:vAlign w:val="bottom"/>
          </w:tcPr>
          <w:p>
            <w:pPr>
              <w:spacing w:after="0"/>
              <w:rPr>
                <w:sz w:val="12"/>
                <w:szCs w:val="12"/>
                <w:color w:val="auto"/>
              </w:rPr>
            </w:pPr>
          </w:p>
        </w:tc>
        <w:tc>
          <w:tcPr>
            <w:tcW w:w="700" w:type="dxa"/>
            <w:vAlign w:val="bottom"/>
          </w:tcPr>
          <w:p>
            <w:pPr>
              <w:jc w:val="right"/>
              <w:ind w:right="295"/>
              <w:spacing w:after="0" w:line="142" w:lineRule="exact"/>
              <w:rPr>
                <w:sz w:val="20"/>
                <w:szCs w:val="20"/>
                <w:color w:val="auto"/>
              </w:rPr>
            </w:pPr>
            <w:r>
              <w:rPr>
                <w:rFonts w:ascii="Arial" w:cs="Arial" w:eastAsia="Arial" w:hAnsi="Arial"/>
                <w:sz w:val="14"/>
                <w:szCs w:val="14"/>
                <w:color w:val="auto"/>
                <w:w w:val="96"/>
              </w:rPr>
              <w:t>2008</w:t>
            </w:r>
          </w:p>
        </w:tc>
        <w:tc>
          <w:tcPr>
            <w:tcW w:w="26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8,549</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88"/>
              </w:rPr>
              <w:t>7,781</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w w:val="83"/>
              </w:rPr>
              <w:t>25,491</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22,881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(excluding depreciation and amortization)</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3,095</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8"/>
              </w:rPr>
              <w:t>2,759</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9,293</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720" w:type="dxa"/>
            <w:vAlign w:val="bottom"/>
          </w:tcPr>
          <w:p>
            <w:pPr>
              <w:jc w:val="right"/>
              <w:ind w:right="135"/>
              <w:spacing w:after="0"/>
              <w:rPr>
                <w:sz w:val="20"/>
                <w:szCs w:val="20"/>
                <w:color w:val="auto"/>
              </w:rPr>
            </w:pPr>
            <w:r>
              <w:rPr>
                <w:rFonts w:ascii="Arial" w:cs="Arial" w:eastAsia="Arial" w:hAnsi="Arial"/>
                <w:sz w:val="18"/>
                <w:szCs w:val="18"/>
                <w:color w:val="auto"/>
              </w:rPr>
              <w:t>2,217</w:t>
            </w:r>
          </w:p>
        </w:tc>
        <w:tc>
          <w:tcPr>
            <w:tcW w:w="280" w:type="dxa"/>
            <w:vAlign w:val="bottom"/>
          </w:tcPr>
          <w:p>
            <w:pPr>
              <w:spacing w:after="0"/>
              <w:rPr>
                <w:sz w:val="18"/>
                <w:szCs w:val="18"/>
                <w:color w:val="auto"/>
              </w:rPr>
            </w:pPr>
          </w:p>
        </w:tc>
        <w:tc>
          <w:tcPr>
            <w:tcW w:w="660" w:type="dxa"/>
            <w:vAlign w:val="bottom"/>
          </w:tcPr>
          <w:p>
            <w:pPr>
              <w:jc w:val="right"/>
              <w:ind w:right="153"/>
              <w:spacing w:after="0"/>
              <w:rPr>
                <w:sz w:val="20"/>
                <w:szCs w:val="20"/>
                <w:color w:val="auto"/>
              </w:rPr>
            </w:pPr>
            <w:r>
              <w:rPr>
                <w:rFonts w:ascii="Arial" w:cs="Arial" w:eastAsia="Arial" w:hAnsi="Arial"/>
                <w:sz w:val="18"/>
                <w:szCs w:val="18"/>
                <w:color w:val="auto"/>
                <w:w w:val="88"/>
              </w:rPr>
              <w:t>2,093</w:t>
            </w:r>
          </w:p>
        </w:tc>
        <w:tc>
          <w:tcPr>
            <w:tcW w:w="26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6,436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1,332</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8"/>
              </w:rPr>
              <w:t>1,291</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4,093</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235</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247</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694</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6,879</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88"/>
              </w:rPr>
              <w:t>6,390</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w w:val="83"/>
              </w:rPr>
              <w:t>20,516</w:t>
            </w:r>
          </w:p>
        </w:tc>
        <w:tc>
          <w:tcPr>
            <w:tcW w:w="2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18,761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18"/>
                <w:szCs w:val="18"/>
                <w:color w:val="auto"/>
              </w:rPr>
            </w:pPr>
          </w:p>
        </w:tc>
        <w:tc>
          <w:tcPr>
            <w:tcW w:w="720" w:type="dxa"/>
            <w:vAlign w:val="bottom"/>
          </w:tcPr>
          <w:p>
            <w:pPr>
              <w:jc w:val="right"/>
              <w:ind w:right="135"/>
              <w:spacing w:after="0"/>
              <w:rPr>
                <w:sz w:val="20"/>
                <w:szCs w:val="20"/>
                <w:color w:val="auto"/>
              </w:rPr>
            </w:pPr>
            <w:r>
              <w:rPr>
                <w:rFonts w:ascii="Arial" w:cs="Arial" w:eastAsia="Arial" w:hAnsi="Arial"/>
                <w:sz w:val="18"/>
                <w:szCs w:val="18"/>
                <w:color w:val="auto"/>
              </w:rPr>
              <w:t>1,670</w:t>
            </w:r>
          </w:p>
        </w:tc>
        <w:tc>
          <w:tcPr>
            <w:tcW w:w="280" w:type="dxa"/>
            <w:vAlign w:val="bottom"/>
          </w:tcPr>
          <w:p>
            <w:pPr>
              <w:spacing w:after="0"/>
              <w:rPr>
                <w:sz w:val="18"/>
                <w:szCs w:val="18"/>
                <w:color w:val="auto"/>
              </w:rPr>
            </w:pPr>
          </w:p>
        </w:tc>
        <w:tc>
          <w:tcPr>
            <w:tcW w:w="660" w:type="dxa"/>
            <w:vAlign w:val="bottom"/>
          </w:tcPr>
          <w:p>
            <w:pPr>
              <w:jc w:val="right"/>
              <w:ind w:right="153"/>
              <w:spacing w:after="0"/>
              <w:rPr>
                <w:sz w:val="20"/>
                <w:szCs w:val="20"/>
                <w:color w:val="auto"/>
              </w:rPr>
            </w:pPr>
            <w:r>
              <w:rPr>
                <w:rFonts w:ascii="Arial" w:cs="Arial" w:eastAsia="Arial" w:hAnsi="Arial"/>
                <w:sz w:val="18"/>
                <w:szCs w:val="18"/>
                <w:color w:val="auto"/>
                <w:w w:val="88"/>
              </w:rPr>
              <w:t>1,391</w:t>
            </w:r>
          </w:p>
        </w:tc>
        <w:tc>
          <w:tcPr>
            <w:tcW w:w="26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4,975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w w:val="91"/>
              </w:rPr>
              <w:t>(1,840)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 income (loss), net</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74</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83</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Equity in net (losses) income of affiliates, net</w:t>
            </w:r>
          </w:p>
        </w:tc>
        <w:tc>
          <w:tcPr>
            <w:tcW w:w="400" w:type="dxa"/>
            <w:vAlign w:val="bottom"/>
          </w:tcPr>
          <w:p>
            <w:pPr>
              <w:spacing w:after="0"/>
              <w:rPr>
                <w:sz w:val="18"/>
                <w:szCs w:val="18"/>
                <w:color w:val="auto"/>
              </w:rPr>
            </w:pPr>
          </w:p>
        </w:tc>
        <w:tc>
          <w:tcPr>
            <w:tcW w:w="72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305</w:t>
            </w:r>
          </w:p>
        </w:tc>
        <w:tc>
          <w:tcPr>
            <w:tcW w:w="2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(513)</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(426)</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1"/>
              </w:rPr>
              <w:t>(1,498)</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E5E5E5"/>
          </w:tcPr>
          <w:p>
            <w:pPr>
              <w:spacing w:after="0"/>
              <w:rPr>
                <w:sz w:val="20"/>
                <w:szCs w:val="20"/>
                <w:color w:val="auto"/>
              </w:rPr>
            </w:pPr>
            <w:r>
              <w:rPr>
                <w:rFonts w:ascii="Arial" w:cs="Arial" w:eastAsia="Arial" w:hAnsi="Arial"/>
                <w:sz w:val="18"/>
                <w:szCs w:val="18"/>
                <w:color w:val="auto"/>
              </w:rPr>
              <w:t>Income before income taxes and minority interest</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1,157</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965</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3,477</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(401)</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(421)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1"/>
              </w:rPr>
              <w:t>(1,364)</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E5E5E5"/>
          </w:tcPr>
          <w:p>
            <w:pPr>
              <w:spacing w:after="0"/>
              <w:rPr>
                <w:sz w:val="20"/>
                <w:szCs w:val="20"/>
                <w:color w:val="auto"/>
              </w:rPr>
            </w:pPr>
            <w:r>
              <w:rPr>
                <w:rFonts w:ascii="Arial" w:cs="Arial" w:eastAsia="Arial" w:hAnsi="Arial"/>
                <w:sz w:val="18"/>
                <w:szCs w:val="18"/>
                <w:color w:val="auto"/>
              </w:rPr>
              <w:t>Income before minority interest</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756</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544</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2,113</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Minority interest</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771</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560</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2,135</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1,985</w:t>
            </w:r>
          </w:p>
        </w:tc>
        <w:tc>
          <w:tcPr>
            <w:tcW w:w="0" w:type="dxa"/>
            <w:vAlign w:val="bottom"/>
          </w:tcPr>
          <w:p>
            <w:pPr>
              <w:spacing w:after="0"/>
              <w:rPr>
                <w:sz w:val="1"/>
                <w:szCs w:val="1"/>
                <w:color w:val="auto"/>
              </w:rPr>
            </w:pPr>
          </w:p>
        </w:tc>
      </w:tr>
      <w:tr>
        <w:trPr>
          <w:trHeight w:val="322"/>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5"/>
              <w:spacing w:after="0"/>
              <w:rPr>
                <w:sz w:val="20"/>
                <w:szCs w:val="20"/>
                <w:color w:val="auto"/>
              </w:rPr>
            </w:pPr>
            <w:r>
              <w:rPr>
                <w:rFonts w:ascii="Arial" w:cs="Arial" w:eastAsia="Arial" w:hAnsi="Arial"/>
                <w:sz w:val="18"/>
                <w:szCs w:val="18"/>
                <w:b w:val="1"/>
                <w:bCs w:val="1"/>
                <w:color w:val="auto"/>
              </w:rPr>
              <w:t>0.26</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3"/>
              <w:spacing w:after="0"/>
              <w:rPr>
                <w:sz w:val="20"/>
                <w:szCs w:val="20"/>
                <w:color w:val="auto"/>
              </w:rPr>
            </w:pPr>
            <w:r>
              <w:rPr>
                <w:rFonts w:ascii="Arial" w:cs="Arial" w:eastAsia="Arial" w:hAnsi="Arial"/>
                <w:sz w:val="18"/>
                <w:szCs w:val="18"/>
                <w:b w:val="1"/>
                <w:bCs w:val="1"/>
                <w:color w:val="auto"/>
              </w:rPr>
              <w:t>0.18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5"/>
              <w:spacing w:after="0"/>
              <w:rPr>
                <w:sz w:val="20"/>
                <w:szCs w:val="20"/>
                <w:color w:val="auto"/>
              </w:rPr>
            </w:pPr>
            <w:r>
              <w:rPr>
                <w:rFonts w:ascii="Arial" w:cs="Arial" w:eastAsia="Arial" w:hAnsi="Arial"/>
                <w:sz w:val="18"/>
                <w:szCs w:val="18"/>
                <w:b w:val="1"/>
                <w:bCs w:val="1"/>
                <w:color w:val="auto"/>
              </w:rPr>
              <w:t>0.72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0.26</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0.18</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0.72</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w w:val="87"/>
              </w:rPr>
              <w:t>0.0625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w w:val="83"/>
              </w:rPr>
              <w:t>0.1875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2"/>
          </w:tcPr>
          <w:p>
            <w:pPr>
              <w:jc w:val="right"/>
              <w:ind w:right="23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gridSpan w:val="2"/>
          </w:tcPr>
          <w:p>
            <w:pPr>
              <w:jc w:val="right"/>
              <w:ind w:right="41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320" w:type="dxa"/>
            <w:vAlign w:val="bottom"/>
            <w:gridSpan w:val="2"/>
            <w:vMerge w:val="continue"/>
          </w:tcPr>
          <w:p>
            <w:pPr>
              <w:spacing w:after="0"/>
              <w:rPr>
                <w:sz w:val="12"/>
                <w:szCs w:val="12"/>
                <w:color w:val="auto"/>
              </w:rPr>
            </w:pPr>
          </w:p>
        </w:tc>
        <w:tc>
          <w:tcPr>
            <w:tcW w:w="1260" w:type="dxa"/>
            <w:vAlign w:val="bottom"/>
          </w:tcPr>
          <w:p>
            <w:pPr>
              <w:jc w:val="right"/>
              <w:ind w:right="335"/>
              <w:spacing w:after="0" w:line="142" w:lineRule="exact"/>
              <w:rPr>
                <w:sz w:val="20"/>
                <w:szCs w:val="20"/>
                <w:color w:val="auto"/>
              </w:rPr>
            </w:pPr>
            <w:r>
              <w:rPr>
                <w:rFonts w:ascii="Arial" w:cs="Arial" w:eastAsia="Arial" w:hAnsi="Arial"/>
                <w:sz w:val="14"/>
                <w:szCs w:val="14"/>
                <w:color w:val="auto"/>
              </w:rPr>
              <w:t>2008</w:t>
            </w:r>
          </w:p>
        </w:tc>
        <w:tc>
          <w:tcPr>
            <w:tcW w:w="8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60" w:type="dxa"/>
            <w:vAlign w:val="bottom"/>
            <w:tcBorders>
              <w:top w:val="single" w:sz="8" w:color="auto"/>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$ 7,373</w:t>
            </w:r>
          </w:p>
        </w:tc>
        <w:tc>
          <w:tcPr>
            <w:tcW w:w="8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$ 5,505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borrowings</w:t>
            </w:r>
          </w:p>
        </w:tc>
        <w:tc>
          <w:tcPr>
            <w:tcW w:w="12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3,513</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Retirements and repayments of debt</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(1,143)</w:t>
            </w:r>
          </w:p>
        </w:tc>
        <w:tc>
          <w:tcPr>
            <w:tcW w:w="84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of common stock</w:t>
            </w: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(2,800)</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(367)</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Issuances of common stock</w:t>
            </w:r>
          </w:p>
        </w:tc>
        <w:tc>
          <w:tcPr>
            <w:tcW w:w="12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53</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(148)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(892)</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(4,037)</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(376)</w:t>
            </w:r>
          </w:p>
        </w:tc>
        <w:tc>
          <w:tcPr>
            <w:tcW w:w="84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net of cash acquired</w:t>
            </w: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(700)</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sales of investments</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452</w:t>
            </w:r>
          </w:p>
        </w:tc>
        <w:tc>
          <w:tcPr>
            <w:tcW w:w="840" w:type="dxa"/>
            <w:vAlign w:val="bottom"/>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(67)</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(4,730)</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1,751</w:t>
            </w:r>
          </w:p>
        </w:tc>
        <w:tc>
          <w:tcPr>
            <w:tcW w:w="840" w:type="dxa"/>
            <w:vAlign w:val="bottom"/>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963</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$ 2,714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$ 2,949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results of operations and financial condition for the periods shown, including normal, recurring accruals and other items. The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annual financial statements for the preceding fiscal year as filed with the SEC.</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157</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2006, the Financial Accounting Standards Board (“FASB”) issued Statement of Financial Accounting Standards (“SFAS”) No. 157, “Fair Value Measurements,” (“SFAS No. 157”). SFAS No. 157 defines fair value, establishes a framework for measuring fair value and expands disclosure requirements for fair value measurements. SFAS No. 157 is effective for financial assets and financial liabilities in fiscal years beginning after November 15, 2007 and for nonfinancial assets and nonfinancial liabilities in fiscal years beginning after March 15, 2008. Effective January 1, 2008, we adopted the provisions of SFAS No. 157 that relate to our financial assets and financial liabilities. We are currently evaluating the impact of the provisions of SFAS No. 157 that relate to our nonfinancial assets and nonfinancial liabilities, which are effective for us as of January 1, 2009. See Note 8 for further details regarding our adoption of this standard.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159</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(“SFAS No. 159”), which provides the option to report certain financial assets and financial liabilities at fair value, with the intent to mitigate the volatility in financial reporting that can occur when related assets and liabilities are recorded on different bases. SFAS No. 159 amends SFAS No. 95, “Statement of Cash Flows,” (“SFAS No. 95”) and SFAS No. 115, “Accounting for Certain Investments in Debt and Equity Securities,” (“SFAS No. 115”). SFAS No. 159 specifies that cash flows from trading securities, including securities for which an entity has elected the fair value option, should be classified in the statement of cash flows based on the nature of and purpose for which the securities were acquired. Before this amendment, SFAS No. 95 and SFAS No. 115 specified that cash flows from trading securities must be classified as cash flows from operating activities. Effective January 1, 2008, we adopted SFAS No. 159. We have not elected the fair value option for any financial assets or financial liabilities. Upon adoption, for both the nine months ended September 30, 2007 and the year ended December 31, 2007, we reclassified approximately $603 million of proceeds from the sale of trading securities within our statement of cash flows from operating activities to investing activities. The adoption of SFAS No. 159 had no effect on our statement of cash flows for the year ended December 31, 2006. We will classify proceeds from future sales based on the nature of the securities and the purpose for which they were acquired.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161</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(“SFAS No. 161”). SFAS No. 161 amends and expands the disclosure requirements of SFAS No. 133, “Derivative Instruments and Hedging Activities,” (“SFAS No. 133”). SFAS No. 161 requires enhanced disclosure about (i) how and why an entity uses derivative instruments, (ii) how derivative instruments and related hedged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items are accounted for under SFAS No. 133 and its related interpretations, and (iii) how derivative instruments and related hedged items affect an entity’s financial position, financial performance and cash flows. SFAS No. 161 is effective for us as of January 1, 2009.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EITF Issue No. 06-10</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March 2007, the Emerging Issues Task Force (“EITF”) reached a consensus on EITF Issue No. 06-10, “Accounting for Deferred Compensation and Postretirement Benefit Aspects of Collateral Assignment Split-Dollar Life Insurance Arrangements,” (“EITF 06-10”). EITF 06-10 provides that an employer should recognize a liability for the postretirement benefit related to collateral assignment split-dollar life insurance arrangements. We adopted EITF 06-10 on January 1, 2008, at which time we adjusted beginning retained earnings and recorded a liability of approximately $130 million.</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Basic earnings per common share (“Basic EPS”) is computed by dividing net income for common stockholders by the weighted-average number of common shares outstanding during the period. Diluted earnings per common share (“Diluted EPS”) considers the impact of potentially dilutive securities except in periods where there is a loss because the inclusion of the potential common shares would have an antidilutive effect. Our potentially dilutive securities include potential common shares related to our stock options and our restricted share units (“RSUs”).</w:t>
      </w:r>
    </w:p>
    <w:p>
      <w:pPr>
        <w:spacing w:after="0" w:line="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Diluted EPS for the three and nine months ended September 30, 2008 excludes approximately 142 million and 127 million potential common shares, respectively, related to our share-based compensation plans, because their inclusion would have had an antidilutive effect. For the three and nine months ended September 30, 2007, Diluted EPS excluded approximately 56 million and 42 million potential common shares, respectively.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color w:val="auto"/>
              </w:rPr>
              <w:t>Three Months Ended September 30</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left="41"/>
              <w:spacing w:after="0" w:line="142" w:lineRule="exact"/>
              <w:rPr>
                <w:sz w:val="20"/>
                <w:szCs w:val="20"/>
                <w:color w:val="auto"/>
              </w:rPr>
            </w:pPr>
            <w:r>
              <w:rPr>
                <w:rFonts w:ascii="Arial" w:cs="Arial" w:eastAsia="Arial" w:hAnsi="Arial"/>
                <w:sz w:val="14"/>
                <w:szCs w:val="14"/>
                <w:color w:val="auto"/>
                <w:w w:val="83"/>
              </w:rPr>
              <w:t>2008</w:t>
            </w: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color w:val="auto"/>
              </w:rPr>
              <w:t>2007</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jc w:val="center"/>
              <w:ind w:left="43"/>
              <w:spacing w:after="0" w:line="131" w:lineRule="exact"/>
              <w:rPr>
                <w:sz w:val="20"/>
                <w:szCs w:val="20"/>
                <w:color w:val="auto"/>
              </w:rPr>
            </w:pPr>
            <w:r>
              <w:rPr>
                <w:rFonts w:ascii="Arial" w:cs="Arial" w:eastAsia="Arial" w:hAnsi="Arial"/>
                <w:sz w:val="14"/>
                <w:szCs w:val="14"/>
                <w:color w:val="auto"/>
                <w:w w:val="82"/>
              </w:rPr>
              <w:t>Per Share</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jc w:val="center"/>
              <w:ind w:left="19"/>
              <w:spacing w:after="0" w:line="131" w:lineRule="exact"/>
              <w:rPr>
                <w:sz w:val="20"/>
                <w:szCs w:val="20"/>
                <w:color w:val="auto"/>
              </w:rPr>
            </w:pPr>
            <w:r>
              <w:rPr>
                <w:rFonts w:ascii="Arial" w:cs="Arial" w:eastAsia="Arial" w:hAnsi="Arial"/>
                <w:sz w:val="14"/>
                <w:szCs w:val="14"/>
                <w:color w:val="auto"/>
                <w:w w:val="85"/>
              </w:rPr>
              <w:t>Per Share</w:t>
            </w:r>
          </w:p>
        </w:tc>
        <w:tc>
          <w:tcPr>
            <w:tcW w:w="20" w:type="dxa"/>
            <w:vAlign w:val="bottom"/>
          </w:tcPr>
          <w:p>
            <w:pPr>
              <w:spacing w:after="0"/>
              <w:rPr>
                <w:sz w:val="11"/>
                <w:szCs w:val="11"/>
                <w:color w:val="auto"/>
              </w:rPr>
            </w:pPr>
          </w:p>
        </w:tc>
      </w:tr>
      <w:tr>
        <w:trPr>
          <w:trHeight w:val="159"/>
        </w:trPr>
        <w:tc>
          <w:tcPr>
            <w:tcW w:w="686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90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Income</w:t>
            </w:r>
          </w:p>
        </w:tc>
        <w:tc>
          <w:tcPr>
            <w:tcW w:w="540" w:type="dxa"/>
            <w:vAlign w:val="bottom"/>
          </w:tcPr>
          <w:p>
            <w:pPr>
              <w:jc w:val="center"/>
              <w:ind w:left="21"/>
              <w:spacing w:after="0" w:line="159" w:lineRule="exact"/>
              <w:rPr>
                <w:sz w:val="20"/>
                <w:szCs w:val="20"/>
                <w:color w:val="auto"/>
              </w:rPr>
            </w:pPr>
            <w:r>
              <w:rPr>
                <w:rFonts w:ascii="Arial" w:cs="Arial" w:eastAsia="Arial" w:hAnsi="Arial"/>
                <w:sz w:val="14"/>
                <w:szCs w:val="14"/>
                <w:color w:val="auto"/>
                <w:w w:val="81"/>
              </w:rPr>
              <w:t>Shares</w:t>
            </w:r>
          </w:p>
        </w:tc>
        <w:tc>
          <w:tcPr>
            <w:tcW w:w="920" w:type="dxa"/>
            <w:vAlign w:val="bottom"/>
            <w:gridSpan w:val="2"/>
          </w:tcPr>
          <w:p>
            <w:pPr>
              <w:jc w:val="center"/>
              <w:ind w:left="43"/>
              <w:spacing w:after="0" w:line="159" w:lineRule="exact"/>
              <w:rPr>
                <w:sz w:val="20"/>
                <w:szCs w:val="20"/>
                <w:color w:val="auto"/>
              </w:rPr>
            </w:pPr>
            <w:r>
              <w:rPr>
                <w:rFonts w:ascii="Arial" w:cs="Arial" w:eastAsia="Arial" w:hAnsi="Arial"/>
                <w:sz w:val="14"/>
                <w:szCs w:val="14"/>
                <w:color w:val="auto"/>
                <w:w w:val="91"/>
              </w:rPr>
              <w:t>Amount</w:t>
            </w:r>
          </w:p>
        </w:tc>
        <w:tc>
          <w:tcPr>
            <w:tcW w:w="82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Income</w:t>
            </w:r>
          </w:p>
        </w:tc>
        <w:tc>
          <w:tcPr>
            <w:tcW w:w="660" w:type="dxa"/>
            <w:vAlign w:val="bottom"/>
          </w:tcPr>
          <w:p>
            <w:pPr>
              <w:jc w:val="right"/>
              <w:ind w:right="100"/>
              <w:spacing w:after="0" w:line="159" w:lineRule="exact"/>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5"/>
              </w:rPr>
              <w:t>Amount</w:t>
            </w: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771</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2,909</w:t>
            </w:r>
          </w:p>
        </w:tc>
        <w:tc>
          <w:tcPr>
            <w:tcW w:w="400" w:type="dxa"/>
            <w:vAlign w:val="bottom"/>
            <w:tcBorders>
              <w:top w:val="single" w:sz="8" w:color="auto"/>
            </w:tcBorders>
            <w:shd w:val="clear" w:color="auto" w:fill="E5E5E5"/>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0.26</w:t>
            </w: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560</w:t>
            </w:r>
          </w:p>
        </w:tc>
        <w:tc>
          <w:tcPr>
            <w:tcW w:w="66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3,087</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Assumed exercise or issuance of shares relating to stock plans</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771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2,920</w:t>
            </w:r>
          </w:p>
        </w:tc>
        <w:tc>
          <w:tcPr>
            <w:tcW w:w="40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0.26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560</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3,118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0.18</w:t>
            </w:r>
          </w:p>
        </w:tc>
        <w:tc>
          <w:tcPr>
            <w:tcW w:w="20" w:type="dxa"/>
            <w:vAlign w:val="bottom"/>
          </w:tcPr>
          <w:p>
            <w:pPr>
              <w:spacing w:after="0"/>
              <w:rPr>
                <w:sz w:val="18"/>
                <w:szCs w:val="18"/>
                <w:color w:val="auto"/>
              </w:rPr>
            </w:pPr>
          </w:p>
        </w:tc>
      </w:tr>
      <w:tr>
        <w:trPr>
          <w:trHeight w:val="311"/>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color w:val="auto"/>
                <w:w w:val="86"/>
              </w:rPr>
              <w:t>Nine Months Ended September 30</w:t>
            </w: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left="41"/>
              <w:spacing w:after="0" w:line="142" w:lineRule="exact"/>
              <w:rPr>
                <w:sz w:val="20"/>
                <w:szCs w:val="20"/>
                <w:color w:val="auto"/>
              </w:rPr>
            </w:pPr>
            <w:r>
              <w:rPr>
                <w:rFonts w:ascii="Arial" w:cs="Arial" w:eastAsia="Arial" w:hAnsi="Arial"/>
                <w:sz w:val="14"/>
                <w:szCs w:val="14"/>
                <w:color w:val="auto"/>
                <w:w w:val="83"/>
              </w:rPr>
              <w:t>2008</w:t>
            </w: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color w:val="auto"/>
              </w:rPr>
              <w:t>2007</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jc w:val="center"/>
              <w:ind w:left="43"/>
              <w:spacing w:after="0" w:line="131" w:lineRule="exact"/>
              <w:rPr>
                <w:sz w:val="20"/>
                <w:szCs w:val="20"/>
                <w:color w:val="auto"/>
              </w:rPr>
            </w:pPr>
            <w:r>
              <w:rPr>
                <w:rFonts w:ascii="Arial" w:cs="Arial" w:eastAsia="Arial" w:hAnsi="Arial"/>
                <w:sz w:val="14"/>
                <w:szCs w:val="14"/>
                <w:color w:val="auto"/>
                <w:w w:val="82"/>
              </w:rPr>
              <w:t>Per Share</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jc w:val="center"/>
              <w:ind w:left="19"/>
              <w:spacing w:after="0" w:line="131" w:lineRule="exact"/>
              <w:rPr>
                <w:sz w:val="20"/>
                <w:szCs w:val="20"/>
                <w:color w:val="auto"/>
              </w:rPr>
            </w:pPr>
            <w:r>
              <w:rPr>
                <w:rFonts w:ascii="Arial" w:cs="Arial" w:eastAsia="Arial" w:hAnsi="Arial"/>
                <w:sz w:val="14"/>
                <w:szCs w:val="14"/>
                <w:color w:val="auto"/>
                <w:w w:val="85"/>
              </w:rPr>
              <w:t>Per Share</w:t>
            </w:r>
          </w:p>
        </w:tc>
        <w:tc>
          <w:tcPr>
            <w:tcW w:w="20" w:type="dxa"/>
            <w:vAlign w:val="bottom"/>
          </w:tcPr>
          <w:p>
            <w:pPr>
              <w:spacing w:after="0"/>
              <w:rPr>
                <w:sz w:val="11"/>
                <w:szCs w:val="11"/>
                <w:color w:val="auto"/>
              </w:rPr>
            </w:pPr>
          </w:p>
        </w:tc>
      </w:tr>
      <w:tr>
        <w:trPr>
          <w:trHeight w:val="159"/>
        </w:trPr>
        <w:tc>
          <w:tcPr>
            <w:tcW w:w="686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900" w:type="dxa"/>
            <w:vAlign w:val="bottom"/>
            <w:gridSpan w:val="2"/>
          </w:tcPr>
          <w:p>
            <w:pPr>
              <w:jc w:val="right"/>
              <w:ind w:right="112"/>
              <w:spacing w:after="0" w:line="159" w:lineRule="exact"/>
              <w:rPr>
                <w:sz w:val="20"/>
                <w:szCs w:val="20"/>
                <w:color w:val="auto"/>
              </w:rPr>
            </w:pPr>
            <w:r>
              <w:rPr>
                <w:rFonts w:ascii="Arial" w:cs="Arial" w:eastAsia="Arial" w:hAnsi="Arial"/>
                <w:sz w:val="14"/>
                <w:szCs w:val="14"/>
                <w:color w:val="auto"/>
              </w:rPr>
              <w:t>Income</w:t>
            </w:r>
          </w:p>
        </w:tc>
        <w:tc>
          <w:tcPr>
            <w:tcW w:w="540" w:type="dxa"/>
            <w:vAlign w:val="bottom"/>
          </w:tcPr>
          <w:p>
            <w:pPr>
              <w:jc w:val="center"/>
              <w:ind w:left="21"/>
              <w:spacing w:after="0" w:line="159" w:lineRule="exact"/>
              <w:rPr>
                <w:sz w:val="20"/>
                <w:szCs w:val="20"/>
                <w:color w:val="auto"/>
              </w:rPr>
            </w:pPr>
            <w:r>
              <w:rPr>
                <w:rFonts w:ascii="Arial" w:cs="Arial" w:eastAsia="Arial" w:hAnsi="Arial"/>
                <w:sz w:val="14"/>
                <w:szCs w:val="14"/>
                <w:color w:val="auto"/>
                <w:w w:val="81"/>
              </w:rPr>
              <w:t>Shares</w:t>
            </w:r>
          </w:p>
        </w:tc>
        <w:tc>
          <w:tcPr>
            <w:tcW w:w="920" w:type="dxa"/>
            <w:vAlign w:val="bottom"/>
            <w:gridSpan w:val="2"/>
          </w:tcPr>
          <w:p>
            <w:pPr>
              <w:jc w:val="center"/>
              <w:ind w:left="43"/>
              <w:spacing w:after="0" w:line="159" w:lineRule="exact"/>
              <w:rPr>
                <w:sz w:val="20"/>
                <w:szCs w:val="20"/>
                <w:color w:val="auto"/>
              </w:rPr>
            </w:pPr>
            <w:r>
              <w:rPr>
                <w:rFonts w:ascii="Arial" w:cs="Arial" w:eastAsia="Arial" w:hAnsi="Arial"/>
                <w:sz w:val="14"/>
                <w:szCs w:val="14"/>
                <w:color w:val="auto"/>
                <w:w w:val="91"/>
              </w:rPr>
              <w:t>Amount</w:t>
            </w:r>
          </w:p>
        </w:tc>
        <w:tc>
          <w:tcPr>
            <w:tcW w:w="82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Income</w:t>
            </w:r>
          </w:p>
        </w:tc>
        <w:tc>
          <w:tcPr>
            <w:tcW w:w="660" w:type="dxa"/>
            <w:vAlign w:val="bottom"/>
          </w:tcPr>
          <w:p>
            <w:pPr>
              <w:jc w:val="right"/>
              <w:ind w:right="100"/>
              <w:spacing w:after="0" w:line="159" w:lineRule="exact"/>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5"/>
              </w:rPr>
              <w:t>Amount</w:t>
            </w: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8"/>
              </w:rPr>
              <w:t>2,135</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2,958</w:t>
            </w:r>
          </w:p>
        </w:tc>
        <w:tc>
          <w:tcPr>
            <w:tcW w:w="400" w:type="dxa"/>
            <w:vAlign w:val="bottom"/>
            <w:tcBorders>
              <w:top w:val="single" w:sz="8" w:color="auto"/>
            </w:tcBorders>
            <w:shd w:val="clear" w:color="auto" w:fill="E5E5E5"/>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0.72</w:t>
            </w: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93"/>
              </w:rPr>
              <w:t>1,985</w:t>
            </w:r>
          </w:p>
        </w:tc>
        <w:tc>
          <w:tcPr>
            <w:tcW w:w="66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3,108</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Assumed exercise or issuance of shares relating to stock plans</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8"/>
              </w:rPr>
              <w:t>2,135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2,973</w:t>
            </w:r>
          </w:p>
        </w:tc>
        <w:tc>
          <w:tcPr>
            <w:tcW w:w="40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3"/>
              </w:rPr>
              <w:t>1,985</w:t>
            </w: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3,145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0.63</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 and Other Significant Events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Insight Midwest Partnership</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April 2007, we and Insight Communications (“Insight”) agreed to divide the assets and liabilities of Insight Midwest, a 50%-50% cable system partnership with Insight (the “Insight transaction”). On December 31, 2007, we contributed approximately $1.3 billion to Insight Midwest for our share of the partnership’s debt. On January 1, 2008, the distribution of the assets of Insight Midwest was completed without the assumption of any of Insight’s debt by us and we received cable systems serving approximately 696,000 video subscribers in Illinois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Indiana (the “Comcast asset pool”). Insight received cable systems serving approximately 652,000 video subscribers, together with approximately $1.24 billion of debt allocated to those cable systems (the “Insight asset pool”). We accounted for our interest in Insight Midwest as an equity method investment until the Comcast asset pool was distributed to us on January 1, 2008. We accounted for the distribution of assets by Insight Midwest as a sale of our 50% interest in the Insight asset pool in exchange for our acquiring an additional 50% interest in the Comcast asset pool. The estimated fair value of the 50% interest of the Comcast asset pool we received was approximately $1.2 billion and resulted in a pretax gain of approximately $235 million, which is included in other income (expense). We recorded our 50% interest in the Comcast asset pool as a step acquisition in accordance with SFAS No. 141, “Business Combinations,” (“SFAS No. 141”).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information has been presented as if the Insight transaction had occurred on January 1, 2007. It is based on historical results of operations, adjusted for purchase price allocations, and is not necessarily indicative of what the results would have been had we operated the cable systems since January 1, 2007.</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800" w:type="dxa"/>
            <w:vAlign w:val="bottom"/>
            <w:gridSpan w:val="2"/>
          </w:tcPr>
          <w:p>
            <w:pPr>
              <w:ind w:left="3100"/>
              <w:spacing w:after="0"/>
              <w:rPr>
                <w:sz w:val="20"/>
                <w:szCs w:val="20"/>
                <w:color w:val="auto"/>
              </w:rPr>
            </w:pPr>
            <w:r>
              <w:rPr>
                <w:rFonts w:ascii="Arial" w:cs="Arial" w:eastAsia="Arial" w:hAnsi="Arial"/>
                <w:sz w:val="14"/>
                <w:szCs w:val="14"/>
                <w:color w:val="auto"/>
              </w:rPr>
              <w:t>Three Months Ended</w:t>
            </w:r>
          </w:p>
        </w:tc>
        <w:tc>
          <w:tcPr>
            <w:tcW w:w="1660" w:type="dxa"/>
            <w:vAlign w:val="bottom"/>
            <w:gridSpan w:val="3"/>
          </w:tcPr>
          <w:p>
            <w:pPr>
              <w:ind w:left="540"/>
              <w:spacing w:after="0"/>
              <w:rPr>
                <w:sz w:val="20"/>
                <w:szCs w:val="20"/>
                <w:color w:val="auto"/>
              </w:rPr>
            </w:pPr>
            <w:r>
              <w:rPr>
                <w:rFonts w:ascii="Arial" w:cs="Arial" w:eastAsia="Arial" w:hAnsi="Arial"/>
                <w:sz w:val="14"/>
                <w:szCs w:val="14"/>
                <w:color w:val="auto"/>
                <w:w w:val="89"/>
              </w:rPr>
              <w:t>Nine Months Ended</w:t>
            </w:r>
          </w:p>
        </w:tc>
      </w:tr>
      <w:tr>
        <w:trPr>
          <w:trHeight w:val="159"/>
        </w:trPr>
        <w:tc>
          <w:tcPr>
            <w:tcW w:w="498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4800" w:type="dxa"/>
            <w:vAlign w:val="bottom"/>
            <w:gridSpan w:val="2"/>
          </w:tcPr>
          <w:p>
            <w:pPr>
              <w:ind w:left="3120"/>
              <w:spacing w:after="0" w:line="159" w:lineRule="exact"/>
              <w:rPr>
                <w:sz w:val="20"/>
                <w:szCs w:val="20"/>
                <w:color w:val="auto"/>
              </w:rPr>
            </w:pPr>
            <w:r>
              <w:rPr>
                <w:rFonts w:ascii="Arial" w:cs="Arial" w:eastAsia="Arial" w:hAnsi="Arial"/>
                <w:sz w:val="14"/>
                <w:szCs w:val="14"/>
                <w:color w:val="auto"/>
              </w:rPr>
              <w:t>September 30, 2007</w:t>
            </w:r>
          </w:p>
        </w:tc>
        <w:tc>
          <w:tcPr>
            <w:tcW w:w="1660" w:type="dxa"/>
            <w:vAlign w:val="bottom"/>
            <w:gridSpan w:val="3"/>
          </w:tcPr>
          <w:p>
            <w:pPr>
              <w:ind w:left="560"/>
              <w:spacing w:after="0" w:line="159" w:lineRule="exact"/>
              <w:rPr>
                <w:sz w:val="20"/>
                <w:szCs w:val="20"/>
                <w:color w:val="auto"/>
              </w:rPr>
            </w:pPr>
            <w:r>
              <w:rPr>
                <w:rFonts w:ascii="Arial" w:cs="Arial" w:eastAsia="Arial" w:hAnsi="Arial"/>
                <w:sz w:val="14"/>
                <w:szCs w:val="14"/>
                <w:color w:val="auto"/>
                <w:w w:val="85"/>
              </w:rPr>
              <w:t>September 30, 2007</w:t>
            </w: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3520" w:type="dxa"/>
            <w:vAlign w:val="bottom"/>
            <w:tcBorders>
              <w:top w:val="single" w:sz="8" w:color="auto"/>
            </w:tcBorders>
            <w:shd w:val="clear" w:color="auto" w:fill="E5E5E5"/>
          </w:tcPr>
          <w:p>
            <w:pPr>
              <w:ind w:left="310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rPr>
              <w:t>7,955</w:t>
            </w:r>
          </w:p>
        </w:tc>
        <w:tc>
          <w:tcPr>
            <w:tcW w:w="900" w:type="dxa"/>
            <w:vAlign w:val="bottom"/>
            <w:tcBorders>
              <w:top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23,387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3520" w:type="dxa"/>
            <w:vAlign w:val="bottom"/>
          </w:tcPr>
          <w:p>
            <w:pPr>
              <w:ind w:left="3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72"/>
              <w:spacing w:after="0"/>
              <w:rPr>
                <w:sz w:val="20"/>
                <w:szCs w:val="20"/>
                <w:color w:val="auto"/>
              </w:rPr>
            </w:pPr>
            <w:r>
              <w:rPr>
                <w:rFonts w:ascii="Arial" w:cs="Arial" w:eastAsia="Arial" w:hAnsi="Arial"/>
                <w:sz w:val="18"/>
                <w:szCs w:val="18"/>
                <w:color w:val="auto"/>
              </w:rPr>
              <w:t>565</w:t>
            </w:r>
          </w:p>
        </w:tc>
        <w:tc>
          <w:tcPr>
            <w:tcW w:w="900" w:type="dxa"/>
            <w:vAlign w:val="bottom"/>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Basic EPS</w:t>
            </w:r>
          </w:p>
        </w:tc>
        <w:tc>
          <w:tcPr>
            <w:tcW w:w="3520" w:type="dxa"/>
            <w:vAlign w:val="bottom"/>
            <w:shd w:val="clear" w:color="auto" w:fill="E5E5E5"/>
          </w:tcPr>
          <w:p>
            <w:pPr>
              <w:ind w:left="3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472"/>
              <w:spacing w:after="0"/>
              <w:rPr>
                <w:sz w:val="20"/>
                <w:szCs w:val="20"/>
                <w:color w:val="auto"/>
              </w:rPr>
            </w:pPr>
            <w:r>
              <w:rPr>
                <w:rFonts w:ascii="Arial" w:cs="Arial" w:eastAsia="Arial" w:hAnsi="Arial"/>
                <w:sz w:val="18"/>
                <w:szCs w:val="18"/>
                <w:color w:val="auto"/>
              </w:rPr>
              <w:t>0.18</w:t>
            </w:r>
          </w:p>
        </w:tc>
        <w:tc>
          <w:tcPr>
            <w:tcW w:w="900" w:type="dxa"/>
            <w:vAlign w:val="bottom"/>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EPS</w:t>
            </w:r>
          </w:p>
        </w:tc>
        <w:tc>
          <w:tcPr>
            <w:tcW w:w="3520" w:type="dxa"/>
            <w:vAlign w:val="bottom"/>
            <w:tcBorders>
              <w:bottom w:val="single" w:sz="8" w:color="auto"/>
            </w:tcBorders>
          </w:tcPr>
          <w:p>
            <w:pPr>
              <w:ind w:left="3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0.18</w:t>
            </w:r>
          </w:p>
        </w:tc>
        <w:tc>
          <w:tcPr>
            <w:tcW w:w="9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700" w:type="dxa"/>
            <w:vAlign w:val="bottom"/>
            <w:gridSpan w:val="2"/>
          </w:tcPr>
          <w:p>
            <w:pPr>
              <w:ind w:left="540"/>
              <w:spacing w:after="0"/>
              <w:rPr>
                <w:sz w:val="20"/>
                <w:szCs w:val="20"/>
                <w:color w:val="auto"/>
              </w:rPr>
            </w:pPr>
            <w:r>
              <w:rPr>
                <w:rFonts w:ascii="Arial" w:cs="Arial" w:eastAsia="Arial" w:hAnsi="Arial"/>
                <w:sz w:val="14"/>
                <w:szCs w:val="14"/>
                <w:color w:val="auto"/>
              </w:rPr>
              <w:t>September 30,</w:t>
            </w:r>
          </w:p>
        </w:tc>
        <w:tc>
          <w:tcPr>
            <w:tcW w:w="1160" w:type="dxa"/>
            <w:vAlign w:val="bottom"/>
            <w:gridSpan w:val="3"/>
          </w:tcPr>
          <w:p>
            <w:pPr>
              <w:ind w:left="380"/>
              <w:spacing w:after="0"/>
              <w:rPr>
                <w:sz w:val="20"/>
                <w:szCs w:val="20"/>
                <w:color w:val="auto"/>
              </w:rPr>
            </w:pPr>
            <w:r>
              <w:rPr>
                <w:rFonts w:ascii="Arial" w:cs="Arial" w:eastAsia="Arial" w:hAnsi="Arial"/>
                <w:sz w:val="14"/>
                <w:szCs w:val="14"/>
                <w:color w:val="auto"/>
                <w:w w:val="86"/>
              </w:rPr>
              <w:t>December 31,</w:t>
            </w:r>
          </w:p>
        </w:tc>
      </w:tr>
      <w:tr>
        <w:trPr>
          <w:trHeight w:val="159"/>
        </w:trPr>
        <w:tc>
          <w:tcPr>
            <w:tcW w:w="85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3"/>
                <w:szCs w:val="13"/>
                <w:color w:val="auto"/>
              </w:rPr>
            </w:pPr>
          </w:p>
        </w:tc>
        <w:tc>
          <w:tcPr>
            <w:tcW w:w="1000" w:type="dxa"/>
            <w:vAlign w:val="bottom"/>
          </w:tcPr>
          <w:p>
            <w:pPr>
              <w:jc w:val="right"/>
              <w:ind w:right="555"/>
              <w:spacing w:after="0" w:line="159" w:lineRule="exact"/>
              <w:rPr>
                <w:sz w:val="20"/>
                <w:szCs w:val="20"/>
                <w:color w:val="auto"/>
              </w:rPr>
            </w:pPr>
            <w:r>
              <w:rPr>
                <w:rFonts w:ascii="Arial" w:cs="Arial" w:eastAsia="Arial" w:hAnsi="Arial"/>
                <w:sz w:val="14"/>
                <w:szCs w:val="14"/>
                <w:color w:val="auto"/>
              </w:rPr>
              <w:t>2008</w:t>
            </w:r>
          </w:p>
        </w:tc>
        <w:tc>
          <w:tcPr>
            <w:tcW w:w="540" w:type="dxa"/>
            <w:vAlign w:val="bottom"/>
          </w:tcPr>
          <w:p>
            <w:pPr>
              <w:spacing w:after="0"/>
              <w:rPr>
                <w:sz w:val="13"/>
                <w:szCs w:val="13"/>
                <w:color w:val="auto"/>
              </w:rPr>
            </w:pPr>
          </w:p>
        </w:tc>
        <w:tc>
          <w:tcPr>
            <w:tcW w:w="60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700" w:type="dxa"/>
            <w:vAlign w:val="bottom"/>
            <w:tcBorders>
              <w:top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1,932</w:t>
            </w:r>
          </w:p>
        </w:tc>
        <w:tc>
          <w:tcPr>
            <w:tcW w:w="540" w:type="dxa"/>
            <w:vAlign w:val="bottom"/>
            <w:tcBorders>
              <w:top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2,701</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w w:val="95"/>
              </w:rPr>
              <w:t>Equity method, primarily SpectrumCo, LLC at September 30, 2008 and Insight Midwest and SpectrumCo, LLC at</w:t>
            </w: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December 31, 2007</w:t>
            </w:r>
          </w:p>
        </w:tc>
        <w:tc>
          <w:tcPr>
            <w:tcW w:w="700" w:type="dxa"/>
            <w:vAlign w:val="bottom"/>
          </w:tcPr>
          <w:p>
            <w:pPr>
              <w:spacing w:after="0"/>
              <w:rPr>
                <w:sz w:val="19"/>
                <w:szCs w:val="19"/>
                <w:color w:val="auto"/>
              </w:rPr>
            </w:pPr>
          </w:p>
        </w:tc>
        <w:tc>
          <w:tcPr>
            <w:tcW w:w="1000" w:type="dxa"/>
            <w:vAlign w:val="bottom"/>
          </w:tcPr>
          <w:p>
            <w:pPr>
              <w:jc w:val="right"/>
              <w:ind w:right="295"/>
              <w:spacing w:after="0"/>
              <w:rPr>
                <w:sz w:val="20"/>
                <w:szCs w:val="20"/>
                <w:color w:val="auto"/>
              </w:rPr>
            </w:pPr>
            <w:r>
              <w:rPr>
                <w:rFonts w:ascii="Arial" w:cs="Arial" w:eastAsia="Arial" w:hAnsi="Arial"/>
                <w:sz w:val="18"/>
                <w:szCs w:val="18"/>
                <w:color w:val="auto"/>
              </w:rPr>
              <w:t>1,759</w:t>
            </w:r>
          </w:p>
        </w:tc>
        <w:tc>
          <w:tcPr>
            <w:tcW w:w="5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3,682</w:t>
            </w:r>
          </w:p>
        </w:tc>
      </w:tr>
      <w:tr>
        <w:trPr>
          <w:trHeight w:val="218"/>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 primarily AirTouch redeemable preferred shares</w:t>
            </w: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1,715</w:t>
            </w:r>
          </w:p>
        </w:tc>
        <w:tc>
          <w:tcPr>
            <w:tcW w:w="5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1,678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investments</w:t>
            </w:r>
          </w:p>
        </w:tc>
        <w:tc>
          <w:tcPr>
            <w:tcW w:w="700" w:type="dxa"/>
            <w:vAlign w:val="bottom"/>
          </w:tcPr>
          <w:p>
            <w:pPr>
              <w:spacing w:after="0"/>
              <w:rPr>
                <w:sz w:val="18"/>
                <w:szCs w:val="18"/>
                <w:color w:val="auto"/>
              </w:rPr>
            </w:pPr>
          </w:p>
        </w:tc>
        <w:tc>
          <w:tcPr>
            <w:tcW w:w="1000" w:type="dxa"/>
            <w:vAlign w:val="bottom"/>
          </w:tcPr>
          <w:p>
            <w:pPr>
              <w:jc w:val="right"/>
              <w:ind w:right="295"/>
              <w:spacing w:after="0"/>
              <w:rPr>
                <w:sz w:val="20"/>
                <w:szCs w:val="20"/>
                <w:color w:val="auto"/>
              </w:rPr>
            </w:pPr>
            <w:r>
              <w:rPr>
                <w:rFonts w:ascii="Arial" w:cs="Arial" w:eastAsia="Arial" w:hAnsi="Arial"/>
                <w:sz w:val="18"/>
                <w:szCs w:val="18"/>
                <w:color w:val="auto"/>
              </w:rPr>
              <w:t>5,406</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203</w:t>
            </w:r>
          </w:p>
        </w:tc>
        <w:tc>
          <w:tcPr>
            <w:tcW w:w="5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7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5,203</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7,963</w:t>
            </w:r>
          </w:p>
        </w:tc>
        <w:tc>
          <w:tcPr>
            <w:tcW w:w="20" w:type="dxa"/>
            <w:vAlign w:val="bottom"/>
            <w:tcBorders>
              <w:bottom w:val="single" w:sz="8" w:color="auto"/>
            </w:tcBorders>
          </w:tcPr>
          <w:p>
            <w:pPr>
              <w:spacing w:after="0"/>
              <w:rPr>
                <w:sz w:val="18"/>
                <w:szCs w:val="18"/>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accounted for our interest in Insight Midwest as an equity method investment until January 1, 2008, the date the Comcast asset pool was distributed to us (see Note 4).</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Investment Income (Loss),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gridSpan w:val="3"/>
          </w:tcPr>
          <w:p>
            <w:pPr>
              <w:jc w:val="right"/>
              <w:ind w:right="555"/>
              <w:spacing w:after="0"/>
              <w:rPr>
                <w:sz w:val="20"/>
                <w:szCs w:val="20"/>
                <w:color w:val="auto"/>
              </w:rPr>
            </w:pPr>
            <w:r>
              <w:rPr>
                <w:rFonts w:ascii="Arial" w:cs="Arial" w:eastAsia="Arial" w:hAnsi="Arial"/>
                <w:sz w:val="14"/>
                <w:szCs w:val="14"/>
                <w:color w:val="auto"/>
                <w:w w:val="99"/>
              </w:rPr>
              <w:t>Three Months Ended</w:t>
            </w:r>
          </w:p>
        </w:tc>
        <w:tc>
          <w:tcPr>
            <w:tcW w:w="420" w:type="dxa"/>
            <w:vAlign w:val="bottom"/>
          </w:tcPr>
          <w:p>
            <w:pPr>
              <w:spacing w:after="0"/>
              <w:rPr>
                <w:sz w:val="14"/>
                <w:szCs w:val="14"/>
                <w:color w:val="auto"/>
              </w:rPr>
            </w:pPr>
          </w:p>
        </w:tc>
        <w:tc>
          <w:tcPr>
            <w:tcW w:w="1680" w:type="dxa"/>
            <w:vAlign w:val="bottom"/>
            <w:gridSpan w:val="3"/>
          </w:tcPr>
          <w:p>
            <w:pPr>
              <w:jc w:val="right"/>
              <w:ind w:right="29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6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jc w:val="right"/>
              <w:ind w:right="398"/>
              <w:spacing w:after="0" w:line="142" w:lineRule="exact"/>
              <w:rPr>
                <w:sz w:val="20"/>
                <w:szCs w:val="20"/>
                <w:color w:val="auto"/>
              </w:rPr>
            </w:pPr>
            <w:r>
              <w:rPr>
                <w:rFonts w:ascii="Arial" w:cs="Arial" w:eastAsia="Arial" w:hAnsi="Arial"/>
                <w:sz w:val="14"/>
                <w:szCs w:val="14"/>
                <w:color w:val="auto"/>
                <w:w w:val="89"/>
              </w:rPr>
              <w:t>2008</w:t>
            </w:r>
          </w:p>
        </w:tc>
        <w:tc>
          <w:tcPr>
            <w:tcW w:w="400" w:type="dxa"/>
            <w:vAlign w:val="bottom"/>
          </w:tcPr>
          <w:p>
            <w:pPr>
              <w:spacing w:after="0"/>
              <w:rPr>
                <w:sz w:val="12"/>
                <w:szCs w:val="12"/>
                <w:color w:val="auto"/>
              </w:rPr>
            </w:pPr>
          </w:p>
        </w:tc>
        <w:tc>
          <w:tcPr>
            <w:tcW w:w="780" w:type="dxa"/>
            <w:vAlign w:val="bottom"/>
          </w:tcPr>
          <w:p>
            <w:pPr>
              <w:jc w:val="right"/>
              <w:ind w:right="395"/>
              <w:spacing w:after="0" w:line="142" w:lineRule="exact"/>
              <w:rPr>
                <w:sz w:val="20"/>
                <w:szCs w:val="20"/>
                <w:color w:val="auto"/>
              </w:rPr>
            </w:pPr>
            <w:r>
              <w:rPr>
                <w:rFonts w:ascii="Arial" w:cs="Arial" w:eastAsia="Arial" w:hAnsi="Arial"/>
                <w:sz w:val="14"/>
                <w:szCs w:val="14"/>
                <w:color w:val="auto"/>
                <w:w w:val="89"/>
              </w:rPr>
              <w:t>2007</w:t>
            </w:r>
          </w:p>
        </w:tc>
        <w:tc>
          <w:tcPr>
            <w:tcW w:w="420" w:type="dxa"/>
            <w:vAlign w:val="bottom"/>
          </w:tcPr>
          <w:p>
            <w:pPr>
              <w:spacing w:after="0"/>
              <w:rPr>
                <w:sz w:val="12"/>
                <w:szCs w:val="12"/>
                <w:color w:val="auto"/>
              </w:rPr>
            </w:pPr>
          </w:p>
        </w:tc>
        <w:tc>
          <w:tcPr>
            <w:tcW w:w="780" w:type="dxa"/>
            <w:vAlign w:val="bottom"/>
          </w:tcPr>
          <w:p>
            <w:pPr>
              <w:jc w:val="right"/>
              <w:ind w:right="418"/>
              <w:spacing w:after="0" w:line="142" w:lineRule="exact"/>
              <w:rPr>
                <w:sz w:val="20"/>
                <w:szCs w:val="20"/>
                <w:color w:val="auto"/>
              </w:rPr>
            </w:pPr>
            <w:r>
              <w:rPr>
                <w:rFonts w:ascii="Arial" w:cs="Arial" w:eastAsia="Arial" w:hAnsi="Arial"/>
                <w:sz w:val="14"/>
                <w:szCs w:val="14"/>
                <w:color w:val="auto"/>
                <w:w w:val="83"/>
              </w:rPr>
              <w:t>2008</w:t>
            </w:r>
          </w:p>
        </w:tc>
        <w:tc>
          <w:tcPr>
            <w:tcW w:w="400" w:type="dxa"/>
            <w:vAlign w:val="bottom"/>
          </w:tcPr>
          <w:p>
            <w:pPr>
              <w:spacing w:after="0"/>
              <w:rPr>
                <w:sz w:val="12"/>
                <w:szCs w:val="12"/>
                <w:color w:val="auto"/>
              </w:rPr>
            </w:pPr>
          </w:p>
        </w:tc>
        <w:tc>
          <w:tcPr>
            <w:tcW w:w="500" w:type="dxa"/>
            <w:vAlign w:val="bottom"/>
          </w:tcPr>
          <w:p>
            <w:pPr>
              <w:jc w:val="right"/>
              <w:ind w:right="115"/>
              <w:spacing w:after="0" w:line="142" w:lineRule="exact"/>
              <w:rPr>
                <w:sz w:val="20"/>
                <w:szCs w:val="20"/>
                <w:color w:val="auto"/>
              </w:rPr>
            </w:pPr>
            <w:r>
              <w:rPr>
                <w:rFonts w:ascii="Arial" w:cs="Arial" w:eastAsia="Arial" w:hAnsi="Arial"/>
                <w:sz w:val="14"/>
                <w:szCs w:val="14"/>
                <w:color w:val="auto"/>
                <w:w w:val="89"/>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color w:val="auto"/>
              </w:rPr>
              <w:t>12</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35</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color w:val="auto"/>
              </w:rPr>
              <w:t>49</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Gains on sales and exchanges of investments, net</w:t>
            </w:r>
          </w:p>
        </w:tc>
        <w:tc>
          <w:tcPr>
            <w:tcW w:w="700" w:type="dxa"/>
            <w:vAlign w:val="bottom"/>
          </w:tcPr>
          <w:p>
            <w:pPr>
              <w:spacing w:after="0"/>
              <w:rPr>
                <w:sz w:val="18"/>
                <w:szCs w:val="18"/>
                <w:color w:val="auto"/>
              </w:rPr>
            </w:pPr>
          </w:p>
        </w:tc>
        <w:tc>
          <w:tcPr>
            <w:tcW w:w="78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780" w:type="dxa"/>
            <w:vAlign w:val="bottom"/>
          </w:tcPr>
          <w:p>
            <w:pPr>
              <w:jc w:val="right"/>
              <w:ind w:right="278"/>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5E5E5"/>
          </w:tcPr>
          <w:p>
            <w:pPr>
              <w:spacing w:after="0"/>
              <w:rPr>
                <w:sz w:val="20"/>
                <w:szCs w:val="20"/>
                <w:color w:val="auto"/>
              </w:rPr>
            </w:pPr>
            <w:r>
              <w:rPr>
                <w:rFonts w:ascii="Arial" w:cs="Arial" w:eastAsia="Arial" w:hAnsi="Arial"/>
                <w:sz w:val="18"/>
                <w:szCs w:val="18"/>
                <w:color w:val="auto"/>
              </w:rPr>
              <w:t>Investment impairment losses</w:t>
            </w: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(3)</w:t>
            </w:r>
          </w:p>
        </w:tc>
        <w:tc>
          <w:tcPr>
            <w:tcW w:w="4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(5)</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Unrealized gains (losses) on trading securities and hedged items</w:t>
            </w:r>
          </w:p>
        </w:tc>
        <w:tc>
          <w:tcPr>
            <w:tcW w:w="700" w:type="dxa"/>
            <w:vAlign w:val="bottom"/>
          </w:tcPr>
          <w:p>
            <w:pPr>
              <w:spacing w:after="0"/>
              <w:rPr>
                <w:sz w:val="18"/>
                <w:szCs w:val="18"/>
                <w:color w:val="auto"/>
              </w:rPr>
            </w:pPr>
          </w:p>
        </w:tc>
        <w:tc>
          <w:tcPr>
            <w:tcW w:w="780" w:type="dxa"/>
            <w:vAlign w:val="bottom"/>
          </w:tcPr>
          <w:p>
            <w:pPr>
              <w:jc w:val="right"/>
              <w:ind w:right="218"/>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780" w:type="dxa"/>
            <w:vAlign w:val="bottom"/>
          </w:tcPr>
          <w:p>
            <w:pPr>
              <w:jc w:val="right"/>
              <w:ind w:right="218"/>
              <w:spacing w:after="0"/>
              <w:rPr>
                <w:sz w:val="20"/>
                <w:szCs w:val="20"/>
                <w:color w:val="auto"/>
              </w:rPr>
            </w:pPr>
            <w:r>
              <w:rPr>
                <w:rFonts w:ascii="Arial" w:cs="Arial" w:eastAsia="Arial" w:hAnsi="Arial"/>
                <w:sz w:val="18"/>
                <w:szCs w:val="18"/>
                <w:color w:val="auto"/>
              </w:rPr>
              <w:t>(413)</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E5E5E5"/>
          </w:tcPr>
          <w:p>
            <w:pPr>
              <w:spacing w:after="0"/>
              <w:rPr>
                <w:sz w:val="20"/>
                <w:szCs w:val="20"/>
                <w:color w:val="auto"/>
              </w:rPr>
            </w:pPr>
            <w:r>
              <w:rPr>
                <w:rFonts w:ascii="Arial" w:cs="Arial" w:eastAsia="Arial" w:hAnsi="Arial"/>
                <w:sz w:val="18"/>
                <w:szCs w:val="18"/>
                <w:color w:val="auto"/>
                <w:w w:val="93"/>
              </w:rPr>
              <w:t>Mark to market adjustments on derivatives related to trading securities and hedged items</w:t>
            </w: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138</w:t>
            </w:r>
          </w:p>
        </w:tc>
        <w:tc>
          <w:tcPr>
            <w:tcW w:w="4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43</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411</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to market adjustments on derivatives</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rPr>
              <w:t>49</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31</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b w:val="1"/>
                <w:bCs w:val="1"/>
                <w:color w:val="auto"/>
              </w:rPr>
              <w:t>74</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b w:val="1"/>
                <w:bCs w:val="1"/>
                <w:color w:val="auto"/>
              </w:rPr>
              <w:t>158</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b w:val="1"/>
                <w:bCs w:val="1"/>
                <w:color w:val="auto"/>
              </w:rPr>
              <w:t>83</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458</w:t>
            </w:r>
          </w:p>
        </w:tc>
        <w:tc>
          <w:tcPr>
            <w:tcW w:w="0" w:type="dxa"/>
            <w:vAlign w:val="bottom"/>
          </w:tcPr>
          <w:p>
            <w:pPr>
              <w:spacing w:after="0"/>
              <w:rPr>
                <w:sz w:val="1"/>
                <w:szCs w:val="1"/>
                <w:color w:val="auto"/>
              </w:rPr>
            </w:pPr>
          </w:p>
        </w:tc>
      </w:tr>
      <w:tr>
        <w:trPr>
          <w:trHeight w:val="363"/>
        </w:trPr>
        <w:tc>
          <w:tcPr>
            <w:tcW w:w="6660" w:type="dxa"/>
            <w:vAlign w:val="bottom"/>
            <w:gridSpan w:val="2"/>
          </w:tcPr>
          <w:p>
            <w:pPr>
              <w:jc w:val="right"/>
              <w:ind w:right="812"/>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Indefinite-Lived Intangibles</w:t>
      </w:r>
    </w:p>
    <w:p>
      <w:pPr>
        <w:spacing w:after="0" w:line="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the adoption of SFAS No. 142, “Goodwill and Other Intangible Assets,” (“SFAS No. 142”), we have performed the annual impairment testing of our indefinite-lived intangibles, including cable franchise rights and goodwill, using April 1 as the measurement date. In 2008, we changed the timing of our financial and strategic planning process, including the preparation of long-term projections, from completion in the early part of each calendar year to a midyear completion. These long-term financial projections are used as the basis for performing our annual impairment testing. As a result, we have changed our measurement date from April 1 to July 1. We tested our indefinite-lived intangibles for impairment as of April 1, 2008 and July 1, 2008, and no impairments were indicated. Since the adoption of SFAS No. 142 in 2002, we have not recorded any significant impairment charges as a result of our impairment testing. We believe changing the measurement date to coincide with the completion of our long-term financial projections is preferable and does not result in the delay, acceleration or avoidance of an impairment charge.</w:t>
      </w:r>
    </w:p>
    <w:p>
      <w:pPr>
        <w:spacing w:after="0" w:line="24"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In July 2008, our Cable Division management structure was reorganized from five divisions to four. The divisions represent the unit of account we use to test for impairment of our cable franchise rights. Our testing as of July 1, 2008 confirmed that no impairment existed before the change.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business segment for the nine months ended September 30, 2008 are presented in the table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color w:val="auto"/>
              </w:rPr>
              <w:t>Corporate</w:t>
            </w:r>
          </w:p>
        </w:tc>
        <w:tc>
          <w:tcPr>
            <w:tcW w:w="860" w:type="dxa"/>
            <w:vAlign w:val="bottom"/>
          </w:tcPr>
          <w:p>
            <w:pPr>
              <w:spacing w:after="0"/>
              <w:rPr>
                <w:sz w:val="14"/>
                <w:szCs w:val="14"/>
                <w:color w:val="auto"/>
              </w:rPr>
            </w:pPr>
          </w:p>
        </w:tc>
      </w:tr>
      <w:tr>
        <w:trPr>
          <w:trHeight w:val="159"/>
        </w:trPr>
        <w:tc>
          <w:tcPr>
            <w:tcW w:w="48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580" w:type="dxa"/>
            <w:vAlign w:val="bottom"/>
          </w:tcPr>
          <w:p>
            <w:pPr>
              <w:jc w:val="right"/>
              <w:ind w:right="316"/>
              <w:spacing w:after="0" w:line="159" w:lineRule="exact"/>
              <w:rPr>
                <w:sz w:val="20"/>
                <w:szCs w:val="20"/>
                <w:color w:val="auto"/>
              </w:rPr>
            </w:pPr>
            <w:r>
              <w:rPr>
                <w:rFonts w:ascii="Arial" w:cs="Arial" w:eastAsia="Arial" w:hAnsi="Arial"/>
                <w:sz w:val="14"/>
                <w:szCs w:val="14"/>
                <w:color w:val="auto"/>
              </w:rPr>
              <w:t>Cable</w:t>
            </w:r>
          </w:p>
        </w:tc>
        <w:tc>
          <w:tcPr>
            <w:tcW w:w="11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Programming</w:t>
            </w:r>
          </w:p>
        </w:tc>
        <w:tc>
          <w:tcPr>
            <w:tcW w:w="9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and Other</w:t>
            </w:r>
          </w:p>
        </w:tc>
        <w:tc>
          <w:tcPr>
            <w:tcW w:w="860" w:type="dxa"/>
            <w:vAlign w:val="bottom"/>
          </w:tcPr>
          <w:p>
            <w:pPr>
              <w:jc w:val="right"/>
              <w:ind w:right="136"/>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December 31, 2007</w:t>
            </w:r>
          </w:p>
        </w:tc>
        <w:tc>
          <w:tcPr>
            <w:tcW w:w="358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$12,842</w:t>
            </w:r>
          </w:p>
        </w:tc>
        <w:tc>
          <w:tcPr>
            <w:tcW w:w="4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1,482</w:t>
            </w:r>
          </w:p>
        </w:tc>
        <w:tc>
          <w:tcPr>
            <w:tcW w:w="40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381</w:t>
            </w:r>
          </w:p>
        </w:tc>
        <w:tc>
          <w:tcPr>
            <w:tcW w:w="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$14,705</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Settlements and adjustments</w:t>
            </w:r>
          </w:p>
        </w:tc>
        <w:tc>
          <w:tcPr>
            <w:tcW w:w="3580" w:type="dxa"/>
            <w:vAlign w:val="bottom"/>
          </w:tcPr>
          <w:p>
            <w:pPr>
              <w:jc w:val="right"/>
              <w:ind w:right="136"/>
              <w:spacing w:after="0"/>
              <w:rPr>
                <w:sz w:val="20"/>
                <w:szCs w:val="20"/>
                <w:color w:val="auto"/>
              </w:rPr>
            </w:pPr>
            <w:r>
              <w:rPr>
                <w:rFonts w:ascii="Arial" w:cs="Arial" w:eastAsia="Arial" w:hAnsi="Arial"/>
                <w:sz w:val="18"/>
                <w:szCs w:val="18"/>
                <w:color w:val="auto"/>
              </w:rPr>
              <w:t>(429)</w:t>
            </w:r>
          </w:p>
        </w:tc>
        <w:tc>
          <w:tcPr>
            <w:tcW w:w="42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Acquisitions</w:t>
            </w:r>
          </w:p>
        </w:tc>
        <w:tc>
          <w:tcPr>
            <w:tcW w:w="358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302</w:t>
            </w: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125</w:t>
            </w: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200</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627</w:t>
            </w:r>
          </w:p>
        </w:tc>
      </w:tr>
      <w:tr>
        <w:trPr>
          <w:trHeight w:val="217"/>
        </w:trPr>
        <w:tc>
          <w:tcPr>
            <w:tcW w:w="2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2008</w:t>
            </w:r>
          </w:p>
        </w:tc>
        <w:tc>
          <w:tcPr>
            <w:tcW w:w="35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$12,715</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1,607</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587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$14,909</w:t>
            </w:r>
          </w:p>
        </w:tc>
      </w:tr>
    </w:tbl>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Settlements and adjustments for the nine months ended September 30, 2008 primarily relate to the settlement of an uncertain tax position of an acquired entity (see Note 10). For the nine months ended September 30, 2008, acquisitions in the Cable segment primarily relate to the Insight transaction and the acquisition of an additional interest in Pacific Regional Programming Partners, which operates the Comcast SportsNet Bay Area network. Acquisitions in the Programming segment primarily relate to the acquisition of the additional interest in G4 that we did not already own. Corporate and Other acquisitions relate primarily to Internet-related business, including Plaxo, Inc. and DailyCandy, Inc.</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September 16, 2008, we borrowed $1.5 billion from our $7.0 billion revolving bank credit facility due 2013. In May 2008, we issued $1.0 billion principal amount of 5.70% notes due 2018 and $1.0 billion principal amount of 6.40% notes due 2038.</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of Financial Assets and Financial Liabilities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2008, we adopted the provisions of SFAS No. 157 that relate to our financial assets and financial liabilities as discussed in Note 2. SFAS No. 157 establishes a hierarchy that prioritizes fair value measurements based on the types of inputs used for the various valuation techniques (market approach, income approach and cost approach). The levels of the hierarchy are described below:</w:t>
      </w:r>
    </w:p>
    <w:p>
      <w:pPr>
        <w:spacing w:after="0" w:line="46"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76"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45"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assessment of the significance of a particular input to the fair value measurement requires judgment and may affect the valuation of financial assets and financial liabilities and their classification within the fair value hierarchy. There have been no changes in the classification of any financial assets or liabilities within the fair value hierarchy since our adoption of SFAS No. 157. Our financial assets and financial liabilities that are accounted for at fair value on a recurring basis are presented in the table below.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Fair value as of September 30, 2008</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40" w:type="dxa"/>
            <w:vAlign w:val="bottom"/>
            <w:gridSpan w:val="2"/>
            <w:vMerge w:val="continue"/>
          </w:tcPr>
          <w:p>
            <w:pPr>
              <w:spacing w:after="0"/>
              <w:rPr>
                <w:sz w:val="12"/>
                <w:szCs w:val="12"/>
                <w:color w:val="auto"/>
              </w:rPr>
            </w:pPr>
          </w:p>
        </w:tc>
        <w:tc>
          <w:tcPr>
            <w:tcW w:w="1000" w:type="dxa"/>
            <w:vAlign w:val="bottom"/>
            <w:gridSpan w:val="2"/>
          </w:tcPr>
          <w:p>
            <w:pPr>
              <w:jc w:val="right"/>
              <w:ind w:right="134"/>
              <w:spacing w:after="0" w:line="142" w:lineRule="exact"/>
              <w:rPr>
                <w:sz w:val="20"/>
                <w:szCs w:val="20"/>
                <w:color w:val="auto"/>
              </w:rPr>
            </w:pPr>
            <w:r>
              <w:rPr>
                <w:rFonts w:ascii="Arial" w:cs="Arial" w:eastAsia="Arial" w:hAnsi="Arial"/>
                <w:sz w:val="14"/>
                <w:szCs w:val="14"/>
                <w:color w:val="auto"/>
              </w:rPr>
              <w:t>Level 1</w:t>
            </w:r>
          </w:p>
        </w:tc>
        <w:tc>
          <w:tcPr>
            <w:tcW w:w="76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Level 2</w:t>
            </w:r>
          </w:p>
        </w:tc>
        <w:tc>
          <w:tcPr>
            <w:tcW w:w="76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Level 3</w:t>
            </w:r>
          </w:p>
        </w:tc>
        <w:tc>
          <w:tcPr>
            <w:tcW w:w="260" w:type="dxa"/>
            <w:vAlign w:val="bottom"/>
          </w:tcPr>
          <w:p>
            <w:pPr>
              <w:spacing w:after="0"/>
              <w:rPr>
                <w:sz w:val="12"/>
                <w:szCs w:val="12"/>
                <w:color w:val="auto"/>
              </w:rPr>
            </w:pPr>
          </w:p>
        </w:tc>
        <w:tc>
          <w:tcPr>
            <w:tcW w:w="400" w:type="dxa"/>
            <w:vAlign w:val="bottom"/>
          </w:tcPr>
          <w:p>
            <w:pPr>
              <w:jc w:val="right"/>
              <w:ind w:right="34"/>
              <w:spacing w:after="0" w:line="142" w:lineRule="exact"/>
              <w:rPr>
                <w:sz w:val="20"/>
                <w:szCs w:val="20"/>
                <w:color w:val="auto"/>
              </w:rPr>
            </w:pPr>
            <w:r>
              <w:rPr>
                <w:rFonts w:ascii="Arial" w:cs="Arial" w:eastAsia="Arial" w:hAnsi="Arial"/>
                <w:sz w:val="14"/>
                <w:szCs w:val="14"/>
                <w:color w:val="auto"/>
                <w:w w:val="8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Trading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4"/>
              <w:spacing w:after="0"/>
              <w:rPr>
                <w:sz w:val="20"/>
                <w:szCs w:val="20"/>
                <w:color w:val="auto"/>
              </w:rPr>
            </w:pPr>
            <w:r>
              <w:rPr>
                <w:rFonts w:ascii="Arial" w:cs="Arial" w:eastAsia="Arial" w:hAnsi="Arial"/>
                <w:sz w:val="18"/>
                <w:szCs w:val="18"/>
                <w:color w:val="auto"/>
                <w:w w:val="88"/>
              </w:rPr>
              <w:t>1,637</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11</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279</w:t>
            </w:r>
          </w:p>
        </w:tc>
        <w:tc>
          <w:tcPr>
            <w:tcW w:w="32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Equity warrants</w:t>
            </w:r>
          </w:p>
        </w:tc>
        <w:tc>
          <w:tcPr>
            <w:tcW w:w="420" w:type="dxa"/>
            <w:vAlign w:val="bottom"/>
          </w:tcPr>
          <w:p>
            <w:pPr>
              <w:spacing w:after="0"/>
              <w:rPr>
                <w:sz w:val="18"/>
                <w:szCs w:val="18"/>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Arial" w:cs="Arial" w:eastAsia="Arial" w:hAnsi="Arial"/>
                <w:sz w:val="18"/>
                <w:szCs w:val="18"/>
                <w:color w:val="auto"/>
              </w:rPr>
              <w:t>Cash surrender value of life insurance policies</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127</w:t>
            </w:r>
          </w:p>
        </w:tc>
        <w:tc>
          <w:tcPr>
            <w:tcW w:w="32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exchange agreements</w:t>
            </w: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w w:val="88"/>
              </w:rPr>
              <w:t>1,648</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453</w:t>
            </w:r>
          </w:p>
        </w:tc>
        <w:tc>
          <w:tcPr>
            <w:tcW w:w="3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Arial" w:cs="Arial" w:eastAsia="Arial" w:hAnsi="Arial"/>
                <w:sz w:val="18"/>
                <w:szCs w:val="18"/>
                <w:color w:val="auto"/>
              </w:rPr>
              <w:t>Indexed debt instruments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53</w:t>
            </w:r>
          </w:p>
        </w:tc>
        <w:tc>
          <w:tcPr>
            <w:tcW w:w="32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Prepaid forward sale agreements</w:t>
            </w:r>
          </w:p>
        </w:tc>
        <w:tc>
          <w:tcPr>
            <w:tcW w:w="420" w:type="dxa"/>
            <w:vAlign w:val="bottom"/>
          </w:tcPr>
          <w:p>
            <w:pPr>
              <w:spacing w:after="0"/>
              <w:rPr>
                <w:sz w:val="18"/>
                <w:szCs w:val="18"/>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w w:val="93"/>
              </w:rPr>
              <w:t>243</w:t>
            </w:r>
          </w:p>
        </w:tc>
        <w:tc>
          <w:tcPr>
            <w:tcW w:w="320" w:type="dxa"/>
            <w:vAlign w:val="bottom"/>
          </w:tcPr>
          <w:p>
            <w:pPr>
              <w:spacing w:after="0"/>
              <w:rPr>
                <w:sz w:val="18"/>
                <w:szCs w:val="18"/>
                <w:color w:val="auto"/>
              </w:rPr>
            </w:pP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rate exchange agreements</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299</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Stockholders’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Board of Directors may grant share-based awards, in the form of stock options and RSUs, to certain employees and directors. Additionally, through our employee stock purchase plan, employees are able to purchase shares of Comcast stock at a discount through payroll deductions.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2008, we granted 21.1 million stock options and 7.3 million RSUs related to our annual management grant program. The fair values associated with these grants were $6.48 per stock option and $18.14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gridSpan w:val="3"/>
          </w:tcPr>
          <w:p>
            <w:pPr>
              <w:jc w:val="right"/>
              <w:ind w:right="396"/>
              <w:spacing w:after="0"/>
              <w:rPr>
                <w:sz w:val="20"/>
                <w:szCs w:val="20"/>
                <w:color w:val="auto"/>
              </w:rPr>
            </w:pPr>
            <w:r>
              <w:rPr>
                <w:rFonts w:ascii="Arial" w:cs="Arial" w:eastAsia="Arial" w:hAnsi="Arial"/>
                <w:sz w:val="14"/>
                <w:szCs w:val="14"/>
                <w:color w:val="auto"/>
                <w:w w:val="93"/>
              </w:rPr>
              <w:t>Three Months Ended</w:t>
            </w:r>
          </w:p>
        </w:tc>
        <w:tc>
          <w:tcPr>
            <w:tcW w:w="380" w:type="dxa"/>
            <w:vAlign w:val="bottom"/>
          </w:tcPr>
          <w:p>
            <w:pPr>
              <w:spacing w:after="0"/>
              <w:rPr>
                <w:sz w:val="14"/>
                <w:szCs w:val="14"/>
                <w:color w:val="auto"/>
              </w:rPr>
            </w:pPr>
          </w:p>
        </w:tc>
        <w:tc>
          <w:tcPr>
            <w:tcW w:w="1500" w:type="dxa"/>
            <w:vAlign w:val="bottom"/>
            <w:gridSpan w:val="4"/>
          </w:tcPr>
          <w:p>
            <w:pPr>
              <w:ind w:left="1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right"/>
              <w:ind w:right="321"/>
              <w:spacing w:after="0" w:line="142" w:lineRule="exact"/>
              <w:rPr>
                <w:sz w:val="20"/>
                <w:szCs w:val="20"/>
                <w:color w:val="auto"/>
              </w:rPr>
            </w:pPr>
            <w:r>
              <w:rPr>
                <w:rFonts w:ascii="Arial" w:cs="Arial" w:eastAsia="Arial" w:hAnsi="Arial"/>
                <w:sz w:val="14"/>
                <w:szCs w:val="14"/>
                <w:color w:val="auto"/>
                <w:w w:val="83"/>
              </w:rPr>
              <w:t>2008</w:t>
            </w:r>
          </w:p>
        </w:tc>
        <w:tc>
          <w:tcPr>
            <w:tcW w:w="380" w:type="dxa"/>
            <w:vAlign w:val="bottom"/>
          </w:tcPr>
          <w:p>
            <w:pPr>
              <w:spacing w:after="0"/>
              <w:rPr>
                <w:sz w:val="12"/>
                <w:szCs w:val="12"/>
                <w:color w:val="auto"/>
              </w:rPr>
            </w:pPr>
          </w:p>
        </w:tc>
        <w:tc>
          <w:tcPr>
            <w:tcW w:w="660" w:type="dxa"/>
            <w:vAlign w:val="bottom"/>
          </w:tcPr>
          <w:p>
            <w:pPr>
              <w:jc w:val="right"/>
              <w:ind w:right="296"/>
              <w:spacing w:after="0" w:line="142" w:lineRule="exact"/>
              <w:rPr>
                <w:sz w:val="20"/>
                <w:szCs w:val="20"/>
                <w:color w:val="auto"/>
              </w:rPr>
            </w:pPr>
            <w:r>
              <w:rPr>
                <w:rFonts w:ascii="Arial" w:cs="Arial" w:eastAsia="Arial" w:hAnsi="Arial"/>
                <w:sz w:val="14"/>
                <w:szCs w:val="14"/>
                <w:color w:val="auto"/>
                <w:w w:val="83"/>
              </w:rPr>
              <w:t>2007</w:t>
            </w:r>
          </w:p>
        </w:tc>
        <w:tc>
          <w:tcPr>
            <w:tcW w:w="380" w:type="dxa"/>
            <w:vAlign w:val="bottom"/>
          </w:tcPr>
          <w:p>
            <w:pPr>
              <w:spacing w:after="0"/>
              <w:rPr>
                <w:sz w:val="12"/>
                <w:szCs w:val="12"/>
                <w:color w:val="auto"/>
              </w:rPr>
            </w:pPr>
          </w:p>
        </w:tc>
        <w:tc>
          <w:tcPr>
            <w:tcW w:w="680" w:type="dxa"/>
            <w:vAlign w:val="bottom"/>
          </w:tcPr>
          <w:p>
            <w:pPr>
              <w:jc w:val="right"/>
              <w:ind w:right="301"/>
              <w:spacing w:after="0" w:line="142" w:lineRule="exact"/>
              <w:rPr>
                <w:sz w:val="20"/>
                <w:szCs w:val="20"/>
                <w:color w:val="auto"/>
              </w:rPr>
            </w:pPr>
            <w:r>
              <w:rPr>
                <w:rFonts w:ascii="Arial" w:cs="Arial" w:eastAsia="Arial" w:hAnsi="Arial"/>
                <w:sz w:val="14"/>
                <w:szCs w:val="14"/>
                <w:color w:val="auto"/>
                <w:w w:val="89"/>
              </w:rPr>
              <w:t>2008</w:t>
            </w:r>
          </w:p>
        </w:tc>
        <w:tc>
          <w:tcPr>
            <w:tcW w:w="380" w:type="dxa"/>
            <w:vAlign w:val="bottom"/>
          </w:tcPr>
          <w:p>
            <w:pPr>
              <w:spacing w:after="0"/>
              <w:rPr>
                <w:sz w:val="12"/>
                <w:szCs w:val="12"/>
                <w:color w:val="auto"/>
              </w:rPr>
            </w:pPr>
          </w:p>
        </w:tc>
        <w:tc>
          <w:tcPr>
            <w:tcW w:w="420" w:type="dxa"/>
            <w:vAlign w:val="bottom"/>
          </w:tcPr>
          <w:p>
            <w:pPr>
              <w:jc w:val="right"/>
              <w:ind w:right="56"/>
              <w:spacing w:after="0" w:line="142" w:lineRule="exact"/>
              <w:rPr>
                <w:sz w:val="20"/>
                <w:szCs w:val="20"/>
                <w:color w:val="auto"/>
              </w:rPr>
            </w:pPr>
            <w:r>
              <w:rPr>
                <w:rFonts w:ascii="Arial" w:cs="Arial" w:eastAsia="Arial" w:hAnsi="Arial"/>
                <w:sz w:val="14"/>
                <w:szCs w:val="14"/>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29</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22</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73</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4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 (including employee cost)</w:t>
            </w:r>
          </w:p>
        </w:tc>
        <w:tc>
          <w:tcPr>
            <w:tcW w:w="6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52</w:t>
            </w:r>
          </w:p>
        </w:tc>
        <w:tc>
          <w:tcPr>
            <w:tcW w:w="3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share-based compensation expense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rPr>
              <w:t>72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57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rPr>
              <w:t>195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September 30, 2008, there was $319 million and $308 million of unrecognized pretax compensation cost related to nonvested stock options and nonvested RSUs,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comprehensive income is presented in the table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3"/>
          </w:tcPr>
          <w:p>
            <w:pPr>
              <w:jc w:val="right"/>
              <w:ind w:right="495"/>
              <w:spacing w:after="0"/>
              <w:rPr>
                <w:sz w:val="20"/>
                <w:szCs w:val="20"/>
                <w:color w:val="auto"/>
              </w:rPr>
            </w:pPr>
            <w:r>
              <w:rPr>
                <w:rFonts w:ascii="Arial" w:cs="Arial" w:eastAsia="Arial" w:hAnsi="Arial"/>
                <w:sz w:val="14"/>
                <w:szCs w:val="14"/>
                <w:color w:val="auto"/>
                <w:w w:val="97"/>
              </w:rPr>
              <w:t>Three Months Ended</w:t>
            </w:r>
          </w:p>
        </w:tc>
        <w:tc>
          <w:tcPr>
            <w:tcW w:w="1980" w:type="dxa"/>
            <w:vAlign w:val="bottom"/>
            <w:gridSpan w:val="2"/>
          </w:tcPr>
          <w:p>
            <w:pPr>
              <w:jc w:val="right"/>
              <w:ind w:right="27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ind w:right="435"/>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jc w:val="right"/>
              <w:ind w:right="359"/>
              <w:spacing w:after="0" w:line="142" w:lineRule="exact"/>
              <w:rPr>
                <w:sz w:val="20"/>
                <w:szCs w:val="20"/>
                <w:color w:val="auto"/>
              </w:rPr>
            </w:pPr>
            <w:r>
              <w:rPr>
                <w:rFonts w:ascii="Arial" w:cs="Arial" w:eastAsia="Arial" w:hAnsi="Arial"/>
                <w:sz w:val="14"/>
                <w:szCs w:val="14"/>
                <w:color w:val="auto"/>
                <w:w w:val="89"/>
              </w:rPr>
              <w:t>2008</w:t>
            </w:r>
          </w:p>
        </w:tc>
        <w:tc>
          <w:tcPr>
            <w:tcW w:w="380" w:type="dxa"/>
            <w:vAlign w:val="bottom"/>
          </w:tcPr>
          <w:p>
            <w:pPr>
              <w:spacing w:after="0"/>
              <w:rPr>
                <w:sz w:val="12"/>
                <w:szCs w:val="12"/>
                <w:color w:val="auto"/>
              </w:rPr>
            </w:pPr>
          </w:p>
        </w:tc>
        <w:tc>
          <w:tcPr>
            <w:tcW w:w="760" w:type="dxa"/>
            <w:vAlign w:val="bottom"/>
          </w:tcPr>
          <w:p>
            <w:pPr>
              <w:jc w:val="right"/>
              <w:ind w:right="375"/>
              <w:spacing w:after="0" w:line="142" w:lineRule="exact"/>
              <w:rPr>
                <w:sz w:val="20"/>
                <w:szCs w:val="20"/>
                <w:color w:val="auto"/>
              </w:rPr>
            </w:pPr>
            <w:r>
              <w:rPr>
                <w:rFonts w:ascii="Arial" w:cs="Arial" w:eastAsia="Arial" w:hAnsi="Arial"/>
                <w:sz w:val="14"/>
                <w:szCs w:val="14"/>
                <w:color w:val="auto"/>
                <w:w w:val="89"/>
              </w:rPr>
              <w:t>2007</w:t>
            </w:r>
          </w:p>
        </w:tc>
        <w:tc>
          <w:tcPr>
            <w:tcW w:w="1120" w:type="dxa"/>
            <w:vAlign w:val="bottom"/>
          </w:tcPr>
          <w:p>
            <w:pPr>
              <w:jc w:val="right"/>
              <w:ind w:right="379"/>
              <w:spacing w:after="0" w:line="142" w:lineRule="exact"/>
              <w:rPr>
                <w:sz w:val="20"/>
                <w:szCs w:val="20"/>
                <w:color w:val="auto"/>
              </w:rPr>
            </w:pPr>
            <w:r>
              <w:rPr>
                <w:rFonts w:ascii="Arial" w:cs="Arial" w:eastAsia="Arial" w:hAnsi="Arial"/>
                <w:sz w:val="14"/>
                <w:szCs w:val="14"/>
                <w:color w:val="auto"/>
              </w:rPr>
              <w:t>2008</w:t>
            </w:r>
          </w:p>
        </w:tc>
        <w:tc>
          <w:tcPr>
            <w:tcW w:w="86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239"/>
              <w:spacing w:after="0"/>
              <w:rPr>
                <w:sz w:val="20"/>
                <w:szCs w:val="20"/>
                <w:color w:val="auto"/>
              </w:rPr>
            </w:pPr>
            <w:r>
              <w:rPr>
                <w:rFonts w:ascii="Arial" w:cs="Arial" w:eastAsia="Arial" w:hAnsi="Arial"/>
                <w:sz w:val="18"/>
                <w:szCs w:val="18"/>
                <w:color w:val="auto"/>
              </w:rPr>
              <w:t>771</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color w:val="auto"/>
              </w:rPr>
              <w:t>560</w:t>
            </w:r>
          </w:p>
        </w:tc>
        <w:tc>
          <w:tcPr>
            <w:tcW w:w="1120" w:type="dxa"/>
            <w:vAlign w:val="bottom"/>
            <w:tcBorders>
              <w:top w:val="single" w:sz="8" w:color="auto"/>
            </w:tcBorders>
            <w:shd w:val="clear" w:color="auto" w:fill="E5E5E5"/>
          </w:tcPr>
          <w:p>
            <w:pPr>
              <w:jc w:val="right"/>
              <w:ind w:right="239"/>
              <w:spacing w:after="0"/>
              <w:rPr>
                <w:sz w:val="20"/>
                <w:szCs w:val="20"/>
                <w:color w:val="auto"/>
              </w:rPr>
            </w:pPr>
            <w:r>
              <w:rPr>
                <w:rFonts w:ascii="Arial" w:cs="Arial" w:eastAsia="Arial" w:hAnsi="Arial"/>
                <w:sz w:val="18"/>
                <w:szCs w:val="18"/>
                <w:color w:val="auto"/>
              </w:rPr>
              <w:t>$ 2,135</w:t>
            </w:r>
          </w:p>
        </w:tc>
        <w:tc>
          <w:tcPr>
            <w:tcW w:w="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Holding (losses) gains during the period</w:t>
            </w:r>
          </w:p>
        </w:tc>
        <w:tc>
          <w:tcPr>
            <w:tcW w:w="62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76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9"/>
              <w:spacing w:after="0"/>
              <w:rPr>
                <w:sz w:val="20"/>
                <w:szCs w:val="20"/>
                <w:color w:val="auto"/>
              </w:rPr>
            </w:pPr>
            <w:r>
              <w:rPr>
                <w:rFonts w:ascii="Arial" w:cs="Arial" w:eastAsia="Arial" w:hAnsi="Arial"/>
                <w:sz w:val="18"/>
                <w:szCs w:val="18"/>
                <w:color w:val="auto"/>
              </w:rPr>
              <w:t>(16)</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spacing w:after="0"/>
              <w:rPr>
                <w:sz w:val="20"/>
                <w:szCs w:val="20"/>
                <w:color w:val="auto"/>
              </w:rPr>
            </w:pPr>
            <w:r>
              <w:rPr>
                <w:rFonts w:ascii="Arial" w:cs="Arial" w:eastAsia="Arial" w:hAnsi="Arial"/>
                <w:sz w:val="18"/>
                <w:szCs w:val="18"/>
                <w:color w:val="auto"/>
              </w:rPr>
              <w:t>Reclassification adjustments for losses (gains) included in net income</w:t>
            </w:r>
          </w:p>
        </w:tc>
        <w:tc>
          <w:tcPr>
            <w:tcW w:w="6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4</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42</w:t>
            </w:r>
          </w:p>
        </w:tc>
        <w:tc>
          <w:tcPr>
            <w:tcW w:w="112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10</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Employee benefit obligations</w:t>
            </w:r>
          </w:p>
        </w:tc>
        <w:tc>
          <w:tcPr>
            <w:tcW w:w="6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76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6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9"/>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auto"/>
            </w:tcBorders>
            <w:shd w:val="clear" w:color="auto" w:fill="E5E5E5"/>
          </w:tcPr>
          <w:p>
            <w:pPr>
              <w:jc w:val="right"/>
              <w:ind w:right="179"/>
              <w:spacing w:after="0"/>
              <w:rPr>
                <w:sz w:val="20"/>
                <w:szCs w:val="20"/>
                <w:color w:val="auto"/>
              </w:rPr>
            </w:pPr>
            <w:r>
              <w:rPr>
                <w:rFonts w:ascii="Arial" w:cs="Arial" w:eastAsia="Arial" w:hAnsi="Arial"/>
                <w:sz w:val="18"/>
                <w:szCs w:val="18"/>
                <w:color w:val="auto"/>
              </w:rPr>
              <w:t>(2)</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rPr>
              <w:t>766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b w:val="1"/>
                <w:bCs w:val="1"/>
                <w:color w:val="auto"/>
              </w:rPr>
              <w:t>601</w:t>
            </w: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rPr>
              <w:t>$ 2,127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$ 2,112</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Income Taxes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September 30, 2008, we recognized approximately $425 million of income tax benefits as a result of the settlement of an uncertain tax position of an acquired entity. The tax position related to the deductibility of certain costs incurred in connection with a business acquisition. The primary impacts of the settlement were reductions to our deferred income tax and other long-term liabilities of approximately $480 million, a reduction to goodwill of approximately $440 million and a reduction to income tax expense of approximately $40 million. The settlement also reduced our unrecognized tax benefits, which were approximately $1.4 billion as of September 30, 2008.</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Statement of Cash Flows—Supplemental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Operating Activities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color w:val="auto"/>
                <w:w w:val="87"/>
              </w:rPr>
              <w:t>Nine Months Ended</w:t>
            </w:r>
          </w:p>
        </w:tc>
        <w:tc>
          <w:tcPr>
            <w:tcW w:w="0" w:type="dxa"/>
            <w:vAlign w:val="bottom"/>
          </w:tcPr>
          <w:p>
            <w:pPr>
              <w:spacing w:after="0"/>
              <w:rPr>
                <w:sz w:val="1"/>
                <w:szCs w:val="1"/>
                <w:color w:val="auto"/>
              </w:rPr>
            </w:pPr>
          </w:p>
        </w:tc>
      </w:tr>
      <w:tr>
        <w:trPr>
          <w:trHeight w:val="159"/>
        </w:trPr>
        <w:tc>
          <w:tcPr>
            <w:tcW w:w="780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78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8"/>
              <w:spacing w:after="0" w:line="142" w:lineRule="exact"/>
              <w:rPr>
                <w:sz w:val="20"/>
                <w:szCs w:val="20"/>
                <w:color w:val="auto"/>
              </w:rPr>
            </w:pPr>
            <w:r>
              <w:rPr>
                <w:rFonts w:ascii="Arial" w:cs="Arial" w:eastAsia="Arial" w:hAnsi="Arial"/>
                <w:sz w:val="14"/>
                <w:szCs w:val="14"/>
                <w:color w:val="auto"/>
              </w:rPr>
              <w:t>2008</w:t>
            </w:r>
          </w:p>
        </w:tc>
        <w:tc>
          <w:tcPr>
            <w:tcW w:w="8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color w:val="auto"/>
              </w:rPr>
              <w:t>$ 2,135</w:t>
            </w:r>
          </w:p>
        </w:tc>
        <w:tc>
          <w:tcPr>
            <w:tcW w:w="8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$ 1,985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4,093</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238"/>
              <w:spacing w:after="0"/>
              <w:rPr>
                <w:sz w:val="20"/>
                <w:szCs w:val="20"/>
                <w:color w:val="auto"/>
              </w:rPr>
            </w:pPr>
            <w:r>
              <w:rPr>
                <w:rFonts w:ascii="Arial" w:cs="Arial" w:eastAsia="Arial" w:hAnsi="Arial"/>
                <w:sz w:val="18"/>
                <w:szCs w:val="18"/>
                <w:color w:val="auto"/>
              </w:rPr>
              <w:t>694</w:t>
            </w:r>
          </w:p>
        </w:tc>
        <w:tc>
          <w:tcPr>
            <w:tcW w:w="800" w:type="dxa"/>
            <w:vAlign w:val="bottom"/>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195</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Noncash interest expense (income), net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238"/>
              <w:spacing w:after="0"/>
              <w:rPr>
                <w:sz w:val="20"/>
                <w:szCs w:val="20"/>
                <w:color w:val="auto"/>
              </w:rPr>
            </w:pPr>
            <w:r>
              <w:rPr>
                <w:rFonts w:ascii="Arial" w:cs="Arial" w:eastAsia="Arial" w:hAnsi="Arial"/>
                <w:sz w:val="18"/>
                <w:szCs w:val="18"/>
                <w:color w:val="auto"/>
              </w:rPr>
              <w:t>164</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Equity in net losses (income) of affiliates, net</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46</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(297)</w:t>
            </w:r>
          </w:p>
        </w:tc>
        <w:tc>
          <w:tcPr>
            <w:tcW w:w="800" w:type="dxa"/>
            <w:vAlign w:val="bottom"/>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Noncash contribution expense</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18"/>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(22)</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609</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Change in accounts receivable, net</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4</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(21)</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2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(227)</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b w:val="1"/>
                <w:bCs w:val="1"/>
                <w:color w:val="auto"/>
              </w:rPr>
              <w:t>$ 7,373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$ 5,505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780" w:type="dxa"/>
            <w:vAlign w:val="bottom"/>
            <w:gridSpan w:val="2"/>
          </w:tcPr>
          <w:p>
            <w:pPr>
              <w:jc w:val="center"/>
              <w:ind w:left="3512"/>
              <w:spacing w:after="0"/>
              <w:rPr>
                <w:sz w:val="20"/>
                <w:szCs w:val="20"/>
                <w:color w:val="auto"/>
              </w:rPr>
            </w:pPr>
            <w:r>
              <w:rPr>
                <w:rFonts w:ascii="Arial" w:cs="Arial" w:eastAsia="Arial" w:hAnsi="Arial"/>
                <w:sz w:val="18"/>
                <w:szCs w:val="18"/>
                <w:b w:val="1"/>
                <w:bCs w:val="1"/>
                <w:color w:val="auto"/>
                <w:w w:val="96"/>
              </w:rPr>
              <w:t>Cash Payments for Interest and Income Taxes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4"/>
          </w:tcPr>
          <w:p>
            <w:pPr>
              <w:jc w:val="right"/>
              <w:ind w:right="340"/>
              <w:spacing w:after="0"/>
              <w:rPr>
                <w:sz w:val="20"/>
                <w:szCs w:val="20"/>
                <w:color w:val="auto"/>
              </w:rPr>
            </w:pPr>
            <w:r>
              <w:rPr>
                <w:rFonts w:ascii="Arial" w:cs="Arial" w:eastAsia="Arial" w:hAnsi="Arial"/>
                <w:sz w:val="14"/>
                <w:szCs w:val="14"/>
                <w:color w:val="auto"/>
                <w:w w:val="90"/>
              </w:rPr>
              <w:t>Three Months Ended</w:t>
            </w:r>
          </w:p>
        </w:tc>
        <w:tc>
          <w:tcPr>
            <w:tcW w:w="1820" w:type="dxa"/>
            <w:vAlign w:val="bottom"/>
            <w:gridSpan w:val="3"/>
          </w:tcPr>
          <w:p>
            <w:pPr>
              <w:jc w:val="center"/>
              <w:ind w:left="178"/>
              <w:spacing w:after="0"/>
              <w:rPr>
                <w:sz w:val="20"/>
                <w:szCs w:val="20"/>
                <w:color w:val="auto"/>
              </w:rPr>
            </w:pPr>
            <w:r>
              <w:rPr>
                <w:rFonts w:ascii="Arial" w:cs="Arial" w:eastAsia="Arial" w:hAnsi="Arial"/>
                <w:sz w:val="14"/>
                <w:szCs w:val="14"/>
                <w:color w:val="auto"/>
                <w:w w:val="87"/>
              </w:rPr>
              <w:t>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4"/>
          </w:tcPr>
          <w:p>
            <w:pPr>
              <w:jc w:val="right"/>
              <w:ind w:right="520"/>
              <w:spacing w:after="0" w:line="159" w:lineRule="exact"/>
              <w:rPr>
                <w:sz w:val="20"/>
                <w:szCs w:val="20"/>
                <w:color w:val="auto"/>
              </w:rPr>
            </w:pPr>
            <w:r>
              <w:rPr>
                <w:rFonts w:ascii="Arial" w:cs="Arial" w:eastAsia="Arial" w:hAnsi="Arial"/>
                <w:sz w:val="14"/>
                <w:szCs w:val="14"/>
                <w:color w:val="auto"/>
              </w:rPr>
              <w:t>September 30</w:t>
            </w:r>
          </w:p>
        </w:tc>
        <w:tc>
          <w:tcPr>
            <w:tcW w:w="1820" w:type="dxa"/>
            <w:vAlign w:val="bottom"/>
            <w:gridSpan w:val="3"/>
          </w:tcPr>
          <w:p>
            <w:pPr>
              <w:jc w:val="center"/>
              <w:ind w:left="198"/>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75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84"/>
              <w:spacing w:after="0" w:line="142" w:lineRule="exact"/>
              <w:rPr>
                <w:sz w:val="20"/>
                <w:szCs w:val="20"/>
                <w:color w:val="auto"/>
              </w:rPr>
            </w:pPr>
            <w:r>
              <w:rPr>
                <w:rFonts w:ascii="Arial" w:cs="Arial" w:eastAsia="Arial" w:hAnsi="Arial"/>
                <w:sz w:val="14"/>
                <w:szCs w:val="14"/>
                <w:color w:val="auto"/>
                <w:w w:val="83"/>
              </w:rPr>
              <w:t>2008</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w w:val="89"/>
              </w:rPr>
              <w:t>2007</w:t>
            </w:r>
          </w:p>
        </w:tc>
        <w:tc>
          <w:tcPr>
            <w:tcW w:w="1000" w:type="dxa"/>
            <w:vAlign w:val="bottom"/>
            <w:tcBorders>
              <w:top w:val="single" w:sz="8" w:color="auto"/>
            </w:tcBorders>
          </w:tcPr>
          <w:p>
            <w:pPr>
              <w:jc w:val="center"/>
              <w:ind w:left="38"/>
              <w:spacing w:after="0" w:line="142" w:lineRule="exact"/>
              <w:rPr>
                <w:sz w:val="20"/>
                <w:szCs w:val="20"/>
                <w:color w:val="auto"/>
              </w:rPr>
            </w:pPr>
            <w:r>
              <w:rPr>
                <w:rFonts w:ascii="Arial" w:cs="Arial" w:eastAsia="Arial" w:hAnsi="Arial"/>
                <w:sz w:val="14"/>
                <w:szCs w:val="14"/>
                <w:color w:val="auto"/>
                <w:w w:val="89"/>
              </w:rPr>
              <w:t>2008</w:t>
            </w:r>
          </w:p>
        </w:tc>
        <w:tc>
          <w:tcPr>
            <w:tcW w:w="800" w:type="dxa"/>
            <w:vAlign w:val="bottom"/>
            <w:tcBorders>
              <w:top w:val="single" w:sz="8" w:color="auto"/>
            </w:tcBorders>
          </w:tcPr>
          <w:p>
            <w:pPr>
              <w:jc w:val="center"/>
              <w:ind w:left="174"/>
              <w:spacing w:after="0" w:line="142" w:lineRule="exact"/>
              <w:rPr>
                <w:sz w:val="20"/>
                <w:szCs w:val="20"/>
                <w:color w:val="auto"/>
              </w:rPr>
            </w:pPr>
            <w:r>
              <w:rPr>
                <w:rFonts w:ascii="Arial" w:cs="Arial" w:eastAsia="Arial" w:hAnsi="Arial"/>
                <w:sz w:val="14"/>
                <w:szCs w:val="14"/>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44"/>
              <w:spacing w:after="0"/>
              <w:rPr>
                <w:sz w:val="20"/>
                <w:szCs w:val="20"/>
                <w:color w:val="auto"/>
              </w:rPr>
            </w:pPr>
            <w:r>
              <w:rPr>
                <w:rFonts w:ascii="Arial" w:cs="Arial" w:eastAsia="Arial" w:hAnsi="Arial"/>
                <w:sz w:val="18"/>
                <w:szCs w:val="18"/>
                <w:color w:val="auto"/>
              </w:rPr>
              <w:t>679</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646</w:t>
            </w:r>
          </w:p>
        </w:tc>
        <w:tc>
          <w:tcPr>
            <w:tcW w:w="1000" w:type="dxa"/>
            <w:vAlign w:val="bottom"/>
            <w:tcBorders>
              <w:top w:val="single" w:sz="8" w:color="auto"/>
            </w:tcBorders>
            <w:shd w:val="clear" w:color="auto" w:fill="E5E5E5"/>
          </w:tcPr>
          <w:p>
            <w:pPr>
              <w:jc w:val="center"/>
              <w:ind w:left="18"/>
              <w:spacing w:after="0"/>
              <w:rPr>
                <w:sz w:val="20"/>
                <w:szCs w:val="20"/>
                <w:color w:val="auto"/>
              </w:rPr>
            </w:pPr>
            <w:r>
              <w:rPr>
                <w:rFonts w:ascii="Arial" w:cs="Arial" w:eastAsia="Arial" w:hAnsi="Arial"/>
                <w:sz w:val="18"/>
                <w:szCs w:val="18"/>
                <w:color w:val="auto"/>
                <w:w w:val="89"/>
              </w:rPr>
              <w:t>$ 1,795</w:t>
            </w:r>
          </w:p>
        </w:tc>
        <w:tc>
          <w:tcPr>
            <w:tcW w:w="800" w:type="dxa"/>
            <w:vAlign w:val="bottom"/>
            <w:tcBorders>
              <w:top w:val="single" w:sz="8" w:color="auto"/>
            </w:tcBorders>
            <w:shd w:val="clear" w:color="auto" w:fill="E5E5E5"/>
          </w:tcPr>
          <w:p>
            <w:pPr>
              <w:jc w:val="center"/>
              <w:ind w:left="174"/>
              <w:spacing w:after="0"/>
              <w:rPr>
                <w:sz w:val="20"/>
                <w:szCs w:val="20"/>
                <w:color w:val="auto"/>
              </w:rPr>
            </w:pPr>
            <w:r>
              <w:rPr>
                <w:rFonts w:ascii="Arial" w:cs="Arial" w:eastAsia="Arial" w:hAnsi="Arial"/>
                <w:sz w:val="18"/>
                <w:szCs w:val="18"/>
                <w:color w:val="auto"/>
                <w:w w:val="89"/>
              </w:rPr>
              <w:t>$ 1,724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44"/>
              <w:spacing w:after="0"/>
              <w:rPr>
                <w:sz w:val="20"/>
                <w:szCs w:val="20"/>
                <w:color w:val="auto"/>
              </w:rPr>
            </w:pPr>
            <w:r>
              <w:rPr>
                <w:rFonts w:ascii="Arial" w:cs="Arial" w:eastAsia="Arial" w:hAnsi="Arial"/>
                <w:sz w:val="18"/>
                <w:szCs w:val="18"/>
                <w:color w:val="auto"/>
              </w:rPr>
              <w:t>234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792</w:t>
            </w:r>
          </w:p>
        </w:tc>
        <w:tc>
          <w:tcPr>
            <w:tcW w:w="100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rPr>
              <w:t>$  589</w:t>
            </w:r>
          </w:p>
        </w:tc>
        <w:tc>
          <w:tcPr>
            <w:tcW w:w="800" w:type="dxa"/>
            <w:vAlign w:val="bottom"/>
            <w:tcBorders>
              <w:bottom w:val="single" w:sz="8" w:color="auto"/>
            </w:tcBorders>
          </w:tcPr>
          <w:p>
            <w:pPr>
              <w:jc w:val="center"/>
              <w:ind w:left="174"/>
              <w:spacing w:after="0"/>
              <w:rPr>
                <w:sz w:val="20"/>
                <w:szCs w:val="20"/>
                <w:color w:val="auto"/>
              </w:rPr>
            </w:pPr>
            <w:r>
              <w:rPr>
                <w:rFonts w:ascii="Arial" w:cs="Arial" w:eastAsia="Arial" w:hAnsi="Arial"/>
                <w:sz w:val="18"/>
                <w:szCs w:val="18"/>
                <w:color w:val="auto"/>
                <w:w w:val="89"/>
              </w:rPr>
              <w:t>$ 1,439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7540" w:type="dxa"/>
            <w:vAlign w:val="bottom"/>
            <w:gridSpan w:val="2"/>
          </w:tcPr>
          <w:p>
            <w:pPr>
              <w:jc w:val="right"/>
              <w:ind w:right="163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Financing and Investing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2008, we:</w:t>
      </w:r>
    </w:p>
    <w:p>
      <w:pPr>
        <w:spacing w:after="0" w:line="77" w:lineRule="exact"/>
        <w:rPr>
          <w:sz w:val="20"/>
          <w:szCs w:val="20"/>
          <w:color w:val="auto"/>
        </w:rPr>
      </w:pPr>
    </w:p>
    <w:p>
      <w:pPr>
        <w:ind w:left="1020" w:right="124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exchanged our 50% interest in the Insight asset pool for Insight’s 50% interest in the Comcast asset pool, which is a noncash investing activity</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a liability of approximately $180 million for a quarterly cash dividend of $0.0625 per common share paid in October 2008, which is a noncash financing activity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4"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One of our subsidiaries supports debt compliance with respect to obligations of a cable television investment in which we hold an ownership interest. The obligation expires March 2011. Although there can be no assurance, we believe that we will not be required to meet our obligation under such commitment. The total notional amount of our commitment was $410 million as of September 30, 2008, at which time there were no quoted market prices for similar agreements. This amount reflects a decrease of approximately $555 million from December 31, 2007, primarily as a result of the Insight transaction (see Note 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defendants in two purported class actions originally filed in the United States District Courts for the District of Massachusetts and the Eastern District of Pennsylvania, respectively. The potential class in the Massachusetts case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under antitrust statutes, including treble damages.</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motion to dismiss the Pennsylvania case on the pleadings was denied and classes of Philadelphia Cluster and Chicago Cluster subscribers were certified. Our motion to dismiss the Massachusetts case, which was subsequently transferred to the Eastern District of Pennsylvania, was also denied. We are proceeding with discovery on plaintiffs’ claims concerning the Philadelphia Cluster. Plaintiffs’ claims concerning the other two clusters are stayed pending determination of the Philadelphia Cluster claims.</w:t>
      </w:r>
    </w:p>
    <w:p>
      <w:pPr>
        <w:spacing w:after="0" w:line="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are among the defendants in a purported class action filed in the United States District Court for the Central District of California (“Central District”) in September 2007. The plaintiffs allege that the defendants who produce video programming have entered into agreements with the defendants who distribute video programming via cable and satellite (including us, among others), which preclude the distributors from reselling channels to subscribers on an “unbundled” basis in violation of federal antitrust laws. The plaintiffs seek treble damages for the loss of their ability to pick and choose the specific “bundled” channels to which they wish to subscribe, and injunctive relief requiring each distributor defendant to resell certain channels to its subscribers on an “unbundled” basis. The potential class is comprised of all persons residing in the United States who have subscribed to an expanded basic level of video service provided by one of the distributor defendants. We and the other defendants filed motions to dismiss an amended complaint in April 2008. In June 2008, the Central District denied the motions to dismiss. In July 2008, we and the other defendants filed motions to certify certain issues decided in the Central District’s June 2008 order for interlocutory appeal to the Ninth Circuit Court of Appeals. On August 8, 2008, the Central District denied the certification motions.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and Related Litigation</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and several of our current and former officers were named as defendants in a purported class action lawsuit filed in the United States District Court for the Eastern District of Pennsylvania (“Eastern District”) in January 2008. We filed a motion to dismiss the case in February 2008. The plaintiff did not respond, but instead sought leave to amend the complaint, which the court granted. The plaintiff filed an amended complaint in May 2008 naming only us and two current officers as defendants. The alleged class was comprised of purchasers of our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publicly issued securities between February 1, 2007 and December 4, 2007. The plaintiff asserted that during the alleged class period, the defendants violated federal securities laws through alleged material misstatements and omissions relating to forecast results for 2007. The plaintiff sought unspecified damages. In June 2008, we filed a motion to dismiss the amended complaint. In an order dated August 25, 2008, the Court granted our motion to dismiss and denied the plaintiff permission to amend the complaint again. The plaintiff has not timely appealed the Court’s decision, so the dismissal of this case is final.</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and several of our current officers have been named as defendants in a separate purported class action lawsuit filed in the Eastern District in February 2008. The alleged class comprises participants in our retirement-investment (401(k)) plan that invested in the plan’s company stock account. The plaintiff asserts that the defendants breached their fiduciary duties in managing the plan. The plaintiff seeks unspecified damages. The plaintiff filed an amended complaint in June 2008, and in July 2008 we filed a motion to dismiss the amended complaint. On October 29, 2008, the Court granted in part and denied in part that motion. The Court dismissed a claim alleging that defendants failed to provide complete and accurate disclosures concerning the plan, but did not dismiss claims alleging that plan assets were imprudently invested in company stock.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under applicable contractual indemnification provisions.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claims in each of the actions described above in this item are without merit and intend to defend the actions vigorously.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Financial Data by Business Segment</w:t>
      </w:r>
    </w:p>
    <w:p>
      <w:pPr>
        <w:spacing w:after="0" w:line="8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although approximately 95% of our assets relate to our Cable segment. Our financial data by business segment is presented below.</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Corporate and</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1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700" w:type="dxa"/>
            <w:vAlign w:val="bottom"/>
            <w:gridSpan w:val="2"/>
          </w:tcPr>
          <w:p>
            <w:pPr>
              <w:ind w:left="760"/>
              <w:spacing w:after="0" w:line="159" w:lineRule="exact"/>
              <w:rPr>
                <w:sz w:val="20"/>
                <w:szCs w:val="20"/>
                <w:color w:val="auto"/>
              </w:rPr>
            </w:pPr>
            <w:r>
              <w:rPr>
                <w:rFonts w:ascii="Arial" w:cs="Arial" w:eastAsia="Arial" w:hAnsi="Arial"/>
                <w:sz w:val="14"/>
                <w:szCs w:val="14"/>
                <w:color w:val="auto"/>
              </w:rPr>
              <w:t>Cable(a)(b)</w:t>
            </w:r>
          </w:p>
        </w:tc>
        <w:tc>
          <w:tcPr>
            <w:tcW w:w="15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Programming(c)</w:t>
            </w:r>
          </w:p>
        </w:tc>
        <w:tc>
          <w:tcPr>
            <w:tcW w:w="1460" w:type="dxa"/>
            <w:vAlign w:val="bottom"/>
            <w:gridSpan w:val="2"/>
          </w:tcPr>
          <w:p>
            <w:pPr>
              <w:jc w:val="right"/>
              <w:ind w:right="352"/>
              <w:spacing w:after="0" w:line="159" w:lineRule="exact"/>
              <w:rPr>
                <w:sz w:val="20"/>
                <w:szCs w:val="20"/>
                <w:color w:val="auto"/>
              </w:rPr>
            </w:pPr>
            <w:r>
              <w:rPr>
                <w:rFonts w:ascii="Arial" w:cs="Arial" w:eastAsia="Arial" w:hAnsi="Arial"/>
                <w:sz w:val="14"/>
                <w:szCs w:val="14"/>
                <w:color w:val="auto"/>
              </w:rPr>
              <w:t>Other(d)(e)</w:t>
            </w:r>
          </w:p>
        </w:tc>
        <w:tc>
          <w:tcPr>
            <w:tcW w:w="16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Eliminations(e)(f)</w:t>
            </w:r>
          </w:p>
        </w:tc>
        <w:tc>
          <w:tcPr>
            <w:tcW w:w="420" w:type="dxa"/>
            <w:vAlign w:val="bottom"/>
          </w:tcPr>
          <w:p>
            <w:pPr>
              <w:spacing w:after="0"/>
              <w:rPr>
                <w:sz w:val="13"/>
                <w:szCs w:val="13"/>
                <w:color w:val="auto"/>
              </w:rPr>
            </w:pPr>
          </w:p>
        </w:tc>
        <w:tc>
          <w:tcPr>
            <w:tcW w:w="480" w:type="dxa"/>
            <w:vAlign w:val="bottom"/>
          </w:tcPr>
          <w:p>
            <w:pPr>
              <w:jc w:val="right"/>
              <w:ind w:right="73"/>
              <w:spacing w:after="0" w:line="15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September 30, 2008</w:t>
            </w:r>
          </w:p>
        </w:tc>
        <w:tc>
          <w:tcPr>
            <w:tcW w:w="88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Revenue(g)</w:t>
            </w:r>
          </w:p>
        </w:tc>
        <w:tc>
          <w:tcPr>
            <w:tcW w:w="88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8,131</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347</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128</w:t>
            </w:r>
          </w:p>
        </w:tc>
        <w:tc>
          <w:tcPr>
            <w:tcW w:w="70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(57)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88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3,251</w:t>
            </w:r>
          </w:p>
        </w:tc>
        <w:tc>
          <w:tcPr>
            <w:tcW w:w="60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105</w:t>
            </w:r>
          </w:p>
        </w:tc>
        <w:tc>
          <w:tcPr>
            <w:tcW w:w="6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(119)</w:t>
            </w:r>
          </w:p>
        </w:tc>
        <w:tc>
          <w:tcPr>
            <w:tcW w:w="70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1,502</w:t>
            </w:r>
          </w:p>
        </w:tc>
        <w:tc>
          <w:tcPr>
            <w:tcW w:w="60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1,749</w:t>
            </w:r>
          </w:p>
        </w:tc>
        <w:tc>
          <w:tcPr>
            <w:tcW w:w="60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59</w:t>
            </w: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(146)</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8</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1,268</w:t>
            </w:r>
          </w:p>
        </w:tc>
        <w:tc>
          <w:tcPr>
            <w:tcW w:w="600" w:type="dxa"/>
            <w:vAlign w:val="bottom"/>
          </w:tcPr>
          <w:p>
            <w:pPr>
              <w:spacing w:after="0"/>
              <w:rPr>
                <w:sz w:val="19"/>
                <w:szCs w:val="19"/>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19"/>
                <w:szCs w:val="19"/>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September 30, 2007</w:t>
            </w:r>
          </w:p>
        </w:tc>
        <w:tc>
          <w:tcPr>
            <w:tcW w:w="8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Revenue(g)</w:t>
            </w:r>
          </w:p>
        </w:tc>
        <w:tc>
          <w:tcPr>
            <w:tcW w:w="88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7,400</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330</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96</w:t>
            </w:r>
          </w:p>
        </w:tc>
        <w:tc>
          <w:tcPr>
            <w:tcW w:w="70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(45)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88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2,975</w:t>
            </w:r>
          </w:p>
        </w:tc>
        <w:tc>
          <w:tcPr>
            <w:tcW w:w="60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97</w:t>
            </w:r>
          </w:p>
        </w:tc>
        <w:tc>
          <w:tcPr>
            <w:tcW w:w="6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(152)</w:t>
            </w:r>
          </w:p>
        </w:tc>
        <w:tc>
          <w:tcPr>
            <w:tcW w:w="70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1,473</w:t>
            </w:r>
          </w:p>
        </w:tc>
        <w:tc>
          <w:tcPr>
            <w:tcW w:w="60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1,502</w:t>
            </w:r>
          </w:p>
        </w:tc>
        <w:tc>
          <w:tcPr>
            <w:tcW w:w="60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51</w:t>
            </w: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(179)</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17</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1,492</w:t>
            </w:r>
          </w:p>
        </w:tc>
        <w:tc>
          <w:tcPr>
            <w:tcW w:w="600" w:type="dxa"/>
            <w:vAlign w:val="bottom"/>
          </w:tcPr>
          <w:p>
            <w:pPr>
              <w:spacing w:after="0"/>
              <w:rPr>
                <w:sz w:val="19"/>
                <w:szCs w:val="19"/>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19"/>
                <w:szCs w:val="19"/>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Nine months ended September 30, 2008</w:t>
            </w:r>
          </w:p>
        </w:tc>
        <w:tc>
          <w:tcPr>
            <w:tcW w:w="8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Revenue(g)</w:t>
            </w:r>
          </w:p>
        </w:tc>
        <w:tc>
          <w:tcPr>
            <w:tcW w:w="88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24,147</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1,076</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453</w:t>
            </w:r>
          </w:p>
        </w:tc>
        <w:tc>
          <w:tcPr>
            <w:tcW w:w="70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(185)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25,491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88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9,755</w:t>
            </w:r>
          </w:p>
        </w:tc>
        <w:tc>
          <w:tcPr>
            <w:tcW w:w="60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307</w:t>
            </w:r>
          </w:p>
        </w:tc>
        <w:tc>
          <w:tcPr>
            <w:tcW w:w="6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(299)</w:t>
            </w:r>
          </w:p>
        </w:tc>
        <w:tc>
          <w:tcPr>
            <w:tcW w:w="70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w:t>
            </w:r>
          </w:p>
        </w:tc>
        <w:tc>
          <w:tcPr>
            <w:tcW w:w="42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4,587</w:t>
            </w:r>
          </w:p>
        </w:tc>
        <w:tc>
          <w:tcPr>
            <w:tcW w:w="60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145</w:t>
            </w:r>
          </w:p>
        </w:tc>
        <w:tc>
          <w:tcPr>
            <w:tcW w:w="60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78</w:t>
            </w:r>
          </w:p>
        </w:tc>
        <w:tc>
          <w:tcPr>
            <w:tcW w:w="7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5,168</w:t>
            </w:r>
          </w:p>
        </w:tc>
        <w:tc>
          <w:tcPr>
            <w:tcW w:w="60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162</w:t>
            </w: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(377)</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22</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3,877</w:t>
            </w:r>
          </w:p>
        </w:tc>
        <w:tc>
          <w:tcPr>
            <w:tcW w:w="600" w:type="dxa"/>
            <w:vAlign w:val="bottom"/>
          </w:tcPr>
          <w:p>
            <w:pPr>
              <w:spacing w:after="0"/>
              <w:rPr>
                <w:sz w:val="19"/>
                <w:szCs w:val="19"/>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138</w:t>
            </w:r>
          </w:p>
        </w:tc>
        <w:tc>
          <w:tcPr>
            <w:tcW w:w="700" w:type="dxa"/>
            <w:vAlign w:val="bottom"/>
          </w:tcPr>
          <w:p>
            <w:pPr>
              <w:spacing w:after="0"/>
              <w:rPr>
                <w:sz w:val="19"/>
                <w:szCs w:val="19"/>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Nine months ended September 30, 2007</w:t>
            </w:r>
          </w:p>
        </w:tc>
        <w:tc>
          <w:tcPr>
            <w:tcW w:w="8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Revenue(g)</w:t>
            </w:r>
          </w:p>
        </w:tc>
        <w:tc>
          <w:tcPr>
            <w:tcW w:w="88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21,728</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966</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354</w:t>
            </w:r>
          </w:p>
        </w:tc>
        <w:tc>
          <w:tcPr>
            <w:tcW w:w="70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(167)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22,881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88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8,799</w:t>
            </w:r>
          </w:p>
        </w:tc>
        <w:tc>
          <w:tcPr>
            <w:tcW w:w="60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237</w:t>
            </w:r>
          </w:p>
        </w:tc>
        <w:tc>
          <w:tcPr>
            <w:tcW w:w="6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(339)</w:t>
            </w:r>
          </w:p>
        </w:tc>
        <w:tc>
          <w:tcPr>
            <w:tcW w:w="70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7</w:t>
            </w:r>
          </w:p>
        </w:tc>
        <w:tc>
          <w:tcPr>
            <w:tcW w:w="42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4,384</w:t>
            </w:r>
          </w:p>
        </w:tc>
        <w:tc>
          <w:tcPr>
            <w:tcW w:w="60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139</w:t>
            </w:r>
          </w:p>
        </w:tc>
        <w:tc>
          <w:tcPr>
            <w:tcW w:w="60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79</w:t>
            </w:r>
          </w:p>
        </w:tc>
        <w:tc>
          <w:tcPr>
            <w:tcW w:w="7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4,415</w:t>
            </w:r>
          </w:p>
        </w:tc>
        <w:tc>
          <w:tcPr>
            <w:tcW w:w="60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98</w:t>
            </w: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(418)</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25</w:t>
            </w: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4,521</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22</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41</w:t>
            </w: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2008 and 2007, Cable segment revenue was derived from the following services:</w:t>
      </w:r>
    </w:p>
    <w:p>
      <w:pPr>
        <w:spacing w:after="0" w:line="4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420" w:type="dxa"/>
            <w:vAlign w:val="bottom"/>
            <w:gridSpan w:val="2"/>
          </w:tcPr>
          <w:p>
            <w:pPr>
              <w:jc w:val="right"/>
              <w:ind w:right="532"/>
              <w:spacing w:after="0"/>
              <w:rPr>
                <w:sz w:val="20"/>
                <w:szCs w:val="20"/>
                <w:color w:val="auto"/>
              </w:rPr>
            </w:pPr>
            <w:r>
              <w:rPr>
                <w:rFonts w:ascii="Arial" w:cs="Arial" w:eastAsia="Arial" w:hAnsi="Arial"/>
                <w:sz w:val="14"/>
                <w:szCs w:val="14"/>
                <w:color w:val="auto"/>
              </w:rPr>
              <w:t>Three Months Ended</w:t>
            </w:r>
          </w:p>
        </w:tc>
        <w:tc>
          <w:tcPr>
            <w:tcW w:w="1880" w:type="dxa"/>
            <w:vAlign w:val="bottom"/>
            <w:gridSpan w:val="3"/>
          </w:tcPr>
          <w:p>
            <w:pPr>
              <w:ind w:left="420"/>
              <w:spacing w:after="0"/>
              <w:rPr>
                <w:sz w:val="20"/>
                <w:szCs w:val="20"/>
                <w:color w:val="auto"/>
              </w:rPr>
            </w:pPr>
            <w:r>
              <w:rPr>
                <w:rFonts w:ascii="Arial" w:cs="Arial" w:eastAsia="Arial" w:hAnsi="Arial"/>
                <w:sz w:val="14"/>
                <w:szCs w:val="14"/>
                <w:color w:val="auto"/>
              </w:rPr>
              <w:t>Nine Months Ended</w:t>
            </w:r>
          </w:p>
        </w:tc>
      </w:tr>
      <w:tr>
        <w:trPr>
          <w:trHeight w:val="173"/>
        </w:trPr>
        <w:tc>
          <w:tcPr>
            <w:tcW w:w="6780" w:type="dxa"/>
            <w:vAlign w:val="bottom"/>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September 30</w:t>
            </w: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67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rPr>
              <w:t>2008</w:t>
            </w: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w w:val="89"/>
              </w:rPr>
              <w:t>2007</w:t>
            </w:r>
          </w:p>
        </w:tc>
        <w:tc>
          <w:tcPr>
            <w:tcW w:w="13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color w:val="auto"/>
              </w:rPr>
              <w:t>2008</w:t>
            </w: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83"/>
              </w:rPr>
              <w:t>2007</w:t>
            </w:r>
          </w:p>
        </w:tc>
        <w:tc>
          <w:tcPr>
            <w:tcW w:w="20" w:type="dxa"/>
            <w:vAlign w:val="bottom"/>
          </w:tcPr>
          <w:p>
            <w:pPr>
              <w:spacing w:after="0"/>
              <w:rPr>
                <w:sz w:val="20"/>
                <w:szCs w:val="20"/>
                <w:color w:val="auto"/>
              </w:rPr>
            </w:pPr>
          </w:p>
        </w:tc>
      </w:tr>
      <w:tr>
        <w:trPr>
          <w:trHeight w:val="142"/>
        </w:trPr>
        <w:tc>
          <w:tcPr>
            <w:tcW w:w="678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Video</w:t>
            </w:r>
          </w:p>
        </w:tc>
        <w:tc>
          <w:tcPr>
            <w:tcW w:w="1640" w:type="dxa"/>
            <w:vAlign w:val="bottom"/>
            <w:shd w:val="clear" w:color="auto" w:fill="E5E5E5"/>
          </w:tcPr>
          <w:p>
            <w:pPr>
              <w:jc w:val="right"/>
              <w:ind w:right="572"/>
              <w:spacing w:after="0" w:line="142" w:lineRule="exact"/>
              <w:rPr>
                <w:sz w:val="20"/>
                <w:szCs w:val="20"/>
                <w:color w:val="auto"/>
              </w:rPr>
            </w:pPr>
            <w:r>
              <w:rPr>
                <w:rFonts w:ascii="Arial" w:cs="Arial" w:eastAsia="Arial" w:hAnsi="Arial"/>
                <w:sz w:val="14"/>
                <w:szCs w:val="14"/>
                <w:color w:val="auto"/>
              </w:rPr>
              <w:t>57.6%</w:t>
            </w:r>
          </w:p>
        </w:tc>
        <w:tc>
          <w:tcPr>
            <w:tcW w:w="78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59.4%</w:t>
            </w:r>
          </w:p>
        </w:tc>
        <w:tc>
          <w:tcPr>
            <w:tcW w:w="1360" w:type="dxa"/>
            <w:vAlign w:val="bottom"/>
            <w:shd w:val="clear" w:color="auto" w:fill="E5E5E5"/>
          </w:tcPr>
          <w:p>
            <w:pPr>
              <w:jc w:val="right"/>
              <w:ind w:right="552"/>
              <w:spacing w:after="0" w:line="142" w:lineRule="exact"/>
              <w:rPr>
                <w:sz w:val="20"/>
                <w:szCs w:val="20"/>
                <w:color w:val="auto"/>
              </w:rPr>
            </w:pPr>
            <w:r>
              <w:rPr>
                <w:rFonts w:ascii="Arial" w:cs="Arial" w:eastAsia="Arial" w:hAnsi="Arial"/>
                <w:sz w:val="14"/>
                <w:szCs w:val="14"/>
                <w:color w:val="auto"/>
              </w:rPr>
              <w:t>58.4%</w:t>
            </w:r>
          </w:p>
        </w:tc>
        <w:tc>
          <w:tcPr>
            <w:tcW w:w="50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60.9%</w:t>
            </w:r>
          </w:p>
        </w:tc>
        <w:tc>
          <w:tcPr>
            <w:tcW w:w="20" w:type="dxa"/>
            <w:vAlign w:val="bottom"/>
          </w:tcPr>
          <w:p>
            <w:pPr>
              <w:spacing w:after="0"/>
              <w:rPr>
                <w:sz w:val="12"/>
                <w:szCs w:val="12"/>
                <w:color w:val="auto"/>
              </w:rPr>
            </w:pPr>
          </w:p>
        </w:tc>
      </w:tr>
      <w:tr>
        <w:trPr>
          <w:trHeight w:val="149"/>
        </w:trPr>
        <w:tc>
          <w:tcPr>
            <w:tcW w:w="678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164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22.4</w:t>
            </w:r>
          </w:p>
        </w:tc>
        <w:tc>
          <w:tcPr>
            <w:tcW w:w="7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21.9</w:t>
            </w:r>
          </w:p>
        </w:tc>
        <w:tc>
          <w:tcPr>
            <w:tcW w:w="136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22.2</w:t>
            </w: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21.8</w:t>
            </w:r>
          </w:p>
        </w:tc>
        <w:tc>
          <w:tcPr>
            <w:tcW w:w="20" w:type="dxa"/>
            <w:vAlign w:val="bottom"/>
          </w:tcPr>
          <w:p>
            <w:pPr>
              <w:spacing w:after="0"/>
              <w:rPr>
                <w:sz w:val="12"/>
                <w:szCs w:val="12"/>
                <w:color w:val="auto"/>
              </w:rPr>
            </w:pPr>
          </w:p>
        </w:tc>
      </w:tr>
      <w:tr>
        <w:trPr>
          <w:trHeight w:val="149"/>
        </w:trPr>
        <w:tc>
          <w:tcPr>
            <w:tcW w:w="67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Phone</w:t>
            </w:r>
          </w:p>
        </w:tc>
        <w:tc>
          <w:tcPr>
            <w:tcW w:w="1640" w:type="dxa"/>
            <w:vAlign w:val="bottom"/>
            <w:shd w:val="clear" w:color="auto" w:fill="E5E5E5"/>
          </w:tcPr>
          <w:p>
            <w:pPr>
              <w:jc w:val="right"/>
              <w:ind w:right="672"/>
              <w:spacing w:after="0" w:line="149" w:lineRule="exact"/>
              <w:rPr>
                <w:sz w:val="20"/>
                <w:szCs w:val="20"/>
                <w:color w:val="auto"/>
              </w:rPr>
            </w:pPr>
            <w:r>
              <w:rPr>
                <w:rFonts w:ascii="Arial" w:cs="Arial" w:eastAsia="Arial" w:hAnsi="Arial"/>
                <w:sz w:val="14"/>
                <w:szCs w:val="14"/>
                <w:color w:val="auto"/>
              </w:rPr>
              <w:t>8.5</w:t>
            </w:r>
          </w:p>
        </w:tc>
        <w:tc>
          <w:tcPr>
            <w:tcW w:w="780" w:type="dxa"/>
            <w:vAlign w:val="bottom"/>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6.4</w:t>
            </w:r>
          </w:p>
        </w:tc>
        <w:tc>
          <w:tcPr>
            <w:tcW w:w="1360" w:type="dxa"/>
            <w:vAlign w:val="bottom"/>
            <w:shd w:val="clear" w:color="auto" w:fill="E5E5E5"/>
          </w:tcPr>
          <w:p>
            <w:pPr>
              <w:jc w:val="right"/>
              <w:ind w:right="672"/>
              <w:spacing w:after="0" w:line="149" w:lineRule="exact"/>
              <w:rPr>
                <w:sz w:val="20"/>
                <w:szCs w:val="20"/>
                <w:color w:val="auto"/>
              </w:rPr>
            </w:pPr>
            <w:r>
              <w:rPr>
                <w:rFonts w:ascii="Arial" w:cs="Arial" w:eastAsia="Arial" w:hAnsi="Arial"/>
                <w:sz w:val="14"/>
                <w:szCs w:val="14"/>
                <w:color w:val="auto"/>
              </w:rPr>
              <w:t>7.9</w:t>
            </w:r>
          </w:p>
        </w:tc>
        <w:tc>
          <w:tcPr>
            <w:tcW w:w="5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r>
      <w:tr>
        <w:trPr>
          <w:trHeight w:val="149"/>
        </w:trPr>
        <w:tc>
          <w:tcPr>
            <w:tcW w:w="678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64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4.6</w:t>
            </w:r>
          </w:p>
        </w:tc>
        <w:tc>
          <w:tcPr>
            <w:tcW w:w="7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5.5</w:t>
            </w:r>
          </w:p>
        </w:tc>
        <w:tc>
          <w:tcPr>
            <w:tcW w:w="136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4.6</w:t>
            </w: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w:t>
            </w:r>
          </w:p>
        </w:tc>
        <w:tc>
          <w:tcPr>
            <w:tcW w:w="20" w:type="dxa"/>
            <w:vAlign w:val="bottom"/>
          </w:tcPr>
          <w:p>
            <w:pPr>
              <w:spacing w:after="0"/>
              <w:rPr>
                <w:sz w:val="12"/>
                <w:szCs w:val="12"/>
                <w:color w:val="auto"/>
              </w:rPr>
            </w:pPr>
          </w:p>
        </w:tc>
      </w:tr>
      <w:tr>
        <w:trPr>
          <w:trHeight w:val="149"/>
        </w:trPr>
        <w:tc>
          <w:tcPr>
            <w:tcW w:w="67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Franchise fees</w:t>
            </w:r>
          </w:p>
        </w:tc>
        <w:tc>
          <w:tcPr>
            <w:tcW w:w="1640" w:type="dxa"/>
            <w:vAlign w:val="bottom"/>
            <w:shd w:val="clear" w:color="auto" w:fill="E5E5E5"/>
          </w:tcPr>
          <w:p>
            <w:pPr>
              <w:jc w:val="right"/>
              <w:ind w:right="672"/>
              <w:spacing w:after="0" w:line="149" w:lineRule="exact"/>
              <w:rPr>
                <w:sz w:val="20"/>
                <w:szCs w:val="20"/>
                <w:color w:val="auto"/>
              </w:rPr>
            </w:pPr>
            <w:r>
              <w:rPr>
                <w:rFonts w:ascii="Arial" w:cs="Arial" w:eastAsia="Arial" w:hAnsi="Arial"/>
                <w:sz w:val="14"/>
                <w:szCs w:val="14"/>
                <w:color w:val="auto"/>
              </w:rPr>
              <w:t>2.8</w:t>
            </w:r>
          </w:p>
        </w:tc>
        <w:tc>
          <w:tcPr>
            <w:tcW w:w="780" w:type="dxa"/>
            <w:vAlign w:val="bottom"/>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2.8</w:t>
            </w:r>
          </w:p>
        </w:tc>
        <w:tc>
          <w:tcPr>
            <w:tcW w:w="1360" w:type="dxa"/>
            <w:vAlign w:val="bottom"/>
            <w:shd w:val="clear" w:color="auto" w:fill="E5E5E5"/>
          </w:tcPr>
          <w:p>
            <w:pPr>
              <w:jc w:val="right"/>
              <w:ind w:right="672"/>
              <w:spacing w:after="0" w:line="149" w:lineRule="exact"/>
              <w:rPr>
                <w:sz w:val="20"/>
                <w:szCs w:val="20"/>
                <w:color w:val="auto"/>
              </w:rPr>
            </w:pPr>
            <w:r>
              <w:rPr>
                <w:rFonts w:ascii="Arial" w:cs="Arial" w:eastAsia="Arial" w:hAnsi="Arial"/>
                <w:sz w:val="14"/>
                <w:szCs w:val="14"/>
                <w:color w:val="auto"/>
              </w:rPr>
              <w:t>2.8</w:t>
            </w:r>
          </w:p>
        </w:tc>
        <w:tc>
          <w:tcPr>
            <w:tcW w:w="50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r>
      <w:tr>
        <w:trPr>
          <w:trHeight w:val="149"/>
        </w:trPr>
        <w:tc>
          <w:tcPr>
            <w:tcW w:w="67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w:t>
            </w:r>
          </w:p>
        </w:tc>
        <w:tc>
          <w:tcPr>
            <w:tcW w:w="1640" w:type="dxa"/>
            <w:vAlign w:val="bottom"/>
            <w:tcBorders>
              <w:bottom w:val="single" w:sz="8" w:color="auto"/>
            </w:tcBorders>
          </w:tcPr>
          <w:p>
            <w:pPr>
              <w:jc w:val="right"/>
              <w:ind w:right="672"/>
              <w:spacing w:after="0" w:line="149" w:lineRule="exact"/>
              <w:rPr>
                <w:sz w:val="20"/>
                <w:szCs w:val="20"/>
                <w:color w:val="auto"/>
              </w:rPr>
            </w:pPr>
            <w:r>
              <w:rPr>
                <w:rFonts w:ascii="Arial" w:cs="Arial" w:eastAsia="Arial" w:hAnsi="Arial"/>
                <w:sz w:val="14"/>
                <w:szCs w:val="14"/>
                <w:color w:val="auto"/>
              </w:rPr>
              <w:t>4.1</w:t>
            </w:r>
          </w:p>
        </w:tc>
        <w:tc>
          <w:tcPr>
            <w:tcW w:w="78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color w:val="auto"/>
              </w:rPr>
              <w:t>4.0</w:t>
            </w:r>
          </w:p>
        </w:tc>
        <w:tc>
          <w:tcPr>
            <w:tcW w:w="1360" w:type="dxa"/>
            <w:vAlign w:val="bottom"/>
            <w:tcBorders>
              <w:bottom w:val="single" w:sz="8" w:color="auto"/>
            </w:tcBorders>
          </w:tcPr>
          <w:p>
            <w:pPr>
              <w:jc w:val="right"/>
              <w:ind w:right="672"/>
              <w:spacing w:after="0" w:line="149" w:lineRule="exact"/>
              <w:rPr>
                <w:sz w:val="20"/>
                <w:szCs w:val="20"/>
                <w:color w:val="auto"/>
              </w:rPr>
            </w:pPr>
            <w:r>
              <w:rPr>
                <w:rFonts w:ascii="Arial" w:cs="Arial" w:eastAsia="Arial" w:hAnsi="Arial"/>
                <w:sz w:val="14"/>
                <w:szCs w:val="14"/>
                <w:color w:val="auto"/>
              </w:rPr>
              <w:t>4.1</w:t>
            </w: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2"/>
                <w:szCs w:val="12"/>
                <w:color w:val="auto"/>
              </w:rPr>
            </w:pPr>
          </w:p>
        </w:tc>
      </w:tr>
      <w:tr>
        <w:trPr>
          <w:trHeight w:val="149"/>
        </w:trPr>
        <w:tc>
          <w:tcPr>
            <w:tcW w:w="678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Total</w:t>
            </w:r>
          </w:p>
        </w:tc>
        <w:tc>
          <w:tcPr>
            <w:tcW w:w="1640" w:type="dxa"/>
            <w:vAlign w:val="bottom"/>
            <w:tcBorders>
              <w:bottom w:val="single" w:sz="8" w:color="auto"/>
            </w:tcBorders>
            <w:shd w:val="clear" w:color="auto" w:fill="E5E5E5"/>
          </w:tcPr>
          <w:p>
            <w:pPr>
              <w:jc w:val="right"/>
              <w:ind w:right="552"/>
              <w:spacing w:after="0" w:line="142" w:lineRule="exact"/>
              <w:rPr>
                <w:sz w:val="20"/>
                <w:szCs w:val="20"/>
                <w:color w:val="auto"/>
              </w:rPr>
            </w:pPr>
            <w:r>
              <w:rPr>
                <w:rFonts w:ascii="Arial" w:cs="Arial" w:eastAsia="Arial" w:hAnsi="Arial"/>
                <w:sz w:val="14"/>
                <w:szCs w:val="14"/>
                <w:b w:val="1"/>
                <w:bCs w:val="1"/>
                <w:color w:val="auto"/>
              </w:rPr>
              <w:t>100%</w:t>
            </w:r>
          </w:p>
        </w:tc>
        <w:tc>
          <w:tcPr>
            <w:tcW w:w="78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100%</w:t>
            </w:r>
          </w:p>
        </w:tc>
        <w:tc>
          <w:tcPr>
            <w:tcW w:w="1360" w:type="dxa"/>
            <w:vAlign w:val="bottom"/>
            <w:tcBorders>
              <w:bottom w:val="single" w:sz="8" w:color="auto"/>
            </w:tcBorders>
            <w:shd w:val="clear" w:color="auto" w:fill="E5E5E5"/>
          </w:tcPr>
          <w:p>
            <w:pPr>
              <w:jc w:val="right"/>
              <w:ind w:right="532"/>
              <w:spacing w:after="0" w:line="142" w:lineRule="exact"/>
              <w:rPr>
                <w:sz w:val="20"/>
                <w:szCs w:val="20"/>
                <w:color w:val="auto"/>
              </w:rPr>
            </w:pPr>
            <w:r>
              <w:rPr>
                <w:rFonts w:ascii="Arial" w:cs="Arial" w:eastAsia="Arial" w:hAnsi="Arial"/>
                <w:sz w:val="14"/>
                <w:szCs w:val="14"/>
                <w:b w:val="1"/>
                <w:bCs w:val="1"/>
                <w:color w:val="auto"/>
              </w:rPr>
              <w:t>100%</w:t>
            </w:r>
          </w:p>
        </w:tc>
        <w:tc>
          <w:tcPr>
            <w:tcW w:w="5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0" w:type="dxa"/>
            <w:vAlign w:val="bottom"/>
          </w:tcPr>
          <w:p>
            <w:pPr>
              <w:spacing w:after="0"/>
              <w:rPr>
                <w:sz w:val="12"/>
                <w:szCs w:val="12"/>
                <w:color w:val="auto"/>
              </w:rPr>
            </w:pPr>
          </w:p>
        </w:tc>
      </w:tr>
    </w:tbl>
    <w:p>
      <w:pPr>
        <w:spacing w:after="0" w:line="57" w:lineRule="exact"/>
        <w:rPr>
          <w:sz w:val="20"/>
          <w:szCs w:val="20"/>
          <w:color w:val="auto"/>
        </w:rPr>
      </w:pPr>
    </w:p>
    <w:p>
      <w:pPr>
        <w:jc w:val="both"/>
        <w:ind w:left="360"/>
        <w:spacing w:after="0" w:line="239" w:lineRule="auto"/>
        <w:rPr>
          <w:sz w:val="20"/>
          <w:szCs w:val="20"/>
          <w:color w:val="auto"/>
        </w:rPr>
      </w:pPr>
      <w:r>
        <w:rPr>
          <w:rFonts w:ascii="Arial" w:cs="Arial" w:eastAsia="Arial" w:hAnsi="Arial"/>
          <w:sz w:val="14"/>
          <w:szCs w:val="14"/>
          <w:color w:val="auto"/>
        </w:rPr>
        <w:t>Subscription revenue received from subscribers who purchase bundled services at a discounted rate is allocated proportionately to each service based on the individual service’s price on a stand-alone basis.</w:t>
      </w:r>
    </w:p>
    <w:p>
      <w:pPr>
        <w:spacing w:after="0" w:line="4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Cable segment includes our regional sports and news networks.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Programming consists primarily of our consolidated national programming networks, including E!, Golf Channel, VERSUS, G4 and Style.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Corporate and Other includes Comcast Spectacor, Comcast Interactive Media, a portion of the operating results of our less than wholly owned technology development ventures (see “(e)” below), corporate activities and all other businesses not presented in our Cable or Programming segments.</w:t>
      </w:r>
    </w:p>
    <w:p>
      <w:pPr>
        <w:spacing w:after="0" w:line="43" w:lineRule="exact"/>
        <w:rPr>
          <w:rFonts w:ascii="Arial" w:cs="Arial" w:eastAsia="Arial" w:hAnsi="Arial"/>
          <w:sz w:val="14"/>
          <w:szCs w:val="14"/>
          <w:color w:val="auto"/>
        </w:rPr>
      </w:pPr>
    </w:p>
    <w:p>
      <w:pPr>
        <w:jc w:val="both"/>
        <w:ind w:left="340" w:right="2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consolidate our less than wholly owned technology development ventures, which we control or of which we are considered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except for cost allocations, which are made to the Cable segment based on our percentage ownership in each entity.</w:t>
      </w:r>
    </w:p>
    <w:p>
      <w:pPr>
        <w:spacing w:after="0" w:line="16" w:lineRule="exact"/>
        <w:rPr>
          <w:rFonts w:ascii="Arial" w:cs="Arial" w:eastAsia="Arial" w:hAnsi="Arial"/>
          <w:sz w:val="12"/>
          <w:szCs w:val="12"/>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the Eliminations column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Programming segment generates revenue by selling cable network programming to our Cable segment, which represents a substantial majority of the revenue elimination amount</w:t>
      </w:r>
    </w:p>
    <w:p>
      <w:pPr>
        <w:spacing w:after="0" w:line="43"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segment receives incentives offered by our Programming segment when negotiating programming contracts that are recorded as a reduction to programming expenses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segment generates revenue by selling the use of satellite feeds to our Programming segment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Non-U.S. revenue was not significant in any period. No single customer accounted for a significant amount of our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To measure the performance of our operating segments, we use operating income (loss)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Additionally, it is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 each other’s debt securities. Comcast MO Group, CCH and Comcast MO of Delaware are collectively referred to as the “Combined CCHMO Parents.”</w:t>
      </w:r>
    </w:p>
    <w:p>
      <w:pPr>
        <w:spacing w:after="0" w:line="7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Comcast Corporation unconditionally guarantees Comcast Holdings’ ZONES due October 2029 and its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subordinated debentures due 2012, both of which were issued by Comcast Holdings. Accordingly, we have included Comcast Holdings’ condensed consolidated financial information for all periods presented. Our condensed consolidating financial information is presented below.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8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2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94"/>
              </w:rPr>
              <w:t>CCCL</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88"/>
              </w:rPr>
              <w:t>CCCH</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Guarantor</w:t>
            </w:r>
          </w:p>
        </w:tc>
        <w:tc>
          <w:tcPr>
            <w:tcW w:w="10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59"/>
        </w:trPr>
        <w:tc>
          <w:tcPr>
            <w:tcW w:w="45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3"/>
                <w:szCs w:val="13"/>
                <w:color w:val="auto"/>
              </w:rPr>
            </w:pPr>
          </w:p>
        </w:tc>
        <w:tc>
          <w:tcPr>
            <w:tcW w:w="600" w:type="dxa"/>
            <w:vAlign w:val="bottom"/>
          </w:tcPr>
          <w:p>
            <w:pPr>
              <w:jc w:val="right"/>
              <w:ind w:right="133"/>
              <w:spacing w:after="0" w:line="159" w:lineRule="exact"/>
              <w:rPr>
                <w:sz w:val="20"/>
                <w:szCs w:val="20"/>
                <w:color w:val="auto"/>
              </w:rPr>
            </w:pPr>
            <w:r>
              <w:rPr>
                <w:rFonts w:ascii="Arial" w:cs="Arial" w:eastAsia="Arial" w:hAnsi="Arial"/>
                <w:sz w:val="14"/>
                <w:szCs w:val="14"/>
                <w:color w:val="auto"/>
                <w:w w:val="87"/>
              </w:rPr>
              <w:t>Parent</w:t>
            </w:r>
          </w:p>
        </w:tc>
        <w:tc>
          <w:tcPr>
            <w:tcW w:w="200" w:type="dxa"/>
            <w:vAlign w:val="bottom"/>
          </w:tcPr>
          <w:p>
            <w:pPr>
              <w:spacing w:after="0"/>
              <w:rPr>
                <w:sz w:val="13"/>
                <w:szCs w:val="13"/>
                <w:color w:val="auto"/>
              </w:rPr>
            </w:pPr>
          </w:p>
        </w:tc>
        <w:tc>
          <w:tcPr>
            <w:tcW w:w="60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2"/>
              </w:rPr>
              <w:t>Parent</w:t>
            </w:r>
          </w:p>
        </w:tc>
        <w:tc>
          <w:tcPr>
            <w:tcW w:w="200" w:type="dxa"/>
            <w:vAlign w:val="bottom"/>
          </w:tcPr>
          <w:p>
            <w:pPr>
              <w:spacing w:after="0"/>
              <w:rPr>
                <w:sz w:val="13"/>
                <w:szCs w:val="13"/>
                <w:color w:val="auto"/>
              </w:rPr>
            </w:pPr>
          </w:p>
        </w:tc>
        <w:tc>
          <w:tcPr>
            <w:tcW w:w="60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2"/>
              </w:rPr>
              <w:t>Parent</w:t>
            </w:r>
          </w:p>
        </w:tc>
        <w:tc>
          <w:tcPr>
            <w:tcW w:w="180" w:type="dxa"/>
            <w:vAlign w:val="bottom"/>
          </w:tcPr>
          <w:p>
            <w:pPr>
              <w:spacing w:after="0"/>
              <w:rPr>
                <w:sz w:val="13"/>
                <w:szCs w:val="13"/>
                <w:color w:val="auto"/>
              </w:rPr>
            </w:pPr>
          </w:p>
        </w:tc>
        <w:tc>
          <w:tcPr>
            <w:tcW w:w="600" w:type="dxa"/>
            <w:vAlign w:val="bottom"/>
          </w:tcPr>
          <w:p>
            <w:pPr>
              <w:jc w:val="right"/>
              <w:ind w:right="113"/>
              <w:spacing w:after="0" w:line="159" w:lineRule="exact"/>
              <w:rPr>
                <w:sz w:val="20"/>
                <w:szCs w:val="20"/>
                <w:color w:val="auto"/>
              </w:rPr>
            </w:pPr>
            <w:r>
              <w:rPr>
                <w:rFonts w:ascii="Arial" w:cs="Arial" w:eastAsia="Arial" w:hAnsi="Arial"/>
                <w:sz w:val="14"/>
                <w:szCs w:val="14"/>
                <w:color w:val="auto"/>
                <w:w w:val="78"/>
              </w:rPr>
              <w:t>Parents</w:t>
            </w:r>
          </w:p>
        </w:tc>
        <w:tc>
          <w:tcPr>
            <w:tcW w:w="80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Holdings</w:t>
            </w:r>
          </w:p>
        </w:tc>
        <w:tc>
          <w:tcPr>
            <w:tcW w:w="88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96"/>
              </w:rPr>
              <w:t>Subsidiaries</w:t>
            </w: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840" w:type="dxa"/>
            <w:vAlign w:val="bottom"/>
            <w:gridSpan w:val="3"/>
          </w:tcPr>
          <w:p>
            <w:pPr>
              <w:ind w:left="140"/>
              <w:spacing w:after="0" w:line="159" w:lineRule="exact"/>
              <w:rPr>
                <w:sz w:val="20"/>
                <w:szCs w:val="20"/>
                <w:color w:val="auto"/>
              </w:rPr>
            </w:pPr>
            <w:r>
              <w:rPr>
                <w:rFonts w:ascii="Arial" w:cs="Arial" w:eastAsia="Arial" w:hAnsi="Arial"/>
                <w:sz w:val="14"/>
                <w:szCs w:val="14"/>
                <w:color w:val="auto"/>
                <w:w w:val="92"/>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2,714</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1,658</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767</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5,342</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5,203</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2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69,791</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34,446</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43,445</w:t>
            </w:r>
          </w:p>
        </w:tc>
        <w:tc>
          <w:tcPr>
            <w:tcW w:w="1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46,179</w:t>
            </w:r>
          </w:p>
        </w:tc>
        <w:tc>
          <w:tcPr>
            <w:tcW w:w="2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26,466</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3,661</w:t>
            </w:r>
          </w:p>
        </w:tc>
        <w:tc>
          <w:tcPr>
            <w:tcW w:w="2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(223,988)</w:t>
            </w: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23,611</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Franchise rights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59,452</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14,909</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4,569</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360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534</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70,618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34,458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43,460</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46,179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26,488</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117,281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(223,988)</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114,496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2,996</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49</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1,815</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1,250</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1,802</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2,137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2,037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49</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4,846</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19,596</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2,294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4,998</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2,697</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7,197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19,182</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1,484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5,351</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stockholders’ equity</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3"/>
              </w:rPr>
              <w:t>40,171</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30,127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38,413</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43,445</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24,670</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87,333</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(223,988)</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3"/>
              </w:rPr>
              <w:t>40,204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30,127</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38,413</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43,445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24,670</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87,333</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(223,988)</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70,618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34,458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43,460</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46,179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26,488</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117,281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(223,988)</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114,496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8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2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94"/>
              </w:rPr>
              <w:t>CCCL</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88"/>
              </w:rPr>
              <w:t>CCCH</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Guarantor</w:t>
            </w:r>
          </w:p>
        </w:tc>
        <w:tc>
          <w:tcPr>
            <w:tcW w:w="10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59"/>
        </w:trPr>
        <w:tc>
          <w:tcPr>
            <w:tcW w:w="45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3"/>
                <w:szCs w:val="13"/>
                <w:color w:val="auto"/>
              </w:rPr>
            </w:pPr>
          </w:p>
        </w:tc>
        <w:tc>
          <w:tcPr>
            <w:tcW w:w="600" w:type="dxa"/>
            <w:vAlign w:val="bottom"/>
          </w:tcPr>
          <w:p>
            <w:pPr>
              <w:jc w:val="right"/>
              <w:ind w:right="133"/>
              <w:spacing w:after="0" w:line="159" w:lineRule="exact"/>
              <w:rPr>
                <w:sz w:val="20"/>
                <w:szCs w:val="20"/>
                <w:color w:val="auto"/>
              </w:rPr>
            </w:pPr>
            <w:r>
              <w:rPr>
                <w:rFonts w:ascii="Arial" w:cs="Arial" w:eastAsia="Arial" w:hAnsi="Arial"/>
                <w:sz w:val="14"/>
                <w:szCs w:val="14"/>
                <w:color w:val="auto"/>
                <w:w w:val="87"/>
              </w:rPr>
              <w:t>Parent</w:t>
            </w:r>
          </w:p>
        </w:tc>
        <w:tc>
          <w:tcPr>
            <w:tcW w:w="200" w:type="dxa"/>
            <w:vAlign w:val="bottom"/>
          </w:tcPr>
          <w:p>
            <w:pPr>
              <w:spacing w:after="0"/>
              <w:rPr>
                <w:sz w:val="13"/>
                <w:szCs w:val="13"/>
                <w:color w:val="auto"/>
              </w:rPr>
            </w:pPr>
          </w:p>
        </w:tc>
        <w:tc>
          <w:tcPr>
            <w:tcW w:w="60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2"/>
              </w:rPr>
              <w:t>Parent</w:t>
            </w:r>
          </w:p>
        </w:tc>
        <w:tc>
          <w:tcPr>
            <w:tcW w:w="200" w:type="dxa"/>
            <w:vAlign w:val="bottom"/>
          </w:tcPr>
          <w:p>
            <w:pPr>
              <w:spacing w:after="0"/>
              <w:rPr>
                <w:sz w:val="13"/>
                <w:szCs w:val="13"/>
                <w:color w:val="auto"/>
              </w:rPr>
            </w:pPr>
          </w:p>
        </w:tc>
        <w:tc>
          <w:tcPr>
            <w:tcW w:w="60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2"/>
              </w:rPr>
              <w:t>Parent</w:t>
            </w:r>
          </w:p>
        </w:tc>
        <w:tc>
          <w:tcPr>
            <w:tcW w:w="180" w:type="dxa"/>
            <w:vAlign w:val="bottom"/>
          </w:tcPr>
          <w:p>
            <w:pPr>
              <w:spacing w:after="0"/>
              <w:rPr>
                <w:sz w:val="13"/>
                <w:szCs w:val="13"/>
                <w:color w:val="auto"/>
              </w:rPr>
            </w:pPr>
          </w:p>
        </w:tc>
        <w:tc>
          <w:tcPr>
            <w:tcW w:w="600" w:type="dxa"/>
            <w:vAlign w:val="bottom"/>
          </w:tcPr>
          <w:p>
            <w:pPr>
              <w:jc w:val="right"/>
              <w:ind w:right="113"/>
              <w:spacing w:after="0" w:line="159" w:lineRule="exact"/>
              <w:rPr>
                <w:sz w:val="20"/>
                <w:szCs w:val="20"/>
                <w:color w:val="auto"/>
              </w:rPr>
            </w:pPr>
            <w:r>
              <w:rPr>
                <w:rFonts w:ascii="Arial" w:cs="Arial" w:eastAsia="Arial" w:hAnsi="Arial"/>
                <w:sz w:val="14"/>
                <w:szCs w:val="14"/>
                <w:color w:val="auto"/>
                <w:w w:val="78"/>
              </w:rPr>
              <w:t>Parents</w:t>
            </w:r>
          </w:p>
        </w:tc>
        <w:tc>
          <w:tcPr>
            <w:tcW w:w="80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Holdings</w:t>
            </w:r>
          </w:p>
        </w:tc>
        <w:tc>
          <w:tcPr>
            <w:tcW w:w="88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96"/>
              </w:rPr>
              <w:t>Subsidiaries</w:t>
            </w: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840" w:type="dxa"/>
            <w:vAlign w:val="bottom"/>
            <w:gridSpan w:val="3"/>
          </w:tcPr>
          <w:p>
            <w:pPr>
              <w:ind w:left="140"/>
              <w:spacing w:after="0" w:line="159" w:lineRule="exact"/>
              <w:rPr>
                <w:sz w:val="20"/>
                <w:szCs w:val="20"/>
                <w:color w:val="auto"/>
              </w:rPr>
            </w:pPr>
            <w:r>
              <w:rPr>
                <w:rFonts w:ascii="Arial" w:cs="Arial" w:eastAsia="Arial" w:hAnsi="Arial"/>
                <w:sz w:val="14"/>
                <w:szCs w:val="14"/>
                <w:color w:val="auto"/>
                <w:w w:val="92"/>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963</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98</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1,645</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861</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3,567</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7,963</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2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67,903</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32,760</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40,240</w:t>
            </w:r>
          </w:p>
        </w:tc>
        <w:tc>
          <w:tcPr>
            <w:tcW w:w="1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43,356</w:t>
            </w:r>
          </w:p>
        </w:tc>
        <w:tc>
          <w:tcPr>
            <w:tcW w:w="2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25,815</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2,244</w:t>
            </w:r>
          </w:p>
        </w:tc>
        <w:tc>
          <w:tcPr>
            <w:tcW w:w="2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(212,318)</w:t>
            </w: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23,416</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Franchise rights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58,077</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14,705</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4,739</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281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303</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68,492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32,771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40,257</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43,356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25,845</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115,014</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(212,318)</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shd w:val="clear" w:color="auto" w:fill="E5E5E5"/>
          </w:tcPr>
          <w:p>
            <w:pPr>
              <w:spacing w:after="0" w:line="201" w:lineRule="exact"/>
              <w:rPr>
                <w:sz w:val="20"/>
                <w:szCs w:val="20"/>
                <w:color w:val="auto"/>
              </w:rPr>
            </w:pPr>
            <w:r>
              <w:rPr>
                <w:rFonts w:ascii="Arial" w:cs="Arial" w:eastAsia="Arial" w:hAnsi="Arial"/>
                <w:sz w:val="18"/>
                <w:szCs w:val="18"/>
                <w:b w:val="1"/>
                <w:bCs w:val="1"/>
                <w:color w:val="auto"/>
              </w:rPr>
              <w:t>LIABILITIES AND</w:t>
            </w:r>
          </w:p>
        </w:tc>
        <w:tc>
          <w:tcPr>
            <w:tcW w:w="3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E5E5E5"/>
          </w:tcPr>
          <w:p>
            <w:pPr>
              <w:spacing w:after="0"/>
              <w:rPr>
                <w:sz w:val="21"/>
                <w:szCs w:val="21"/>
                <w:color w:val="auto"/>
              </w:rPr>
            </w:pPr>
          </w:p>
        </w:tc>
        <w:tc>
          <w:tcPr>
            <w:tcW w:w="60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0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0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60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0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8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84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2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3,323</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75</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74</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1,913</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1,142</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1,412</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75</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74</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5,284</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19,133</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3,294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3,498</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2,713</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908</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6,256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1,015</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19,609</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1,059</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5,986</w:t>
            </w:r>
          </w:p>
        </w:tc>
        <w:tc>
          <w:tcPr>
            <w:tcW w:w="2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stockholders’ equity</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3"/>
              </w:rPr>
              <w:t>41,306</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28,059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36,684</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40,240</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23,732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83,603</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(212,318)</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3"/>
              </w:rPr>
              <w:t>41,340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28,059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36,684</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40,240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23,732</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83,603</w:t>
            </w:r>
          </w:p>
        </w:tc>
        <w:tc>
          <w:tcPr>
            <w:tcW w:w="2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(212,318)</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68,492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32,771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40,257</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43,356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25,845</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115,014</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(212,318)</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113,417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Three Months Ended September 30, 2008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Non-</w:t>
            </w:r>
          </w:p>
        </w:tc>
        <w:tc>
          <w:tcPr>
            <w:tcW w:w="34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CCCL</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CCCH</w:t>
            </w:r>
          </w:p>
        </w:tc>
        <w:tc>
          <w:tcPr>
            <w:tcW w:w="9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98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4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2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0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w:t>
            </w:r>
          </w:p>
        </w:tc>
        <w:tc>
          <w:tcPr>
            <w:tcW w:w="7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Parent</w:t>
            </w:r>
          </w:p>
        </w:tc>
        <w:tc>
          <w:tcPr>
            <w:tcW w:w="7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Parent</w:t>
            </w:r>
          </w:p>
        </w:tc>
        <w:tc>
          <w:tcPr>
            <w:tcW w:w="92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Parents</w:t>
            </w:r>
          </w:p>
        </w:tc>
        <w:tc>
          <w:tcPr>
            <w:tcW w:w="8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Holdings</w:t>
            </w:r>
          </w:p>
        </w:tc>
        <w:tc>
          <w:tcPr>
            <w:tcW w:w="9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8,549</w:t>
            </w:r>
          </w:p>
        </w:tc>
        <w:tc>
          <w:tcPr>
            <w:tcW w:w="3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8,549</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6"/>
              </w:rPr>
              <w:t>104</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(449)</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6"/>
              </w:rPr>
              <w:t>104</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8,549</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(449)</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8,549</w:t>
            </w:r>
          </w:p>
        </w:tc>
      </w:tr>
      <w:tr>
        <w:trPr>
          <w:trHeight w:val="210"/>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w w:val="96"/>
              </w:rPr>
              <w:t>Operating (excluding depreciation and amortization)</w:t>
            </w:r>
          </w:p>
        </w:tc>
        <w:tc>
          <w:tcPr>
            <w:tcW w:w="4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3,095</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3,095</w:t>
            </w: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95</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57</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6"/>
              </w:rPr>
              <w:t>104</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2,292</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2,217</w:t>
            </w: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1,325</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1,332</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235</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235</w:t>
            </w:r>
          </w:p>
        </w:tc>
      </w:tr>
      <w:tr>
        <w:trPr>
          <w:trHeight w:val="210"/>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6"/>
              </w:rPr>
              <w:t>104</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6,947</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(449)</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w:t>
            </w:r>
          </w:p>
        </w:tc>
      </w:tr>
      <w:tr>
        <w:trPr>
          <w:trHeight w:val="210"/>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82</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1,602</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1,670</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5"/>
              </w:rPr>
              <w:t>(333)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9"/>
              </w:rPr>
              <w:t>(74)</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3"/>
              </w:rPr>
              <w:t>(84)</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(52)</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(26)</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(32)</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4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 net</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940</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6"/>
              </w:rPr>
              <w:t>437</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6"/>
              </w:rPr>
              <w:t>685</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719</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16</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(3,170)</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6"/>
              </w:rPr>
              <w:t>363</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6"/>
              </w:rPr>
              <w:t>601</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667</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398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(3,170)</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(513)</w:t>
            </w: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Income (loss) before income taxes and minority interest</w:t>
            </w:r>
          </w:p>
        </w:tc>
        <w:tc>
          <w:tcPr>
            <w:tcW w:w="4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363</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w w:val="86"/>
              </w:rPr>
              <w:t>601</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667</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384</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1,636</w:t>
            </w:r>
          </w:p>
        </w:tc>
        <w:tc>
          <w:tcPr>
            <w:tcW w:w="3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(3,170)</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(565)</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(401)</w:t>
            </w: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(loss) before minority interest</w:t>
            </w:r>
          </w:p>
        </w:tc>
        <w:tc>
          <w:tcPr>
            <w:tcW w:w="4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389</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w w:val="86"/>
              </w:rPr>
              <w:t>629</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685</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1,071</w:t>
            </w:r>
          </w:p>
        </w:tc>
        <w:tc>
          <w:tcPr>
            <w:tcW w:w="3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(3,170)</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771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6"/>
              </w:rPr>
              <w:t>389</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6"/>
              </w:rPr>
              <w:t>629</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685</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381</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1,086</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(3,170)</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w:t>
            </w:r>
          </w:p>
        </w:tc>
      </w:tr>
      <w:tr>
        <w:trPr>
          <w:trHeight w:val="36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Three Months Ended September 30, 2007</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Non-</w:t>
            </w:r>
          </w:p>
        </w:tc>
        <w:tc>
          <w:tcPr>
            <w:tcW w:w="34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CCCL</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CCCH</w:t>
            </w:r>
          </w:p>
        </w:tc>
        <w:tc>
          <w:tcPr>
            <w:tcW w:w="9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98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4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2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0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w:t>
            </w:r>
          </w:p>
        </w:tc>
        <w:tc>
          <w:tcPr>
            <w:tcW w:w="7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Parent</w:t>
            </w:r>
          </w:p>
        </w:tc>
        <w:tc>
          <w:tcPr>
            <w:tcW w:w="7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Parent</w:t>
            </w:r>
          </w:p>
        </w:tc>
        <w:tc>
          <w:tcPr>
            <w:tcW w:w="92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Parents</w:t>
            </w:r>
          </w:p>
        </w:tc>
        <w:tc>
          <w:tcPr>
            <w:tcW w:w="8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Holdings</w:t>
            </w:r>
          </w:p>
        </w:tc>
        <w:tc>
          <w:tcPr>
            <w:tcW w:w="9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7,781</w:t>
            </w:r>
          </w:p>
        </w:tc>
        <w:tc>
          <w:tcPr>
            <w:tcW w:w="3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7,781</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(384)</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7,781</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(384)</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7,781</w:t>
            </w:r>
          </w:p>
        </w:tc>
      </w:tr>
      <w:tr>
        <w:trPr>
          <w:trHeight w:val="210"/>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w w:val="96"/>
              </w:rPr>
              <w:t>Operating (excluding depreciation and amortization)</w:t>
            </w:r>
          </w:p>
        </w:tc>
        <w:tc>
          <w:tcPr>
            <w:tcW w:w="4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2,759</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2,759</w:t>
            </w: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67</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55</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85</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85</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2,181</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2.093</w:t>
            </w: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1,291</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247</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247</w:t>
            </w:r>
          </w:p>
        </w:tc>
      </w:tr>
      <w:tr>
        <w:trPr>
          <w:trHeight w:val="210"/>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6,478</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(384)</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r>
      <w:tr>
        <w:trPr>
          <w:trHeight w:val="210"/>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92</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1,303</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1,391</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5"/>
              </w:rPr>
              <w:t>(284)</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9"/>
              </w:rPr>
              <w:t>(87)</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3"/>
              </w:rPr>
              <w:t>(80)</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(56)</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(40)</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(571)</w:t>
            </w: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 net</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682</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6"/>
              </w:rPr>
              <w:t>406</w:t>
            </w:r>
          </w:p>
        </w:tc>
        <w:tc>
          <w:tcPr>
            <w:tcW w:w="24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6"/>
              </w:rPr>
              <w:t>420</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(50)</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(2,314)</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402</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6"/>
              </w:rPr>
              <w:t>319</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6"/>
              </w:rPr>
              <w:t>340</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400</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397</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(2,314)</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(426)</w:t>
            </w: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Income (loss) before income taxes and minority interest</w:t>
            </w:r>
          </w:p>
        </w:tc>
        <w:tc>
          <w:tcPr>
            <w:tcW w:w="4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319</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w w:val="86"/>
              </w:rPr>
              <w:t>340</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1,333</w:t>
            </w:r>
          </w:p>
        </w:tc>
        <w:tc>
          <w:tcPr>
            <w:tcW w:w="3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(2,314)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(564)</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(421)</w:t>
            </w: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(loss) before minority interest</w:t>
            </w:r>
          </w:p>
        </w:tc>
        <w:tc>
          <w:tcPr>
            <w:tcW w:w="4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350</w:t>
            </w:r>
          </w:p>
        </w:tc>
        <w:tc>
          <w:tcPr>
            <w:tcW w:w="24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w w:val="86"/>
              </w:rPr>
              <w:t>368</w:t>
            </w:r>
          </w:p>
        </w:tc>
        <w:tc>
          <w:tcPr>
            <w:tcW w:w="3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420</w:t>
            </w:r>
          </w:p>
        </w:tc>
        <w:tc>
          <w:tcPr>
            <w:tcW w:w="3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769</w:t>
            </w:r>
          </w:p>
        </w:tc>
        <w:tc>
          <w:tcPr>
            <w:tcW w:w="34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(2,314)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560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6"/>
              </w:rPr>
              <w:t>350</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6"/>
              </w:rPr>
              <w:t>368</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420</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391</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785</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(2,314)</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r>
      <w:tr>
        <w:trPr>
          <w:trHeight w:val="36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Nine Months Ended September 30, 2008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Combined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76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Comcast</w:t>
            </w:r>
          </w:p>
        </w:tc>
        <w:tc>
          <w:tcPr>
            <w:tcW w:w="7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CCCH</w:t>
            </w:r>
          </w:p>
        </w:tc>
        <w:tc>
          <w:tcPr>
            <w:tcW w:w="8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CCHMO</w:t>
            </w: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94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0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3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8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76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78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82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Parents</w:t>
            </w:r>
          </w:p>
        </w:tc>
        <w:tc>
          <w:tcPr>
            <w:tcW w:w="7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Holdings</w:t>
            </w:r>
          </w:p>
        </w:tc>
        <w:tc>
          <w:tcPr>
            <w:tcW w:w="9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Subsidiaries</w:t>
            </w:r>
          </w:p>
        </w:tc>
        <w:tc>
          <w:tcPr>
            <w:tcW w:w="10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88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25,491</w:t>
            </w:r>
          </w:p>
        </w:tc>
        <w:tc>
          <w:tcPr>
            <w:tcW w:w="2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25,491</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5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544</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(1,322)</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544</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25,491</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(1,322)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25,491</w:t>
            </w:r>
          </w:p>
        </w:tc>
      </w:tr>
      <w:tr>
        <w:trPr>
          <w:trHeight w:val="210"/>
        </w:trPr>
        <w:tc>
          <w:tcPr>
            <w:tcW w:w="20" w:type="dxa"/>
            <w:vAlign w:val="bottom"/>
          </w:tcPr>
          <w:p>
            <w:pPr>
              <w:spacing w:after="0"/>
              <w:rPr>
                <w:sz w:val="18"/>
                <w:szCs w:val="18"/>
                <w:color w:val="auto"/>
              </w:rPr>
            </w:pPr>
          </w:p>
        </w:tc>
        <w:tc>
          <w:tcPr>
            <w:tcW w:w="43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w w:val="99"/>
              </w:rPr>
              <w:t>Operating (excluding depreciation and amortization)</w:t>
            </w: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9,293</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9,293</w:t>
            </w:r>
          </w:p>
        </w:tc>
      </w:tr>
      <w:tr>
        <w:trPr>
          <w:trHeight w:val="216"/>
        </w:trPr>
        <w:tc>
          <w:tcPr>
            <w:tcW w:w="20" w:type="dxa"/>
            <w:vAlign w:val="bottom"/>
          </w:tcPr>
          <w:p>
            <w:pPr>
              <w:spacing w:after="0"/>
              <w:rPr>
                <w:sz w:val="18"/>
                <w:szCs w:val="18"/>
                <w:color w:val="auto"/>
              </w:rPr>
            </w:pPr>
          </w:p>
        </w:tc>
        <w:tc>
          <w:tcPr>
            <w:tcW w:w="4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40</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6,668</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(1,322)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6,436</w:t>
            </w: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4,076</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4,093</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694</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694</w:t>
            </w:r>
          </w:p>
        </w:tc>
      </w:tr>
      <w:tr>
        <w:trPr>
          <w:trHeight w:val="210"/>
        </w:trPr>
        <w:tc>
          <w:tcPr>
            <w:tcW w:w="20" w:type="dxa"/>
            <w:vAlign w:val="bottom"/>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289</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20,731</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(1,322)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20,516</w:t>
            </w:r>
          </w:p>
        </w:tc>
      </w:tr>
      <w:tr>
        <w:trPr>
          <w:trHeight w:val="210"/>
        </w:trPr>
        <w:tc>
          <w:tcPr>
            <w:tcW w:w="20" w:type="dxa"/>
            <w:vAlign w:val="bottom"/>
          </w:tcPr>
          <w:p>
            <w:pPr>
              <w:spacing w:after="0"/>
              <w:rPr>
                <w:sz w:val="18"/>
                <w:szCs w:val="18"/>
                <w:color w:val="auto"/>
              </w:rPr>
            </w:pPr>
          </w:p>
        </w:tc>
        <w:tc>
          <w:tcPr>
            <w:tcW w:w="43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(40)</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4,760</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4,975</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(976)</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(1,840)</w:t>
            </w: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50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4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 net</w:t>
            </w: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2,616</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1,214</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1,983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3"/>
              </w:rPr>
              <w:t>2,088</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1,065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(48)</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(8,964)</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306</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10"/>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4"/>
              </w:rPr>
              <w:t>1,617</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981</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4"/>
              </w:rPr>
              <w:t>1,737</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3"/>
              </w:rPr>
              <w:t>1,926</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971</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234</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(8,964)</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(1,498)</w:t>
            </w: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7"/>
              </w:rPr>
              <w:t>Income (loss) before income taxes and minority interest</w:t>
            </w: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1,872</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981</w:t>
            </w:r>
          </w:p>
        </w:tc>
        <w:tc>
          <w:tcPr>
            <w:tcW w:w="2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1,737</w:t>
            </w:r>
          </w:p>
        </w:tc>
        <w:tc>
          <w:tcPr>
            <w:tcW w:w="22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1,926</w:t>
            </w:r>
          </w:p>
        </w:tc>
        <w:tc>
          <w:tcPr>
            <w:tcW w:w="2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4,994</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(8,964)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3,477</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263</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8"/>
              </w:rPr>
              <w:t>(1,898)</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(1,364)</w:t>
            </w: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(loss) before minority interest</w:t>
            </w:r>
          </w:p>
        </w:tc>
        <w:tc>
          <w:tcPr>
            <w:tcW w:w="5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2,135</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1,063</w:t>
            </w:r>
          </w:p>
        </w:tc>
        <w:tc>
          <w:tcPr>
            <w:tcW w:w="20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1,822</w:t>
            </w:r>
          </w:p>
        </w:tc>
        <w:tc>
          <w:tcPr>
            <w:tcW w:w="22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1,983</w:t>
            </w:r>
          </w:p>
        </w:tc>
        <w:tc>
          <w:tcPr>
            <w:tcW w:w="2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978</w:t>
            </w:r>
          </w:p>
        </w:tc>
        <w:tc>
          <w:tcPr>
            <w:tcW w:w="2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3,096</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(8,964)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2,113</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5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w:t>
            </w:r>
          </w:p>
        </w:tc>
      </w:tr>
      <w:tr>
        <w:trPr>
          <w:trHeight w:val="217"/>
        </w:trPr>
        <w:tc>
          <w:tcPr>
            <w:tcW w:w="20" w:type="dxa"/>
            <w:vAlign w:val="bottom"/>
          </w:tcPr>
          <w:p>
            <w:pPr>
              <w:spacing w:after="0"/>
              <w:rPr>
                <w:sz w:val="18"/>
                <w:szCs w:val="18"/>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5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2,135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1,063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1,822</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3"/>
              </w:rPr>
              <w:t>1,983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978</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3,118</w:t>
            </w: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(8,964)</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2,135</w:t>
            </w:r>
          </w:p>
        </w:tc>
      </w:tr>
      <w:tr>
        <w:trPr>
          <w:trHeight w:val="36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272"/>
              <w:spacing w:after="0"/>
              <w:rPr>
                <w:sz w:val="20"/>
                <w:szCs w:val="20"/>
                <w:color w:val="auto"/>
              </w:rPr>
            </w:pPr>
            <w:r>
              <w:rPr>
                <w:rFonts w:ascii="Arial" w:cs="Arial" w:eastAsia="Arial" w:hAnsi="Arial"/>
                <w:sz w:val="18"/>
                <w:szCs w:val="18"/>
                <w:color w:val="auto"/>
                <w:w w:val="89"/>
              </w:rPr>
              <w:t>19</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Nine Months Ended September 30, 2007</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00" w:type="dxa"/>
            <w:vAlign w:val="bottom"/>
          </w:tcPr>
          <w:p>
            <w:pPr>
              <w:spacing w:after="0"/>
              <w:rPr>
                <w:sz w:val="12"/>
                <w:szCs w:val="12"/>
                <w:color w:val="auto"/>
              </w:rPr>
            </w:pPr>
          </w:p>
        </w:tc>
        <w:tc>
          <w:tcPr>
            <w:tcW w:w="74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76"/>
              </w:rPr>
              <w:t>and</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Comcast</w:t>
            </w: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CCCL</w:t>
            </w: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CCCH</w:t>
            </w:r>
          </w:p>
        </w:tc>
        <w:tc>
          <w:tcPr>
            <w:tcW w:w="8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CCHMO</w:t>
            </w: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2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3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6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76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78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84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Parents</w:t>
            </w:r>
          </w:p>
        </w:tc>
        <w:tc>
          <w:tcPr>
            <w:tcW w:w="7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Holdings</w:t>
            </w:r>
          </w:p>
        </w:tc>
        <w:tc>
          <w:tcPr>
            <w:tcW w:w="9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Subsidiaries</w:t>
            </w:r>
          </w:p>
        </w:tc>
        <w:tc>
          <w:tcPr>
            <w:tcW w:w="10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0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22,881</w:t>
            </w:r>
          </w:p>
        </w:tc>
        <w:tc>
          <w:tcPr>
            <w:tcW w:w="30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22,881</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5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467</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(1,123)</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467</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22,881</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(1,123)</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22,881</w:t>
            </w:r>
          </w:p>
        </w:tc>
      </w:tr>
      <w:tr>
        <w:trPr>
          <w:trHeight w:val="210"/>
        </w:trPr>
        <w:tc>
          <w:tcPr>
            <w:tcW w:w="20" w:type="dxa"/>
            <w:vAlign w:val="bottom"/>
          </w:tcPr>
          <w:p>
            <w:pPr>
              <w:spacing w:after="0"/>
              <w:rPr>
                <w:sz w:val="18"/>
                <w:szCs w:val="18"/>
                <w:color w:val="auto"/>
              </w:rPr>
            </w:pPr>
          </w:p>
        </w:tc>
        <w:tc>
          <w:tcPr>
            <w:tcW w:w="43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w w:val="99"/>
              </w:rPr>
              <w:t>Operating (excluding depreciation and amortization)</w:t>
            </w:r>
          </w:p>
        </w:tc>
        <w:tc>
          <w:tcPr>
            <w:tcW w:w="5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8,272</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8,272</w:t>
            </w:r>
          </w:p>
        </w:tc>
      </w:tr>
      <w:tr>
        <w:trPr>
          <w:trHeight w:val="216"/>
        </w:trPr>
        <w:tc>
          <w:tcPr>
            <w:tcW w:w="20" w:type="dxa"/>
            <w:vAlign w:val="bottom"/>
          </w:tcPr>
          <w:p>
            <w:pPr>
              <w:spacing w:after="0"/>
              <w:rPr>
                <w:sz w:val="18"/>
                <w:szCs w:val="18"/>
                <w:color w:val="auto"/>
              </w:rPr>
            </w:pPr>
          </w:p>
        </w:tc>
        <w:tc>
          <w:tcPr>
            <w:tcW w:w="4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6,147</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(1,123)</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5,905</w:t>
            </w: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3,765</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3,768</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816</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816</w:t>
            </w:r>
          </w:p>
        </w:tc>
      </w:tr>
      <w:tr>
        <w:trPr>
          <w:trHeight w:val="210"/>
        </w:trPr>
        <w:tc>
          <w:tcPr>
            <w:tcW w:w="20" w:type="dxa"/>
            <w:vAlign w:val="bottom"/>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215</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19,000</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(1,123)</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18,761</w:t>
            </w:r>
          </w:p>
        </w:tc>
      </w:tr>
      <w:tr>
        <w:trPr>
          <w:trHeight w:val="210"/>
        </w:trPr>
        <w:tc>
          <w:tcPr>
            <w:tcW w:w="20" w:type="dxa"/>
            <w:vAlign w:val="bottom"/>
          </w:tcPr>
          <w:p>
            <w:pPr>
              <w:spacing w:after="0"/>
              <w:rPr>
                <w:sz w:val="18"/>
                <w:szCs w:val="18"/>
                <w:color w:val="auto"/>
              </w:rPr>
            </w:pPr>
          </w:p>
        </w:tc>
        <w:tc>
          <w:tcPr>
            <w:tcW w:w="43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3,881</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4,120</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(1,689)</w:t>
            </w: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5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460</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20" w:type="dxa"/>
            <w:vAlign w:val="bottom"/>
          </w:tcPr>
          <w:p>
            <w:pPr>
              <w:spacing w:after="0"/>
              <w:rPr>
                <w:sz w:val="18"/>
                <w:szCs w:val="18"/>
                <w:color w:val="auto"/>
              </w:rPr>
            </w:pPr>
          </w:p>
        </w:tc>
        <w:tc>
          <w:tcPr>
            <w:tcW w:w="4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 net</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2,333</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1,261</w:t>
            </w:r>
          </w:p>
        </w:tc>
        <w:tc>
          <w:tcPr>
            <w:tcW w:w="2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1,631</w:t>
            </w:r>
          </w:p>
        </w:tc>
        <w:tc>
          <w:tcPr>
            <w:tcW w:w="2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3"/>
              </w:rPr>
              <w:t>1,747</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4"/>
              </w:rPr>
              <w:t>1,137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(8,055)</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512</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10"/>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84"/>
              </w:rPr>
              <w:t>1,546</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985</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84"/>
              </w:rPr>
              <w:t>1,395</w:t>
            </w:r>
          </w:p>
        </w:tc>
        <w:tc>
          <w:tcPr>
            <w:tcW w:w="2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3"/>
              </w:rPr>
              <w:t>1,569</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84"/>
              </w:rPr>
              <w:t>1,052</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741</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(8,055)</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(767)</w:t>
            </w: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7"/>
              </w:rPr>
              <w:t>Income (loss) before income taxes and minority interest</w:t>
            </w:r>
          </w:p>
        </w:tc>
        <w:tc>
          <w:tcPr>
            <w:tcW w:w="5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1,798</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1,395</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1,569</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1,039</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4,622</w:t>
            </w:r>
          </w:p>
        </w:tc>
        <w:tc>
          <w:tcPr>
            <w:tcW w:w="3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(8,055)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3,353</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(1,865)</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(1,400)</w:t>
            </w: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(loss) before minority interest</w:t>
            </w:r>
          </w:p>
        </w:tc>
        <w:tc>
          <w:tcPr>
            <w:tcW w:w="5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1,985</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1,083</w:t>
            </w:r>
          </w:p>
        </w:tc>
        <w:tc>
          <w:tcPr>
            <w:tcW w:w="2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1,479</w:t>
            </w:r>
          </w:p>
        </w:tc>
        <w:tc>
          <w:tcPr>
            <w:tcW w:w="2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1,631</w:t>
            </w:r>
          </w:p>
        </w:tc>
        <w:tc>
          <w:tcPr>
            <w:tcW w:w="20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1,073</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2,757</w:t>
            </w:r>
          </w:p>
        </w:tc>
        <w:tc>
          <w:tcPr>
            <w:tcW w:w="3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(8,055)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1,953</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5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w:t>
            </w:r>
          </w:p>
        </w:tc>
      </w:tr>
      <w:tr>
        <w:trPr>
          <w:trHeight w:val="217"/>
        </w:trPr>
        <w:tc>
          <w:tcPr>
            <w:tcW w:w="20" w:type="dxa"/>
            <w:vAlign w:val="bottom"/>
          </w:tcPr>
          <w:p>
            <w:pPr>
              <w:spacing w:after="0"/>
              <w:rPr>
                <w:sz w:val="18"/>
                <w:szCs w:val="18"/>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5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1,985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1,083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1,479</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3"/>
              </w:rPr>
              <w:t>1,631</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1,073</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2,789</w:t>
            </w:r>
          </w:p>
        </w:tc>
        <w:tc>
          <w:tcPr>
            <w:tcW w:w="3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(8,055)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1,985</w:t>
            </w:r>
          </w:p>
        </w:tc>
      </w:tr>
      <w:tr>
        <w:trPr>
          <w:trHeight w:val="36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252"/>
              <w:spacing w:after="0"/>
              <w:rPr>
                <w:sz w:val="20"/>
                <w:szCs w:val="20"/>
                <w:color w:val="auto"/>
              </w:rPr>
            </w:pPr>
            <w:r>
              <w:rPr>
                <w:rFonts w:ascii="Arial" w:cs="Arial" w:eastAsia="Arial" w:hAnsi="Arial"/>
                <w:sz w:val="18"/>
                <w:szCs w:val="18"/>
                <w:color w:val="auto"/>
                <w:w w:val="99"/>
              </w:rPr>
              <w:t>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jc w:val="center"/>
        <w:spacing w:after="0"/>
        <w:rPr>
          <w:sz w:val="20"/>
          <w:szCs w:val="20"/>
          <w:color w:val="auto"/>
        </w:rPr>
      </w:pPr>
      <w:r>
        <w:rPr>
          <w:rFonts w:ascii="Arial" w:cs="Arial" w:eastAsia="Arial" w:hAnsi="Arial"/>
          <w:sz w:val="18"/>
          <w:szCs w:val="18"/>
          <w:b w:val="1"/>
          <w:bCs w:val="1"/>
          <w:color w:val="auto"/>
        </w:rPr>
        <w:t>For the Nine Months Ended September 30, 2008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8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8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280" w:type="dxa"/>
            <w:vAlign w:val="bottom"/>
          </w:tcPr>
          <w:p>
            <w:pPr>
              <w:spacing w:after="0"/>
              <w:rPr>
                <w:sz w:val="12"/>
                <w:szCs w:val="12"/>
                <w:color w:val="auto"/>
              </w:rPr>
            </w:pPr>
          </w:p>
        </w:tc>
        <w:tc>
          <w:tcPr>
            <w:tcW w:w="700" w:type="dxa"/>
            <w:vAlign w:val="bottom"/>
          </w:tcPr>
          <w:p>
            <w:pPr>
              <w:jc w:val="right"/>
              <w:ind w:right="254"/>
              <w:spacing w:after="0" w:line="149" w:lineRule="exact"/>
              <w:rPr>
                <w:sz w:val="20"/>
                <w:szCs w:val="20"/>
                <w:color w:val="auto"/>
              </w:rPr>
            </w:pPr>
            <w:r>
              <w:rPr>
                <w:rFonts w:ascii="Arial" w:cs="Arial" w:eastAsia="Arial" w:hAnsi="Arial"/>
                <w:sz w:val="14"/>
                <w:szCs w:val="14"/>
                <w:color w:val="auto"/>
                <w:w w:val="83"/>
              </w:rPr>
              <w:t>CCCH</w:t>
            </w:r>
          </w:p>
        </w:tc>
        <w:tc>
          <w:tcPr>
            <w:tcW w:w="98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08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5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3"/>
                <w:szCs w:val="13"/>
                <w:color w:val="auto"/>
              </w:rPr>
            </w:pPr>
          </w:p>
        </w:tc>
        <w:tc>
          <w:tcPr>
            <w:tcW w:w="700" w:type="dxa"/>
            <w:vAlign w:val="bottom"/>
          </w:tcPr>
          <w:p>
            <w:pPr>
              <w:jc w:val="right"/>
              <w:ind w:right="253"/>
              <w:spacing w:after="0" w:line="159" w:lineRule="exact"/>
              <w:rPr>
                <w:sz w:val="20"/>
                <w:szCs w:val="20"/>
                <w:color w:val="auto"/>
              </w:rPr>
            </w:pPr>
            <w:r>
              <w:rPr>
                <w:rFonts w:ascii="Arial" w:cs="Arial" w:eastAsia="Arial" w:hAnsi="Arial"/>
                <w:sz w:val="14"/>
                <w:szCs w:val="14"/>
                <w:color w:val="auto"/>
                <w:w w:val="82"/>
              </w:rPr>
              <w:t>Parent</w:t>
            </w:r>
          </w:p>
        </w:tc>
        <w:tc>
          <w:tcPr>
            <w:tcW w:w="84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w:t>
            </w:r>
          </w:p>
        </w:tc>
        <w:tc>
          <w:tcPr>
            <w:tcW w:w="280" w:type="dxa"/>
            <w:vAlign w:val="bottom"/>
          </w:tcPr>
          <w:p>
            <w:pPr>
              <w:spacing w:after="0"/>
              <w:rPr>
                <w:sz w:val="13"/>
                <w:szCs w:val="13"/>
                <w:color w:val="auto"/>
              </w:rPr>
            </w:pPr>
          </w:p>
        </w:tc>
        <w:tc>
          <w:tcPr>
            <w:tcW w:w="700" w:type="dxa"/>
            <w:vAlign w:val="bottom"/>
          </w:tcPr>
          <w:p>
            <w:pPr>
              <w:jc w:val="right"/>
              <w:ind w:right="254"/>
              <w:spacing w:after="0" w:line="159" w:lineRule="exact"/>
              <w:rPr>
                <w:sz w:val="20"/>
                <w:szCs w:val="20"/>
                <w:color w:val="auto"/>
              </w:rPr>
            </w:pPr>
            <w:r>
              <w:rPr>
                <w:rFonts w:ascii="Arial" w:cs="Arial" w:eastAsia="Arial" w:hAnsi="Arial"/>
                <w:sz w:val="14"/>
                <w:szCs w:val="14"/>
                <w:color w:val="auto"/>
                <w:w w:val="82"/>
              </w:rPr>
              <w:t>Parent</w:t>
            </w:r>
          </w:p>
        </w:tc>
        <w:tc>
          <w:tcPr>
            <w:tcW w:w="98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auto"/>
              </w:rPr>
              <w:t>Parents</w:t>
            </w:r>
          </w:p>
        </w:tc>
        <w:tc>
          <w:tcPr>
            <w:tcW w:w="92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Holdings</w:t>
            </w:r>
          </w:p>
        </w:tc>
        <w:tc>
          <w:tcPr>
            <w:tcW w:w="10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6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Net cash provided by (used in) operating</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5"/>
              </w:rPr>
              <w:t>(185)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(171)</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(187)</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8,063</w:t>
            </w:r>
          </w:p>
        </w:tc>
        <w:tc>
          <w:tcPr>
            <w:tcW w:w="36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7,373</w:t>
            </w:r>
          </w:p>
        </w:tc>
      </w:tr>
      <w:tr>
        <w:trPr>
          <w:trHeight w:val="211"/>
        </w:trPr>
        <w:tc>
          <w:tcPr>
            <w:tcW w:w="20" w:type="dxa"/>
            <w:vAlign w:val="bottom"/>
          </w:tcPr>
          <w:p>
            <w:pPr>
              <w:spacing w:after="0"/>
              <w:rPr>
                <w:sz w:val="18"/>
                <w:szCs w:val="18"/>
                <w:color w:val="auto"/>
              </w:rPr>
            </w:pPr>
          </w:p>
        </w:tc>
        <w:tc>
          <w:tcPr>
            <w:tcW w:w="3520" w:type="dxa"/>
            <w:vAlign w:val="bottom"/>
            <w:shd w:val="clear" w:color="auto" w:fill="E5E5E5"/>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w w:val="97"/>
              </w:rPr>
              <w:t>1,998</w:t>
            </w:r>
          </w:p>
        </w:tc>
        <w:tc>
          <w:tcPr>
            <w:tcW w:w="2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w w:val="97"/>
              </w:rPr>
              <w:t>1,500</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3,513</w:t>
            </w:r>
          </w:p>
        </w:tc>
      </w:tr>
      <w:tr>
        <w:trPr>
          <w:trHeight w:val="216"/>
        </w:trPr>
        <w:tc>
          <w:tcPr>
            <w:tcW w:w="20" w:type="dxa"/>
            <w:vAlign w:val="bottom"/>
          </w:tcPr>
          <w:p>
            <w:pPr>
              <w:spacing w:after="0"/>
              <w:rPr>
                <w:sz w:val="18"/>
                <w:szCs w:val="18"/>
                <w:color w:val="auto"/>
              </w:rPr>
            </w:pPr>
          </w:p>
        </w:tc>
        <w:tc>
          <w:tcPr>
            <w:tcW w:w="3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5"/>
              </w:rPr>
              <w:t>(350)</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5"/>
              </w:rPr>
              <w:t>(154)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(39)</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(1,143)</w:t>
            </w: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(2,800)</w:t>
            </w:r>
          </w:p>
        </w:tc>
        <w:tc>
          <w:tcPr>
            <w:tcW w:w="2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16"/>
        </w:trPr>
        <w:tc>
          <w:tcPr>
            <w:tcW w:w="20" w:type="dxa"/>
            <w:vAlign w:val="bottom"/>
          </w:tcPr>
          <w:p>
            <w:pPr>
              <w:spacing w:after="0"/>
              <w:rPr>
                <w:sz w:val="18"/>
                <w:szCs w:val="18"/>
                <w:color w:val="auto"/>
              </w:rPr>
            </w:pPr>
          </w:p>
        </w:tc>
        <w:tc>
          <w:tcPr>
            <w:tcW w:w="3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(367)</w:t>
            </w: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2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35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(53)</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(92)</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(148)</w:t>
            </w:r>
          </w:p>
        </w:tc>
      </w:tr>
      <w:tr>
        <w:trPr>
          <w:trHeight w:val="201"/>
        </w:trPr>
        <w:tc>
          <w:tcPr>
            <w:tcW w:w="20" w:type="dxa"/>
            <w:vAlign w:val="bottom"/>
          </w:tcPr>
          <w:p>
            <w:pPr>
              <w:spacing w:after="0"/>
              <w:rPr>
                <w:sz w:val="17"/>
                <w:szCs w:val="17"/>
                <w:color w:val="auto"/>
              </w:rPr>
            </w:pPr>
          </w:p>
        </w:tc>
        <w:tc>
          <w:tcPr>
            <w:tcW w:w="3520" w:type="dxa"/>
            <w:vAlign w:val="bottom"/>
          </w:tcPr>
          <w:p>
            <w:pPr>
              <w:ind w:left="200"/>
              <w:spacing w:after="0" w:line="201" w:lineRule="exact"/>
              <w:rPr>
                <w:sz w:val="20"/>
                <w:szCs w:val="20"/>
                <w:color w:val="auto"/>
              </w:rPr>
            </w:pPr>
            <w:r>
              <w:rPr>
                <w:rFonts w:ascii="Arial" w:cs="Arial" w:eastAsia="Arial" w:hAnsi="Arial"/>
                <w:sz w:val="18"/>
                <w:szCs w:val="18"/>
                <w:color w:val="auto"/>
              </w:rPr>
              <w:t>Net cash provided by (used in) financing</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7"/>
              </w:rPr>
              <w:t>(1,419)</w:t>
            </w: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5"/>
              </w:rPr>
              <w:t>(350)</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7"/>
              </w:rPr>
              <w:t>1,500</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(300)</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5"/>
              </w:rPr>
              <w:t>(207)</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(116)</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r>
      <w:tr>
        <w:trPr>
          <w:trHeight w:val="211"/>
        </w:trPr>
        <w:tc>
          <w:tcPr>
            <w:tcW w:w="20" w:type="dxa"/>
            <w:vAlign w:val="bottom"/>
          </w:tcPr>
          <w:p>
            <w:pPr>
              <w:spacing w:after="0"/>
              <w:rPr>
                <w:sz w:val="18"/>
                <w:szCs w:val="18"/>
                <w:color w:val="auto"/>
              </w:rPr>
            </w:pPr>
          </w:p>
        </w:tc>
        <w:tc>
          <w:tcPr>
            <w:tcW w:w="3520" w:type="dxa"/>
            <w:vAlign w:val="bottom"/>
            <w:shd w:val="clear" w:color="auto" w:fill="E5E5E5"/>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w w:val="97"/>
              </w:rPr>
              <w:t>1,753</w:t>
            </w:r>
          </w:p>
        </w:tc>
        <w:tc>
          <w:tcPr>
            <w:tcW w:w="2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w w:val="99"/>
              </w:rPr>
              <w:t>535</w:t>
            </w:r>
          </w:p>
        </w:tc>
        <w:tc>
          <w:tcPr>
            <w:tcW w:w="28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Arial" w:cs="Arial" w:eastAsia="Arial" w:hAnsi="Arial"/>
                <w:sz w:val="18"/>
                <w:szCs w:val="18"/>
                <w:color w:val="auto"/>
                <w:w w:val="87"/>
              </w:rPr>
              <w:t>(1,329)</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487</w:t>
            </w:r>
          </w:p>
        </w:tc>
        <w:tc>
          <w:tcPr>
            <w:tcW w:w="3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(1,628)</w:t>
            </w:r>
          </w:p>
        </w:tc>
        <w:tc>
          <w:tcPr>
            <w:tcW w:w="36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(3,913)</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(4,037)</w:t>
            </w: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Cash paid for intangible assets</w:t>
            </w:r>
          </w:p>
        </w:tc>
        <w:tc>
          <w:tcPr>
            <w:tcW w:w="2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(376)</w:t>
            </w:r>
          </w:p>
        </w:tc>
        <w:tc>
          <w:tcPr>
            <w:tcW w:w="36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16"/>
        </w:trPr>
        <w:tc>
          <w:tcPr>
            <w:tcW w:w="20" w:type="dxa"/>
            <w:vAlign w:val="bottom"/>
          </w:tcPr>
          <w:p>
            <w:pPr>
              <w:spacing w:after="0"/>
              <w:rPr>
                <w:sz w:val="18"/>
                <w:szCs w:val="18"/>
                <w:color w:val="auto"/>
              </w:rPr>
            </w:pPr>
          </w:p>
        </w:tc>
        <w:tc>
          <w:tcPr>
            <w:tcW w:w="3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(700)</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Proceeds from sales of investments</w:t>
            </w:r>
          </w:p>
        </w:tc>
        <w:tc>
          <w:tcPr>
            <w:tcW w:w="28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452</w:t>
            </w:r>
          </w:p>
        </w:tc>
        <w:tc>
          <w:tcPr>
            <w:tcW w:w="36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16"/>
        </w:trPr>
        <w:tc>
          <w:tcPr>
            <w:tcW w:w="20" w:type="dxa"/>
            <w:vAlign w:val="bottom"/>
          </w:tcPr>
          <w:p>
            <w:pPr>
              <w:spacing w:after="0"/>
              <w:rPr>
                <w:sz w:val="18"/>
                <w:szCs w:val="18"/>
                <w:color w:val="auto"/>
              </w:rPr>
            </w:pPr>
          </w:p>
        </w:tc>
        <w:tc>
          <w:tcPr>
            <w:tcW w:w="3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(67)</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3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1"/>
        </w:trPr>
        <w:tc>
          <w:tcPr>
            <w:tcW w:w="20" w:type="dxa"/>
            <w:vAlign w:val="bottom"/>
          </w:tcPr>
          <w:p>
            <w:pPr>
              <w:spacing w:after="0"/>
              <w:rPr>
                <w:sz w:val="17"/>
                <w:szCs w:val="17"/>
                <w:color w:val="auto"/>
              </w:rPr>
            </w:pPr>
          </w:p>
        </w:tc>
        <w:tc>
          <w:tcPr>
            <w:tcW w:w="3520" w:type="dxa"/>
            <w:vAlign w:val="bottom"/>
            <w:shd w:val="clear" w:color="auto" w:fill="E5E5E5"/>
          </w:tcPr>
          <w:p>
            <w:pPr>
              <w:ind w:left="200"/>
              <w:spacing w:after="0" w:line="201" w:lineRule="exact"/>
              <w:rPr>
                <w:sz w:val="20"/>
                <w:szCs w:val="20"/>
                <w:color w:val="auto"/>
              </w:rPr>
            </w:pPr>
            <w:r>
              <w:rPr>
                <w:rFonts w:ascii="Arial" w:cs="Arial" w:eastAsia="Arial" w:hAnsi="Arial"/>
                <w:sz w:val="18"/>
                <w:szCs w:val="18"/>
                <w:color w:val="auto"/>
              </w:rPr>
              <w:t>Net cash provided by (used in) investing</w:t>
            </w:r>
          </w:p>
        </w:tc>
        <w:tc>
          <w:tcPr>
            <w:tcW w:w="28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7"/>
              </w:rPr>
              <w:t>1,591</w:t>
            </w:r>
          </w:p>
        </w:tc>
        <w:tc>
          <w:tcPr>
            <w:tcW w:w="28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99"/>
              </w:rPr>
              <w:t>535</w:t>
            </w:r>
          </w:p>
        </w:tc>
        <w:tc>
          <w:tcPr>
            <w:tcW w:w="28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87"/>
              </w:rPr>
              <w:t>(1,329)</w:t>
            </w:r>
          </w:p>
        </w:tc>
        <w:tc>
          <w:tcPr>
            <w:tcW w:w="34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487</w:t>
            </w:r>
          </w:p>
        </w:tc>
        <w:tc>
          <w:tcPr>
            <w:tcW w:w="320" w:type="dxa"/>
            <w:vAlign w:val="bottom"/>
            <w:tcBorders>
              <w:bottom w:val="single" w:sz="8" w:color="auto"/>
            </w:tcBorders>
            <w:shd w:val="clear" w:color="auto" w:fill="E5E5E5"/>
          </w:tcPr>
          <w:p>
            <w:pPr>
              <w:spacing w:after="0"/>
              <w:rPr>
                <w:sz w:val="19"/>
                <w:szCs w:val="19"/>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182</w:t>
            </w:r>
          </w:p>
        </w:tc>
        <w:tc>
          <w:tcPr>
            <w:tcW w:w="32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8"/>
              </w:rPr>
              <w:t>(6,196)</w:t>
            </w:r>
          </w:p>
        </w:tc>
        <w:tc>
          <w:tcPr>
            <w:tcW w:w="36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(4,730)</w:t>
            </w:r>
          </w:p>
        </w:tc>
      </w:tr>
      <w:tr>
        <w:trPr>
          <w:trHeight w:val="202"/>
        </w:trPr>
        <w:tc>
          <w:tcPr>
            <w:tcW w:w="2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28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1,751</w:t>
            </w:r>
          </w:p>
        </w:tc>
        <w:tc>
          <w:tcPr>
            <w:tcW w:w="360" w:type="dxa"/>
            <w:vAlign w:val="bottom"/>
          </w:tcPr>
          <w:p>
            <w:pPr>
              <w:spacing w:after="0"/>
              <w:rPr>
                <w:sz w:val="19"/>
                <w:szCs w:val="19"/>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18"/>
        </w:trPr>
        <w:tc>
          <w:tcPr>
            <w:tcW w:w="20" w:type="dxa"/>
            <w:vAlign w:val="bottom"/>
          </w:tcPr>
          <w:p>
            <w:pPr>
              <w:spacing w:after="0"/>
              <w:rPr>
                <w:sz w:val="18"/>
                <w:szCs w:val="18"/>
                <w:color w:val="auto"/>
              </w:rPr>
            </w:pPr>
          </w:p>
        </w:tc>
        <w:tc>
          <w:tcPr>
            <w:tcW w:w="3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2"/>
              </w:rPr>
              <w:t>Cash and cash equivalents, beginning of period</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963</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963</w:t>
            </w:r>
          </w:p>
        </w:tc>
      </w:tr>
      <w:tr>
        <w:trPr>
          <w:trHeight w:val="217"/>
        </w:trPr>
        <w:tc>
          <w:tcPr>
            <w:tcW w:w="20" w:type="dxa"/>
            <w:vAlign w:val="bottom"/>
          </w:tcPr>
          <w:p>
            <w:pPr>
              <w:spacing w:after="0"/>
              <w:rPr>
                <w:sz w:val="18"/>
                <w:szCs w:val="18"/>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Cash and cash equivalents, end of period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2,714</w:t>
            </w:r>
          </w:p>
        </w:tc>
        <w:tc>
          <w:tcPr>
            <w:tcW w:w="36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2,714</w:t>
            </w:r>
          </w:p>
        </w:tc>
      </w:tr>
      <w:tr>
        <w:trPr>
          <w:trHeight w:val="511"/>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gridSpan w:val="2"/>
          </w:tcPr>
          <w:p>
            <w:pPr>
              <w:jc w:val="right"/>
              <w:ind w:right="434"/>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jc w:val="center"/>
        <w:spacing w:after="0"/>
        <w:rPr>
          <w:sz w:val="20"/>
          <w:szCs w:val="20"/>
          <w:color w:val="auto"/>
        </w:rPr>
      </w:pPr>
      <w:r>
        <w:rPr>
          <w:rFonts w:ascii="Arial" w:cs="Arial" w:eastAsia="Arial" w:hAnsi="Arial"/>
          <w:sz w:val="18"/>
          <w:szCs w:val="18"/>
          <w:b w:val="1"/>
          <w:bCs w:val="1"/>
          <w:color w:val="auto"/>
        </w:rPr>
        <w:t>For the Nine Months Ended September 30, 2007</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313"/>
              <w:spacing w:after="0" w:line="149" w:lineRule="exact"/>
              <w:rPr>
                <w:sz w:val="20"/>
                <w:szCs w:val="20"/>
                <w:color w:val="auto"/>
              </w:rPr>
            </w:pPr>
            <w:r>
              <w:rPr>
                <w:rFonts w:ascii="Arial" w:cs="Arial" w:eastAsia="Arial" w:hAnsi="Arial"/>
                <w:sz w:val="14"/>
                <w:szCs w:val="14"/>
                <w:color w:val="auto"/>
                <w:w w:val="98"/>
              </w:rPr>
              <w:t>Non-</w:t>
            </w:r>
          </w:p>
        </w:tc>
        <w:tc>
          <w:tcPr>
            <w:tcW w:w="320" w:type="dxa"/>
            <w:vAlign w:val="bottom"/>
          </w:tcPr>
          <w:p>
            <w:pPr>
              <w:spacing w:after="0"/>
              <w:rPr>
                <w:sz w:val="12"/>
                <w:szCs w:val="12"/>
                <w:color w:val="auto"/>
              </w:rPr>
            </w:pPr>
          </w:p>
        </w:tc>
        <w:tc>
          <w:tcPr>
            <w:tcW w:w="72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8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Comcast</w:t>
            </w:r>
          </w:p>
        </w:tc>
        <w:tc>
          <w:tcPr>
            <w:tcW w:w="76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CCCH</w:t>
            </w:r>
          </w:p>
        </w:tc>
        <w:tc>
          <w:tcPr>
            <w:tcW w:w="9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100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04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68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1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3"/>
                <w:szCs w:val="13"/>
                <w:color w:val="auto"/>
              </w:rPr>
            </w:pPr>
          </w:p>
        </w:tc>
        <w:tc>
          <w:tcPr>
            <w:tcW w:w="660" w:type="dxa"/>
            <w:vAlign w:val="bottom"/>
          </w:tcPr>
          <w:p>
            <w:pPr>
              <w:jc w:val="right"/>
              <w:ind w:right="213"/>
              <w:spacing w:after="0" w:line="159" w:lineRule="exact"/>
              <w:rPr>
                <w:sz w:val="20"/>
                <w:szCs w:val="20"/>
                <w:color w:val="auto"/>
              </w:rPr>
            </w:pPr>
            <w:r>
              <w:rPr>
                <w:rFonts w:ascii="Arial" w:cs="Arial" w:eastAsia="Arial" w:hAnsi="Arial"/>
                <w:sz w:val="14"/>
                <w:szCs w:val="14"/>
                <w:color w:val="auto"/>
                <w:w w:val="82"/>
              </w:rPr>
              <w:t>Parent</w:t>
            </w:r>
          </w:p>
        </w:tc>
        <w:tc>
          <w:tcPr>
            <w:tcW w:w="76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76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90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Parents</w:t>
            </w:r>
          </w:p>
        </w:tc>
        <w:tc>
          <w:tcPr>
            <w:tcW w:w="8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Holdings</w:t>
            </w:r>
          </w:p>
        </w:tc>
        <w:tc>
          <w:tcPr>
            <w:tcW w:w="10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Subsidiaries</w:t>
            </w:r>
          </w:p>
        </w:tc>
        <w:tc>
          <w:tcPr>
            <w:tcW w:w="10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1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Activities:</w:t>
            </w:r>
          </w:p>
        </w:tc>
        <w:tc>
          <w:tcPr>
            <w:tcW w:w="4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7"/>
              </w:rPr>
              <w:t>Net cash provided by (used in) operating activities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5"/>
              </w:rPr>
              <w:t>(211)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5"/>
              </w:rPr>
              <w:t>(172)</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(198)</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6,510</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w:t>
            </w:r>
          </w:p>
        </w:tc>
      </w:tr>
      <w:tr>
        <w:trPr>
          <w:trHeight w:val="210"/>
        </w:trPr>
        <w:tc>
          <w:tcPr>
            <w:tcW w:w="20" w:type="dxa"/>
            <w:vAlign w:val="bottom"/>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Financing Activities:</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42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w w:val="97"/>
              </w:rPr>
              <w:t>3,595</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3,610</w:t>
            </w: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5"/>
              </w:rPr>
              <w:t>(600)</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(503)</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(1,529)</w:t>
            </w: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4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w w:val="87"/>
              </w:rPr>
              <w:t>(1,852)</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(1,852)</w:t>
            </w: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404</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53</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10"/>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8"/>
              </w:rPr>
              <w:t>Net cash provided by (used in) financing activities</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7"/>
              </w:rPr>
              <w:t>1,953</w:t>
            </w:r>
          </w:p>
        </w:tc>
        <w:tc>
          <w:tcPr>
            <w:tcW w:w="2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5"/>
              </w:rPr>
              <w:t>(600)</w:t>
            </w:r>
          </w:p>
        </w:tc>
        <w:tc>
          <w:tcPr>
            <w:tcW w:w="2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(435)</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684</w:t>
            </w: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(1,572)</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811</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172</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432</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(6)</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98"/>
              </w:rPr>
              <w:t>(4,556)</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(4,584)</w:t>
            </w: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42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98"/>
              </w:rPr>
              <w:t>(1,277)</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1,726</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1,726</w:t>
            </w: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42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98</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20" w:type="dxa"/>
            <w:vAlign w:val="bottom"/>
          </w:tcPr>
          <w:p>
            <w:pPr>
              <w:spacing w:after="0"/>
              <w:rPr>
                <w:sz w:val="18"/>
                <w:szCs w:val="18"/>
                <w:color w:val="auto"/>
              </w:rPr>
            </w:pP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8"/>
              </w:rPr>
              <w:t>Net cash provided by (used in) investing activities</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7"/>
              </w:rPr>
              <w:t>(1,600)</w:t>
            </w: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811</w:t>
            </w: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172</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432</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8"/>
              </w:rPr>
              <w:t>(4,288)</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r>
      <w:tr>
        <w:trPr>
          <w:trHeight w:val="210"/>
        </w:trPr>
        <w:tc>
          <w:tcPr>
            <w:tcW w:w="20" w:type="dxa"/>
            <w:vAlign w:val="bottom"/>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(77)</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1,787</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1,710</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1,162</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r>
      <w:tr>
        <w:trPr>
          <w:trHeight w:val="217"/>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2,949</w:t>
            </w:r>
          </w:p>
        </w:tc>
        <w:tc>
          <w:tcPr>
            <w:tcW w:w="3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2,949</w:t>
            </w:r>
          </w:p>
        </w:tc>
      </w:tr>
      <w:tr>
        <w:trPr>
          <w:trHeight w:val="511"/>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the largest cable operator in the United States and offer a variety of entertainment and communications products and services. As of September 30, 2008, our cable systems served approximately 24.4 million video subscribers, 14.7 million high-speed Internet subscribers and 6.1 million phone subscribers and passed approximately 50.3 million homes in 39 states and the District of Columbia.</w:t>
      </w:r>
    </w:p>
    <w:p>
      <w:pPr>
        <w:spacing w:after="0" w:line="4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classify our operations in two reportable segments: Cable and Programming. Our Cable segment, which generates approximately 95% of our consolidated revenue, manages and operates our cable systems, including video, high-speed Internet and phone services (“cable services”). The majority of our Cable segment revenue is earned from monthly subscriptions for these cable services. Other sources of revenue include advertising and the operation of our regional sports and news networks. Our Programming segment consists primarily of our consolidated national programming networks, including E!, Golf Channel, VERSUS, G4 and Style. Revenue from our Programming segment is earned primarily from the sale of advertising and from monthly per subscriber programming license fees.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Highlights and business developments for the nine months ended September 30, 2008 include the following:</w:t>
      </w:r>
    </w:p>
    <w:p>
      <w:pPr>
        <w:spacing w:after="0" w:line="77" w:lineRule="exact"/>
        <w:rPr>
          <w:sz w:val="20"/>
          <w:szCs w:val="20"/>
          <w:color w:val="auto"/>
        </w:rPr>
      </w:pPr>
    </w:p>
    <w:p>
      <w:pPr>
        <w:ind w:left="1020" w:right="1260" w:hanging="215"/>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consolidated revenue of 11.4% to approximately $25.5 billion and an increase in consolidated operating income of 20.8% to approximately $5.0 billion</w:t>
      </w:r>
    </w:p>
    <w:p>
      <w:pPr>
        <w:spacing w:after="0" w:line="37"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Cable segment revenue of 11.1% to approximately $24.1 billion and an increase in operating income before depreciation and amortization of 10.9% to approximately $9.8 billion, both driven by growth in subscribers from the success of our bundled service offerings and by acquisitions</w:t>
      </w:r>
    </w:p>
    <w:p>
      <w:pPr>
        <w:spacing w:after="0" w:line="45"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repurchase of approximately 141 million shares of our Class A and Class A Special common stock under our share repurchase authorization for approximately $2.8 billion</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acquisition of cable systems serving Illinois and Indiana (approximately 696,000 video subscribers), as a result of the dissolution of Insight Midwest, LP (the “Insight transaction”), in January 2008</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3"/>
          </w:tcPr>
          <w:p>
            <w:pPr>
              <w:jc w:val="right"/>
              <w:ind w:right="294"/>
              <w:spacing w:after="0"/>
              <w:rPr>
                <w:sz w:val="20"/>
                <w:szCs w:val="20"/>
                <w:color w:val="auto"/>
              </w:rPr>
            </w:pPr>
            <w:r>
              <w:rPr>
                <w:rFonts w:ascii="Arial" w:cs="Arial" w:eastAsia="Arial" w:hAnsi="Arial"/>
                <w:sz w:val="14"/>
                <w:szCs w:val="14"/>
                <w:color w:val="auto"/>
                <w:w w:val="90"/>
              </w:rPr>
              <w:t>Three Months Ended</w:t>
            </w:r>
          </w:p>
        </w:tc>
        <w:tc>
          <w:tcPr>
            <w:tcW w:w="1080" w:type="dxa"/>
            <w:vAlign w:val="bottom"/>
          </w:tcPr>
          <w:p>
            <w:pPr>
              <w:jc w:val="right"/>
              <w:ind w:right="295"/>
              <w:spacing w:after="0"/>
              <w:rPr>
                <w:sz w:val="20"/>
                <w:szCs w:val="20"/>
                <w:color w:val="auto"/>
              </w:rPr>
            </w:pPr>
            <w:r>
              <w:rPr>
                <w:rFonts w:ascii="Arial" w:cs="Arial" w:eastAsia="Arial" w:hAnsi="Arial"/>
                <w:sz w:val="14"/>
                <w:szCs w:val="14"/>
                <w:color w:val="auto"/>
              </w:rPr>
              <w:t>Increase/</w:t>
            </w:r>
          </w:p>
        </w:tc>
        <w:tc>
          <w:tcPr>
            <w:tcW w:w="240" w:type="dxa"/>
            <w:vAlign w:val="bottom"/>
          </w:tcPr>
          <w:p>
            <w:pPr>
              <w:spacing w:after="0"/>
              <w:rPr>
                <w:sz w:val="14"/>
                <w:szCs w:val="14"/>
                <w:color w:val="auto"/>
              </w:rPr>
            </w:pPr>
          </w:p>
        </w:tc>
        <w:tc>
          <w:tcPr>
            <w:tcW w:w="1680" w:type="dxa"/>
            <w:vAlign w:val="bottom"/>
            <w:gridSpan w:val="3"/>
          </w:tcPr>
          <w:p>
            <w:pPr>
              <w:jc w:val="right"/>
              <w:ind w:right="374"/>
              <w:spacing w:after="0"/>
              <w:rPr>
                <w:sz w:val="20"/>
                <w:szCs w:val="20"/>
                <w:color w:val="auto"/>
              </w:rPr>
            </w:pPr>
            <w:r>
              <w:rPr>
                <w:rFonts w:ascii="Arial" w:cs="Arial" w:eastAsia="Arial" w:hAnsi="Arial"/>
                <w:sz w:val="14"/>
                <w:szCs w:val="14"/>
                <w:color w:val="auto"/>
                <w:w w:val="97"/>
              </w:rPr>
              <w:t>Nine Months Ended</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auto"/>
                <w:w w:val="86"/>
              </w:rPr>
              <w:t>Increase/</w:t>
            </w: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gridSpan w:val="3"/>
          </w:tcPr>
          <w:p>
            <w:pPr>
              <w:jc w:val="right"/>
              <w:ind w:right="494"/>
              <w:spacing w:after="0"/>
              <w:rPr>
                <w:sz w:val="20"/>
                <w:szCs w:val="20"/>
                <w:color w:val="auto"/>
              </w:rPr>
            </w:pPr>
            <w:r>
              <w:rPr>
                <w:rFonts w:ascii="Arial" w:cs="Arial" w:eastAsia="Arial" w:hAnsi="Arial"/>
                <w:sz w:val="14"/>
                <w:szCs w:val="14"/>
                <w:color w:val="auto"/>
              </w:rPr>
              <w:t>September 30</w:t>
            </w:r>
          </w:p>
        </w:tc>
        <w:tc>
          <w:tcPr>
            <w:tcW w:w="1080" w:type="dxa"/>
            <w:vAlign w:val="bottom"/>
          </w:tcPr>
          <w:p>
            <w:pPr>
              <w:jc w:val="right"/>
              <w:ind w:right="255"/>
              <w:spacing w:after="0"/>
              <w:rPr>
                <w:sz w:val="20"/>
                <w:szCs w:val="20"/>
                <w:color w:val="auto"/>
              </w:rPr>
            </w:pPr>
            <w:r>
              <w:rPr>
                <w:rFonts w:ascii="Arial" w:cs="Arial" w:eastAsia="Arial" w:hAnsi="Arial"/>
                <w:sz w:val="14"/>
                <w:szCs w:val="14"/>
                <w:color w:val="auto"/>
              </w:rPr>
              <w:t>(Decrease)</w:t>
            </w:r>
          </w:p>
        </w:tc>
        <w:tc>
          <w:tcPr>
            <w:tcW w:w="240" w:type="dxa"/>
            <w:vAlign w:val="bottom"/>
          </w:tcPr>
          <w:p>
            <w:pPr>
              <w:spacing w:after="0"/>
              <w:rPr>
                <w:sz w:val="15"/>
                <w:szCs w:val="15"/>
                <w:color w:val="auto"/>
              </w:rPr>
            </w:pPr>
          </w:p>
        </w:tc>
        <w:tc>
          <w:tcPr>
            <w:tcW w:w="1680" w:type="dxa"/>
            <w:vAlign w:val="bottom"/>
            <w:gridSpan w:val="3"/>
          </w:tcPr>
          <w:p>
            <w:pPr>
              <w:jc w:val="right"/>
              <w:ind w:right="534"/>
              <w:spacing w:after="0"/>
              <w:rPr>
                <w:sz w:val="20"/>
                <w:szCs w:val="20"/>
                <w:color w:val="auto"/>
              </w:rPr>
            </w:pPr>
            <w:r>
              <w:rPr>
                <w:rFonts w:ascii="Arial" w:cs="Arial" w:eastAsia="Arial" w:hAnsi="Arial"/>
                <w:sz w:val="14"/>
                <w:szCs w:val="14"/>
                <w:color w:val="auto"/>
              </w:rPr>
              <w:t>September 30</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auto"/>
                <w:w w:val="83"/>
              </w:rPr>
              <w:t>(Decrease)</w:t>
            </w:r>
          </w:p>
        </w:tc>
      </w:tr>
      <w:tr>
        <w:trPr>
          <w:trHeight w:val="237"/>
        </w:trPr>
        <w:tc>
          <w:tcPr>
            <w:tcW w:w="5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77"/>
              <w:spacing w:after="0"/>
              <w:rPr>
                <w:sz w:val="20"/>
                <w:szCs w:val="20"/>
                <w:color w:val="auto"/>
              </w:rPr>
            </w:pPr>
            <w:r>
              <w:rPr>
                <w:rFonts w:ascii="Arial" w:cs="Arial" w:eastAsia="Arial" w:hAnsi="Arial"/>
                <w:sz w:val="14"/>
                <w:szCs w:val="14"/>
                <w:color w:val="auto"/>
                <w:w w:val="89"/>
              </w:rPr>
              <w:t>2008</w:t>
            </w: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color w:val="auto"/>
                <w:w w:val="89"/>
              </w:rPr>
              <w:t>2007</w:t>
            </w:r>
          </w:p>
        </w:tc>
        <w:tc>
          <w:tcPr>
            <w:tcW w:w="10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297"/>
              <w:spacing w:after="0"/>
              <w:rPr>
                <w:sz w:val="20"/>
                <w:szCs w:val="20"/>
                <w:color w:val="auto"/>
              </w:rPr>
            </w:pPr>
            <w:r>
              <w:rPr>
                <w:rFonts w:ascii="Arial" w:cs="Arial" w:eastAsia="Arial" w:hAnsi="Arial"/>
                <w:sz w:val="14"/>
                <w:szCs w:val="14"/>
                <w:color w:val="auto"/>
              </w:rPr>
              <w:t>2008</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color w:val="auto"/>
              </w:rPr>
              <w:t>2007</w:t>
            </w: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w w:val="93"/>
              </w:rPr>
              <w:t>8,549</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93"/>
              </w:rPr>
              <w:t>7,781</w:t>
            </w:r>
          </w:p>
        </w:tc>
        <w:tc>
          <w:tcPr>
            <w:tcW w:w="1080" w:type="dxa"/>
            <w:vAlign w:val="bottom"/>
            <w:tcBorders>
              <w:top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9.9%</w:t>
            </w: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w w:val="87"/>
              </w:rPr>
              <w:t>25,491</w:t>
            </w: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87"/>
              </w:rPr>
              <w:t>22,881</w:t>
            </w:r>
          </w:p>
        </w:tc>
        <w:tc>
          <w:tcPr>
            <w:tcW w:w="9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E5E5E5"/>
          </w:tcPr>
          <w:p>
            <w:pPr>
              <w:spacing w:after="0"/>
              <w:rPr>
                <w:sz w:val="20"/>
                <w:szCs w:val="20"/>
                <w:color w:val="auto"/>
              </w:rPr>
            </w:pPr>
            <w:r>
              <w:rPr>
                <w:rFonts w:ascii="Arial" w:cs="Arial" w:eastAsia="Arial" w:hAnsi="Arial"/>
                <w:sz w:val="18"/>
                <w:szCs w:val="18"/>
                <w:color w:val="auto"/>
              </w:rPr>
              <w:t>Operating, selling, general and administrative expenses (excluding</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w w:val="93"/>
              </w:rPr>
              <w:t>5,312</w:t>
            </w:r>
          </w:p>
        </w:tc>
        <w:tc>
          <w:tcPr>
            <w:tcW w:w="26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3"/>
              </w:rPr>
              <w:t>4,852</w:t>
            </w:r>
          </w:p>
        </w:tc>
        <w:tc>
          <w:tcPr>
            <w:tcW w:w="108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9.5</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w w:val="87"/>
              </w:rPr>
              <w:t>15,729</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7"/>
              </w:rPr>
              <w:t>14,177</w:t>
            </w:r>
          </w:p>
        </w:tc>
        <w:tc>
          <w:tcPr>
            <w:tcW w:w="9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660" w:type="dxa"/>
            <w:vAlign w:val="bottom"/>
          </w:tcPr>
          <w:p>
            <w:pPr>
              <w:jc w:val="right"/>
              <w:ind w:right="137"/>
              <w:spacing w:after="0"/>
              <w:rPr>
                <w:sz w:val="20"/>
                <w:szCs w:val="20"/>
                <w:color w:val="auto"/>
              </w:rPr>
            </w:pPr>
            <w:r>
              <w:rPr>
                <w:rFonts w:ascii="Arial" w:cs="Arial" w:eastAsia="Arial" w:hAnsi="Arial"/>
                <w:sz w:val="18"/>
                <w:szCs w:val="18"/>
                <w:color w:val="auto"/>
                <w:w w:val="93"/>
              </w:rPr>
              <w:t>1,332</w:t>
            </w:r>
          </w:p>
        </w:tc>
        <w:tc>
          <w:tcPr>
            <w:tcW w:w="26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w w:val="93"/>
              </w:rPr>
              <w:t>1,291</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4,093</w:t>
            </w:r>
          </w:p>
        </w:tc>
        <w:tc>
          <w:tcPr>
            <w:tcW w:w="24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3,768</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235</w:t>
            </w:r>
          </w:p>
        </w:tc>
        <w:tc>
          <w:tcPr>
            <w:tcW w:w="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247</w:t>
            </w:r>
          </w:p>
        </w:tc>
        <w:tc>
          <w:tcPr>
            <w:tcW w:w="108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694</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816</w:t>
            </w:r>
          </w:p>
        </w:tc>
        <w:tc>
          <w:tcPr>
            <w:tcW w:w="92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Pr>
          <w:p>
            <w:pPr>
              <w:spacing w:after="0"/>
              <w:rPr>
                <w:sz w:val="18"/>
                <w:szCs w:val="18"/>
                <w:color w:val="auto"/>
              </w:rPr>
            </w:pPr>
          </w:p>
        </w:tc>
        <w:tc>
          <w:tcPr>
            <w:tcW w:w="660" w:type="dxa"/>
            <w:vAlign w:val="bottom"/>
          </w:tcPr>
          <w:p>
            <w:pPr>
              <w:jc w:val="right"/>
              <w:ind w:right="137"/>
              <w:spacing w:after="0"/>
              <w:rPr>
                <w:sz w:val="20"/>
                <w:szCs w:val="20"/>
                <w:color w:val="auto"/>
              </w:rPr>
            </w:pPr>
            <w:r>
              <w:rPr>
                <w:rFonts w:ascii="Arial" w:cs="Arial" w:eastAsia="Arial" w:hAnsi="Arial"/>
                <w:sz w:val="18"/>
                <w:szCs w:val="18"/>
                <w:color w:val="auto"/>
                <w:w w:val="93"/>
              </w:rPr>
              <w:t>1,670</w:t>
            </w:r>
          </w:p>
        </w:tc>
        <w:tc>
          <w:tcPr>
            <w:tcW w:w="26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w w:val="93"/>
              </w:rPr>
              <w:t>1,391</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4,975</w:t>
            </w:r>
          </w:p>
        </w:tc>
        <w:tc>
          <w:tcPr>
            <w:tcW w:w="24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4,120</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(513)</w:t>
            </w:r>
          </w:p>
        </w:tc>
        <w:tc>
          <w:tcPr>
            <w:tcW w:w="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(426)</w:t>
            </w:r>
          </w:p>
        </w:tc>
        <w:tc>
          <w:tcPr>
            <w:tcW w:w="108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w w:val="94"/>
              </w:rPr>
              <w:t>(1,498)</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(767)</w:t>
            </w:r>
          </w:p>
        </w:tc>
        <w:tc>
          <w:tcPr>
            <w:tcW w:w="9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95.4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before income taxes and minority interest</w:t>
            </w:r>
          </w:p>
        </w:tc>
        <w:tc>
          <w:tcPr>
            <w:tcW w:w="420" w:type="dxa"/>
            <w:vAlign w:val="bottom"/>
          </w:tcPr>
          <w:p>
            <w:pPr>
              <w:spacing w:after="0"/>
              <w:rPr>
                <w:sz w:val="18"/>
                <w:szCs w:val="18"/>
                <w:color w:val="auto"/>
              </w:rPr>
            </w:pPr>
          </w:p>
        </w:tc>
        <w:tc>
          <w:tcPr>
            <w:tcW w:w="660" w:type="dxa"/>
            <w:vAlign w:val="bottom"/>
          </w:tcPr>
          <w:p>
            <w:pPr>
              <w:jc w:val="right"/>
              <w:ind w:right="137"/>
              <w:spacing w:after="0"/>
              <w:rPr>
                <w:sz w:val="20"/>
                <w:szCs w:val="20"/>
                <w:color w:val="auto"/>
              </w:rPr>
            </w:pPr>
            <w:r>
              <w:rPr>
                <w:rFonts w:ascii="Arial" w:cs="Arial" w:eastAsia="Arial" w:hAnsi="Arial"/>
                <w:sz w:val="18"/>
                <w:szCs w:val="18"/>
                <w:color w:val="auto"/>
                <w:w w:val="93"/>
              </w:rPr>
              <w:t>1,157</w:t>
            </w:r>
          </w:p>
        </w:tc>
        <w:tc>
          <w:tcPr>
            <w:tcW w:w="26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965</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3,477</w:t>
            </w:r>
          </w:p>
        </w:tc>
        <w:tc>
          <w:tcPr>
            <w:tcW w:w="24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3,353</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(401)</w:t>
            </w:r>
          </w:p>
        </w:tc>
        <w:tc>
          <w:tcPr>
            <w:tcW w:w="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(421)</w:t>
            </w:r>
          </w:p>
        </w:tc>
        <w:tc>
          <w:tcPr>
            <w:tcW w:w="108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w w:val="94"/>
              </w:rPr>
              <w:t>(1,364)</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w w:val="94"/>
              </w:rPr>
              <w:t>(1,400)</w:t>
            </w:r>
          </w:p>
        </w:tc>
        <w:tc>
          <w:tcPr>
            <w:tcW w:w="92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before minority interest</w:t>
            </w:r>
          </w:p>
        </w:tc>
        <w:tc>
          <w:tcPr>
            <w:tcW w:w="420" w:type="dxa"/>
            <w:vAlign w:val="bottom"/>
          </w:tcPr>
          <w:p>
            <w:pPr>
              <w:spacing w:after="0"/>
              <w:rPr>
                <w:sz w:val="18"/>
                <w:szCs w:val="18"/>
                <w:color w:val="auto"/>
              </w:rPr>
            </w:pPr>
          </w:p>
        </w:tc>
        <w:tc>
          <w:tcPr>
            <w:tcW w:w="660" w:type="dxa"/>
            <w:vAlign w:val="bottom"/>
          </w:tcPr>
          <w:p>
            <w:pPr>
              <w:jc w:val="right"/>
              <w:ind w:right="137"/>
              <w:spacing w:after="0"/>
              <w:rPr>
                <w:sz w:val="20"/>
                <w:szCs w:val="20"/>
                <w:color w:val="auto"/>
              </w:rPr>
            </w:pPr>
            <w:r>
              <w:rPr>
                <w:rFonts w:ascii="Arial" w:cs="Arial" w:eastAsia="Arial" w:hAnsi="Arial"/>
                <w:sz w:val="18"/>
                <w:szCs w:val="18"/>
                <w:color w:val="auto"/>
              </w:rPr>
              <w:t>756</w:t>
            </w:r>
          </w:p>
        </w:tc>
        <w:tc>
          <w:tcPr>
            <w:tcW w:w="26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544</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2,113</w:t>
            </w:r>
          </w:p>
        </w:tc>
        <w:tc>
          <w:tcPr>
            <w:tcW w:w="24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1,953</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16</w:t>
            </w:r>
          </w:p>
        </w:tc>
        <w:tc>
          <w:tcPr>
            <w:tcW w:w="108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32</w:t>
            </w:r>
          </w:p>
        </w:tc>
        <w:tc>
          <w:tcPr>
            <w:tcW w:w="92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771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560</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2,135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1,985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20" w:type="dxa"/>
            <w:vAlign w:val="bottom"/>
            <w:tcBorders>
              <w:bottom w:val="single" w:sz="8" w:color="auto"/>
            </w:tcBorders>
          </w:tcPr>
          <w:p>
            <w:pPr>
              <w:spacing w:after="0"/>
              <w:rPr>
                <w:sz w:val="18"/>
                <w:szCs w:val="18"/>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and Programming segments accounted for substantially all of the increases in consolidated revenue for the three and nine months ended September 30, 2008 compared to the same periods in 2007. The remaining increases relate to our other business activities, primarily growth in our Comcast Interactive Media business and playoff game revenue generated in the second quarter of 2008 by Comcast Spectacor’s professional sports teams. Cable segment revenue and Programming segment revenue are discussed separately in “Segment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and Programming segments accounted for substantially all of the increases in consolidated operating, selling, general and administrative expenses for the three and nine months ended September 30, 2008 compared to the same periods in 2007. The remaining changes relate to our other business activities, including expanding our Comcast Interactive Media business, Comcast Spectacor and litigation expense incurred in 2007. Cable segment and Programming segment operating, selling, general and administrative expenses are discussed separately in “Segment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The increases in depreciation expense for the three and nine months ended September 30, 2008 compared to the same periods in 2007 were primarily a result of an increase in property and equipment associated with capital spending in recent years and the cable systems acquired in the Insight transaction.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decreases in amortization expense for the three and nine months ended September 30, 2008 compared to the same periods in 2007 were primarily due to the customer relationship intangible assets associated with the AT&amp;T Broadband acquisition in 2002 being fully amortized.</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measure the performance of our operating segments, we use operating income (loss)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Additionally, it is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13). This measure should not be considered a substitute for operating income (loss), net income (loss), net cash provided by operating activities, or other measures of performance or liquidity we have reported in accordance with GAAP.</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gridSpan w:val="3"/>
          </w:tcPr>
          <w:p>
            <w:pPr>
              <w:jc w:val="center"/>
              <w:ind w:right="234"/>
              <w:spacing w:after="0"/>
              <w:rPr>
                <w:sz w:val="20"/>
                <w:szCs w:val="20"/>
                <w:color w:val="auto"/>
              </w:rPr>
            </w:pPr>
            <w:r>
              <w:rPr>
                <w:rFonts w:ascii="Arial" w:cs="Arial" w:eastAsia="Arial" w:hAnsi="Arial"/>
                <w:sz w:val="14"/>
                <w:szCs w:val="14"/>
                <w:color w:val="auto"/>
                <w:w w:val="87"/>
              </w:rPr>
              <w:t>Three Months Ended</w:t>
            </w:r>
          </w:p>
        </w:tc>
        <w:tc>
          <w:tcPr>
            <w:tcW w:w="300" w:type="dxa"/>
            <w:vAlign w:val="bottom"/>
          </w:tcPr>
          <w:p>
            <w:pPr>
              <w:spacing w:after="0"/>
              <w:rPr>
                <w:sz w:val="14"/>
                <w:szCs w:val="14"/>
                <w:color w:val="auto"/>
              </w:rPr>
            </w:pPr>
          </w:p>
        </w:tc>
        <w:tc>
          <w:tcPr>
            <w:tcW w:w="940" w:type="dxa"/>
            <w:vAlign w:val="bottom"/>
          </w:tcPr>
          <w:p>
            <w:pPr>
              <w:jc w:val="center"/>
              <w:ind w:left="177"/>
              <w:spacing w:after="0"/>
              <w:rPr>
                <w:sz w:val="20"/>
                <w:szCs w:val="20"/>
                <w:color w:val="auto"/>
              </w:rPr>
            </w:pPr>
            <w:r>
              <w:rPr>
                <w:rFonts w:ascii="Arial" w:cs="Arial" w:eastAsia="Arial" w:hAnsi="Arial"/>
                <w:sz w:val="14"/>
                <w:szCs w:val="14"/>
                <w:color w:val="auto"/>
                <w:w w:val="83"/>
              </w:rPr>
              <w:t>Increase/</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center"/>
              <w:ind w:right="214"/>
              <w:spacing w:after="0" w:line="159" w:lineRule="exact"/>
              <w:rPr>
                <w:sz w:val="20"/>
                <w:szCs w:val="20"/>
                <w:color w:val="auto"/>
              </w:rPr>
            </w:pPr>
            <w:r>
              <w:rPr>
                <w:rFonts w:ascii="Arial" w:cs="Arial" w:eastAsia="Arial" w:hAnsi="Arial"/>
                <w:sz w:val="14"/>
                <w:szCs w:val="14"/>
                <w:color w:val="auto"/>
                <w:w w:val="86"/>
              </w:rPr>
              <w:t>September 30</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left="157"/>
              <w:spacing w:after="0" w:line="159" w:lineRule="exact"/>
              <w:rPr>
                <w:sz w:val="20"/>
                <w:szCs w:val="20"/>
                <w:color w:val="auto"/>
              </w:rPr>
            </w:pPr>
            <w:r>
              <w:rPr>
                <w:rFonts w:ascii="Arial" w:cs="Arial" w:eastAsia="Arial" w:hAnsi="Arial"/>
                <w:sz w:val="14"/>
                <w:szCs w:val="14"/>
                <w:color w:val="auto"/>
                <w:w w:val="83"/>
              </w:rPr>
              <w:t>(Decrease)</w:t>
            </w:r>
          </w:p>
        </w:tc>
        <w:tc>
          <w:tcPr>
            <w:tcW w:w="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jc w:val="right"/>
              <w:ind w:right="277"/>
              <w:spacing w:after="0" w:line="142" w:lineRule="exact"/>
              <w:rPr>
                <w:sz w:val="20"/>
                <w:szCs w:val="20"/>
                <w:color w:val="auto"/>
              </w:rPr>
            </w:pPr>
            <w:r>
              <w:rPr>
                <w:rFonts w:ascii="Arial" w:cs="Arial" w:eastAsia="Arial" w:hAnsi="Arial"/>
                <w:sz w:val="14"/>
                <w:szCs w:val="14"/>
                <w:color w:val="auto"/>
              </w:rPr>
              <w:t>2008</w:t>
            </w:r>
          </w:p>
        </w:tc>
        <w:tc>
          <w:tcPr>
            <w:tcW w:w="300" w:type="dxa"/>
            <w:vAlign w:val="bottom"/>
          </w:tcPr>
          <w:p>
            <w:pPr>
              <w:spacing w:after="0"/>
              <w:rPr>
                <w:sz w:val="12"/>
                <w:szCs w:val="12"/>
                <w:color w:val="auto"/>
              </w:rPr>
            </w:pPr>
          </w:p>
        </w:tc>
        <w:tc>
          <w:tcPr>
            <w:tcW w:w="70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2007</w:t>
            </w:r>
          </w:p>
        </w:tc>
        <w:tc>
          <w:tcPr>
            <w:tcW w:w="300" w:type="dxa"/>
            <w:vAlign w:val="bottom"/>
          </w:tcPr>
          <w:p>
            <w:pPr>
              <w:spacing w:after="0"/>
              <w:rPr>
                <w:sz w:val="12"/>
                <w:szCs w:val="12"/>
                <w:color w:val="auto"/>
              </w:rPr>
            </w:pPr>
          </w:p>
        </w:tc>
        <w:tc>
          <w:tcPr>
            <w:tcW w:w="940" w:type="dxa"/>
            <w:vAlign w:val="bottom"/>
          </w:tcPr>
          <w:p>
            <w:pPr>
              <w:jc w:val="right"/>
              <w:ind w:right="657"/>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34"/>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4,681</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4,395</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E5E5"/>
          </w:tcPr>
          <w:p>
            <w:pPr>
              <w:jc w:val="right"/>
              <w:ind w:right="457"/>
              <w:spacing w:after="0"/>
              <w:rPr>
                <w:sz w:val="20"/>
                <w:szCs w:val="20"/>
                <w:color w:val="auto"/>
              </w:rPr>
            </w:pPr>
            <w:r>
              <w:rPr>
                <w:rFonts w:ascii="Arial" w:cs="Arial" w:eastAsia="Arial" w:hAnsi="Arial"/>
                <w:sz w:val="18"/>
                <w:szCs w:val="18"/>
                <w:color w:val="auto"/>
              </w:rPr>
              <w:t>286</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High-speed Internet</w:t>
            </w:r>
          </w:p>
        </w:tc>
        <w:tc>
          <w:tcPr>
            <w:tcW w:w="52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1,822</w:t>
            </w: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1,624</w:t>
            </w:r>
          </w:p>
        </w:tc>
        <w:tc>
          <w:tcPr>
            <w:tcW w:w="300" w:type="dxa"/>
            <w:vAlign w:val="bottom"/>
          </w:tcPr>
          <w:p>
            <w:pPr>
              <w:spacing w:after="0"/>
              <w:rPr>
                <w:sz w:val="18"/>
                <w:szCs w:val="18"/>
                <w:color w:val="auto"/>
              </w:rPr>
            </w:pPr>
          </w:p>
        </w:tc>
        <w:tc>
          <w:tcPr>
            <w:tcW w:w="940" w:type="dxa"/>
            <w:vAlign w:val="bottom"/>
          </w:tcPr>
          <w:p>
            <w:pPr>
              <w:jc w:val="right"/>
              <w:ind w:right="457"/>
              <w:spacing w:after="0"/>
              <w:rPr>
                <w:sz w:val="20"/>
                <w:szCs w:val="20"/>
                <w:color w:val="auto"/>
              </w:rPr>
            </w:pPr>
            <w:r>
              <w:rPr>
                <w:rFonts w:ascii="Arial" w:cs="Arial" w:eastAsia="Arial" w:hAnsi="Arial"/>
                <w:sz w:val="18"/>
                <w:szCs w:val="18"/>
                <w:color w:val="auto"/>
              </w:rPr>
              <w:t>198</w:t>
            </w:r>
          </w:p>
        </w:tc>
        <w:tc>
          <w:tcPr>
            <w:tcW w:w="520" w:type="dxa"/>
            <w:vAlign w:val="bottom"/>
          </w:tcPr>
          <w:p>
            <w:pPr>
              <w:jc w:val="right"/>
              <w:ind w:right="94"/>
              <w:spacing w:after="0"/>
              <w:rPr>
                <w:sz w:val="20"/>
                <w:szCs w:val="20"/>
                <w:color w:val="auto"/>
              </w:rPr>
            </w:pPr>
            <w:r>
              <w:rPr>
                <w:rFonts w:ascii="Arial" w:cs="Arial" w:eastAsia="Arial" w:hAnsi="Arial"/>
                <w:sz w:val="18"/>
                <w:szCs w:val="18"/>
                <w:color w:val="auto"/>
                <w:w w:val="91"/>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690</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470</w:t>
            </w:r>
          </w:p>
        </w:tc>
        <w:tc>
          <w:tcPr>
            <w:tcW w:w="3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rPr>
              <w:t>220</w:t>
            </w:r>
          </w:p>
        </w:tc>
        <w:tc>
          <w:tcPr>
            <w:tcW w:w="5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91"/>
              </w:rPr>
              <w:t>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Advertising</w:t>
            </w:r>
          </w:p>
        </w:tc>
        <w:tc>
          <w:tcPr>
            <w:tcW w:w="52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374</w:t>
            </w: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18"/>
                <w:szCs w:val="18"/>
                <w:color w:val="auto"/>
              </w:rPr>
            </w:pPr>
          </w:p>
        </w:tc>
        <w:tc>
          <w:tcPr>
            <w:tcW w:w="940" w:type="dxa"/>
            <w:vAlign w:val="bottom"/>
          </w:tcPr>
          <w:p>
            <w:pPr>
              <w:jc w:val="right"/>
              <w:ind w:right="397"/>
              <w:spacing w:after="0"/>
              <w:rPr>
                <w:sz w:val="20"/>
                <w:szCs w:val="20"/>
                <w:color w:val="auto"/>
              </w:rPr>
            </w:pPr>
            <w:r>
              <w:rPr>
                <w:rFonts w:ascii="Arial" w:cs="Arial" w:eastAsia="Arial" w:hAnsi="Arial"/>
                <w:sz w:val="18"/>
                <w:szCs w:val="18"/>
                <w:color w:val="auto"/>
              </w:rPr>
              <w:t>(33)</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rPr>
              <w:t>40</w:t>
            </w:r>
          </w:p>
        </w:tc>
        <w:tc>
          <w:tcPr>
            <w:tcW w:w="5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91"/>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fees</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228</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208</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20</w:t>
            </w: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8,131</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7,400</w:t>
            </w:r>
          </w:p>
        </w:tc>
        <w:tc>
          <w:tcPr>
            <w:tcW w:w="3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rPr>
              <w:t>731</w:t>
            </w:r>
          </w:p>
        </w:tc>
        <w:tc>
          <w:tcPr>
            <w:tcW w:w="5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2,932</w:t>
            </w: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2,615</w:t>
            </w:r>
          </w:p>
        </w:tc>
        <w:tc>
          <w:tcPr>
            <w:tcW w:w="300" w:type="dxa"/>
            <w:vAlign w:val="bottom"/>
          </w:tcPr>
          <w:p>
            <w:pPr>
              <w:spacing w:after="0"/>
              <w:rPr>
                <w:sz w:val="18"/>
                <w:szCs w:val="18"/>
                <w:color w:val="auto"/>
              </w:rPr>
            </w:pPr>
          </w:p>
        </w:tc>
        <w:tc>
          <w:tcPr>
            <w:tcW w:w="940" w:type="dxa"/>
            <w:vAlign w:val="bottom"/>
          </w:tcPr>
          <w:p>
            <w:pPr>
              <w:jc w:val="right"/>
              <w:ind w:right="457"/>
              <w:spacing w:after="0"/>
              <w:rPr>
                <w:sz w:val="20"/>
                <w:szCs w:val="20"/>
                <w:color w:val="auto"/>
              </w:rPr>
            </w:pPr>
            <w:r>
              <w:rPr>
                <w:rFonts w:ascii="Arial" w:cs="Arial" w:eastAsia="Arial" w:hAnsi="Arial"/>
                <w:sz w:val="18"/>
                <w:szCs w:val="18"/>
                <w:color w:val="auto"/>
              </w:rPr>
              <w:t>317</w:t>
            </w:r>
          </w:p>
        </w:tc>
        <w:tc>
          <w:tcPr>
            <w:tcW w:w="520" w:type="dxa"/>
            <w:vAlign w:val="bottom"/>
          </w:tcPr>
          <w:p>
            <w:pPr>
              <w:jc w:val="right"/>
              <w:ind w:right="94"/>
              <w:spacing w:after="0"/>
              <w:rPr>
                <w:sz w:val="20"/>
                <w:szCs w:val="20"/>
                <w:color w:val="auto"/>
              </w:rPr>
            </w:pPr>
            <w:r>
              <w:rPr>
                <w:rFonts w:ascii="Arial" w:cs="Arial" w:eastAsia="Arial" w:hAnsi="Arial"/>
                <w:sz w:val="18"/>
                <w:szCs w:val="18"/>
                <w:color w:val="auto"/>
                <w:w w:val="91"/>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1,948</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1,810</w:t>
            </w:r>
          </w:p>
        </w:tc>
        <w:tc>
          <w:tcPr>
            <w:tcW w:w="3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457"/>
              <w:spacing w:after="0"/>
              <w:rPr>
                <w:sz w:val="20"/>
                <w:szCs w:val="20"/>
                <w:color w:val="auto"/>
              </w:rPr>
            </w:pPr>
            <w:r>
              <w:rPr>
                <w:rFonts w:ascii="Arial" w:cs="Arial" w:eastAsia="Arial" w:hAnsi="Arial"/>
                <w:sz w:val="18"/>
                <w:szCs w:val="18"/>
                <w:color w:val="auto"/>
              </w:rPr>
              <w:t>138</w:t>
            </w:r>
          </w:p>
        </w:tc>
        <w:tc>
          <w:tcPr>
            <w:tcW w:w="5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3,251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2,975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b w:val="1"/>
                <w:bCs w:val="1"/>
                <w:color w:val="auto"/>
              </w:rPr>
              <w:t>276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gridSpan w:val="3"/>
          </w:tcPr>
          <w:p>
            <w:pPr>
              <w:jc w:val="center"/>
              <w:ind w:right="214"/>
              <w:spacing w:after="0"/>
              <w:rPr>
                <w:sz w:val="20"/>
                <w:szCs w:val="20"/>
                <w:color w:val="auto"/>
              </w:rPr>
            </w:pPr>
            <w:r>
              <w:rPr>
                <w:rFonts w:ascii="Arial" w:cs="Arial" w:eastAsia="Arial" w:hAnsi="Arial"/>
                <w:sz w:val="14"/>
                <w:szCs w:val="14"/>
                <w:color w:val="auto"/>
                <w:w w:val="87"/>
              </w:rPr>
              <w:t>Nine Months Ended</w:t>
            </w:r>
          </w:p>
        </w:tc>
        <w:tc>
          <w:tcPr>
            <w:tcW w:w="300" w:type="dxa"/>
            <w:vAlign w:val="bottom"/>
          </w:tcPr>
          <w:p>
            <w:pPr>
              <w:spacing w:after="0"/>
              <w:rPr>
                <w:sz w:val="24"/>
                <w:szCs w:val="24"/>
                <w:color w:val="auto"/>
              </w:rPr>
            </w:pPr>
          </w:p>
        </w:tc>
        <w:tc>
          <w:tcPr>
            <w:tcW w:w="940" w:type="dxa"/>
            <w:vAlign w:val="bottom"/>
          </w:tcPr>
          <w:p>
            <w:pPr>
              <w:jc w:val="center"/>
              <w:ind w:left="177"/>
              <w:spacing w:after="0"/>
              <w:rPr>
                <w:sz w:val="20"/>
                <w:szCs w:val="20"/>
                <w:color w:val="auto"/>
              </w:rPr>
            </w:pPr>
            <w:r>
              <w:rPr>
                <w:rFonts w:ascii="Arial" w:cs="Arial" w:eastAsia="Arial" w:hAnsi="Arial"/>
                <w:sz w:val="14"/>
                <w:szCs w:val="14"/>
                <w:color w:val="auto"/>
                <w:w w:val="83"/>
              </w:rPr>
              <w:t>Increase/</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center"/>
              <w:ind w:right="214"/>
              <w:spacing w:after="0" w:line="159" w:lineRule="exact"/>
              <w:rPr>
                <w:sz w:val="20"/>
                <w:szCs w:val="20"/>
                <w:color w:val="auto"/>
              </w:rPr>
            </w:pPr>
            <w:r>
              <w:rPr>
                <w:rFonts w:ascii="Arial" w:cs="Arial" w:eastAsia="Arial" w:hAnsi="Arial"/>
                <w:sz w:val="14"/>
                <w:szCs w:val="14"/>
                <w:color w:val="auto"/>
                <w:w w:val="86"/>
              </w:rPr>
              <w:t>September 30</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left="157"/>
              <w:spacing w:after="0" w:line="159" w:lineRule="exact"/>
              <w:rPr>
                <w:sz w:val="20"/>
                <w:szCs w:val="20"/>
                <w:color w:val="auto"/>
              </w:rPr>
            </w:pPr>
            <w:r>
              <w:rPr>
                <w:rFonts w:ascii="Arial" w:cs="Arial" w:eastAsia="Arial" w:hAnsi="Arial"/>
                <w:sz w:val="14"/>
                <w:szCs w:val="14"/>
                <w:color w:val="auto"/>
                <w:w w:val="83"/>
              </w:rPr>
              <w:t>(Decrease)</w:t>
            </w:r>
          </w:p>
        </w:tc>
        <w:tc>
          <w:tcPr>
            <w:tcW w:w="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jc w:val="right"/>
              <w:ind w:right="277"/>
              <w:spacing w:after="0" w:line="142" w:lineRule="exact"/>
              <w:rPr>
                <w:sz w:val="20"/>
                <w:szCs w:val="20"/>
                <w:color w:val="auto"/>
              </w:rPr>
            </w:pPr>
            <w:r>
              <w:rPr>
                <w:rFonts w:ascii="Arial" w:cs="Arial" w:eastAsia="Arial" w:hAnsi="Arial"/>
                <w:sz w:val="14"/>
                <w:szCs w:val="14"/>
                <w:color w:val="auto"/>
              </w:rPr>
              <w:t>2008</w:t>
            </w:r>
          </w:p>
        </w:tc>
        <w:tc>
          <w:tcPr>
            <w:tcW w:w="300" w:type="dxa"/>
            <w:vAlign w:val="bottom"/>
          </w:tcPr>
          <w:p>
            <w:pPr>
              <w:spacing w:after="0"/>
              <w:rPr>
                <w:sz w:val="12"/>
                <w:szCs w:val="12"/>
                <w:color w:val="auto"/>
              </w:rPr>
            </w:pPr>
          </w:p>
        </w:tc>
        <w:tc>
          <w:tcPr>
            <w:tcW w:w="70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2007</w:t>
            </w:r>
          </w:p>
        </w:tc>
        <w:tc>
          <w:tcPr>
            <w:tcW w:w="300" w:type="dxa"/>
            <w:vAlign w:val="bottom"/>
          </w:tcPr>
          <w:p>
            <w:pPr>
              <w:spacing w:after="0"/>
              <w:rPr>
                <w:sz w:val="12"/>
                <w:szCs w:val="12"/>
                <w:color w:val="auto"/>
              </w:rPr>
            </w:pPr>
          </w:p>
        </w:tc>
        <w:tc>
          <w:tcPr>
            <w:tcW w:w="940" w:type="dxa"/>
            <w:vAlign w:val="bottom"/>
          </w:tcPr>
          <w:p>
            <w:pPr>
              <w:jc w:val="right"/>
              <w:ind w:right="657"/>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34"/>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w w:val="83"/>
              </w:rPr>
              <w:t>14,113</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83"/>
              </w:rPr>
              <w:t>13,222</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E5E5"/>
          </w:tcPr>
          <w:p>
            <w:pPr>
              <w:jc w:val="right"/>
              <w:ind w:right="457"/>
              <w:spacing w:after="0"/>
              <w:rPr>
                <w:sz w:val="20"/>
                <w:szCs w:val="20"/>
                <w:color w:val="auto"/>
              </w:rPr>
            </w:pPr>
            <w:r>
              <w:rPr>
                <w:rFonts w:ascii="Arial" w:cs="Arial" w:eastAsia="Arial" w:hAnsi="Arial"/>
                <w:sz w:val="18"/>
                <w:szCs w:val="18"/>
                <w:color w:val="auto"/>
              </w:rPr>
              <w:t>891</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High-speed Internet</w:t>
            </w:r>
          </w:p>
        </w:tc>
        <w:tc>
          <w:tcPr>
            <w:tcW w:w="52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5,364</w:t>
            </w: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4,740</w:t>
            </w:r>
          </w:p>
        </w:tc>
        <w:tc>
          <w:tcPr>
            <w:tcW w:w="300" w:type="dxa"/>
            <w:vAlign w:val="bottom"/>
          </w:tcPr>
          <w:p>
            <w:pPr>
              <w:spacing w:after="0"/>
              <w:rPr>
                <w:sz w:val="18"/>
                <w:szCs w:val="18"/>
                <w:color w:val="auto"/>
              </w:rPr>
            </w:pPr>
          </w:p>
        </w:tc>
        <w:tc>
          <w:tcPr>
            <w:tcW w:w="940" w:type="dxa"/>
            <w:vAlign w:val="bottom"/>
          </w:tcPr>
          <w:p>
            <w:pPr>
              <w:jc w:val="right"/>
              <w:ind w:right="457"/>
              <w:spacing w:after="0"/>
              <w:rPr>
                <w:sz w:val="20"/>
                <w:szCs w:val="20"/>
                <w:color w:val="auto"/>
              </w:rPr>
            </w:pPr>
            <w:r>
              <w:rPr>
                <w:rFonts w:ascii="Arial" w:cs="Arial" w:eastAsia="Arial" w:hAnsi="Arial"/>
                <w:sz w:val="18"/>
                <w:szCs w:val="18"/>
                <w:color w:val="auto"/>
              </w:rPr>
              <w:t>624</w:t>
            </w:r>
          </w:p>
        </w:tc>
        <w:tc>
          <w:tcPr>
            <w:tcW w:w="520" w:type="dxa"/>
            <w:vAlign w:val="bottom"/>
          </w:tcPr>
          <w:p>
            <w:pPr>
              <w:jc w:val="right"/>
              <w:ind w:right="94"/>
              <w:spacing w:after="0"/>
              <w:rPr>
                <w:sz w:val="20"/>
                <w:szCs w:val="20"/>
                <w:color w:val="auto"/>
              </w:rPr>
            </w:pPr>
            <w:r>
              <w:rPr>
                <w:rFonts w:ascii="Arial" w:cs="Arial" w:eastAsia="Arial" w:hAnsi="Arial"/>
                <w:sz w:val="18"/>
                <w:szCs w:val="18"/>
                <w:color w:val="auto"/>
                <w:w w:val="91"/>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1,917</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1,243</w:t>
            </w:r>
          </w:p>
        </w:tc>
        <w:tc>
          <w:tcPr>
            <w:tcW w:w="3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rPr>
              <w:t>674</w:t>
            </w:r>
          </w:p>
        </w:tc>
        <w:tc>
          <w:tcPr>
            <w:tcW w:w="5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91"/>
              </w:rPr>
              <w:t>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Advertising</w:t>
            </w:r>
          </w:p>
        </w:tc>
        <w:tc>
          <w:tcPr>
            <w:tcW w:w="52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1,117</w:t>
            </w: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1,119</w:t>
            </w:r>
          </w:p>
        </w:tc>
        <w:tc>
          <w:tcPr>
            <w:tcW w:w="300" w:type="dxa"/>
            <w:vAlign w:val="bottom"/>
          </w:tcPr>
          <w:p>
            <w:pPr>
              <w:spacing w:after="0"/>
              <w:rPr>
                <w:sz w:val="18"/>
                <w:szCs w:val="18"/>
                <w:color w:val="auto"/>
              </w:rPr>
            </w:pPr>
          </w:p>
        </w:tc>
        <w:tc>
          <w:tcPr>
            <w:tcW w:w="940" w:type="dxa"/>
            <w:vAlign w:val="bottom"/>
          </w:tcPr>
          <w:p>
            <w:pPr>
              <w:jc w:val="right"/>
              <w:ind w:right="397"/>
              <w:spacing w:after="0"/>
              <w:rPr>
                <w:sz w:val="20"/>
                <w:szCs w:val="20"/>
                <w:color w:val="auto"/>
              </w:rPr>
            </w:pPr>
            <w:r>
              <w:rPr>
                <w:rFonts w:ascii="Arial" w:cs="Arial" w:eastAsia="Arial" w:hAnsi="Arial"/>
                <w:sz w:val="18"/>
                <w:szCs w:val="18"/>
                <w:color w:val="auto"/>
              </w:rPr>
              <w:t>(2)</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957</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788</w:t>
            </w:r>
          </w:p>
        </w:tc>
        <w:tc>
          <w:tcPr>
            <w:tcW w:w="3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rPr>
              <w:t>169</w:t>
            </w:r>
          </w:p>
        </w:tc>
        <w:tc>
          <w:tcPr>
            <w:tcW w:w="5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91"/>
              </w:rPr>
              <w:t>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fees</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679</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616</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63</w:t>
            </w: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1"/>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w w:val="83"/>
              </w:rPr>
              <w:t>24,147</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3"/>
              </w:rPr>
              <w:t>21,728</w:t>
            </w:r>
          </w:p>
        </w:tc>
        <w:tc>
          <w:tcPr>
            <w:tcW w:w="3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w w:val="84"/>
              </w:rPr>
              <w:t>2,419</w:t>
            </w:r>
          </w:p>
        </w:tc>
        <w:tc>
          <w:tcPr>
            <w:tcW w:w="5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91"/>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8,739</w:t>
            </w: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7,741</w:t>
            </w:r>
          </w:p>
        </w:tc>
        <w:tc>
          <w:tcPr>
            <w:tcW w:w="300" w:type="dxa"/>
            <w:vAlign w:val="bottom"/>
          </w:tcPr>
          <w:p>
            <w:pPr>
              <w:spacing w:after="0"/>
              <w:rPr>
                <w:sz w:val="18"/>
                <w:szCs w:val="18"/>
                <w:color w:val="auto"/>
              </w:rPr>
            </w:pPr>
          </w:p>
        </w:tc>
        <w:tc>
          <w:tcPr>
            <w:tcW w:w="940" w:type="dxa"/>
            <w:vAlign w:val="bottom"/>
          </w:tcPr>
          <w:p>
            <w:pPr>
              <w:jc w:val="right"/>
              <w:ind w:right="457"/>
              <w:spacing w:after="0"/>
              <w:rPr>
                <w:sz w:val="20"/>
                <w:szCs w:val="20"/>
                <w:color w:val="auto"/>
              </w:rPr>
            </w:pPr>
            <w:r>
              <w:rPr>
                <w:rFonts w:ascii="Arial" w:cs="Arial" w:eastAsia="Arial" w:hAnsi="Arial"/>
                <w:sz w:val="18"/>
                <w:szCs w:val="18"/>
                <w:color w:val="auto"/>
              </w:rPr>
              <w:t>998</w:t>
            </w:r>
          </w:p>
        </w:tc>
        <w:tc>
          <w:tcPr>
            <w:tcW w:w="520" w:type="dxa"/>
            <w:vAlign w:val="bottom"/>
          </w:tcPr>
          <w:p>
            <w:pPr>
              <w:jc w:val="right"/>
              <w:ind w:right="94"/>
              <w:spacing w:after="0"/>
              <w:rPr>
                <w:sz w:val="20"/>
                <w:szCs w:val="20"/>
                <w:color w:val="auto"/>
              </w:rPr>
            </w:pPr>
            <w:r>
              <w:rPr>
                <w:rFonts w:ascii="Arial" w:cs="Arial" w:eastAsia="Arial" w:hAnsi="Arial"/>
                <w:sz w:val="18"/>
                <w:szCs w:val="18"/>
                <w:color w:val="auto"/>
                <w:w w:val="91"/>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5,653</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5,188</w:t>
            </w:r>
          </w:p>
        </w:tc>
        <w:tc>
          <w:tcPr>
            <w:tcW w:w="3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457"/>
              <w:spacing w:after="0"/>
              <w:rPr>
                <w:sz w:val="20"/>
                <w:szCs w:val="20"/>
                <w:color w:val="auto"/>
              </w:rPr>
            </w:pPr>
            <w:r>
              <w:rPr>
                <w:rFonts w:ascii="Arial" w:cs="Arial" w:eastAsia="Arial" w:hAnsi="Arial"/>
                <w:sz w:val="18"/>
                <w:szCs w:val="18"/>
                <w:color w:val="auto"/>
              </w:rPr>
              <w:t>465</w:t>
            </w:r>
          </w:p>
        </w:tc>
        <w:tc>
          <w:tcPr>
            <w:tcW w:w="5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9,755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8,799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b w:val="1"/>
                <w:bCs w:val="1"/>
                <w:color w:val="auto"/>
              </w:rPr>
              <w:t>956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video revenue continued to grow for the three and nine months ended September 30, 2008 compared to the same periods in 2007 due to subscriber growth in our digital cable services, including the demand for digital features such as On Demand, DVR and HDTV; rate adjustments; and the addition of the cable systems acquired in the Insight transaction. During the nine months ended September 30, 2008, we added approximately 1.2 million digital cable subscribers. As of September 30, 2008, approximately 69% of our 24.4 million video subscribers subscribed to at least one of our digital cable services. During the nine months ended September 30, 2008, the number of basic subscribers decreased by approximately 342,000 primarily due to increased competition in our service areas, as well as the weakness in the economy. Our average monthly video revenue per video subscriber increased during the nine months ended September 30, 2008 to approximately $64 from approximately $61 as of December 31, 2007. The rate of this growth has slowed due to an increased number of subscribers participating in our bundles and in promotional offers.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increases in high-speed Internet revenue for the three and nine months ended September 30, 2008 compared to the same periods in 2007 were primarily due to an increase in subscribers and the addition of the cable systems acquired in the Insight transaction. During the nine months ended September 30, 2008, we added approximately 1.2 million high-speed Internet subscribers. Average monthly revenue per subscriber has declined slightly due to an increased number of subscribers participating in our bundled service offerings and the introduction of new promotional offers and speed tiers.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phone revenue increased for the three and nine months ended September 30, 2008 compared to the same periods in 2007 due to subscriber growth in our digital phone service, which was partially offset by the loss of circuit-switched phone subscribers. During the nine months ended September 30, 2008, we added approximately 1.7 million digital phone subscribers. Average monthly revenue per subscriber for our digital phone service has decreased slightly due to an increased number of subscribers receiving service as part of a promotional offer or in a new product package.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Advertising revenue decreased for the three and nine months ended September 30, 2008 compared to the same periods in 2007 primarily due to one less week in the broadcast advertising calendar for the three months ended September 30, 2008 and softness in the advertising marketplace throughout 2008. These declines have been partially offset by the inclusion of revenue from the cable systems acquired in the Insight transaction and increased political advertising revenue.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generate revenue from our regional sports and news networks, our digital media center, residential video installation services, on-screen guide advertising, commissions from third-party electronic retailing and fees for other services. The increases in other revenue for the nine months ended September 30, 2008 compared to the same period in 2007 were primarily due to the regional sports network acquisitions of Comcast SportsNet Bay Area and Comcast SportsNet New England in the first half of 2007.</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Fees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increases in franchise fees collected from our cable subscribers for the three and nine months ended September 30, 2008 compared to the same periods in 2007 were primarily due to the increases in our revenue upon which the fees apply.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Operating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expenses increased during the three and nine months ended September 30, 2008 compared to the same periods in 2007 primarily due to growth in the number of subscribers and the related costs associated with the delivery of services, including programming, and the addition of the cable systems acquired in the Insight transaction. The 2008 periods also include costs associated with the expansion of our cable services to small and medium-sized businesses.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Selling, General and Administrative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expenses increased during the three and nine months ended September 30, 2008 compared to the same periods in 2007 primarily due to growth in the number of subscribers to our cable services, additional marketing costs associated with attracting new residential and business subscribers and the addition of the cable systems acquired in the Insight transaction. The 2008 periods also include severance costs related to our divisional reorganization.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3"/>
          </w:tcPr>
          <w:p>
            <w:pPr>
              <w:jc w:val="center"/>
              <w:ind w:right="257"/>
              <w:spacing w:after="0"/>
              <w:rPr>
                <w:sz w:val="20"/>
                <w:szCs w:val="20"/>
                <w:color w:val="auto"/>
              </w:rPr>
            </w:pPr>
            <w:r>
              <w:rPr>
                <w:rFonts w:ascii="Arial" w:cs="Arial" w:eastAsia="Arial" w:hAnsi="Arial"/>
                <w:sz w:val="14"/>
                <w:szCs w:val="14"/>
                <w:color w:val="auto"/>
                <w:w w:val="87"/>
              </w:rPr>
              <w:t>Three Months Ended</w:t>
            </w:r>
          </w:p>
        </w:tc>
        <w:tc>
          <w:tcPr>
            <w:tcW w:w="340" w:type="dxa"/>
            <w:vAlign w:val="bottom"/>
          </w:tcPr>
          <w:p>
            <w:pPr>
              <w:spacing w:after="0"/>
              <w:rPr>
                <w:sz w:val="14"/>
                <w:szCs w:val="14"/>
                <w:color w:val="auto"/>
              </w:rPr>
            </w:pPr>
          </w:p>
        </w:tc>
        <w:tc>
          <w:tcPr>
            <w:tcW w:w="740" w:type="dxa"/>
            <w:vAlign w:val="bottom"/>
          </w:tcPr>
          <w:p>
            <w:pPr>
              <w:jc w:val="center"/>
              <w:ind w:left="123"/>
              <w:spacing w:after="0"/>
              <w:rPr>
                <w:sz w:val="20"/>
                <w:szCs w:val="20"/>
                <w:color w:val="auto"/>
              </w:rPr>
            </w:pPr>
            <w:r>
              <w:rPr>
                <w:rFonts w:ascii="Arial" w:cs="Arial" w:eastAsia="Arial" w:hAnsi="Arial"/>
                <w:sz w:val="14"/>
                <w:szCs w:val="14"/>
                <w:color w:val="auto"/>
                <w:w w:val="86"/>
              </w:rPr>
              <w:t>Increase/</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7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3"/>
                <w:szCs w:val="13"/>
                <w:color w:val="auto"/>
              </w:rPr>
            </w:pPr>
          </w:p>
        </w:tc>
        <w:tc>
          <w:tcPr>
            <w:tcW w:w="1600" w:type="dxa"/>
            <w:vAlign w:val="bottom"/>
            <w:gridSpan w:val="3"/>
          </w:tcPr>
          <w:p>
            <w:pPr>
              <w:jc w:val="center"/>
              <w:ind w:right="257"/>
              <w:spacing w:after="0" w:line="159" w:lineRule="exact"/>
              <w:rPr>
                <w:sz w:val="20"/>
                <w:szCs w:val="20"/>
                <w:color w:val="auto"/>
              </w:rPr>
            </w:pPr>
            <w:r>
              <w:rPr>
                <w:rFonts w:ascii="Arial" w:cs="Arial" w:eastAsia="Arial" w:hAnsi="Arial"/>
                <w:sz w:val="14"/>
                <w:szCs w:val="14"/>
                <w:color w:val="auto"/>
                <w:w w:val="84"/>
              </w:rPr>
              <w:t>September 30</w:t>
            </w:r>
          </w:p>
        </w:tc>
        <w:tc>
          <w:tcPr>
            <w:tcW w:w="340" w:type="dxa"/>
            <w:vAlign w:val="bottom"/>
          </w:tcPr>
          <w:p>
            <w:pPr>
              <w:spacing w:after="0"/>
              <w:rPr>
                <w:sz w:val="13"/>
                <w:szCs w:val="13"/>
                <w:color w:val="auto"/>
              </w:rPr>
            </w:pPr>
          </w:p>
        </w:tc>
        <w:tc>
          <w:tcPr>
            <w:tcW w:w="1260" w:type="dxa"/>
            <w:vAlign w:val="bottom"/>
            <w:gridSpan w:val="3"/>
          </w:tcPr>
          <w:p>
            <w:pPr>
              <w:jc w:val="center"/>
              <w:ind w:right="320"/>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700" w:type="dxa"/>
            <w:vAlign w:val="bottom"/>
            <w:gridSpan w:val="2"/>
            <w:vMerge w:val="continue"/>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color w:val="auto"/>
                <w:w w:val="83"/>
              </w:rPr>
              <w:t>2008</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w w:val="83"/>
              </w:rPr>
              <w:t>2007</w:t>
            </w: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563"/>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rPr>
              <w:t>347</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330</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423"/>
              <w:spacing w:after="0"/>
              <w:rPr>
                <w:sz w:val="20"/>
                <w:szCs w:val="20"/>
                <w:color w:val="auto"/>
              </w:rPr>
            </w:pPr>
            <w:r>
              <w:rPr>
                <w:rFonts w:ascii="Arial" w:cs="Arial" w:eastAsia="Arial" w:hAnsi="Arial"/>
                <w:sz w:val="18"/>
                <w:szCs w:val="18"/>
                <w:color w:val="auto"/>
              </w:rPr>
              <w:t>17</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242</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233</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b w:val="1"/>
                <w:bCs w:val="1"/>
                <w:color w:val="auto"/>
              </w:rPr>
              <w:t>105</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97</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423"/>
              <w:spacing w:after="0"/>
              <w:rPr>
                <w:sz w:val="20"/>
                <w:szCs w:val="20"/>
                <w:color w:val="auto"/>
              </w:rPr>
            </w:pPr>
            <w:r>
              <w:rPr>
                <w:rFonts w:ascii="Arial" w:cs="Arial" w:eastAsia="Arial" w:hAnsi="Arial"/>
                <w:sz w:val="18"/>
                <w:szCs w:val="18"/>
                <w:b w:val="1"/>
                <w:bCs w:val="1"/>
                <w:color w:val="auto"/>
              </w:rPr>
              <w:t>8</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3"/>
          </w:tcPr>
          <w:p>
            <w:pPr>
              <w:jc w:val="center"/>
              <w:ind w:right="237"/>
              <w:spacing w:after="0"/>
              <w:rPr>
                <w:sz w:val="20"/>
                <w:szCs w:val="20"/>
                <w:color w:val="auto"/>
              </w:rPr>
            </w:pPr>
            <w:r>
              <w:rPr>
                <w:rFonts w:ascii="Arial" w:cs="Arial" w:eastAsia="Arial" w:hAnsi="Arial"/>
                <w:sz w:val="14"/>
                <w:szCs w:val="14"/>
                <w:color w:val="auto"/>
                <w:w w:val="87"/>
              </w:rPr>
              <w:t>Nine Months Ended</w:t>
            </w:r>
          </w:p>
        </w:tc>
        <w:tc>
          <w:tcPr>
            <w:tcW w:w="340" w:type="dxa"/>
            <w:vAlign w:val="bottom"/>
          </w:tcPr>
          <w:p>
            <w:pPr>
              <w:spacing w:after="0"/>
              <w:rPr>
                <w:sz w:val="24"/>
                <w:szCs w:val="24"/>
                <w:color w:val="auto"/>
              </w:rPr>
            </w:pPr>
          </w:p>
        </w:tc>
        <w:tc>
          <w:tcPr>
            <w:tcW w:w="740" w:type="dxa"/>
            <w:vAlign w:val="bottom"/>
          </w:tcPr>
          <w:p>
            <w:pPr>
              <w:jc w:val="center"/>
              <w:ind w:left="123"/>
              <w:spacing w:after="0"/>
              <w:rPr>
                <w:sz w:val="20"/>
                <w:szCs w:val="20"/>
                <w:color w:val="auto"/>
              </w:rPr>
            </w:pPr>
            <w:r>
              <w:rPr>
                <w:rFonts w:ascii="Arial" w:cs="Arial" w:eastAsia="Arial" w:hAnsi="Arial"/>
                <w:sz w:val="14"/>
                <w:szCs w:val="14"/>
                <w:color w:val="auto"/>
                <w:w w:val="86"/>
              </w:rPr>
              <w:t>Increase/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7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3"/>
                <w:szCs w:val="13"/>
                <w:color w:val="auto"/>
              </w:rPr>
            </w:pPr>
          </w:p>
        </w:tc>
        <w:tc>
          <w:tcPr>
            <w:tcW w:w="1600" w:type="dxa"/>
            <w:vAlign w:val="bottom"/>
            <w:gridSpan w:val="3"/>
          </w:tcPr>
          <w:p>
            <w:pPr>
              <w:jc w:val="center"/>
              <w:ind w:right="257"/>
              <w:spacing w:after="0" w:line="159" w:lineRule="exact"/>
              <w:rPr>
                <w:sz w:val="20"/>
                <w:szCs w:val="20"/>
                <w:color w:val="auto"/>
              </w:rPr>
            </w:pPr>
            <w:r>
              <w:rPr>
                <w:rFonts w:ascii="Arial" w:cs="Arial" w:eastAsia="Arial" w:hAnsi="Arial"/>
                <w:sz w:val="14"/>
                <w:szCs w:val="14"/>
                <w:color w:val="auto"/>
                <w:w w:val="84"/>
              </w:rPr>
              <w:t>September 30</w:t>
            </w:r>
          </w:p>
        </w:tc>
        <w:tc>
          <w:tcPr>
            <w:tcW w:w="340" w:type="dxa"/>
            <w:vAlign w:val="bottom"/>
          </w:tcPr>
          <w:p>
            <w:pPr>
              <w:spacing w:after="0"/>
              <w:rPr>
                <w:sz w:val="13"/>
                <w:szCs w:val="13"/>
                <w:color w:val="auto"/>
              </w:rPr>
            </w:pPr>
          </w:p>
        </w:tc>
        <w:tc>
          <w:tcPr>
            <w:tcW w:w="1260" w:type="dxa"/>
            <w:vAlign w:val="bottom"/>
            <w:gridSpan w:val="3"/>
          </w:tcPr>
          <w:p>
            <w:pPr>
              <w:jc w:val="center"/>
              <w:ind w:right="320"/>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700" w:type="dxa"/>
            <w:vAlign w:val="bottom"/>
            <w:gridSpan w:val="2"/>
            <w:vMerge w:val="continue"/>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color w:val="auto"/>
                <w:w w:val="83"/>
              </w:rPr>
              <w:t>2008</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w w:val="83"/>
              </w:rPr>
              <w:t>2007</w:t>
            </w: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563"/>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w w:val="88"/>
              </w:rPr>
              <w:t>1,076</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966</w:t>
            </w:r>
          </w:p>
        </w:tc>
        <w:tc>
          <w:tcPr>
            <w:tcW w:w="1080" w:type="dxa"/>
            <w:vAlign w:val="bottom"/>
            <w:tcBorders>
              <w:top w:val="single" w:sz="8" w:color="auto"/>
            </w:tcBorders>
            <w:gridSpan w:val="2"/>
            <w:shd w:val="clear" w:color="auto" w:fill="E5E5E5"/>
          </w:tcPr>
          <w:p>
            <w:pPr>
              <w:jc w:val="right"/>
              <w:ind w:right="423"/>
              <w:spacing w:after="0"/>
              <w:rPr>
                <w:sz w:val="20"/>
                <w:szCs w:val="20"/>
                <w:color w:val="auto"/>
              </w:rPr>
            </w:pPr>
            <w:r>
              <w:rPr>
                <w:rFonts w:ascii="Arial" w:cs="Arial" w:eastAsia="Arial" w:hAnsi="Arial"/>
                <w:sz w:val="18"/>
                <w:szCs w:val="18"/>
                <w:color w:val="auto"/>
              </w:rPr>
              <w:t>$ 110</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0"/>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769</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729</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b w:val="1"/>
                <w:bCs w:val="1"/>
                <w:color w:val="auto"/>
              </w:rPr>
              <w:t>307</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237</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423"/>
              <w:spacing w:after="0"/>
              <w:rPr>
                <w:sz w:val="20"/>
                <w:szCs w:val="20"/>
                <w:color w:val="auto"/>
              </w:rPr>
            </w:pPr>
            <w:r>
              <w:rPr>
                <w:rFonts w:ascii="Arial" w:cs="Arial" w:eastAsia="Arial" w:hAnsi="Arial"/>
                <w:sz w:val="18"/>
                <w:szCs w:val="18"/>
                <w:b w:val="1"/>
                <w:bCs w:val="1"/>
                <w:color w:val="auto"/>
              </w:rPr>
              <w:t>70</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Revenue</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increase in revenue for the three months ended September 30, 2008 compared to the same period in 2007 was primarily a result of increases in programming license fee revenue and international revenue. Advertising revenue decreased slightly during the three months ended September 30, 2008 compared to the same period in 2007 primarily due to the impact of one less week in the broadcast advertising calendar in 2008. The increase in revenue for the nine months ended September 30, 2008 compared to the same period in 2007 was primarily a result of increases in advertising revenue, programming license fee revenue and international revenue. For the three and nine months ended September 30, 2008, approximately 13% and 12%, respectively, of our Programming segment revenue was generated by our Cable segment. For the three and nine months ended September 30, 2007, approximately 11% and 13%, respectively, of our Programming segment revenue was generated by our Cable segment. These amounts are eliminated in our consolidated financial statements but are included in the amounts presented in the table above.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Expenses grew at a rate slower than revenue growth for the three and nine months ended September 30, 2008 compared to the same periods in 2007, which resulted in improvements in margins. The 2008 periods were favorably impacted by the timing of certain marketing and programming expenses, which are expected to be incurred in the fourth quarter of 2008.</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3"/>
          </w:tcPr>
          <w:p>
            <w:pPr>
              <w:jc w:val="right"/>
              <w:ind w:right="396"/>
              <w:spacing w:after="0"/>
              <w:rPr>
                <w:sz w:val="20"/>
                <w:szCs w:val="20"/>
                <w:color w:val="auto"/>
              </w:rPr>
            </w:pPr>
            <w:r>
              <w:rPr>
                <w:rFonts w:ascii="Arial" w:cs="Arial" w:eastAsia="Arial" w:hAnsi="Arial"/>
                <w:sz w:val="14"/>
                <w:szCs w:val="14"/>
                <w:color w:val="auto"/>
                <w:w w:val="93"/>
              </w:rPr>
              <w:t>Three Months Ended</w:t>
            </w:r>
          </w:p>
        </w:tc>
        <w:tc>
          <w:tcPr>
            <w:tcW w:w="1880" w:type="dxa"/>
            <w:vAlign w:val="bottom"/>
            <w:gridSpan w:val="3"/>
          </w:tcPr>
          <w:p>
            <w:pPr>
              <w:jc w:val="right"/>
              <w:ind w:right="23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3"/>
        </w:trPr>
        <w:tc>
          <w:tcPr>
            <w:tcW w:w="72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6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2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jc w:val="right"/>
              <w:ind w:right="320"/>
              <w:spacing w:after="0" w:line="142" w:lineRule="exact"/>
              <w:rPr>
                <w:sz w:val="20"/>
                <w:szCs w:val="20"/>
                <w:color w:val="auto"/>
              </w:rPr>
            </w:pPr>
            <w:r>
              <w:rPr>
                <w:rFonts w:ascii="Arial" w:cs="Arial" w:eastAsia="Arial" w:hAnsi="Arial"/>
                <w:sz w:val="14"/>
                <w:szCs w:val="14"/>
                <w:color w:val="auto"/>
                <w:w w:val="89"/>
              </w:rPr>
              <w:t>2008</w:t>
            </w:r>
          </w:p>
        </w:tc>
        <w:tc>
          <w:tcPr>
            <w:tcW w:w="340" w:type="dxa"/>
            <w:vAlign w:val="bottom"/>
          </w:tcPr>
          <w:p>
            <w:pPr>
              <w:spacing w:after="0"/>
              <w:rPr>
                <w:sz w:val="12"/>
                <w:szCs w:val="12"/>
                <w:color w:val="auto"/>
              </w:rPr>
            </w:pPr>
          </w:p>
        </w:tc>
        <w:tc>
          <w:tcPr>
            <w:tcW w:w="680" w:type="dxa"/>
            <w:vAlign w:val="bottom"/>
          </w:tcPr>
          <w:p>
            <w:pPr>
              <w:jc w:val="right"/>
              <w:ind w:right="316"/>
              <w:spacing w:after="0" w:line="142" w:lineRule="exact"/>
              <w:rPr>
                <w:sz w:val="20"/>
                <w:szCs w:val="20"/>
                <w:color w:val="auto"/>
              </w:rPr>
            </w:pPr>
            <w:r>
              <w:rPr>
                <w:rFonts w:ascii="Arial" w:cs="Arial" w:eastAsia="Arial" w:hAnsi="Arial"/>
                <w:sz w:val="14"/>
                <w:szCs w:val="14"/>
                <w:color w:val="auto"/>
                <w:w w:val="83"/>
              </w:rPr>
              <w:t>2007</w:t>
            </w:r>
          </w:p>
        </w:tc>
        <w:tc>
          <w:tcPr>
            <w:tcW w:w="1040" w:type="dxa"/>
            <w:vAlign w:val="bottom"/>
          </w:tcPr>
          <w:p>
            <w:pPr>
              <w:jc w:val="right"/>
              <w:ind w:right="320"/>
              <w:spacing w:after="0" w:line="142" w:lineRule="exact"/>
              <w:rPr>
                <w:sz w:val="20"/>
                <w:szCs w:val="20"/>
                <w:color w:val="auto"/>
              </w:rPr>
            </w:pPr>
            <w:r>
              <w:rPr>
                <w:rFonts w:ascii="Arial" w:cs="Arial" w:eastAsia="Arial" w:hAnsi="Arial"/>
                <w:sz w:val="14"/>
                <w:szCs w:val="14"/>
                <w:color w:val="auto"/>
              </w:rPr>
              <w:t>2008</w:t>
            </w:r>
          </w:p>
        </w:tc>
        <w:tc>
          <w:tcPr>
            <w:tcW w:w="320" w:type="dxa"/>
            <w:vAlign w:val="bottom"/>
          </w:tcPr>
          <w:p>
            <w:pPr>
              <w:spacing w:after="0"/>
              <w:rPr>
                <w:sz w:val="12"/>
                <w:szCs w:val="12"/>
                <w:color w:val="auto"/>
              </w:rPr>
            </w:pPr>
          </w:p>
        </w:tc>
        <w:tc>
          <w:tcPr>
            <w:tcW w:w="520" w:type="dxa"/>
            <w:vAlign w:val="bottom"/>
          </w:tcPr>
          <w:p>
            <w:pPr>
              <w:jc w:val="right"/>
              <w:ind w:right="116"/>
              <w:spacing w:after="0" w:line="142" w:lineRule="exact"/>
              <w:rPr>
                <w:sz w:val="20"/>
                <w:szCs w:val="20"/>
                <w:color w:val="auto"/>
              </w:rPr>
            </w:pPr>
            <w:r>
              <w:rPr>
                <w:rFonts w:ascii="Arial" w:cs="Arial" w:eastAsia="Arial" w:hAnsi="Arial"/>
                <w:sz w:val="14"/>
                <w:szCs w:val="14"/>
                <w:color w:val="auto"/>
                <w:w w:val="96"/>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(601)</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(571)</w:t>
            </w:r>
          </w:p>
        </w:tc>
        <w:tc>
          <w:tcPr>
            <w:tcW w:w="1040" w:type="dxa"/>
            <w:vAlign w:val="bottom"/>
            <w:tcBorders>
              <w:top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$(1,840)</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54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680" w:type="dxa"/>
            <w:vAlign w:val="bottom"/>
          </w:tcPr>
          <w:p>
            <w:pPr>
              <w:jc w:val="right"/>
              <w:ind w:right="176"/>
              <w:spacing w:after="0"/>
              <w:rPr>
                <w:sz w:val="20"/>
                <w:szCs w:val="20"/>
                <w:color w:val="auto"/>
              </w:rPr>
            </w:pPr>
            <w:r>
              <w:rPr>
                <w:rFonts w:ascii="Arial" w:cs="Arial" w:eastAsia="Arial" w:hAnsi="Arial"/>
                <w:sz w:val="18"/>
                <w:szCs w:val="18"/>
                <w:color w:val="auto"/>
              </w:rPr>
              <w:t>158</w:t>
            </w:r>
          </w:p>
        </w:tc>
        <w:tc>
          <w:tcPr>
            <w:tcW w:w="1040" w:type="dxa"/>
            <w:vAlign w:val="bottom"/>
          </w:tcPr>
          <w:p>
            <w:pPr>
              <w:jc w:val="right"/>
              <w:ind w:right="18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Equity in net (losses) income of affiliates, net</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2</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(12)</w:t>
            </w:r>
          </w:p>
        </w:tc>
        <w:tc>
          <w:tcPr>
            <w:tcW w:w="104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305</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(513)</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(426)</w:t>
            </w:r>
          </w:p>
        </w:tc>
        <w:tc>
          <w:tcPr>
            <w:tcW w:w="104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$(1,498)</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(767)</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increases in interest expense for the three and nine months ended September 30, 2008 compared to the same periods in 2007 were primarily due to an increase in our average debt outstanding, and early extinguishment costs associated with the repayment and redemption of certain debt obligations in the first half of 2008.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nine months ended September 30, 2008 and 2007 are presented in a table in Note 5 to our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Other income for the nine months ended September 30, 2008 included a gain of approximately $235 million on the sale of our 50% interest in the Insight asset pool in connection with the Insight transaction (see Note 4). Other income for the nine months ended September 30, 2007 included a gain of approximately $500 million on the sale of our 50% interest in the Kansas City asset pool in connection with the dissolution of Texas and Kansas City Cable Partners.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Income tax expense for the three and nine months ended September 30, 2008 and 2007 reflects income tax rates which differ from the federal statutory rate primarily due to state income taxes and interest on uncertain tax positions. Income tax expense was reduced by approximately $80 million during the 2008 periods due to the settlement of an uncertain tax position (see Note 10), and the net impact of certain state tax law changes, which primarily affected our deferred income tax liabilities and other noncurrent liabilities. We expect our 2008 annual effective tax rate to be at the lower end of our anticipated range of 40% to 45%.</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anticipate continuing to use a substantial portion of our cash flows to fund our capital expenditures, to invest in business opportunities, to meet our debt repayment obligations and to return capital to investors through stock repurchases and dividends.</w:t>
      </w:r>
    </w:p>
    <w:p>
      <w:pPr>
        <w:spacing w:after="0" w:line="3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global financial markets have been and continue to be in turmoil, with extreme volatility in the equity and credit markets and with some financial and other institutions experiencing significant financial distress. During the three months ended September 30, 2008, we borrowed $1.5 billion using an existing credit facility in anticipation of our scheduled fourth quarter debt maturities and the funding of our investment in Clearwire in late 2008 (see “Investing Activities” below). As of September 30, 2008, we had approximately $5.2 billion remaining availability under these credit facilities and no commercial paper outstanding. From 2009 to 2011, our scheduled debt maturities total approximately $5.2 billion. In addition, neither our access to nor the value of our cash equivalents or short-term investments have been negatively affected by the recent liquidity problems of financial institutions. Although we have attempted to be prudent in our investment strategy and in pre-funding our anticipated fourth quarter liquidity needs, it is not possible to predict how the financial market turmoil and the deteriorating economic conditions may affect our financial position. Additional financial institution failures could reduce amounts available under committed credit facilities, could cause losses to the extent cash amounts or the value of securities exceed government deposit insurance limits, and could restrict our access to the public equity and debt markets.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cash provided by operating activities are presented in the table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120" w:type="dxa"/>
            <w:vAlign w:val="bottom"/>
            <w:gridSpan w:val="2"/>
          </w:tcPr>
          <w:p>
            <w:pPr>
              <w:jc w:val="right"/>
              <w:ind w:right="25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3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20" w:type="dxa"/>
            <w:vAlign w:val="bottom"/>
            <w:tcBorders>
              <w:bottom w:val="single" w:sz="8" w:color="auto"/>
            </w:tcBorders>
            <w:gridSpan w:val="2"/>
          </w:tcPr>
          <w:p>
            <w:pPr>
              <w:jc w:val="right"/>
              <w:ind w:right="41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300" w:type="dxa"/>
            <w:vAlign w:val="bottom"/>
            <w:gridSpan w:val="2"/>
            <w:vMerge w:val="continue"/>
          </w:tcPr>
          <w:p>
            <w:pPr>
              <w:spacing w:after="0"/>
              <w:rPr>
                <w:sz w:val="12"/>
                <w:szCs w:val="12"/>
                <w:color w:val="auto"/>
              </w:rPr>
            </w:pPr>
          </w:p>
        </w:tc>
        <w:tc>
          <w:tcPr>
            <w:tcW w:w="1280" w:type="dxa"/>
            <w:vAlign w:val="bottom"/>
          </w:tcPr>
          <w:p>
            <w:pPr>
              <w:jc w:val="right"/>
              <w:ind w:right="357"/>
              <w:spacing w:after="0" w:line="142" w:lineRule="exact"/>
              <w:rPr>
                <w:sz w:val="20"/>
                <w:szCs w:val="20"/>
                <w:color w:val="auto"/>
              </w:rPr>
            </w:pPr>
            <w:r>
              <w:rPr>
                <w:rFonts w:ascii="Arial" w:cs="Arial" w:eastAsia="Arial" w:hAnsi="Arial"/>
                <w:sz w:val="14"/>
                <w:szCs w:val="14"/>
                <w:color w:val="auto"/>
              </w:rPr>
              <w:t>2008</w:t>
            </w:r>
          </w:p>
        </w:tc>
        <w:tc>
          <w:tcPr>
            <w:tcW w:w="84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280" w:type="dxa"/>
            <w:vAlign w:val="bottom"/>
            <w:tcBorders>
              <w:top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$ 4,975</w:t>
            </w: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$ 4,120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4,787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12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9,762</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Noncash share-based compensation and contribution expense</w:t>
            </w:r>
          </w:p>
        </w:tc>
        <w:tc>
          <w:tcPr>
            <w:tcW w:w="1280" w:type="dxa"/>
            <w:vAlign w:val="bottom"/>
          </w:tcPr>
          <w:p>
            <w:pPr>
              <w:jc w:val="right"/>
              <w:ind w:right="217"/>
              <w:spacing w:after="0"/>
              <w:rPr>
                <w:sz w:val="20"/>
                <w:szCs w:val="20"/>
                <w:color w:val="auto"/>
              </w:rPr>
            </w:pPr>
            <w:r>
              <w:rPr>
                <w:rFonts w:ascii="Arial" w:cs="Arial" w:eastAsia="Arial" w:hAnsi="Arial"/>
                <w:sz w:val="18"/>
                <w:szCs w:val="18"/>
                <w:color w:val="auto"/>
              </w:rPr>
              <w:t>195</w:t>
            </w:r>
          </w:p>
        </w:tc>
        <w:tc>
          <w:tcPr>
            <w:tcW w:w="8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(276)</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Cash basis operating income</w:t>
            </w:r>
          </w:p>
        </w:tc>
        <w:tc>
          <w:tcPr>
            <w:tcW w:w="1280" w:type="dxa"/>
            <w:vAlign w:val="bottom"/>
          </w:tcPr>
          <w:p>
            <w:pPr>
              <w:jc w:val="right"/>
              <w:ind w:right="217"/>
              <w:spacing w:after="0"/>
              <w:rPr>
                <w:sz w:val="20"/>
                <w:szCs w:val="20"/>
                <w:color w:val="auto"/>
              </w:rPr>
            </w:pPr>
            <w:r>
              <w:rPr>
                <w:rFonts w:ascii="Arial" w:cs="Arial" w:eastAsia="Arial" w:hAnsi="Arial"/>
                <w:sz w:val="18"/>
                <w:szCs w:val="18"/>
                <w:color w:val="auto"/>
              </w:rPr>
              <w:t>9,681</w:t>
            </w:r>
          </w:p>
        </w:tc>
        <w:tc>
          <w:tcPr>
            <w:tcW w:w="840" w:type="dxa"/>
            <w:vAlign w:val="bottom"/>
          </w:tcPr>
          <w:p>
            <w:pPr>
              <w:jc w:val="right"/>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2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(1,795)</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(589)</w:t>
            </w:r>
          </w:p>
        </w:tc>
        <w:tc>
          <w:tcPr>
            <w:tcW w:w="840" w:type="dxa"/>
            <w:vAlign w:val="bottom"/>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interest and dividends received</w:t>
            </w:r>
          </w:p>
        </w:tc>
        <w:tc>
          <w:tcPr>
            <w:tcW w:w="12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91</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 under SFAS No. 123R presented in financing activities</w:t>
            </w:r>
          </w:p>
        </w:tc>
        <w:tc>
          <w:tcPr>
            <w:tcW w:w="12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8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rPr>
              <w:t>$ 7,373</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$ 5,505</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increase in interest payments for the nine months ended September 30, 2008 compared to the same period in 2007 was primarily due to an increase in our average debt outstanding. The decrease in income tax payments was primarily due to the Economic Stimulus Act of 2008, which resulted in a reduction in our tax payments of approximately $483 million. The 2007 period also includes the payment of $376 million related to the settlement of federal tax audits.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financing activities for the nine months ended September 30, 2008 consisted primarily of cash paid for the repurchase of approximately 141 million shares of our Class A and Class A Special common stock for approximately $2.8 billion, which represents the activity on a settlement date or cash basis; debt retirements and repayments of $1.1 billion; and dividend payments of $367 million. These cash outflows were partially offset by cash proceeds from borrowings of $3.5 billion.</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in the past made and may from time to time in the future make optional repayments on our debt obligations depending on various factors, such as market conditions. These repayments may include repurchases of our outstanding public notes and debentures.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traditionally maintain significant availability under our lines of credit and commercial paper program to meet our short-term liquidity requirements. In January 2008, we entered into an amended and restated revolving bank credit facility which may be used for general corporate purposes. This amendment increased the size of the credit facility from $5.0 billion to $7.0 billion and extended the maturity of the loan commitment from October 2010 to January 2013. As of September 30, 2008, amounts available under our facilities totaled approximately $5.2 billion. Lehman Brothers Bank, FSB, has a $157 million remaining commitment under our credit facility. This bank is not, to our knowledge, in any insolvency proceeding. Under our credit facility, other lenders are not obligated to fund a defaulting lender’s commitment, although another lender could agree to fund the defaulting lender’s commitment. Further, non-defaulting lenders are not able to use a default by another bank to avoid their own commitments.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September 30, 2008, we had approximately $4.1 billion of availability remaining under our share repurchase authorization. We have previously indicated our plan to fully use our remaining share repurchase authorization by the end of 2009, subject to market conditions. Given the overall economy and the unprecedented turmoil and instability in the capital markets, we may not complete our share repurchase authorization in 2008 and 2009 as previously planned. We believe this is a disciplined and responsible approach given the difficult market conditions.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May and August 2008, our Board of Directors approved quarterly dividends of $0.0625 per share as part of our planned annual dividend of $0.25 per share.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investing activities for the nine months ended September 30, 2008 consisted primarily of cash paid for capital expenditures of $4.0 billion; acquisitions of $700 million, net of cash acquired; and cash paid for intangible assets of $376 million. These cash outflows were partially offset by proceeds from sales of investments of $452 million. Capital expenditures have been our most significant recurring investing activity and we expect that this will continue in the future.</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2008, Sprint Nextel entered into an agreement with Clearwire Corporation and an investor group made up of us, Intel, Google, Time Warner Cable and Bright House. Under this agreement, Sprint Nextel and Clearwire Corporation will combine their next-generation wireless broadband businesses to form an independent, publicly traded company called Clearwire that will focus on the deployment of a nationwide 4G wireless network. We, together with the other members of the investment group, have agreed to invest $3.2 billion in Clearwire. Our portion of the investment is $1.05 billion. This transaction is expected to close in late 2008.</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and legal contingencies are critical in the preparation of our consolidated financial statements. See Note 6 to our consolidated financial statements for a discussion of our 2008 annual impairment testing.</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full discussion of the accounting judgments and estimates that we have identified as critical in the preparation of our consolidated financial statements, please refer to our 2007 Annual Report on Form 10-K.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2007 Annual Report on Form 10-K in light of the current turmoil in the financial markets and believe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chief executive officer and our chief financial officer,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 to Note 12 to our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2007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repurchases under our Board-authorized share repurchase program during the three months ended September 30, 2008.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gridSpan w:val="3"/>
            <w:vMerge w:val="restart"/>
          </w:tcPr>
          <w:p>
            <w:pPr>
              <w:jc w:val="center"/>
              <w:ind w:left="119"/>
              <w:spacing w:after="0"/>
              <w:rPr>
                <w:sz w:val="20"/>
                <w:szCs w:val="20"/>
                <w:color w:val="auto"/>
              </w:rPr>
            </w:pPr>
            <w:r>
              <w:rPr>
                <w:rFonts w:ascii="Arial" w:cs="Arial" w:eastAsia="Arial" w:hAnsi="Arial"/>
                <w:sz w:val="14"/>
                <w:szCs w:val="14"/>
                <w:color w:val="auto"/>
                <w:w w:val="90"/>
              </w:rPr>
              <w:t>Maximum Dollar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520" w:type="dxa"/>
            <w:vAlign w:val="bottom"/>
          </w:tcPr>
          <w:p>
            <w:pPr>
              <w:jc w:val="center"/>
              <w:ind w:left="1162"/>
              <w:spacing w:after="0" w:line="135" w:lineRule="exact"/>
              <w:rPr>
                <w:sz w:val="20"/>
                <w:szCs w:val="20"/>
                <w:color w:val="auto"/>
              </w:rPr>
            </w:pPr>
            <w:r>
              <w:rPr>
                <w:rFonts w:ascii="Arial" w:cs="Arial" w:eastAsia="Arial" w:hAnsi="Arial"/>
                <w:sz w:val="14"/>
                <w:szCs w:val="14"/>
                <w:color w:val="auto"/>
                <w:w w:val="89"/>
              </w:rPr>
              <w:t>Total</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color w:val="auto"/>
                <w:w w:val="82"/>
              </w:rPr>
              <w:t>Shares Purchased as</w:t>
            </w:r>
          </w:p>
        </w:tc>
        <w:tc>
          <w:tcPr>
            <w:tcW w:w="320" w:type="dxa"/>
            <w:vAlign w:val="bottom"/>
          </w:tcPr>
          <w:p>
            <w:pPr>
              <w:spacing w:after="0"/>
              <w:rPr>
                <w:sz w:val="11"/>
                <w:szCs w:val="11"/>
                <w:color w:val="auto"/>
              </w:rPr>
            </w:pPr>
          </w:p>
        </w:tc>
        <w:tc>
          <w:tcPr>
            <w:tcW w:w="1120" w:type="dxa"/>
            <w:vAlign w:val="bottom"/>
          </w:tcPr>
          <w:p>
            <w:pPr>
              <w:jc w:val="center"/>
              <w:ind w:right="222"/>
              <w:spacing w:after="0" w:line="135" w:lineRule="exact"/>
              <w:rPr>
                <w:sz w:val="20"/>
                <w:szCs w:val="20"/>
                <w:color w:val="auto"/>
              </w:rPr>
            </w:pPr>
            <w:r>
              <w:rPr>
                <w:rFonts w:ascii="Arial" w:cs="Arial" w:eastAsia="Arial" w:hAnsi="Arial"/>
                <w:sz w:val="14"/>
                <w:szCs w:val="14"/>
                <w:color w:val="auto"/>
                <w:w w:val="89"/>
              </w:rPr>
              <w:t>Total Dollars</w:t>
            </w:r>
          </w:p>
        </w:tc>
        <w:tc>
          <w:tcPr>
            <w:tcW w:w="1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520" w:type="dxa"/>
            <w:vAlign w:val="bottom"/>
          </w:tcPr>
          <w:p>
            <w:pPr>
              <w:jc w:val="center"/>
              <w:ind w:left="1162"/>
              <w:spacing w:after="0" w:line="149" w:lineRule="exact"/>
              <w:rPr>
                <w:sz w:val="20"/>
                <w:szCs w:val="20"/>
                <w:color w:val="auto"/>
              </w:rPr>
            </w:pPr>
            <w:r>
              <w:rPr>
                <w:rFonts w:ascii="Arial" w:cs="Arial" w:eastAsia="Arial" w:hAnsi="Arial"/>
                <w:sz w:val="14"/>
                <w:szCs w:val="14"/>
                <w:color w:val="auto"/>
                <w:w w:val="88"/>
              </w:rPr>
              <w:t>Number</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2"/>
              </w:rPr>
              <w:t>Part of Publicly</w:t>
            </w:r>
          </w:p>
        </w:tc>
        <w:tc>
          <w:tcPr>
            <w:tcW w:w="320" w:type="dxa"/>
            <w:vAlign w:val="bottom"/>
          </w:tcPr>
          <w:p>
            <w:pPr>
              <w:spacing w:after="0"/>
              <w:rPr>
                <w:sz w:val="12"/>
                <w:szCs w:val="12"/>
                <w:color w:val="auto"/>
              </w:rPr>
            </w:pPr>
          </w:p>
        </w:tc>
        <w:tc>
          <w:tcPr>
            <w:tcW w:w="1120" w:type="dxa"/>
            <w:vAlign w:val="bottom"/>
          </w:tcPr>
          <w:p>
            <w:pPr>
              <w:jc w:val="center"/>
              <w:ind w:right="242"/>
              <w:spacing w:after="0" w:line="149" w:lineRule="exact"/>
              <w:rPr>
                <w:sz w:val="20"/>
                <w:szCs w:val="20"/>
                <w:color w:val="auto"/>
              </w:rPr>
            </w:pPr>
            <w:r>
              <w:rPr>
                <w:rFonts w:ascii="Arial" w:cs="Arial" w:eastAsia="Arial" w:hAnsi="Arial"/>
                <w:sz w:val="14"/>
                <w:szCs w:val="14"/>
                <w:color w:val="auto"/>
                <w:w w:val="83"/>
              </w:rPr>
              <w:t>Purchased</w:t>
            </w:r>
          </w:p>
        </w:tc>
        <w:tc>
          <w:tcPr>
            <w:tcW w:w="1600" w:type="dxa"/>
            <w:vAlign w:val="bottom"/>
            <w:gridSpan w:val="3"/>
          </w:tcPr>
          <w:p>
            <w:pPr>
              <w:jc w:val="center"/>
              <w:ind w:left="119"/>
              <w:spacing w:after="0" w:line="149" w:lineRule="exact"/>
              <w:rPr>
                <w:sz w:val="20"/>
                <w:szCs w:val="20"/>
                <w:color w:val="auto"/>
              </w:rPr>
            </w:pPr>
            <w:r>
              <w:rPr>
                <w:rFonts w:ascii="Arial" w:cs="Arial" w:eastAsia="Arial" w:hAnsi="Arial"/>
                <w:sz w:val="14"/>
                <w:szCs w:val="14"/>
                <w:color w:val="auto"/>
                <w:w w:val="87"/>
              </w:rPr>
              <w:t>of 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520" w:type="dxa"/>
            <w:vAlign w:val="bottom"/>
          </w:tcPr>
          <w:p>
            <w:pPr>
              <w:jc w:val="center"/>
              <w:ind w:left="1182"/>
              <w:spacing w:after="0" w:line="149" w:lineRule="exact"/>
              <w:rPr>
                <w:sz w:val="20"/>
                <w:szCs w:val="20"/>
                <w:color w:val="auto"/>
              </w:rPr>
            </w:pPr>
            <w:r>
              <w:rPr>
                <w:rFonts w:ascii="Arial" w:cs="Arial" w:eastAsia="Arial" w:hAnsi="Arial"/>
                <w:sz w:val="14"/>
                <w:szCs w:val="14"/>
                <w:color w:val="auto"/>
                <w:w w:val="83"/>
              </w:rPr>
              <w:t>of Shares</w:t>
            </w:r>
          </w:p>
        </w:tc>
        <w:tc>
          <w:tcPr>
            <w:tcW w:w="12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Average Price</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87"/>
              </w:rPr>
              <w:t>Announced</w:t>
            </w:r>
          </w:p>
        </w:tc>
        <w:tc>
          <w:tcPr>
            <w:tcW w:w="320" w:type="dxa"/>
            <w:vAlign w:val="bottom"/>
          </w:tcPr>
          <w:p>
            <w:pPr>
              <w:spacing w:after="0"/>
              <w:rPr>
                <w:sz w:val="12"/>
                <w:szCs w:val="12"/>
                <w:color w:val="auto"/>
              </w:rPr>
            </w:pPr>
          </w:p>
        </w:tc>
        <w:tc>
          <w:tcPr>
            <w:tcW w:w="1120" w:type="dxa"/>
            <w:vAlign w:val="bottom"/>
          </w:tcPr>
          <w:p>
            <w:pPr>
              <w:jc w:val="center"/>
              <w:ind w:right="222"/>
              <w:spacing w:after="0" w:line="149" w:lineRule="exact"/>
              <w:rPr>
                <w:sz w:val="20"/>
                <w:szCs w:val="20"/>
                <w:color w:val="auto"/>
              </w:rPr>
            </w:pPr>
            <w:r>
              <w:rPr>
                <w:rFonts w:ascii="Arial" w:cs="Arial" w:eastAsia="Arial" w:hAnsi="Arial"/>
                <w:sz w:val="14"/>
                <w:szCs w:val="14"/>
                <w:color w:val="auto"/>
                <w:w w:val="89"/>
              </w:rPr>
              <w:t>Under</w:t>
            </w:r>
          </w:p>
        </w:tc>
        <w:tc>
          <w:tcPr>
            <w:tcW w:w="34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6"/>
              </w:rPr>
              <w:t>Be Purchased Under</w:t>
            </w:r>
          </w:p>
        </w:tc>
        <w:tc>
          <w:tcPr>
            <w:tcW w:w="0" w:type="dxa"/>
            <w:vAlign w:val="bottom"/>
          </w:tcPr>
          <w:p>
            <w:pPr>
              <w:spacing w:after="0"/>
              <w:rPr>
                <w:sz w:val="1"/>
                <w:szCs w:val="1"/>
                <w:color w:val="auto"/>
              </w:rPr>
            </w:pPr>
          </w:p>
        </w:tc>
      </w:tr>
      <w:tr>
        <w:trPr>
          <w:trHeight w:val="173"/>
        </w:trPr>
        <w:tc>
          <w:tcPr>
            <w:tcW w:w="3080" w:type="dxa"/>
            <w:vAlign w:val="bottom"/>
            <w:gridSpan w:val="2"/>
          </w:tcPr>
          <w:p>
            <w:pPr>
              <w:spacing w:after="0"/>
              <w:rPr>
                <w:sz w:val="20"/>
                <w:szCs w:val="20"/>
                <w:color w:val="auto"/>
              </w:rPr>
            </w:pPr>
            <w:r>
              <w:rPr>
                <w:rFonts w:ascii="Arial" w:cs="Arial" w:eastAsia="Arial" w:hAnsi="Arial"/>
                <w:sz w:val="14"/>
                <w:szCs w:val="14"/>
                <w:color w:val="auto"/>
              </w:rPr>
              <w:t>Period</w:t>
            </w:r>
          </w:p>
        </w:tc>
        <w:tc>
          <w:tcPr>
            <w:tcW w:w="2520" w:type="dxa"/>
            <w:vAlign w:val="bottom"/>
          </w:tcPr>
          <w:p>
            <w:pPr>
              <w:jc w:val="center"/>
              <w:ind w:left="1162"/>
              <w:spacing w:after="0"/>
              <w:rPr>
                <w:sz w:val="20"/>
                <w:szCs w:val="20"/>
                <w:color w:val="auto"/>
              </w:rPr>
            </w:pPr>
            <w:r>
              <w:rPr>
                <w:rFonts w:ascii="Arial" w:cs="Arial" w:eastAsia="Arial" w:hAnsi="Arial"/>
                <w:sz w:val="14"/>
                <w:szCs w:val="14"/>
                <w:color w:val="auto"/>
                <w:w w:val="83"/>
              </w:rPr>
              <w:t>Purchased</w:t>
            </w:r>
          </w:p>
        </w:tc>
        <w:tc>
          <w:tcPr>
            <w:tcW w:w="320" w:type="dxa"/>
            <w:vAlign w:val="bottom"/>
          </w:tcPr>
          <w:p>
            <w:pPr>
              <w:spacing w:after="0"/>
              <w:rPr>
                <w:sz w:val="15"/>
                <w:szCs w:val="15"/>
                <w:color w:val="auto"/>
              </w:rPr>
            </w:pPr>
          </w:p>
        </w:tc>
        <w:tc>
          <w:tcPr>
            <w:tcW w:w="920" w:type="dxa"/>
            <w:vAlign w:val="bottom"/>
          </w:tcPr>
          <w:p>
            <w:pPr>
              <w:jc w:val="right"/>
              <w:ind w:right="296"/>
              <w:spacing w:after="0"/>
              <w:rPr>
                <w:sz w:val="20"/>
                <w:szCs w:val="20"/>
                <w:color w:val="auto"/>
              </w:rPr>
            </w:pPr>
            <w:r>
              <w:rPr>
                <w:rFonts w:ascii="Arial" w:cs="Arial" w:eastAsia="Arial" w:hAnsi="Arial"/>
                <w:sz w:val="14"/>
                <w:szCs w:val="14"/>
                <w:color w:val="auto"/>
                <w:w w:val="82"/>
              </w:rPr>
              <w:t>Per Share</w:t>
            </w:r>
          </w:p>
        </w:tc>
        <w:tc>
          <w:tcPr>
            <w:tcW w:w="1560" w:type="dxa"/>
            <w:vAlign w:val="bottom"/>
          </w:tcPr>
          <w:p>
            <w:pPr>
              <w:jc w:val="center"/>
              <w:spacing w:after="0"/>
              <w:rPr>
                <w:sz w:val="20"/>
                <w:szCs w:val="20"/>
                <w:color w:val="auto"/>
              </w:rPr>
            </w:pPr>
            <w:r>
              <w:rPr>
                <w:rFonts w:ascii="Arial" w:cs="Arial" w:eastAsia="Arial" w:hAnsi="Arial"/>
                <w:sz w:val="14"/>
                <w:szCs w:val="14"/>
                <w:color w:val="auto"/>
                <w:w w:val="85"/>
              </w:rPr>
              <w:t>Program</w:t>
            </w:r>
          </w:p>
        </w:tc>
        <w:tc>
          <w:tcPr>
            <w:tcW w:w="320" w:type="dxa"/>
            <w:vAlign w:val="bottom"/>
          </w:tcPr>
          <w:p>
            <w:pPr>
              <w:spacing w:after="0"/>
              <w:rPr>
                <w:sz w:val="15"/>
                <w:szCs w:val="15"/>
                <w:color w:val="auto"/>
              </w:rPr>
            </w:pPr>
          </w:p>
        </w:tc>
        <w:tc>
          <w:tcPr>
            <w:tcW w:w="1120" w:type="dxa"/>
            <w:vAlign w:val="bottom"/>
          </w:tcPr>
          <w:p>
            <w:pPr>
              <w:jc w:val="center"/>
              <w:ind w:right="222"/>
              <w:spacing w:after="0"/>
              <w:rPr>
                <w:sz w:val="20"/>
                <w:szCs w:val="20"/>
                <w:color w:val="auto"/>
              </w:rPr>
            </w:pPr>
            <w:r>
              <w:rPr>
                <w:rFonts w:ascii="Arial" w:cs="Arial" w:eastAsia="Arial" w:hAnsi="Arial"/>
                <w:sz w:val="14"/>
                <w:szCs w:val="14"/>
                <w:color w:val="auto"/>
                <w:w w:val="85"/>
              </w:rPr>
              <w:t>the Program</w:t>
            </w:r>
          </w:p>
        </w:tc>
        <w:tc>
          <w:tcPr>
            <w:tcW w:w="34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the Program(a)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July 1-31, 2008</w:t>
            </w:r>
          </w:p>
        </w:tc>
        <w:tc>
          <w:tcPr>
            <w:tcW w:w="2520" w:type="dxa"/>
            <w:vAlign w:val="bottom"/>
            <w:tcBorders>
              <w:top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4,906,046,182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August 1-31, 2008</w:t>
            </w:r>
          </w:p>
        </w:tc>
        <w:tc>
          <w:tcPr>
            <w:tcW w:w="2520" w:type="dxa"/>
            <w:vAlign w:val="bottom"/>
          </w:tcPr>
          <w:p>
            <w:pPr>
              <w:jc w:val="right"/>
              <w:ind w:right="162"/>
              <w:spacing w:after="0"/>
              <w:rPr>
                <w:sz w:val="20"/>
                <w:szCs w:val="20"/>
                <w:color w:val="auto"/>
              </w:rPr>
            </w:pPr>
            <w:r>
              <w:rPr>
                <w:rFonts w:ascii="Arial" w:cs="Arial" w:eastAsia="Arial" w:hAnsi="Arial"/>
                <w:sz w:val="18"/>
                <w:szCs w:val="18"/>
                <w:color w:val="auto"/>
              </w:rPr>
              <w:t>27,647,637</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19.89</w:t>
            </w:r>
          </w:p>
        </w:tc>
        <w:tc>
          <w:tcPr>
            <w:tcW w:w="1560" w:type="dxa"/>
            <w:vAlign w:val="bottom"/>
          </w:tcPr>
          <w:p>
            <w:pPr>
              <w:jc w:val="right"/>
              <w:ind w:right="143"/>
              <w:spacing w:after="0"/>
              <w:rPr>
                <w:sz w:val="20"/>
                <w:szCs w:val="20"/>
                <w:color w:val="auto"/>
              </w:rPr>
            </w:pPr>
            <w:r>
              <w:rPr>
                <w:rFonts w:ascii="Arial" w:cs="Arial" w:eastAsia="Arial" w:hAnsi="Arial"/>
                <w:sz w:val="18"/>
                <w:szCs w:val="18"/>
                <w:color w:val="auto"/>
              </w:rPr>
              <w:t>27,647,637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2"/>
              <w:spacing w:after="0"/>
              <w:rPr>
                <w:sz w:val="20"/>
                <w:szCs w:val="20"/>
                <w:color w:val="auto"/>
              </w:rPr>
            </w:pPr>
            <w:r>
              <w:rPr>
                <w:rFonts w:ascii="Arial" w:cs="Arial" w:eastAsia="Arial" w:hAnsi="Arial"/>
                <w:sz w:val="18"/>
                <w:szCs w:val="18"/>
                <w:color w:val="auto"/>
                <w:w w:val="87"/>
              </w:rPr>
              <w:t>550,001,409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4,356,044,773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September 1-30, 2008</w:t>
            </w:r>
          </w:p>
        </w:tc>
        <w:tc>
          <w:tcPr>
            <w:tcW w:w="252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12,030,799</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20.78</w:t>
            </w:r>
          </w:p>
        </w:tc>
        <w:tc>
          <w:tcPr>
            <w:tcW w:w="1560" w:type="dxa"/>
            <w:vAlign w:val="bottom"/>
            <w:tcBorders>
              <w:bottom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12,030,799</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w w:val="87"/>
              </w:rPr>
              <w:t>250,000,000</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4,106,044,773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39,678,436</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20.16</w:t>
            </w:r>
          </w:p>
        </w:tc>
        <w:tc>
          <w:tcPr>
            <w:tcW w:w="156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b w:val="1"/>
                <w:bCs w:val="1"/>
                <w:color w:val="auto"/>
              </w:rPr>
              <w:t>39,678,436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b w:val="1"/>
                <w:bCs w:val="1"/>
                <w:color w:val="auto"/>
                <w:w w:val="87"/>
              </w:rPr>
              <w:t>800,001,409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4,106,044,773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hanging="332"/>
        <w:spacing w:after="0" w:line="278"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2007, the Board of Directors authorized a $7 billion addition to the existing share repurchase authorization. Under this authorization, we may repurchase shares in the open market or in private transactions, subject to market conditions. As of September 30, 2008, we had approximately $4.1 billion of availability remaining under our share repurchase authorization. We have previously indicated our plan to fully use our remaining share repurchase authorization by the end of 2009, subject to market conditions. Given the overall economy and the unprecedented turmoil and instability in the capital markets, we may not complete our share repurchase authorization in 2008 and 2009 as previously planned. We believe this is a disciplined and responsible approach given the difficult market conditions.</w:t>
      </w:r>
    </w:p>
    <w:p>
      <w:pPr>
        <w:spacing w:after="0" w:line="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September 30, 2008 does not include any shares received in the administration of share-based compensation plans.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 Exhibits required to be filed by Item 601 of Regulation S-K:</w:t>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Comcast Corporation 2002 Restricted Stock Plan, as amended and restated effective October 7, 2008.</w:t>
      </w:r>
    </w:p>
    <w:p>
      <w:pPr>
        <w:spacing w:after="0" w:line="1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Comcast Corporation 2002 Deferred Stock Option Plan, as amended and restated effective October 7, 2008.</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Comcast Corporation Retirement Investment Plan, as amended and restated effective October 7, 2008.</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Accountants’ preferability letter regarding change in accounting principles.</w:t>
      </w:r>
    </w:p>
    <w:p>
      <w:pPr>
        <w:spacing w:after="0" w:line="9" w:lineRule="exact"/>
        <w:rPr>
          <w:sz w:val="20"/>
          <w:szCs w:val="20"/>
          <w:color w:val="auto"/>
        </w:rPr>
      </w:pPr>
    </w:p>
    <w:p>
      <w:pPr>
        <w:ind w:left="700" w:hanging="692"/>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302 of the Sarbanes-Oxley Act of 2002.</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5620" w:right="5600" w:hanging="5612"/>
        <w:spacing w:after="0" w:line="525" w:lineRule="auto"/>
        <w:tabs>
          <w:tab w:leader="none" w:pos="4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 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29, 2008</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2002 RESTRICTED STOCK PLAN</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(As Amended And Restated, Effective October 7, 2008)</w:t>
      </w:r>
    </w:p>
    <w:p>
      <w:pPr>
        <w:spacing w:after="0" w:line="177" w:lineRule="exact"/>
        <w:rPr>
          <w:sz w:val="20"/>
          <w:szCs w:val="20"/>
          <w:color w:val="auto"/>
        </w:rPr>
      </w:pPr>
    </w:p>
    <w:p>
      <w:pPr>
        <w:ind w:left="180" w:hanging="176"/>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BACKGROUND AND PURPOSE</w:t>
      </w:r>
    </w:p>
    <w:p>
      <w:pPr>
        <w:spacing w:after="0" w:line="90" w:lineRule="exact"/>
        <w:rPr>
          <w:rFonts w:ascii="Arial" w:cs="Arial" w:eastAsia="Arial" w:hAnsi="Arial"/>
          <w:sz w:val="18"/>
          <w:szCs w:val="18"/>
          <w:color w:val="auto"/>
        </w:rPr>
      </w:pPr>
    </w:p>
    <w:p>
      <w:pPr>
        <w:ind w:right="160" w:firstLine="443"/>
        <w:spacing w:after="0" w:line="256" w:lineRule="auto"/>
        <w:tabs>
          <w:tab w:leader="none" w:pos="677"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effective October 7, 2008.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62" w:lineRule="exact"/>
        <w:rPr>
          <w:rFonts w:ascii="Arial" w:cs="Arial" w:eastAsia="Arial" w:hAnsi="Arial"/>
          <w:sz w:val="18"/>
          <w:szCs w:val="18"/>
          <w:color w:val="auto"/>
        </w:rPr>
      </w:pPr>
    </w:p>
    <w:p>
      <w:pPr>
        <w:ind w:right="40" w:firstLine="443"/>
        <w:spacing w:after="0" w:line="289" w:lineRule="auto"/>
        <w:tabs>
          <w:tab w:leader="none" w:pos="687"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Except as provided in Paragraph 2(dd) or Paragraph 8(i)(iii) of the Plan,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37" w:lineRule="exact"/>
        <w:rPr>
          <w:rFonts w:ascii="Arial" w:cs="Arial" w:eastAsia="Arial" w:hAnsi="Arial"/>
          <w:sz w:val="16"/>
          <w:szCs w:val="16"/>
          <w:color w:val="auto"/>
        </w:rPr>
      </w:pPr>
    </w:p>
    <w:p>
      <w:pPr>
        <w:ind w:right="380" w:firstLine="443"/>
        <w:spacing w:after="0" w:line="259" w:lineRule="auto"/>
        <w:tabs>
          <w:tab w:leader="none" w:pos="677"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59" w:lineRule="exact"/>
        <w:rPr>
          <w:rFonts w:ascii="Arial" w:cs="Arial" w:eastAsia="Arial" w:hAnsi="Arial"/>
          <w:sz w:val="18"/>
          <w:szCs w:val="18"/>
          <w:color w:val="auto"/>
        </w:rPr>
      </w:pPr>
    </w:p>
    <w:p>
      <w:pPr>
        <w:ind w:right="80" w:firstLine="443"/>
        <w:spacing w:after="0" w:line="294" w:lineRule="auto"/>
        <w:tabs>
          <w:tab w:leader="none" w:pos="687"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0960"/>
          </w:cols>
          <w:pgMar w:left="700" w:top="125" w:right="239" w:bottom="1440" w:gutter="0" w:footer="0" w:header="0"/>
        </w:sectPr>
      </w:pPr>
    </w:p>
    <w:bookmarkStart w:id="34" w:name="page35"/>
    <w:bookmarkEnd w:id="34"/>
    <w:p>
      <w:pPr>
        <w:ind w:left="180" w:hanging="176"/>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p>
    <w:p>
      <w:pPr>
        <w:spacing w:after="0" w:line="90" w:lineRule="exact"/>
        <w:rPr>
          <w:rFonts w:ascii="Arial" w:cs="Arial" w:eastAsia="Arial" w:hAnsi="Arial"/>
          <w:sz w:val="18"/>
          <w:szCs w:val="18"/>
          <w:color w:val="auto"/>
        </w:rPr>
      </w:pPr>
    </w:p>
    <w:p>
      <w:pPr>
        <w:jc w:val="both"/>
        <w:ind w:right="160" w:firstLine="443"/>
        <w:spacing w:after="0" w:line="357" w:lineRule="auto"/>
        <w:tabs>
          <w:tab w:leader="none" w:pos="677" w:val="left"/>
        </w:tabs>
        <w:numPr>
          <w:ilvl w:val="1"/>
          <w:numId w:val="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Acceleration Election</w:t>
      </w:r>
      <w:r>
        <w:rPr>
          <w:rFonts w:ascii="Arial" w:cs="Arial" w:eastAsia="Arial" w:hAnsi="Arial"/>
          <w:sz w:val="15"/>
          <w:szCs w:val="15"/>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ind w:right="80" w:firstLine="443"/>
        <w:spacing w:after="0" w:line="323" w:lineRule="auto"/>
        <w:tabs>
          <w:tab w:leader="none" w:pos="687" w:val="left"/>
        </w:tabs>
        <w:numPr>
          <w:ilvl w:val="1"/>
          <w:numId w:val="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Account</w:t>
      </w:r>
      <w:r>
        <w:rPr>
          <w:rFonts w:ascii="Arial" w:cs="Arial" w:eastAsia="Arial" w:hAnsi="Arial"/>
          <w:sz w:val="15"/>
          <w:szCs w:val="15"/>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16" w:lineRule="exact"/>
        <w:rPr>
          <w:rFonts w:ascii="Arial" w:cs="Arial" w:eastAsia="Arial" w:hAnsi="Arial"/>
          <w:sz w:val="15"/>
          <w:szCs w:val="15"/>
          <w:color w:val="auto"/>
        </w:rPr>
      </w:pPr>
    </w:p>
    <w:p>
      <w:pPr>
        <w:ind w:left="680" w:hanging="237"/>
        <w:spacing w:after="0"/>
        <w:tabs>
          <w:tab w:leader="none" w:pos="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90" w:lineRule="exact"/>
        <w:rPr>
          <w:rFonts w:ascii="Arial" w:cs="Arial" w:eastAsia="Arial" w:hAnsi="Arial"/>
          <w:sz w:val="18"/>
          <w:szCs w:val="18"/>
          <w:color w:val="auto"/>
        </w:rPr>
      </w:pPr>
    </w:p>
    <w:p>
      <w:pPr>
        <w:jc w:val="both"/>
        <w:ind w:right="40" w:firstLine="443"/>
        <w:spacing w:after="0" w:line="298" w:lineRule="auto"/>
        <w:tabs>
          <w:tab w:leader="none" w:pos="687" w:val="left"/>
        </w:tabs>
        <w:numPr>
          <w:ilvl w:val="1"/>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31" w:lineRule="exact"/>
        <w:rPr>
          <w:rFonts w:ascii="Arial" w:cs="Arial" w:eastAsia="Arial" w:hAnsi="Arial"/>
          <w:sz w:val="16"/>
          <w:szCs w:val="16"/>
          <w:color w:val="auto"/>
        </w:rPr>
      </w:pPr>
    </w:p>
    <w:p>
      <w:pPr>
        <w:ind w:right="100" w:firstLine="443"/>
        <w:spacing w:after="0" w:line="268" w:lineRule="auto"/>
        <w:tabs>
          <w:tab w:leader="none" w:pos="677"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63" w:lineRule="exact"/>
        <w:rPr>
          <w:rFonts w:ascii="Arial" w:cs="Arial" w:eastAsia="Arial" w:hAnsi="Arial"/>
          <w:sz w:val="18"/>
          <w:szCs w:val="18"/>
          <w:color w:val="auto"/>
        </w:rPr>
      </w:pPr>
    </w:p>
    <w:p>
      <w:pPr>
        <w:ind w:left="1460" w:hanging="440"/>
        <w:spacing w:after="0" w:line="235" w:lineRule="auto"/>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Except as otherwise provided in Paragraph 2(f)(ii),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62" w:lineRule="exact"/>
        <w:rPr>
          <w:rFonts w:ascii="Arial" w:cs="Arial" w:eastAsia="Arial" w:hAnsi="Arial"/>
          <w:sz w:val="18"/>
          <w:szCs w:val="18"/>
          <w:color w:val="auto"/>
        </w:rPr>
      </w:pPr>
    </w:p>
    <w:p>
      <w:pPr>
        <w:ind w:left="1460" w:right="180" w:hanging="440"/>
        <w:spacing w:after="0" w:line="268" w:lineRule="auto"/>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Effective for the period extending from a Grantee’s employment termination date to the date the Grantee’s Account is distributed in full, the Committee, in its sole and absolute discretion, may</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700" w:top="280" w:right="319" w:bottom="1440" w:gutter="0" w:footer="0" w:header="0"/>
        </w:sectPr>
      </w:pPr>
    </w:p>
    <w:bookmarkStart w:id="35" w:name="page36"/>
    <w:bookmarkEnd w:id="35"/>
    <w:p>
      <w:pPr>
        <w:ind w:left="148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48" w:lineRule="exact"/>
        <w:rPr>
          <w:sz w:val="20"/>
          <w:szCs w:val="20"/>
          <w:color w:val="auto"/>
        </w:rPr>
      </w:pPr>
    </w:p>
    <w:p>
      <w:pPr>
        <w:ind w:right="220" w:firstLine="443"/>
        <w:spacing w:after="0" w:line="268"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line="255"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61" w:lineRule="exact"/>
        <w:rPr>
          <w:rFonts w:ascii="Arial" w:cs="Arial" w:eastAsia="Arial" w:hAnsi="Arial"/>
          <w:sz w:val="18"/>
          <w:szCs w:val="18"/>
          <w:color w:val="auto"/>
        </w:rPr>
      </w:pPr>
    </w:p>
    <w:p>
      <w:pPr>
        <w:ind w:left="1460" w:right="40" w:hanging="440"/>
        <w:spacing w:after="0" w:line="332"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90" w:lineRule="exact"/>
        <w:rPr>
          <w:rFonts w:ascii="Arial" w:cs="Arial" w:eastAsia="Arial" w:hAnsi="Arial"/>
          <w:sz w:val="18"/>
          <w:szCs w:val="18"/>
          <w:color w:val="auto"/>
        </w:rPr>
      </w:pPr>
    </w:p>
    <w:p>
      <w:pPr>
        <w:ind w:right="140" w:firstLine="443"/>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62" w:lineRule="exact"/>
        <w:rPr>
          <w:rFonts w:ascii="Arial" w:cs="Arial" w:eastAsia="Arial" w:hAnsi="Arial"/>
          <w:sz w:val="18"/>
          <w:szCs w:val="18"/>
          <w:color w:val="auto"/>
        </w:rPr>
      </w:pPr>
    </w:p>
    <w:p>
      <w:pPr>
        <w:ind w:left="740" w:hanging="29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36" w:name="page37"/>
    <w:bookmarkEnd w:id="36"/>
    <w:p>
      <w:pPr>
        <w:ind w:left="700" w:hanging="257"/>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90" w:lineRule="exact"/>
        <w:rPr>
          <w:rFonts w:ascii="Arial" w:cs="Arial" w:eastAsia="Arial" w:hAnsi="Arial"/>
          <w:sz w:val="18"/>
          <w:szCs w:val="18"/>
          <w:color w:val="auto"/>
        </w:rPr>
      </w:pPr>
    </w:p>
    <w:p>
      <w:pPr>
        <w:ind w:right="20" w:firstLine="443"/>
        <w:spacing w:after="0" w:line="268"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50" w:lineRule="exact"/>
        <w:rPr>
          <w:rFonts w:ascii="Arial" w:cs="Arial" w:eastAsia="Arial" w:hAnsi="Arial"/>
          <w:sz w:val="18"/>
          <w:szCs w:val="18"/>
          <w:color w:val="auto"/>
        </w:rPr>
      </w:pPr>
    </w:p>
    <w:p>
      <w:pPr>
        <w:ind w:firstLine="443"/>
        <w:spacing w:after="0" w:line="289" w:lineRule="auto"/>
        <w:tabs>
          <w:tab w:leader="none" w:pos="687"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w:t>
      </w:r>
    </w:p>
    <w:p>
      <w:pPr>
        <w:spacing w:after="0" w:line="37" w:lineRule="exact"/>
        <w:rPr>
          <w:rFonts w:ascii="Arial" w:cs="Arial" w:eastAsia="Arial" w:hAnsi="Arial"/>
          <w:sz w:val="16"/>
          <w:szCs w:val="16"/>
          <w:color w:val="auto"/>
        </w:rPr>
      </w:pPr>
    </w:p>
    <w:p>
      <w:pPr>
        <w:ind w:left="700" w:hanging="257"/>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60" w:hanging="440"/>
        <w:spacing w:after="0" w:line="268"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50" w:lineRule="exact"/>
        <w:rPr>
          <w:rFonts w:ascii="Arial" w:cs="Arial" w:eastAsia="Arial" w:hAnsi="Arial"/>
          <w:sz w:val="18"/>
          <w:szCs w:val="18"/>
          <w:color w:val="auto"/>
        </w:rPr>
      </w:pPr>
    </w:p>
    <w:p>
      <w:pPr>
        <w:ind w:left="1460" w:right="540" w:hanging="440"/>
        <w:spacing w:after="0" w:line="332" w:lineRule="auto"/>
        <w:tabs>
          <w:tab w:leader="none" w:pos="14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4" w:lineRule="exact"/>
        <w:rPr>
          <w:rFonts w:ascii="Arial" w:cs="Arial" w:eastAsia="Arial" w:hAnsi="Arial"/>
          <w:sz w:val="16"/>
          <w:szCs w:val="16"/>
          <w:color w:val="auto"/>
        </w:rPr>
      </w:pPr>
    </w:p>
    <w:p>
      <w:pPr>
        <w:ind w:left="1460" w:hanging="440"/>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left="1460" w:hanging="440"/>
        <w:spacing w:after="0" w:line="268"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37" w:name="page38"/>
    <w:bookmarkEnd w:id="37"/>
    <w:p>
      <w:pPr>
        <w:ind w:left="660" w:hanging="21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140" w:hanging="440"/>
        <w:spacing w:after="0" w:line="357" w:lineRule="auto"/>
        <w:tabs>
          <w:tab w:leader="none" w:pos="1460" w:val="left"/>
        </w:tabs>
        <w:numPr>
          <w:ilvl w:val="1"/>
          <w:numId w:val="16"/>
        </w:numPr>
        <w:rPr>
          <w:rFonts w:ascii="Arial" w:cs="Arial" w:eastAsia="Arial" w:hAnsi="Arial"/>
          <w:sz w:val="15"/>
          <w:szCs w:val="15"/>
          <w:color w:val="auto"/>
        </w:rPr>
      </w:pPr>
      <w:r>
        <w:rPr>
          <w:rFonts w:ascii="Arial" w:cs="Arial" w:eastAsia="Arial" w:hAnsi="Arial"/>
          <w:sz w:val="15"/>
          <w:szCs w:val="15"/>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ind w:left="1460" w:right="80" w:hanging="440"/>
        <w:spacing w:after="0" w:line="335" w:lineRule="auto"/>
        <w:tabs>
          <w:tab w:leader="none" w:pos="1460" w:val="left"/>
        </w:tabs>
        <w:numPr>
          <w:ilvl w:val="1"/>
          <w:numId w:val="16"/>
        </w:numPr>
        <w:rPr>
          <w:rFonts w:ascii="Arial" w:cs="Arial" w:eastAsia="Arial" w:hAnsi="Arial"/>
          <w:sz w:val="15"/>
          <w:szCs w:val="15"/>
          <w:color w:val="auto"/>
        </w:rPr>
      </w:pPr>
      <w:r>
        <w:rPr>
          <w:rFonts w:ascii="Arial" w:cs="Arial" w:eastAsia="Arial" w:hAnsi="Arial"/>
          <w:sz w:val="15"/>
          <w:szCs w:val="15"/>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7" w:lineRule="exact"/>
        <w:rPr>
          <w:rFonts w:ascii="Arial" w:cs="Arial" w:eastAsia="Arial" w:hAnsi="Arial"/>
          <w:sz w:val="15"/>
          <w:szCs w:val="15"/>
          <w:color w:val="auto"/>
        </w:rPr>
      </w:pPr>
    </w:p>
    <w:p>
      <w:pPr>
        <w:ind w:left="700" w:hanging="25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90" w:lineRule="exact"/>
        <w:rPr>
          <w:rFonts w:ascii="Arial" w:cs="Arial" w:eastAsia="Arial" w:hAnsi="Arial"/>
          <w:sz w:val="18"/>
          <w:szCs w:val="18"/>
          <w:color w:val="auto"/>
        </w:rPr>
      </w:pPr>
    </w:p>
    <w:p>
      <w:pPr>
        <w:ind w:firstLine="443"/>
        <w:spacing w:after="0" w:line="259" w:lineRule="auto"/>
        <w:tabs>
          <w:tab w:leader="none" w:pos="7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100" w:hanging="440"/>
        <w:spacing w:after="0" w:line="357" w:lineRule="auto"/>
        <w:tabs>
          <w:tab w:leader="none" w:pos="1460" w:val="left"/>
        </w:tabs>
        <w:numPr>
          <w:ilvl w:val="1"/>
          <w:numId w:val="16"/>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ind w:left="1460" w:hanging="440"/>
        <w:spacing w:after="0"/>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Shares are not so listed, but trades of Shares are reported on the Nasdaq National Market, Fair Market Value shall be determined</w:t>
      </w:r>
    </w:p>
    <w:p>
      <w:pPr>
        <w:spacing w:after="0" w:line="1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80" w:right="299" w:bottom="1440" w:gutter="0" w:footer="0" w:header="0"/>
        </w:sectPr>
      </w:pPr>
    </w:p>
    <w:bookmarkStart w:id="38" w:name="page39"/>
    <w:bookmarkEnd w:id="38"/>
    <w:p>
      <w:pPr>
        <w:ind w:left="1480"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on the last quoted sale price of a Share on the Nasdaq National Market on the date of determination, or if such date is not a trading day, the next trading date.</w:t>
      </w:r>
    </w:p>
    <w:p>
      <w:pPr>
        <w:spacing w:after="0" w:line="64" w:lineRule="exact"/>
        <w:rPr>
          <w:sz w:val="20"/>
          <w:szCs w:val="20"/>
          <w:color w:val="auto"/>
        </w:rPr>
      </w:pPr>
    </w:p>
    <w:p>
      <w:pPr>
        <w:ind w:left="1460" w:hanging="440"/>
        <w:spacing w:after="0"/>
        <w:tabs>
          <w:tab w:leader="none" w:pos="14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13" w:lineRule="exact"/>
        <w:rPr>
          <w:rFonts w:ascii="Arial" w:cs="Arial" w:eastAsia="Arial" w:hAnsi="Arial"/>
          <w:sz w:val="16"/>
          <w:szCs w:val="16"/>
          <w:color w:val="auto"/>
        </w:rPr>
      </w:pPr>
    </w:p>
    <w:p>
      <w:pPr>
        <w:ind w:right="120" w:firstLine="443"/>
        <w:spacing w:after="0" w:line="332" w:lineRule="auto"/>
        <w:tabs>
          <w:tab w:leader="none" w:pos="7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Grandfathered Amount</w:t>
      </w:r>
      <w:r>
        <w:rPr>
          <w:rFonts w:ascii="Arial" w:cs="Arial" w:eastAsia="Arial" w:hAnsi="Arial"/>
          <w:sz w:val="16"/>
          <w:szCs w:val="16"/>
          <w:color w:val="auto"/>
        </w:rPr>
        <w:t>” means amounts described in Paragraph 1(b) that were deferred under the Plan and that were earned and vested before January 1, 2005.</w:t>
      </w:r>
    </w:p>
    <w:p>
      <w:pPr>
        <w:spacing w:after="0" w:line="4" w:lineRule="exact"/>
        <w:rPr>
          <w:rFonts w:ascii="Arial" w:cs="Arial" w:eastAsia="Arial" w:hAnsi="Arial"/>
          <w:sz w:val="16"/>
          <w:szCs w:val="16"/>
          <w:color w:val="auto"/>
        </w:rPr>
      </w:pPr>
    </w:p>
    <w:p>
      <w:pPr>
        <w:ind w:left="780" w:hanging="337"/>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90" w:lineRule="exact"/>
        <w:rPr>
          <w:rFonts w:ascii="Arial" w:cs="Arial" w:eastAsia="Arial" w:hAnsi="Arial"/>
          <w:sz w:val="18"/>
          <w:szCs w:val="18"/>
          <w:color w:val="auto"/>
        </w:rPr>
      </w:pPr>
    </w:p>
    <w:p>
      <w:pPr>
        <w:ind w:right="20" w:firstLine="443"/>
        <w:spacing w:after="0" w:line="291" w:lineRule="auto"/>
        <w:tabs>
          <w:tab w:leader="none" w:pos="7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Grantee constitute an unforeseeable emergency and thus a Hardship within the meaning of this Paragraph 2(cc).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2(cc) for all Grantees in similar circumstances.</w:t>
      </w:r>
    </w:p>
    <w:p>
      <w:pPr>
        <w:spacing w:after="0" w:line="39" w:lineRule="exact"/>
        <w:rPr>
          <w:rFonts w:ascii="Arial" w:cs="Arial" w:eastAsia="Arial" w:hAnsi="Arial"/>
          <w:sz w:val="16"/>
          <w:szCs w:val="16"/>
          <w:color w:val="auto"/>
        </w:rPr>
      </w:pPr>
    </w:p>
    <w:p>
      <w:pPr>
        <w:ind w:right="140" w:firstLine="443"/>
        <w:spacing w:after="0" w:line="290" w:lineRule="auto"/>
        <w:tabs>
          <w:tab w:leader="none" w:pos="7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Except as otherwise provided in Paragraph 8(l), and notwithstanding any other provision of the Plan to the contrary, for purposes of determining the time and form of payment of amounts credited to the Income Fund, the rules of the Comcast Corporation 2005 Deferred Compensation Plan shall apply on the same basis as if such amounts were credited to a participant’s account under such Deferred Compensation Plan.</w:t>
      </w:r>
    </w:p>
    <w:p>
      <w:pPr>
        <w:spacing w:after="0" w:line="37" w:lineRule="exact"/>
        <w:rPr>
          <w:rFonts w:ascii="Arial" w:cs="Arial" w:eastAsia="Arial" w:hAnsi="Arial"/>
          <w:sz w:val="16"/>
          <w:szCs w:val="16"/>
          <w:color w:val="auto"/>
        </w:rPr>
      </w:pPr>
    </w:p>
    <w:p>
      <w:pPr>
        <w:ind w:firstLine="443"/>
        <w:spacing w:after="0" w:line="306" w:lineRule="auto"/>
        <w:tabs>
          <w:tab w:leader="none" w:pos="7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Election</w:t>
      </w:r>
      <w:r>
        <w:rPr>
          <w:rFonts w:ascii="Arial" w:cs="Arial" w:eastAsia="Arial" w:hAnsi="Arial"/>
          <w:sz w:val="16"/>
          <w:szCs w:val="16"/>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25" w:lineRule="exact"/>
        <w:rPr>
          <w:rFonts w:ascii="Arial" w:cs="Arial" w:eastAsia="Arial" w:hAnsi="Arial"/>
          <w:sz w:val="16"/>
          <w:szCs w:val="16"/>
          <w:color w:val="auto"/>
        </w:rPr>
      </w:pPr>
    </w:p>
    <w:p>
      <w:pPr>
        <w:ind w:right="140" w:firstLine="443"/>
        <w:spacing w:after="0" w:line="259" w:lineRule="auto"/>
        <w:tabs>
          <w:tab w:leader="none" w:pos="7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39" w:name="page40"/>
    <w:bookmarkEnd w:id="39"/>
    <w:p>
      <w:pPr>
        <w:ind w:right="500" w:firstLine="443"/>
        <w:spacing w:after="0" w:line="268"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50" w:lineRule="exact"/>
        <w:rPr>
          <w:rFonts w:ascii="Arial" w:cs="Arial" w:eastAsia="Arial" w:hAnsi="Arial"/>
          <w:sz w:val="18"/>
          <w:szCs w:val="18"/>
          <w:color w:val="auto"/>
        </w:rPr>
      </w:pPr>
    </w:p>
    <w:p>
      <w:pPr>
        <w:ind w:right="480" w:firstLine="443"/>
        <w:spacing w:after="0" w:line="268"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1460" w:right="260" w:hanging="440"/>
        <w:spacing w:after="0" w:line="268"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total number of Shares owned by a Grantee that were not acquired by such Grantee pursuant to a Comcast Plan or otherwise in connection with the performance of services to the Company or an Affiliate; plus</w:t>
      </w:r>
    </w:p>
    <w:p>
      <w:pPr>
        <w:spacing w:after="0" w:line="50" w:lineRule="exact"/>
        <w:rPr>
          <w:rFonts w:ascii="Arial" w:cs="Arial" w:eastAsia="Arial" w:hAnsi="Arial"/>
          <w:sz w:val="18"/>
          <w:szCs w:val="18"/>
          <w:color w:val="auto"/>
        </w:rPr>
      </w:pPr>
    </w:p>
    <w:p>
      <w:pPr>
        <w:ind w:left="1460" w:hanging="440"/>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1920" w:hanging="441"/>
        <w:spacing w:after="0"/>
        <w:tabs>
          <w:tab w:leader="none" w:pos="19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total number of Shares owned by a Grantee other than the Shares described in Paragraph 2(ii)(i); over</w:t>
      </w:r>
    </w:p>
    <w:p>
      <w:pPr>
        <w:spacing w:after="0" w:line="90" w:lineRule="exact"/>
        <w:rPr>
          <w:rFonts w:ascii="Arial" w:cs="Arial" w:eastAsia="Arial" w:hAnsi="Arial"/>
          <w:sz w:val="18"/>
          <w:szCs w:val="18"/>
          <w:color w:val="auto"/>
        </w:rPr>
      </w:pPr>
    </w:p>
    <w:p>
      <w:pPr>
        <w:ind w:left="1920" w:hanging="441"/>
        <w:spacing w:after="0"/>
        <w:tabs>
          <w:tab w:leader="none" w:pos="19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160" w:hanging="293"/>
        <w:spacing w:after="0"/>
        <w:tabs>
          <w:tab w:leader="none" w:pos="2160" w:val="left"/>
        </w:tabs>
        <w:numPr>
          <w:ilvl w:val="3"/>
          <w:numId w:val="19"/>
        </w:numPr>
        <w:rPr>
          <w:rFonts w:ascii="Arial" w:cs="Arial" w:eastAsia="Arial" w:hAnsi="Arial"/>
          <w:sz w:val="18"/>
          <w:szCs w:val="18"/>
          <w:color w:val="auto"/>
        </w:rPr>
      </w:pPr>
      <w:r>
        <w:rPr>
          <w:rFonts w:ascii="Arial" w:cs="Arial" w:eastAsia="Arial" w:hAnsi="Arial"/>
          <w:sz w:val="18"/>
          <w:szCs w:val="18"/>
          <w:color w:val="auto"/>
        </w:rPr>
        <w:t>The number of such Shares owned by such Grantee for less than six months; plus</w:t>
      </w:r>
    </w:p>
    <w:p>
      <w:pPr>
        <w:spacing w:after="0" w:line="90" w:lineRule="exact"/>
        <w:rPr>
          <w:rFonts w:ascii="Arial" w:cs="Arial" w:eastAsia="Arial" w:hAnsi="Arial"/>
          <w:sz w:val="18"/>
          <w:szCs w:val="18"/>
          <w:color w:val="auto"/>
        </w:rPr>
      </w:pPr>
    </w:p>
    <w:p>
      <w:pPr>
        <w:ind w:left="1480" w:right="240" w:firstLine="387"/>
        <w:spacing w:after="0" w:line="332" w:lineRule="auto"/>
        <w:tabs>
          <w:tab w:leader="none" w:pos="2137" w:val="left"/>
        </w:tabs>
        <w:numPr>
          <w:ilvl w:val="3"/>
          <w:numId w:val="19"/>
        </w:numPr>
        <w:rPr>
          <w:rFonts w:ascii="Arial" w:cs="Arial" w:eastAsia="Arial" w:hAnsi="Arial"/>
          <w:sz w:val="16"/>
          <w:szCs w:val="16"/>
          <w:color w:val="auto"/>
        </w:rPr>
      </w:pPr>
      <w:r>
        <w:rPr>
          <w:rFonts w:ascii="Arial" w:cs="Arial" w:eastAsia="Arial" w:hAnsi="Arial"/>
          <w:sz w:val="16"/>
          <w:szCs w:val="16"/>
          <w:color w:val="auto"/>
        </w:rPr>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4" w:lineRule="exact"/>
        <w:rPr>
          <w:rFonts w:ascii="Arial" w:cs="Arial" w:eastAsia="Arial" w:hAnsi="Arial"/>
          <w:sz w:val="16"/>
          <w:szCs w:val="16"/>
          <w:color w:val="auto"/>
        </w:rPr>
      </w:pPr>
    </w:p>
    <w:p>
      <w:pPr>
        <w:ind w:left="1480" w:firstLine="387"/>
        <w:spacing w:after="0" w:line="298" w:lineRule="auto"/>
        <w:tabs>
          <w:tab w:leader="none" w:pos="2137" w:val="left"/>
        </w:tabs>
        <w:numPr>
          <w:ilvl w:val="3"/>
          <w:numId w:val="19"/>
        </w:numPr>
        <w:rPr>
          <w:rFonts w:ascii="Arial" w:cs="Arial" w:eastAsia="Arial" w:hAnsi="Arial"/>
          <w:sz w:val="16"/>
          <w:szCs w:val="16"/>
          <w:color w:val="auto"/>
        </w:rPr>
      </w:pPr>
      <w:r>
        <w:rPr>
          <w:rFonts w:ascii="Arial" w:cs="Arial" w:eastAsia="Arial" w:hAnsi="Arial"/>
          <w:sz w:val="16"/>
          <w:szCs w:val="16"/>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31" w:lineRule="exact"/>
        <w:rPr>
          <w:rFonts w:ascii="Arial" w:cs="Arial" w:eastAsia="Arial" w:hAnsi="Arial"/>
          <w:sz w:val="16"/>
          <w:szCs w:val="16"/>
          <w:color w:val="auto"/>
        </w:rPr>
      </w:pPr>
    </w:p>
    <w:p>
      <w:pPr>
        <w:ind w:left="1480" w:right="20" w:firstLine="387"/>
        <w:spacing w:after="0" w:line="259" w:lineRule="auto"/>
        <w:tabs>
          <w:tab w:leader="none" w:pos="2146" w:val="left"/>
        </w:tabs>
        <w:numPr>
          <w:ilvl w:val="3"/>
          <w:numId w:val="19"/>
        </w:numPr>
        <w:rPr>
          <w:rFonts w:ascii="Arial" w:cs="Arial" w:eastAsia="Arial" w:hAnsi="Arial"/>
          <w:sz w:val="18"/>
          <w:szCs w:val="18"/>
          <w:color w:val="auto"/>
        </w:rPr>
      </w:pPr>
      <w:r>
        <w:rPr>
          <w:rFonts w:ascii="Arial" w:cs="Arial" w:eastAsia="Arial" w:hAnsi="Arial"/>
          <w:sz w:val="18"/>
          <w:szCs w:val="18"/>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40" w:name="page41"/>
    <w:bookmarkEnd w:id="40"/>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Paragraph 2(ii),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Grantee immediately before the consummation of the AT&amp;T Broadband Transaction that became Shares as a result of the AT&amp;T Broadband Transaction.</w:t>
      </w:r>
    </w:p>
    <w:p>
      <w:pPr>
        <w:spacing w:after="0" w:line="62" w:lineRule="exact"/>
        <w:rPr>
          <w:sz w:val="20"/>
          <w:szCs w:val="20"/>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Grantee may earn Performance-Based Compensation.</w:t>
      </w:r>
    </w:p>
    <w:p>
      <w:pPr>
        <w:spacing w:after="0" w:line="113" w:lineRule="exact"/>
        <w:rPr>
          <w:rFonts w:ascii="Arial" w:cs="Arial" w:eastAsia="Arial" w:hAnsi="Arial"/>
          <w:sz w:val="16"/>
          <w:szCs w:val="16"/>
          <w:color w:val="auto"/>
        </w:rPr>
      </w:pPr>
    </w:p>
    <w:p>
      <w:pPr>
        <w:ind w:left="1340" w:hanging="437"/>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90" w:lineRule="exact"/>
        <w:rPr>
          <w:rFonts w:ascii="Arial" w:cs="Arial" w:eastAsia="Arial" w:hAnsi="Arial"/>
          <w:sz w:val="18"/>
          <w:szCs w:val="18"/>
          <w:color w:val="auto"/>
        </w:rPr>
      </w:pPr>
    </w:p>
    <w:p>
      <w:pPr>
        <w:ind w:left="460" w:right="160" w:firstLine="443"/>
        <w:spacing w:after="0" w:line="256" w:lineRule="auto"/>
        <w:tabs>
          <w:tab w:leader="none" w:pos="12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unit that entitles the Grantee, upon the Vesting Date set forth in an Award, to receive one Share.</w:t>
      </w:r>
    </w:p>
    <w:p>
      <w:pPr>
        <w:spacing w:after="0" w:line="113" w:lineRule="exact"/>
        <w:rPr>
          <w:rFonts w:ascii="Arial" w:cs="Arial" w:eastAsia="Arial" w:hAnsi="Arial"/>
          <w:sz w:val="16"/>
          <w:szCs w:val="16"/>
          <w:color w:val="auto"/>
        </w:rPr>
      </w:pPr>
    </w:p>
    <w:p>
      <w:pPr>
        <w:ind w:left="1180" w:hanging="277"/>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a Grantee who has terminated employment pursuant to a Normal Retirement.</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under the 1934 Act, as in effect from time to time.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1" w:name="page42"/>
    <w:bookmarkEnd w:id="41"/>
    <w:p>
      <w:pPr>
        <w:ind w:left="780" w:hanging="337"/>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except as provided in Paragraph 2(uu)(ii), a share or shares of Common Stock.</w:t>
      </w:r>
    </w:p>
    <w:p>
      <w:pPr>
        <w:spacing w:after="0" w:line="90" w:lineRule="exact"/>
        <w:rPr>
          <w:rFonts w:ascii="Arial" w:cs="Arial" w:eastAsia="Arial" w:hAnsi="Arial"/>
          <w:sz w:val="18"/>
          <w:szCs w:val="18"/>
          <w:color w:val="auto"/>
        </w:rPr>
      </w:pPr>
    </w:p>
    <w:p>
      <w:pPr>
        <w:ind w:left="1460" w:hanging="440"/>
        <w:spacing w:after="0" w:line="259"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with respect to Awards granted before the consummation of the AT&amp;T Broadband Transaction as to which a Vesting Date has not occurred, and for purposes of Paragraphs 2(ii) and 9(c), the term “Share” or “Shares” also means a share or shares of Special Common Stock.</w:t>
      </w:r>
    </w:p>
    <w:p>
      <w:pPr>
        <w:spacing w:after="0" w:line="59" w:lineRule="exact"/>
        <w:rPr>
          <w:rFonts w:ascii="Arial" w:cs="Arial" w:eastAsia="Arial" w:hAnsi="Arial"/>
          <w:sz w:val="18"/>
          <w:szCs w:val="18"/>
          <w:color w:val="auto"/>
        </w:rPr>
      </w:pPr>
    </w:p>
    <w:p>
      <w:pPr>
        <w:ind w:left="780" w:hanging="337"/>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90" w:lineRule="exact"/>
        <w:rPr>
          <w:rFonts w:ascii="Arial" w:cs="Arial" w:eastAsia="Arial" w:hAnsi="Arial"/>
          <w:sz w:val="18"/>
          <w:szCs w:val="18"/>
          <w:color w:val="auto"/>
        </w:rPr>
      </w:pPr>
    </w:p>
    <w:p>
      <w:pPr>
        <w:ind w:firstLine="443"/>
        <w:spacing w:after="0" w:line="256" w:lineRule="auto"/>
        <w:tabs>
          <w:tab w:leader="none" w:pos="8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grant of Restricted Stock or Restricted Stock Units,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in accordance with Paragraph 8(k)(ii).</w:t>
      </w:r>
    </w:p>
    <w:p>
      <w:pPr>
        <w:spacing w:after="0" w:line="62" w:lineRule="exact"/>
        <w:rPr>
          <w:rFonts w:ascii="Arial" w:cs="Arial" w:eastAsia="Arial" w:hAnsi="Arial"/>
          <w:sz w:val="18"/>
          <w:szCs w:val="18"/>
          <w:color w:val="auto"/>
        </w:rPr>
      </w:pPr>
    </w:p>
    <w:p>
      <w:pPr>
        <w:ind w:right="120" w:firstLine="443"/>
        <w:spacing w:after="0" w:line="306" w:lineRule="auto"/>
        <w:tabs>
          <w:tab w:leader="none" w:pos="7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Subsequent Election</w:t>
      </w:r>
      <w:r>
        <w:rPr>
          <w:rFonts w:ascii="Arial" w:cs="Arial" w:eastAsia="Arial" w:hAnsi="Arial"/>
          <w:sz w:val="16"/>
          <w:szCs w:val="16"/>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25" w:lineRule="exact"/>
        <w:rPr>
          <w:rFonts w:ascii="Arial" w:cs="Arial" w:eastAsia="Arial" w:hAnsi="Arial"/>
          <w:sz w:val="16"/>
          <w:szCs w:val="16"/>
          <w:color w:val="auto"/>
        </w:rPr>
      </w:pPr>
    </w:p>
    <w:p>
      <w:pPr>
        <w:ind w:right="20" w:firstLine="443"/>
        <w:spacing w:after="0" w:line="268" w:lineRule="auto"/>
        <w:tabs>
          <w:tab w:leader="none" w:pos="7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50" w:lineRule="exact"/>
        <w:rPr>
          <w:rFonts w:ascii="Arial" w:cs="Arial" w:eastAsia="Arial" w:hAnsi="Arial"/>
          <w:sz w:val="18"/>
          <w:szCs w:val="18"/>
          <w:color w:val="auto"/>
        </w:rPr>
      </w:pPr>
    </w:p>
    <w:p>
      <w:pPr>
        <w:ind w:right="320" w:firstLine="443"/>
        <w:spacing w:after="0" w:line="268" w:lineRule="auto"/>
        <w:tabs>
          <w:tab w:leader="none" w:pos="7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51" w:lineRule="exact"/>
        <w:rPr>
          <w:sz w:val="20"/>
          <w:szCs w:val="20"/>
          <w:color w:val="auto"/>
        </w:rPr>
      </w:pPr>
    </w:p>
    <w:p>
      <w:pPr>
        <w:ind w:left="840" w:hanging="397"/>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460" w:hanging="440"/>
        <w:spacing w:after="0"/>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90" w:lineRule="exact"/>
        <w:rPr>
          <w:rFonts w:ascii="Arial" w:cs="Arial" w:eastAsia="Arial" w:hAnsi="Arial"/>
          <w:sz w:val="18"/>
          <w:szCs w:val="18"/>
          <w:color w:val="auto"/>
        </w:rPr>
      </w:pPr>
    </w:p>
    <w:p>
      <w:pPr>
        <w:ind w:right="20" w:firstLine="443"/>
        <w:spacing w:after="0" w:line="332" w:lineRule="auto"/>
        <w:tabs>
          <w:tab w:leader="none" w:pos="8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42" w:name="page43"/>
    <w:bookmarkEnd w:id="42"/>
    <w:p>
      <w:pPr>
        <w:ind w:right="360" w:firstLine="443"/>
        <w:spacing w:after="0" w:line="268" w:lineRule="auto"/>
        <w:tabs>
          <w:tab w:leader="none" w:pos="833"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as applicable: (i) the date on which the restrictions imposed on a Share of Restricted Stock lapse or (ii) the date on which the Grantee vests in a Restricted Stock Unit.</w:t>
      </w:r>
    </w:p>
    <w:p>
      <w:pPr>
        <w:spacing w:after="0" w:line="50" w:lineRule="exact"/>
        <w:rPr>
          <w:rFonts w:ascii="Arial" w:cs="Arial" w:eastAsia="Arial" w:hAnsi="Arial"/>
          <w:sz w:val="18"/>
          <w:szCs w:val="18"/>
          <w:color w:val="auto"/>
        </w:rPr>
      </w:pPr>
    </w:p>
    <w:p>
      <w:pPr>
        <w:ind w:left="860" w:hanging="417"/>
        <w:spacing w:after="0"/>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13" w:lineRule="exact"/>
        <w:rPr>
          <w:rFonts w:ascii="Arial" w:cs="Arial" w:eastAsia="Arial" w:hAnsi="Arial"/>
          <w:sz w:val="16"/>
          <w:szCs w:val="16"/>
          <w:color w:val="auto"/>
        </w:rPr>
      </w:pPr>
    </w:p>
    <w:p>
      <w:pPr>
        <w:ind w:left="840" w:hanging="397"/>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1934 Act</w:t>
      </w:r>
      <w:r>
        <w:rPr>
          <w:rFonts w:ascii="Arial" w:cs="Arial" w:eastAsia="Arial" w:hAnsi="Arial"/>
          <w:sz w:val="16"/>
          <w:szCs w:val="16"/>
          <w:color w:val="auto"/>
        </w:rPr>
        <w:t>” means the Securities Exchange Act of 1934, as amended.</w:t>
      </w:r>
    </w:p>
    <w:p>
      <w:pPr>
        <w:spacing w:after="0" w:line="194" w:lineRule="exact"/>
        <w:rPr>
          <w:sz w:val="20"/>
          <w:szCs w:val="20"/>
          <w:color w:val="auto"/>
        </w:rPr>
      </w:pPr>
    </w:p>
    <w:p>
      <w:pPr>
        <w:ind w:left="180" w:hanging="176"/>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RIGHTS TO BE GRANTED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Rights that may be granted under the Plan are:</w:t>
      </w:r>
    </w:p>
    <w:p>
      <w:pPr>
        <w:spacing w:after="0" w:line="90" w:lineRule="exact"/>
        <w:rPr>
          <w:sz w:val="20"/>
          <w:szCs w:val="20"/>
          <w:color w:val="auto"/>
        </w:rPr>
      </w:pPr>
    </w:p>
    <w:p>
      <w:pPr>
        <w:ind w:firstLine="443"/>
        <w:spacing w:after="0" w:line="268" w:lineRule="auto"/>
        <w:tabs>
          <w:tab w:leader="none" w:pos="6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50" w:lineRule="exact"/>
        <w:rPr>
          <w:rFonts w:ascii="Arial" w:cs="Arial" w:eastAsia="Arial" w:hAnsi="Arial"/>
          <w:sz w:val="18"/>
          <w:szCs w:val="18"/>
          <w:color w:val="auto"/>
        </w:rPr>
      </w:pPr>
    </w:p>
    <w:p>
      <w:pPr>
        <w:jc w:val="both"/>
        <w:ind w:right="400" w:firstLine="443"/>
        <w:spacing w:after="0" w:line="259" w:lineRule="auto"/>
        <w:tabs>
          <w:tab w:leader="none" w:pos="687" w:val="left"/>
        </w:tabs>
        <w:numPr>
          <w:ilvl w:val="1"/>
          <w:numId w:val="25"/>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1.5 million Shares.</w:t>
      </w:r>
    </w:p>
    <w:p>
      <w:pPr>
        <w:spacing w:after="0" w:line="140" w:lineRule="exact"/>
        <w:rPr>
          <w:rFonts w:ascii="Arial" w:cs="Arial" w:eastAsia="Arial" w:hAnsi="Arial"/>
          <w:sz w:val="18"/>
          <w:szCs w:val="18"/>
          <w:color w:val="auto"/>
        </w:rPr>
      </w:pPr>
    </w:p>
    <w:p>
      <w:pPr>
        <w:ind w:left="180" w:hanging="176"/>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90" w:lineRule="exact"/>
        <w:rPr>
          <w:rFonts w:ascii="Arial" w:cs="Arial" w:eastAsia="Arial" w:hAnsi="Arial"/>
          <w:sz w:val="18"/>
          <w:szCs w:val="18"/>
          <w:color w:val="auto"/>
        </w:rPr>
      </w:pPr>
    </w:p>
    <w:p>
      <w:pPr>
        <w:ind w:right="60" w:firstLine="443"/>
        <w:spacing w:after="0" w:line="294" w:lineRule="auto"/>
        <w:tabs>
          <w:tab w:leader="none" w:pos="677" w:val="left"/>
        </w:tabs>
        <w:numPr>
          <w:ilvl w:val="1"/>
          <w:numId w:val="26"/>
        </w:numPr>
        <w:rPr>
          <w:rFonts w:ascii="Arial" w:cs="Arial" w:eastAsia="Arial" w:hAnsi="Arial"/>
          <w:sz w:val="16"/>
          <w:szCs w:val="16"/>
          <w:color w:val="auto"/>
        </w:rPr>
      </w:pPr>
      <w:r>
        <w:rPr>
          <w:rFonts w:ascii="Arial" w:cs="Arial" w:eastAsia="Arial" w:hAnsi="Arial"/>
          <w:sz w:val="16"/>
          <w:szCs w:val="16"/>
          <w:color w:val="auto"/>
        </w:rPr>
        <w:t>Not more than 52.5 million Shares in the aggregate may be issued under the Plan pursuant to the grant of Awards, subject to adjustment in accordance with Paragraph 10, provided that subject to the approval of the Company’s shareholders at the Company’s Annual Meeting of Shareholders to be held in 2008 (the “2008 Annual Meeting”), the number of Shares in the aggregate that may be issued under the Plan, pursuant to the grant of Awards, subject to adjustment in accordance with Paragraph 10, shall be increased from 52.5 million to 66.5 million. The Shares issued under the Plan may, at the Company’s option, be either Shares held in treasury or Shares originally issued for such purpose.</w:t>
      </w:r>
    </w:p>
    <w:p>
      <w:pPr>
        <w:spacing w:after="0" w:line="34" w:lineRule="exact"/>
        <w:rPr>
          <w:rFonts w:ascii="Arial" w:cs="Arial" w:eastAsia="Arial" w:hAnsi="Arial"/>
          <w:sz w:val="16"/>
          <w:szCs w:val="16"/>
          <w:color w:val="auto"/>
        </w:rPr>
      </w:pPr>
    </w:p>
    <w:p>
      <w:pPr>
        <w:jc w:val="both"/>
        <w:ind w:firstLine="443"/>
        <w:spacing w:after="0" w:line="306" w:lineRule="auto"/>
        <w:tabs>
          <w:tab w:leader="none" w:pos="687"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106" w:lineRule="exact"/>
        <w:rPr>
          <w:rFonts w:ascii="Arial" w:cs="Arial" w:eastAsia="Arial" w:hAnsi="Arial"/>
          <w:sz w:val="16"/>
          <w:szCs w:val="16"/>
          <w:color w:val="auto"/>
        </w:rPr>
      </w:pPr>
    </w:p>
    <w:p>
      <w:pPr>
        <w:ind w:left="180" w:hanging="176"/>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90" w:lineRule="exact"/>
        <w:rPr>
          <w:rFonts w:ascii="Arial" w:cs="Arial" w:eastAsia="Arial" w:hAnsi="Arial"/>
          <w:sz w:val="18"/>
          <w:szCs w:val="18"/>
          <w:color w:val="auto"/>
        </w:rPr>
      </w:pPr>
    </w:p>
    <w:p>
      <w:pPr>
        <w:ind w:right="20" w:firstLine="443"/>
        <w:spacing w:after="0" w:line="259" w:lineRule="auto"/>
        <w:tabs>
          <w:tab w:leader="none" w:pos="677"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12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700" w:top="280" w:right="339" w:bottom="1440" w:gutter="0" w:footer="0" w:header="0"/>
        </w:sectPr>
      </w:pPr>
    </w:p>
    <w:bookmarkStart w:id="43" w:name="page44"/>
    <w:bookmarkEnd w:id="43"/>
    <w:p>
      <w:pPr>
        <w:ind w:left="1160" w:hanging="257"/>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w:t>
      </w:r>
      <w:r>
        <w:rPr>
          <w:rFonts w:ascii="Arial" w:cs="Arial" w:eastAsia="Arial" w:hAnsi="Arial"/>
          <w:sz w:val="16"/>
          <w:szCs w:val="16"/>
          <w:color w:val="auto"/>
        </w:rPr>
        <w:t>. Subject to the express terms and conditions set forth in the Plan, the Committee shall have the power, from time to time, to:</w:t>
      </w:r>
    </w:p>
    <w:p>
      <w:pPr>
        <w:spacing w:after="0" w:line="113" w:lineRule="exact"/>
        <w:rPr>
          <w:rFonts w:ascii="Arial" w:cs="Arial" w:eastAsia="Arial" w:hAnsi="Arial"/>
          <w:sz w:val="16"/>
          <w:szCs w:val="16"/>
          <w:color w:val="auto"/>
        </w:rPr>
      </w:pPr>
    </w:p>
    <w:p>
      <w:pPr>
        <w:ind w:left="1920" w:hanging="440"/>
        <w:spacing w:after="0" w:line="256"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62" w:lineRule="exact"/>
        <w:rPr>
          <w:rFonts w:ascii="Arial" w:cs="Arial" w:eastAsia="Arial" w:hAnsi="Arial"/>
          <w:sz w:val="18"/>
          <w:szCs w:val="18"/>
          <w:color w:val="auto"/>
        </w:rPr>
      </w:pPr>
    </w:p>
    <w:p>
      <w:pPr>
        <w:ind w:left="1920" w:right="320" w:hanging="440"/>
        <w:spacing w:after="0" w:line="268"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90" w:lineRule="exact"/>
        <w:rPr>
          <w:sz w:val="20"/>
          <w:szCs w:val="20"/>
          <w:color w:val="auto"/>
        </w:rPr>
      </w:pPr>
    </w:p>
    <w:p>
      <w:pPr>
        <w:ind w:left="460" w:right="320" w:firstLine="443"/>
        <w:spacing w:after="0" w:line="259" w:lineRule="auto"/>
        <w:tabs>
          <w:tab w:leader="none" w:pos="113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59"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31" w:lineRule="exact"/>
        <w:rPr>
          <w:rFonts w:ascii="Arial" w:cs="Arial" w:eastAsia="Arial" w:hAnsi="Arial"/>
          <w:sz w:val="16"/>
          <w:szCs w:val="16"/>
          <w:color w:val="auto"/>
        </w:rPr>
      </w:pPr>
    </w:p>
    <w:p>
      <w:pPr>
        <w:ind w:left="460" w:right="40" w:firstLine="443"/>
        <w:spacing w:after="0" w:line="294" w:lineRule="auto"/>
        <w:tabs>
          <w:tab w:leader="none" w:pos="1137"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34" w:lineRule="exact"/>
        <w:rPr>
          <w:rFonts w:ascii="Arial" w:cs="Arial" w:eastAsia="Arial" w:hAnsi="Arial"/>
          <w:sz w:val="16"/>
          <w:szCs w:val="16"/>
          <w:color w:val="auto"/>
        </w:rPr>
      </w:pPr>
    </w:p>
    <w:p>
      <w:pPr>
        <w:ind w:left="1120" w:hanging="217"/>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right="100" w:hanging="440"/>
        <w:spacing w:after="0" w:line="286" w:lineRule="auto"/>
        <w:tabs>
          <w:tab w:leader="none" w:pos="192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Named Executive Officers and Section 16(b) Officers</w:t>
      </w:r>
      <w:r>
        <w:rPr>
          <w:rFonts w:ascii="Arial" w:cs="Arial" w:eastAsia="Arial" w:hAnsi="Arial"/>
          <w:sz w:val="16"/>
          <w:szCs w:val="16"/>
          <w:color w:val="auto"/>
        </w:rPr>
        <w:t>. All authority with respect to the grant, amendment, interpretation and administration of grants and awards of restricted stock and restricted stock units with respect to any Eligible Employee who is either</w:t>
      </w:r>
    </w:p>
    <w:p>
      <w:pPr>
        <w:ind w:left="1920"/>
        <w:spacing w:after="0"/>
        <w:rPr>
          <w:rFonts w:ascii="Arial" w:cs="Arial" w:eastAsia="Arial" w:hAnsi="Arial"/>
          <w:sz w:val="16"/>
          <w:szCs w:val="16"/>
          <w:color w:val="auto"/>
        </w:rPr>
      </w:pPr>
      <w:r>
        <w:rPr>
          <w:rFonts w:ascii="Arial" w:cs="Arial" w:eastAsia="Arial" w:hAnsi="Arial"/>
          <w:sz w:val="18"/>
          <w:szCs w:val="18"/>
          <w:color w:val="auto"/>
        </w:rPr>
        <w:t>(x)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80" w:right="339" w:bottom="1440" w:gutter="0" w:footer="0" w:header="0"/>
        </w:sectPr>
      </w:pPr>
    </w:p>
    <w:bookmarkStart w:id="44" w:name="page45"/>
    <w:bookmarkEnd w:id="44"/>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Table) or (y) is a Section 16(b) Officer, is reserved to the Committee.</w:t>
      </w:r>
    </w:p>
    <w:p>
      <w:pPr>
        <w:spacing w:after="0" w:line="104" w:lineRule="exact"/>
        <w:rPr>
          <w:sz w:val="20"/>
          <w:szCs w:val="20"/>
          <w:color w:val="auto"/>
        </w:rPr>
      </w:pPr>
    </w:p>
    <w:p>
      <w:pPr>
        <w:ind w:left="1920" w:hanging="440"/>
        <w:spacing w:after="0" w:line="255"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61" w:lineRule="exact"/>
        <w:rPr>
          <w:rFonts w:ascii="Arial" w:cs="Arial" w:eastAsia="Arial" w:hAnsi="Arial"/>
          <w:sz w:val="18"/>
          <w:szCs w:val="18"/>
          <w:color w:val="auto"/>
        </w:rPr>
      </w:pPr>
    </w:p>
    <w:p>
      <w:pPr>
        <w:ind w:left="1920" w:right="20" w:hanging="440"/>
        <w:spacing w:after="0" w:line="306" w:lineRule="auto"/>
        <w:tabs>
          <w:tab w:leader="none" w:pos="1920"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Other Employees</w:t>
      </w:r>
      <w:r>
        <w:rPr>
          <w:rFonts w:ascii="Arial" w:cs="Arial" w:eastAsia="Arial" w:hAnsi="Arial"/>
          <w:sz w:val="16"/>
          <w:szCs w:val="16"/>
          <w:color w:val="auto"/>
        </w:rPr>
        <w:t>.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Paragraph 5(f)(i) or Paragraph 5(f)(ii).</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Any delegation of authority described in Paragraph 5(f) shall continue in effect until the earliest of:</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1920" w:right="40" w:hanging="440"/>
        <w:spacing w:after="0" w:line="259"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case of delegation under Paragraph 5(f)(ii), the delegate shall cease to serve as Chairman of the Committee or serve as an employee of the Company for any reason, as the case may be and in the case of delegation under Paragraph 5(f)(iii), the delegate shall cease to serve as an employee of the Company for any reason; or</w:t>
      </w:r>
    </w:p>
    <w:p>
      <w:pPr>
        <w:spacing w:after="0" w:line="59" w:lineRule="exact"/>
        <w:rPr>
          <w:rFonts w:ascii="Arial" w:cs="Arial" w:eastAsia="Arial" w:hAnsi="Arial"/>
          <w:sz w:val="18"/>
          <w:szCs w:val="18"/>
          <w:color w:val="auto"/>
        </w:rPr>
      </w:pPr>
    </w:p>
    <w:p>
      <w:pPr>
        <w:ind w:left="1920" w:hanging="440"/>
        <w:spacing w:after="0"/>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171"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Awards may be granted only to Eligible Employees and Non-Employee Directors.</w:t>
      </w:r>
    </w:p>
    <w:p>
      <w:pPr>
        <w:spacing w:after="0" w:line="171" w:lineRule="exact"/>
        <w:rPr>
          <w:sz w:val="20"/>
          <w:szCs w:val="20"/>
          <w:color w:val="auto"/>
        </w:rPr>
      </w:pPr>
    </w:p>
    <w:p>
      <w:pPr>
        <w:ind w:left="640" w:hanging="17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p>
    <w:p>
      <w:pPr>
        <w:spacing w:after="0" w:line="90"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45" w:name="page46"/>
    <w:bookmarkEnd w:id="4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and conditions of Awards shall be set forth in writing as determined from time to time by the Committee, consistent, however,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460" w:right="40" w:firstLine="443"/>
        <w:spacing w:after="0" w:line="259" w:lineRule="auto"/>
        <w:tabs>
          <w:tab w:leader="none" w:pos="113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February 25, 2013, provided that subject to the approval of the Sponsor’s shareholders at the 2008 Annual Meeting, the last day on which Awards may be granted under the Plan shall be extended from February 25, 2013 to the day before the tenth anniversary of the 2008 Annual Meeting.</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50" w:lineRule="exact"/>
        <w:rPr>
          <w:rFonts w:ascii="Arial" w:cs="Arial" w:eastAsia="Arial" w:hAnsi="Arial"/>
          <w:sz w:val="18"/>
          <w:szCs w:val="18"/>
          <w:color w:val="auto"/>
        </w:rPr>
      </w:pPr>
    </w:p>
    <w:p>
      <w:pPr>
        <w:ind w:left="460" w:right="80" w:firstLine="443"/>
        <w:spacing w:after="0" w:line="298" w:lineRule="auto"/>
        <w:tabs>
          <w:tab w:leader="none" w:pos="113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31" w:lineRule="exact"/>
        <w:rPr>
          <w:rFonts w:ascii="Arial" w:cs="Arial" w:eastAsia="Arial" w:hAnsi="Arial"/>
          <w:sz w:val="16"/>
          <w:szCs w:val="16"/>
          <w:color w:val="auto"/>
        </w:rPr>
      </w:pPr>
    </w:p>
    <w:p>
      <w:pPr>
        <w:ind w:left="460" w:right="400" w:firstLine="443"/>
        <w:spacing w:after="0" w:line="332" w:lineRule="auto"/>
        <w:tabs>
          <w:tab w:leader="none" w:pos="114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the Committee may establish a period commencing with the Date of Grant during which the Grantee shall not be permitted to sell, transfer, pledge or assign Restricted Stock awarded under the Plan.</w:t>
      </w:r>
    </w:p>
    <w:p>
      <w:pPr>
        <w:spacing w:after="0" w:line="4" w:lineRule="exact"/>
        <w:rPr>
          <w:rFonts w:ascii="Arial" w:cs="Arial" w:eastAsia="Arial" w:hAnsi="Arial"/>
          <w:sz w:val="16"/>
          <w:szCs w:val="16"/>
          <w:color w:val="auto"/>
        </w:rPr>
      </w:pPr>
    </w:p>
    <w:p>
      <w:pPr>
        <w:ind w:left="460" w:firstLine="443"/>
        <w:spacing w:after="0" w:line="289" w:lineRule="auto"/>
        <w:tabs>
          <w:tab w:leader="none" w:pos="113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Vesting/Lapse of Restrictions</w:t>
      </w:r>
      <w:r>
        <w:rPr>
          <w:rFonts w:ascii="Arial" w:cs="Arial" w:eastAsia="Arial" w:hAnsi="Arial"/>
          <w:sz w:val="16"/>
          <w:szCs w:val="16"/>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All references to Shares in Awards granted before the consummation of the AT&amp;T Broadband Transaction as to which a Vesting Date has not occurred shall be deemed to be references to Special Common Stock.</w:t>
      </w:r>
    </w:p>
    <w:p>
      <w:pPr>
        <w:spacing w:after="0" w:line="37" w:lineRule="exact"/>
        <w:rPr>
          <w:rFonts w:ascii="Arial" w:cs="Arial" w:eastAsia="Arial" w:hAnsi="Arial"/>
          <w:sz w:val="16"/>
          <w:szCs w:val="16"/>
          <w:color w:val="auto"/>
        </w:rPr>
      </w:pPr>
    </w:p>
    <w:p>
      <w:pPr>
        <w:ind w:left="460" w:right="80" w:firstLine="443"/>
        <w:spacing w:after="0" w:line="306" w:lineRule="auto"/>
        <w:tabs>
          <w:tab w:leader="none" w:pos="111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46" w:name="page47"/>
    <w:bookmarkEnd w:id="46"/>
    <w:p>
      <w:pPr>
        <w:ind w:left="460" w:right="100" w:firstLine="443"/>
        <w:spacing w:after="0" w:line="335" w:lineRule="auto"/>
        <w:tabs>
          <w:tab w:leader="none" w:pos="1147" w:val="left"/>
        </w:tabs>
        <w:numPr>
          <w:ilvl w:val="1"/>
          <w:numId w:val="3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Grantee’s Employment</w:t>
      </w:r>
      <w:r>
        <w:rPr>
          <w:rFonts w:ascii="Arial" w:cs="Arial" w:eastAsia="Arial" w:hAnsi="Arial"/>
          <w:sz w:val="15"/>
          <w:szCs w:val="15"/>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7" w:lineRule="exact"/>
        <w:rPr>
          <w:rFonts w:ascii="Arial" w:cs="Arial" w:eastAsia="Arial" w:hAnsi="Arial"/>
          <w:sz w:val="15"/>
          <w:szCs w:val="15"/>
          <w:color w:val="auto"/>
        </w:rPr>
      </w:pPr>
    </w:p>
    <w:p>
      <w:pPr>
        <w:ind w:left="1160" w:hanging="257"/>
        <w:spacing w:after="0"/>
        <w:tabs>
          <w:tab w:leader="none" w:pos="116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either by</w:t>
      </w:r>
    </w:p>
    <w:p>
      <w:pPr>
        <w:spacing w:after="0" w:line="38" w:lineRule="exact"/>
        <w:rPr>
          <w:rFonts w:ascii="Arial" w:cs="Arial" w:eastAsia="Arial" w:hAnsi="Arial"/>
          <w:sz w:val="16"/>
          <w:szCs w:val="16"/>
          <w:color w:val="auto"/>
        </w:rPr>
      </w:pPr>
    </w:p>
    <w:p>
      <w:pPr>
        <w:ind w:left="460" w:right="60" w:firstLine="4"/>
        <w:spacing w:after="0" w:line="287" w:lineRule="auto"/>
        <w:tabs>
          <w:tab w:leader="none" w:pos="6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24"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or Restricted Stock Units as to which a Vesting Date has occurred, as provided by the Committee in the Award, consistent, however, with the following:</w:t>
      </w:r>
    </w:p>
    <w:p>
      <w:pPr>
        <w:spacing w:after="0" w:line="51" w:lineRule="exact"/>
        <w:rPr>
          <w:sz w:val="20"/>
          <w:szCs w:val="20"/>
          <w:color w:val="auto"/>
        </w:rPr>
      </w:pPr>
    </w:p>
    <w:p>
      <w:pPr>
        <w:ind w:left="1140" w:hanging="237"/>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right="200" w:hanging="440"/>
        <w:spacing w:after="0" w:line="305" w:lineRule="auto"/>
        <w:tabs>
          <w:tab w:leader="none" w:pos="192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ind w:left="1920" w:hanging="440"/>
        <w:spacing w:after="0" w:line="251" w:lineRule="auto"/>
        <w:tabs>
          <w:tab w:leader="none" w:pos="1920"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Deadline for Initial Election</w:t>
      </w:r>
      <w:r>
        <w:rPr>
          <w:rFonts w:ascii="Arial" w:cs="Arial" w:eastAsia="Arial" w:hAnsi="Arial"/>
          <w:sz w:val="17"/>
          <w:szCs w:val="17"/>
          <w:color w:val="auto"/>
        </w:rPr>
        <w:t>. No Initial Election to defer the receipt of Shares issuable with respect to Restricted Stock or Restricted Stock Units that are not Performance-Based Compensation shall be effective unless it is filed with the Committee on or before the 30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of Grant and 12 or more months in advance of the applicable Vesting Date. No Initial Election to defer the receipt of Shares issuable with respect to Restricted Stock or Restricted Stock Units that are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47" w:name="page48"/>
    <w:bookmarkEnd w:id="47"/>
    <w:p>
      <w:pPr>
        <w:ind w:left="148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Performance-Based Compensation shall be effective unless it is filed with the Administrator at least six months before the end of the Performance Period during which such Performance-Based Compensation may be earned.</w:t>
      </w:r>
    </w:p>
    <w:p>
      <w:pPr>
        <w:spacing w:after="0" w:line="64" w:lineRule="exact"/>
        <w:rPr>
          <w:sz w:val="20"/>
          <w:szCs w:val="20"/>
          <w:color w:val="auto"/>
        </w:rPr>
      </w:pPr>
    </w:p>
    <w:p>
      <w:pPr>
        <w:ind w:right="20" w:firstLine="443"/>
        <w:spacing w:after="0" w:line="259"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59" w:lineRule="exact"/>
        <w:rPr>
          <w:rFonts w:ascii="Arial" w:cs="Arial" w:eastAsia="Arial" w:hAnsi="Arial"/>
          <w:sz w:val="18"/>
          <w:szCs w:val="18"/>
          <w:color w:val="auto"/>
        </w:rPr>
      </w:pPr>
    </w:p>
    <w:p>
      <w:pPr>
        <w:ind w:right="20" w:firstLine="443"/>
        <w:spacing w:after="0" w:line="291" w:lineRule="auto"/>
        <w:tabs>
          <w:tab w:leader="none" w:pos="67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39" w:lineRule="exact"/>
        <w:rPr>
          <w:rFonts w:ascii="Arial" w:cs="Arial" w:eastAsia="Arial" w:hAnsi="Arial"/>
          <w:sz w:val="16"/>
          <w:szCs w:val="16"/>
          <w:color w:val="auto"/>
        </w:rPr>
      </w:pPr>
    </w:p>
    <w:p>
      <w:pPr>
        <w:ind w:right="120" w:firstLine="443"/>
        <w:spacing w:after="0" w:line="268"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50" w:lineRule="exact"/>
        <w:rPr>
          <w:rFonts w:ascii="Arial" w:cs="Arial" w:eastAsia="Arial" w:hAnsi="Arial"/>
          <w:sz w:val="18"/>
          <w:szCs w:val="18"/>
          <w:color w:val="auto"/>
        </w:rPr>
      </w:pPr>
    </w:p>
    <w:p>
      <w:pPr>
        <w:ind w:left="1460" w:hanging="440"/>
        <w:spacing w:after="0" w:line="254"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63" w:lineRule="exact"/>
        <w:rPr>
          <w:rFonts w:ascii="Arial" w:cs="Arial" w:eastAsia="Arial" w:hAnsi="Arial"/>
          <w:sz w:val="18"/>
          <w:szCs w:val="18"/>
          <w:color w:val="auto"/>
        </w:rPr>
      </w:pPr>
    </w:p>
    <w:p>
      <w:pPr>
        <w:ind w:left="1460" w:right="20" w:hanging="440"/>
        <w:spacing w:after="0" w:line="294" w:lineRule="auto"/>
        <w:tabs>
          <w:tab w:leader="none" w:pos="14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48" w:name="page49"/>
    <w:bookmarkEnd w:id="48"/>
    <w:p>
      <w:pPr>
        <w:ind w:left="148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Committee at least one year before the date on which the distribution would otherwise be made, as reflected on the Deceased Grantee’s last Election. An Acceleration Election pursuant to this Paragraph 8(d)(ii) must be filed with the Committee as soon as practicable following the Deceased Grantee’s death, as determined by the Committee.</w:t>
      </w:r>
    </w:p>
    <w:p>
      <w:pPr>
        <w:spacing w:after="0" w:line="73" w:lineRule="exact"/>
        <w:rPr>
          <w:sz w:val="20"/>
          <w:szCs w:val="20"/>
          <w:color w:val="auto"/>
        </w:rPr>
      </w:pPr>
    </w:p>
    <w:p>
      <w:pPr>
        <w:ind w:left="1460" w:right="80" w:hanging="440"/>
        <w:spacing w:after="0" w:line="298" w:lineRule="auto"/>
        <w:tabs>
          <w:tab w:leader="none" w:pos="14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31" w:lineRule="exact"/>
        <w:rPr>
          <w:rFonts w:ascii="Arial" w:cs="Arial" w:eastAsia="Arial" w:hAnsi="Arial"/>
          <w:sz w:val="16"/>
          <w:szCs w:val="16"/>
          <w:color w:val="auto"/>
        </w:rPr>
      </w:pPr>
    </w:p>
    <w:p>
      <w:pPr>
        <w:ind w:left="1460" w:hanging="440"/>
        <w:spacing w:after="0" w:line="256"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62" w:lineRule="exact"/>
        <w:rPr>
          <w:rFonts w:ascii="Arial" w:cs="Arial" w:eastAsia="Arial" w:hAnsi="Arial"/>
          <w:sz w:val="18"/>
          <w:szCs w:val="18"/>
          <w:color w:val="auto"/>
        </w:rPr>
      </w:pPr>
    </w:p>
    <w:p>
      <w:pPr>
        <w:ind w:right="80" w:firstLine="443"/>
        <w:spacing w:after="0" w:line="298" w:lineRule="auto"/>
        <w:tabs>
          <w:tab w:leader="none" w:pos="67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31" w:lineRule="exact"/>
        <w:rPr>
          <w:rFonts w:ascii="Arial" w:cs="Arial" w:eastAsia="Arial" w:hAnsi="Arial"/>
          <w:sz w:val="16"/>
          <w:szCs w:val="16"/>
          <w:color w:val="auto"/>
        </w:rPr>
      </w:pPr>
    </w:p>
    <w:p>
      <w:pPr>
        <w:jc w:val="both"/>
        <w:ind w:right="40" w:firstLine="443"/>
        <w:spacing w:after="0" w:line="357" w:lineRule="auto"/>
        <w:tabs>
          <w:tab w:leader="none" w:pos="657"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Hardship</w:t>
      </w:r>
      <w:r>
        <w:rPr>
          <w:rFonts w:ascii="Arial" w:cs="Arial" w:eastAsia="Arial" w:hAnsi="Arial"/>
          <w:sz w:val="15"/>
          <w:szCs w:val="15"/>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ind w:right="280" w:firstLine="443"/>
        <w:spacing w:after="0" w:line="268" w:lineRule="auto"/>
        <w:tabs>
          <w:tab w:leader="none" w:pos="68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50" w:lineRule="exact"/>
        <w:rPr>
          <w:rFonts w:ascii="Arial" w:cs="Arial" w:eastAsia="Arial" w:hAnsi="Arial"/>
          <w:sz w:val="18"/>
          <w:szCs w:val="18"/>
          <w:color w:val="auto"/>
        </w:rPr>
      </w:pPr>
    </w:p>
    <w:p>
      <w:pPr>
        <w:ind w:left="1920" w:right="560" w:hanging="441"/>
        <w:spacing w:after="0" w:line="268" w:lineRule="auto"/>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700" w:top="280" w:right="299" w:bottom="1440" w:gutter="0" w:footer="0" w:header="0"/>
        </w:sectPr>
      </w:pPr>
    </w:p>
    <w:bookmarkStart w:id="49" w:name="page50"/>
    <w:bookmarkEnd w:id="49"/>
    <w:p>
      <w:pPr>
        <w:ind w:left="1920" w:right="240" w:hanging="441"/>
        <w:spacing w:after="0" w:line="268" w:lineRule="auto"/>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necessary to comply with laws relating to avoidance of conflicts of interest, as provided in Treasury Regulation section 1.409A-3(j)(4)(iii) (or any successor provision of law).</w:t>
      </w:r>
    </w:p>
    <w:p>
      <w:pPr>
        <w:spacing w:after="0" w:line="50" w:lineRule="exact"/>
        <w:rPr>
          <w:rFonts w:ascii="Arial" w:cs="Arial" w:eastAsia="Arial" w:hAnsi="Arial"/>
          <w:sz w:val="18"/>
          <w:szCs w:val="18"/>
          <w:color w:val="auto"/>
        </w:rPr>
      </w:pPr>
    </w:p>
    <w:p>
      <w:pPr>
        <w:ind w:left="1920" w:right="40" w:hanging="441"/>
        <w:spacing w:after="0" w:line="268" w:lineRule="auto"/>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To pay employment taxes to the extent permitted by Treasury Regulation section 1.409A-3(j)(4)(vi) (or any successor provision of law).</w:t>
      </w:r>
    </w:p>
    <w:p>
      <w:pPr>
        <w:spacing w:after="0" w:line="50" w:lineRule="exact"/>
        <w:rPr>
          <w:rFonts w:ascii="Arial" w:cs="Arial" w:eastAsia="Arial" w:hAnsi="Arial"/>
          <w:sz w:val="18"/>
          <w:szCs w:val="18"/>
          <w:color w:val="auto"/>
        </w:rPr>
      </w:pPr>
    </w:p>
    <w:p>
      <w:pPr>
        <w:ind w:left="1920" w:right="140" w:hanging="441"/>
        <w:spacing w:after="0" w:line="268" w:lineRule="auto"/>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50" w:lineRule="exact"/>
        <w:rPr>
          <w:rFonts w:ascii="Arial" w:cs="Arial" w:eastAsia="Arial" w:hAnsi="Arial"/>
          <w:sz w:val="18"/>
          <w:szCs w:val="18"/>
          <w:color w:val="auto"/>
        </w:rPr>
      </w:pPr>
    </w:p>
    <w:p>
      <w:pPr>
        <w:ind w:left="1920" w:right="140" w:hanging="441"/>
        <w:spacing w:after="0" w:line="268" w:lineRule="auto"/>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50" w:lineRule="exact"/>
        <w:rPr>
          <w:rFonts w:ascii="Arial" w:cs="Arial" w:eastAsia="Arial" w:hAnsi="Arial"/>
          <w:sz w:val="18"/>
          <w:szCs w:val="18"/>
          <w:color w:val="auto"/>
        </w:rPr>
      </w:pPr>
    </w:p>
    <w:p>
      <w:pPr>
        <w:ind w:left="1920" w:right="40" w:hanging="441"/>
        <w:spacing w:after="0" w:line="259" w:lineRule="auto"/>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59" w:lineRule="exact"/>
        <w:rPr>
          <w:rFonts w:ascii="Arial" w:cs="Arial" w:eastAsia="Arial" w:hAnsi="Arial"/>
          <w:sz w:val="18"/>
          <w:szCs w:val="18"/>
          <w:color w:val="auto"/>
        </w:rPr>
      </w:pPr>
    </w:p>
    <w:p>
      <w:pPr>
        <w:ind w:left="1920" w:hanging="441"/>
        <w:spacing w:after="0" w:line="268" w:lineRule="auto"/>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In connection with a bona fide dispute as to a Grantee’s right to payment, to the extent permitted by Treasury Regulation section 1.409A-3(j)(4)(xiv) (or any successor provision of law).</w:t>
      </w:r>
    </w:p>
    <w:p>
      <w:pPr>
        <w:spacing w:after="0" w:line="50" w:lineRule="exact"/>
        <w:rPr>
          <w:rFonts w:ascii="Arial" w:cs="Arial" w:eastAsia="Arial" w:hAnsi="Arial"/>
          <w:sz w:val="18"/>
          <w:szCs w:val="18"/>
          <w:color w:val="auto"/>
        </w:rPr>
      </w:pPr>
    </w:p>
    <w:p>
      <w:pPr>
        <w:ind w:right="60" w:firstLine="443"/>
        <w:spacing w:after="0" w:line="255" w:lineRule="auto"/>
        <w:tabs>
          <w:tab w:leader="none" w:pos="68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8(h).</w:t>
      </w:r>
    </w:p>
    <w:p>
      <w:pPr>
        <w:spacing w:after="0" w:line="61" w:lineRule="exact"/>
        <w:rPr>
          <w:rFonts w:ascii="Arial" w:cs="Arial" w:eastAsia="Arial" w:hAnsi="Arial"/>
          <w:sz w:val="18"/>
          <w:szCs w:val="18"/>
          <w:color w:val="auto"/>
        </w:rPr>
      </w:pPr>
    </w:p>
    <w:p>
      <w:pPr>
        <w:ind w:right="80" w:firstLine="443"/>
        <w:spacing w:after="0" w:line="268"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50" w:lineRule="exact"/>
        <w:rPr>
          <w:rFonts w:ascii="Arial" w:cs="Arial" w:eastAsia="Arial" w:hAnsi="Arial"/>
          <w:sz w:val="18"/>
          <w:szCs w:val="18"/>
          <w:color w:val="auto"/>
        </w:rPr>
      </w:pPr>
    </w:p>
    <w:p>
      <w:pPr>
        <w:ind w:left="1460" w:right="100" w:hanging="440"/>
        <w:spacing w:after="0" w:line="259" w:lineRule="auto"/>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80" w:right="259" w:bottom="1440" w:gutter="0" w:footer="0" w:header="0"/>
        </w:sectPr>
      </w:pPr>
    </w:p>
    <w:bookmarkStart w:id="50" w:name="page51"/>
    <w:bookmarkEnd w:id="50"/>
    <w:p>
      <w:pPr>
        <w:ind w:left="740"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73" w:lineRule="exact"/>
        <w:rPr>
          <w:sz w:val="20"/>
          <w:szCs w:val="20"/>
          <w:color w:val="auto"/>
        </w:rPr>
      </w:pPr>
    </w:p>
    <w:p>
      <w:pPr>
        <w:ind w:left="720" w:right="60" w:hanging="440"/>
        <w:spacing w:after="0" w:line="291"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39" w:lineRule="exact"/>
        <w:rPr>
          <w:rFonts w:ascii="Arial" w:cs="Arial" w:eastAsia="Arial" w:hAnsi="Arial"/>
          <w:sz w:val="16"/>
          <w:szCs w:val="16"/>
          <w:color w:val="auto"/>
        </w:rPr>
      </w:pPr>
    </w:p>
    <w:p>
      <w:pPr>
        <w:ind w:left="720" w:right="40" w:hanging="440"/>
        <w:spacing w:after="0" w:line="268"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Pursuant to rules established under Section 409A relating to certain “Transition Elections,” to the extent provided by the Committee or its delegate, a Grantee may:</w:t>
      </w:r>
    </w:p>
    <w:p>
      <w:pPr>
        <w:spacing w:after="0" w:line="50" w:lineRule="exact"/>
        <w:rPr>
          <w:rFonts w:ascii="Arial" w:cs="Arial" w:eastAsia="Arial" w:hAnsi="Arial"/>
          <w:sz w:val="18"/>
          <w:szCs w:val="18"/>
          <w:color w:val="auto"/>
        </w:rPr>
      </w:pPr>
    </w:p>
    <w:p>
      <w:pPr>
        <w:ind w:left="1180" w:right="40" w:hanging="441"/>
        <w:spacing w:after="0" w:line="283" w:lineRule="auto"/>
        <w:tabs>
          <w:tab w:leader="none" w:pos="11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On or before December 31, 2007, (A) with respect to all or any portion of his or her Grandfathered Amount that is scheduled to commence to be distributed under the Plan after December 31, 2007, and (B) with respect to any other amount credited to a Grantee’s Account that is scheduled to commence to be distributed under the Plan after December 31, 2007, make new payment elections as to the form and timing of payment of such amounts as may be permitted under this Plan, provided that</w:t>
      </w:r>
    </w:p>
    <w:p>
      <w:pPr>
        <w:spacing w:after="0" w:line="2" w:lineRule="exact"/>
        <w:rPr>
          <w:rFonts w:ascii="Arial" w:cs="Arial" w:eastAsia="Arial" w:hAnsi="Arial"/>
          <w:sz w:val="16"/>
          <w:szCs w:val="16"/>
          <w:color w:val="auto"/>
        </w:rPr>
      </w:pPr>
    </w:p>
    <w:p>
      <w:pPr>
        <w:ind w:left="1180" w:firstLine="5"/>
        <w:spacing w:after="0" w:line="331" w:lineRule="auto"/>
        <w:tabs>
          <w:tab w:leader="none" w:pos="1458" w:val="left"/>
        </w:tabs>
        <w:numPr>
          <w:ilvl w:val="2"/>
          <w:numId w:val="43"/>
        </w:numPr>
        <w:rPr>
          <w:rFonts w:ascii="Arial" w:cs="Arial" w:eastAsia="Arial" w:hAnsi="Arial"/>
          <w:sz w:val="15"/>
          <w:szCs w:val="15"/>
          <w:color w:val="auto"/>
        </w:rPr>
      </w:pPr>
      <w:r>
        <w:rPr>
          <w:rFonts w:ascii="Arial" w:cs="Arial" w:eastAsia="Arial" w:hAnsi="Arial"/>
          <w:sz w:val="15"/>
          <w:szCs w:val="15"/>
          <w:color w:val="auto"/>
        </w:rPr>
        <w:t>commencement of any distribution under such new payment election may not occur before January 1, 2008 and (D) 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9" w:lineRule="exact"/>
        <w:rPr>
          <w:rFonts w:ascii="Arial" w:cs="Arial" w:eastAsia="Arial" w:hAnsi="Arial"/>
          <w:sz w:val="15"/>
          <w:szCs w:val="15"/>
          <w:color w:val="auto"/>
        </w:rPr>
      </w:pPr>
    </w:p>
    <w:p>
      <w:pPr>
        <w:ind w:left="1180" w:right="40" w:hanging="441"/>
        <w:spacing w:after="0" w:line="286" w:lineRule="auto"/>
        <w:tabs>
          <w:tab w:leader="none" w:pos="11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On or before December 31, 2008, (A) with respect to all or any portion of his or her Grandfathered Amount under the Plan as in effect on December 31, 2004 that is scheduled to commence to be distributed under the Plan after December 31, 2008, and</w:t>
      </w:r>
    </w:p>
    <w:p>
      <w:pPr>
        <w:ind w:left="1180" w:right="100" w:firstLine="5"/>
        <w:spacing w:after="0" w:line="261" w:lineRule="auto"/>
        <w:tabs>
          <w:tab w:leader="none" w:pos="1458" w:val="left"/>
        </w:tabs>
        <w:numPr>
          <w:ilvl w:val="2"/>
          <w:numId w:val="44"/>
        </w:numPr>
        <w:rPr>
          <w:rFonts w:ascii="Arial" w:cs="Arial" w:eastAsia="Arial" w:hAnsi="Arial"/>
          <w:sz w:val="18"/>
          <w:szCs w:val="18"/>
          <w:color w:val="auto"/>
        </w:rPr>
      </w:pPr>
      <w:r>
        <w:rPr>
          <w:rFonts w:ascii="Arial" w:cs="Arial" w:eastAsia="Arial" w:hAnsi="Arial"/>
          <w:sz w:val="18"/>
          <w:szCs w:val="18"/>
          <w:color w:val="auto"/>
        </w:rPr>
        <w:t>with respect to any other amount credited to a Grantee’s Account that is scheduled to commence to be distributed under the Plan after December 31, 2008, make</w:t>
      </w:r>
    </w:p>
    <w:p>
      <w:pPr>
        <w:spacing w:after="0" w:line="1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20"/>
          </w:cols>
          <w:pgMar w:left="1440" w:top="280" w:right="239" w:bottom="1440" w:gutter="0" w:footer="0" w:header="0"/>
        </w:sectPr>
      </w:pPr>
    </w:p>
    <w:bookmarkStart w:id="51" w:name="page52"/>
    <w:bookmarkEnd w:id="51"/>
    <w:p>
      <w:pPr>
        <w:ind w:left="1940" w:right="2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payment elections as to the form and timing of payment of such amounts as may be permitted under this Plan, provided that (C) commencement of any distribution under such new payment election may not occur before January 1, 2009 and</w:t>
      </w:r>
    </w:p>
    <w:p>
      <w:pPr>
        <w:ind w:left="1940" w:hanging="2"/>
        <w:spacing w:after="0" w:line="255" w:lineRule="auto"/>
        <w:tabs>
          <w:tab w:leader="none" w:pos="2228" w:val="left"/>
        </w:tabs>
        <w:numPr>
          <w:ilvl w:val="2"/>
          <w:numId w:val="45"/>
        </w:numPr>
        <w:rPr>
          <w:rFonts w:ascii="Arial" w:cs="Arial" w:eastAsia="Arial" w:hAnsi="Arial"/>
          <w:sz w:val="18"/>
          <w:szCs w:val="18"/>
          <w:color w:val="auto"/>
        </w:rPr>
      </w:pPr>
      <w:r>
        <w:rPr>
          <w:rFonts w:ascii="Arial" w:cs="Arial" w:eastAsia="Arial" w:hAnsi="Arial"/>
          <w:sz w:val="18"/>
          <w:szCs w:val="18"/>
          <w:color w:val="auto"/>
        </w:rPr>
        <w:t>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76" w:lineRule="exact"/>
        <w:rPr>
          <w:rFonts w:ascii="Arial" w:cs="Arial" w:eastAsia="Arial" w:hAnsi="Arial"/>
          <w:sz w:val="18"/>
          <w:szCs w:val="18"/>
          <w:color w:val="auto"/>
        </w:rPr>
      </w:pPr>
    </w:p>
    <w:p>
      <w:pPr>
        <w:ind w:right="120" w:firstLine="443"/>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right="100" w:hanging="440"/>
        <w:spacing w:after="0" w:line="298" w:lineRule="auto"/>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31" w:lineRule="exact"/>
        <w:rPr>
          <w:rFonts w:ascii="Arial" w:cs="Arial" w:eastAsia="Arial" w:hAnsi="Arial"/>
          <w:sz w:val="16"/>
          <w:szCs w:val="16"/>
          <w:color w:val="auto"/>
        </w:rPr>
      </w:pPr>
    </w:p>
    <w:p>
      <w:pPr>
        <w:ind w:left="1460" w:hanging="440"/>
        <w:spacing w:after="0" w:line="256"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62" w:lineRule="exact"/>
        <w:rPr>
          <w:rFonts w:ascii="Arial" w:cs="Arial" w:eastAsia="Arial" w:hAnsi="Arial"/>
          <w:sz w:val="18"/>
          <w:szCs w:val="18"/>
          <w:color w:val="auto"/>
        </w:rPr>
      </w:pPr>
    </w:p>
    <w:p>
      <w:pPr>
        <w:ind w:left="1460" w:hanging="440"/>
        <w:spacing w:after="0" w:line="290" w:lineRule="auto"/>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 transfers shall be permitted from the Income Fund to the Company Stock Fund. Diversification Elections under this Paragraph 8(h)(iii) shall be prospectively effective on the later of: (A) the date designated by the Grantee on a Diversification Election filed with the Committee; or (B) the business day next following the lapse of six months from the date Deferred Stock Units subject to</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80" w:right="259" w:bottom="1440" w:gutter="0" w:footer="0" w:header="0"/>
        </w:sectPr>
      </w:pPr>
    </w:p>
    <w:bookmarkStart w:id="52" w:name="page53"/>
    <w:bookmarkEnd w:id="52"/>
    <w:p>
      <w:pPr>
        <w:jc w:val="both"/>
        <w:ind w:left="148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73" w:lineRule="exact"/>
        <w:rPr>
          <w:sz w:val="20"/>
          <w:szCs w:val="20"/>
          <w:color w:val="auto"/>
        </w:rPr>
      </w:pPr>
    </w:p>
    <w:p>
      <w:pPr>
        <w:jc w:val="both"/>
        <w:ind w:left="1460" w:right="60" w:hanging="440"/>
        <w:spacing w:after="0" w:line="294" w:lineRule="auto"/>
        <w:tabs>
          <w:tab w:leader="none" w:pos="146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8(h)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34" w:lineRule="exact"/>
        <w:rPr>
          <w:rFonts w:ascii="Arial" w:cs="Arial" w:eastAsia="Arial" w:hAnsi="Arial"/>
          <w:sz w:val="16"/>
          <w:szCs w:val="16"/>
          <w:color w:val="auto"/>
        </w:rPr>
      </w:pPr>
    </w:p>
    <w:p>
      <w:pPr>
        <w:ind w:firstLine="443"/>
        <w:spacing w:after="0" w:line="290" w:lineRule="auto"/>
        <w:tabs>
          <w:tab w:leader="none" w:pos="648"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Effect of Distributions within Five Years of Effective Date of Diversification Election</w:t>
      </w:r>
      <w:r>
        <w:rPr>
          <w:rFonts w:ascii="Arial" w:cs="Arial" w:eastAsia="Arial" w:hAnsi="Arial"/>
          <w:sz w:val="16"/>
          <w:szCs w:val="16"/>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to the extent such distribution would constitute an impermissible acceleration of the time of payment under Section 409A, or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80" w:right="2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Distributable 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Corresponding Income Fund</w:t>
            </w:r>
          </w:p>
        </w:tc>
        <w:tc>
          <w:tcPr>
            <w:tcW w:w="0" w:type="dxa"/>
            <w:vAlign w:val="bottom"/>
          </w:tcPr>
          <w:p>
            <w:pPr>
              <w:spacing w:after="0"/>
              <w:rPr>
                <w:sz w:val="1"/>
                <w:szCs w:val="1"/>
                <w:color w:val="auto"/>
              </w:rPr>
            </w:pPr>
          </w:p>
        </w:tc>
      </w:tr>
      <w:tr>
        <w:trPr>
          <w:trHeight w:val="161"/>
        </w:trPr>
        <w:tc>
          <w:tcPr>
            <w:tcW w:w="8680" w:type="dxa"/>
            <w:vAlign w:val="bottom"/>
            <w:gridSpan w:val="3"/>
          </w:tcPr>
          <w:p>
            <w:pPr>
              <w:spacing w:after="0"/>
              <w:rPr>
                <w:sz w:val="20"/>
                <w:szCs w:val="20"/>
                <w:color w:val="auto"/>
              </w:rPr>
            </w:pPr>
            <w:r>
              <w:rPr>
                <w:rFonts w:ascii="Arial" w:cs="Arial" w:eastAsia="Arial" w:hAnsi="Arial"/>
                <w:sz w:val="14"/>
                <w:szCs w:val="14"/>
                <w:b w:val="1"/>
                <w:bCs w:val="1"/>
                <w:color w:val="auto"/>
              </w:rPr>
              <w:t>Time that Shares are Distributable</w:t>
            </w: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before the third anniversary of a Diversification Election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After the third anniversary of a Diversification Election and on or before the fourth anniversary of</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2"/>
          </w:tcPr>
          <w:p>
            <w:pPr>
              <w:ind w:left="200"/>
              <w:spacing w:after="0"/>
              <w:rPr>
                <w:sz w:val="20"/>
                <w:szCs w:val="20"/>
                <w:color w:val="auto"/>
              </w:rPr>
            </w:pPr>
            <w:r>
              <w:rPr>
                <w:rFonts w:ascii="Arial" w:cs="Arial" w:eastAsia="Arial" w:hAnsi="Arial"/>
                <w:sz w:val="18"/>
                <w:szCs w:val="18"/>
                <w:color w:val="auto"/>
              </w:rPr>
              <w:t>a Diversification Election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the fourth anniversary of a Diversification Election and on or before the fifth anniversary of</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 Diversification Election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firstLine="443"/>
        <w:spacing w:after="0" w:line="254" w:lineRule="auto"/>
        <w:tabs>
          <w:tab w:leader="none" w:pos="73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Grantees’ Status as General Creditors</w:t>
      </w:r>
      <w:r>
        <w:rPr>
          <w:rFonts w:ascii="Arial" w:cs="Arial" w:eastAsia="Arial" w:hAnsi="Arial"/>
          <w:sz w:val="18"/>
          <w:szCs w:val="18"/>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63" w:lineRule="exact"/>
        <w:rPr>
          <w:rFonts w:ascii="Arial" w:cs="Arial" w:eastAsia="Arial" w:hAnsi="Arial"/>
          <w:sz w:val="18"/>
          <w:szCs w:val="18"/>
          <w:color w:val="auto"/>
        </w:rPr>
      </w:pPr>
    </w:p>
    <w:p>
      <w:pPr>
        <w:ind w:right="80" w:firstLine="443"/>
        <w:spacing w:after="0" w:line="335" w:lineRule="auto"/>
        <w:tabs>
          <w:tab w:leader="none" w:pos="687"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Non-Assignability, Etc</w:t>
      </w:r>
      <w:r>
        <w:rPr>
          <w:rFonts w:ascii="Arial" w:cs="Arial" w:eastAsia="Arial" w:hAnsi="Arial"/>
          <w:sz w:val="15"/>
          <w:szCs w:val="15"/>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7" w:lineRule="exact"/>
        <w:rPr>
          <w:rFonts w:ascii="Arial" w:cs="Arial" w:eastAsia="Arial" w:hAnsi="Arial"/>
          <w:sz w:val="15"/>
          <w:szCs w:val="15"/>
          <w:color w:val="auto"/>
        </w:rPr>
      </w:pPr>
    </w:p>
    <w:p>
      <w:pPr>
        <w:ind w:right="200" w:firstLine="443"/>
        <w:spacing w:after="0" w:line="294" w:lineRule="auto"/>
        <w:tabs>
          <w:tab w:leader="none" w:pos="68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700" w:top="263" w:right="279" w:bottom="1440" w:gutter="0" w:footer="0" w:header="0"/>
        </w:sectPr>
      </w:pPr>
    </w:p>
    <w:bookmarkStart w:id="54" w:name="page55"/>
    <w:bookmarkEnd w:id="54"/>
    <w:p>
      <w:pPr>
        <w:ind w:left="180" w:hanging="176"/>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LAWS; TAXES</w:t>
      </w:r>
    </w:p>
    <w:p>
      <w:pPr>
        <w:spacing w:after="0" w:line="90" w:lineRule="exact"/>
        <w:rPr>
          <w:rFonts w:ascii="Arial" w:cs="Arial" w:eastAsia="Arial" w:hAnsi="Arial"/>
          <w:sz w:val="18"/>
          <w:szCs w:val="18"/>
          <w:color w:val="auto"/>
        </w:rPr>
      </w:pPr>
    </w:p>
    <w:p>
      <w:pPr>
        <w:ind w:right="200" w:firstLine="443"/>
        <w:spacing w:after="0" w:line="255" w:lineRule="auto"/>
        <w:tabs>
          <w:tab w:leader="none" w:pos="67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61" w:lineRule="exact"/>
        <w:rPr>
          <w:rFonts w:ascii="Arial" w:cs="Arial" w:eastAsia="Arial" w:hAnsi="Arial"/>
          <w:sz w:val="18"/>
          <w:szCs w:val="18"/>
          <w:color w:val="auto"/>
        </w:rPr>
      </w:pPr>
    </w:p>
    <w:p>
      <w:pPr>
        <w:ind w:right="140" w:firstLine="443"/>
        <w:spacing w:after="0" w:line="256" w:lineRule="auto"/>
        <w:tabs>
          <w:tab w:leader="none" w:pos="68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hanging="440"/>
        <w:spacing w:after="0" w:line="254" w:lineRule="auto"/>
        <w:tabs>
          <w:tab w:leader="none" w:pos="14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In connection with the grant of any Award, the occurrence of a Vesting Date under any Award or the distribution of a Grantee’s Account,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63" w:lineRule="exact"/>
        <w:rPr>
          <w:rFonts w:ascii="Arial" w:cs="Arial" w:eastAsia="Arial" w:hAnsi="Arial"/>
          <w:sz w:val="18"/>
          <w:szCs w:val="18"/>
          <w:color w:val="auto"/>
        </w:rPr>
      </w:pPr>
    </w:p>
    <w:p>
      <w:pPr>
        <w:ind w:left="1460" w:right="20" w:hanging="440"/>
        <w:spacing w:after="0" w:line="291" w:lineRule="auto"/>
        <w:tabs>
          <w:tab w:leader="none" w:pos="1460" w:val="left"/>
        </w:tabs>
        <w:numPr>
          <w:ilvl w:val="2"/>
          <w:numId w:val="50"/>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liabilities incurred in connection with grant of any Award, the occurrence of a Vesting Date under any Award under the Plan or the distribution of a Grantee’s Account shall, to the extent such liabilities cannot be satisfied in full by withholding cash payable in connection with such event,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55" w:name="page56"/>
    <w:bookmarkEnd w:id="55"/>
    <w:p>
      <w:pPr>
        <w:ind w:left="19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41" w:lineRule="exact"/>
        <w:rPr>
          <w:sz w:val="20"/>
          <w:szCs w:val="20"/>
          <w:color w:val="auto"/>
        </w:rPr>
      </w:pPr>
    </w:p>
    <w:p>
      <w:pPr>
        <w:ind w:left="720" w:hanging="256"/>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p>
    <w:p>
      <w:pPr>
        <w:spacing w:after="0" w:line="9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18" w:lineRule="exact"/>
        <w:rPr>
          <w:sz w:val="20"/>
          <w:szCs w:val="20"/>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TERMINATING EVENTS</w:t>
      </w:r>
    </w:p>
    <w:p>
      <w:pPr>
        <w:spacing w:after="0" w:line="9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56" w:name="page57"/>
    <w:bookmarkEnd w:id="56"/>
    <w:p>
      <w:pPr>
        <w:ind w:right="5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07" w:lineRule="exact"/>
        <w:rPr>
          <w:sz w:val="20"/>
          <w:szCs w:val="20"/>
          <w:color w:val="auto"/>
        </w:rPr>
      </w:pPr>
    </w:p>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CLAIMS PROCEDURE</w:t>
      </w:r>
    </w:p>
    <w:p>
      <w:pPr>
        <w:spacing w:after="0" w:line="90"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4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51" w:lineRule="exact"/>
        <w:rPr>
          <w:sz w:val="20"/>
          <w:szCs w:val="20"/>
          <w:color w:val="auto"/>
        </w:rPr>
      </w:pPr>
    </w:p>
    <w:p>
      <w:pPr>
        <w:ind w:left="1140" w:hanging="237"/>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8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16"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57" w:name="page58"/>
    <w:bookmarkEnd w:id="5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Claims for benefits under the Plan must be filed with the Committee at the following address: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Comcast Corporation</w:t>
      </w:r>
    </w:p>
    <w:p>
      <w:pPr>
        <w:spacing w:after="0" w:line="3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One Comcast Center,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1701 John F. Kennedy Boulevard</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REPAYMENT</w:t>
      </w:r>
    </w:p>
    <w:p>
      <w:pPr>
        <w:spacing w:after="0" w:line="90" w:lineRule="exact"/>
        <w:rPr>
          <w:sz w:val="20"/>
          <w:szCs w:val="20"/>
          <w:color w:val="auto"/>
        </w:rPr>
      </w:pPr>
    </w:p>
    <w:p>
      <w:pPr>
        <w:ind w:firstLine="913"/>
        <w:spacing w:after="0" w:line="302" w:lineRule="auto"/>
        <w:rPr>
          <w:sz w:val="20"/>
          <w:szCs w:val="20"/>
          <w:color w:val="auto"/>
        </w:rPr>
      </w:pPr>
      <w:r>
        <w:rPr>
          <w:rFonts w:ascii="Arial" w:cs="Arial" w:eastAsia="Arial" w:hAnsi="Arial"/>
          <w:sz w:val="15"/>
          <w:szCs w:val="15"/>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w:t>
      </w:r>
    </w:p>
    <w:p>
      <w:pPr>
        <w:spacing w:after="0" w:line="1" w:lineRule="exact"/>
        <w:rPr>
          <w:sz w:val="20"/>
          <w:szCs w:val="20"/>
          <w:color w:val="auto"/>
        </w:rPr>
      </w:pPr>
    </w:p>
    <w:p>
      <w:pPr>
        <w:ind w:right="140" w:firstLine="8"/>
        <w:spacing w:after="0" w:line="302" w:lineRule="auto"/>
        <w:tabs>
          <w:tab w:leader="none" w:pos="2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09" w:lineRule="exact"/>
        <w:rPr>
          <w:sz w:val="20"/>
          <w:szCs w:val="20"/>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9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32" w:lineRule="exact"/>
        <w:rPr>
          <w:sz w:val="20"/>
          <w:szCs w:val="20"/>
          <w:color w:val="auto"/>
        </w:rPr>
      </w:pPr>
    </w:p>
    <w:p>
      <w:pPr>
        <w:ind w:left="720" w:hanging="256"/>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This amendment and restatement of the Plan shall be effective October 7, 2008. The Plan shall expire on May 13, 2018, unless sooner terminated 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Board.</w:t>
      </w:r>
    </w:p>
    <w:p>
      <w:pPr>
        <w:spacing w:after="0" w:line="165" w:lineRule="exact"/>
        <w:rPr>
          <w:sz w:val="20"/>
          <w:szCs w:val="20"/>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jc w:val="center"/>
        <w:ind w:right="180"/>
        <w:spacing w:after="0" w:line="440" w:lineRule="auto"/>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Pennsylvania law. -25-</w:t>
      </w:r>
    </w:p>
    <w:p>
      <w:pPr>
        <w:sectPr>
          <w:pgSz w:w="11900" w:h="16838" w:orient="portrait"/>
          <w:cols w:equalWidth="0" w:num="1">
            <w:col w:w="11340"/>
          </w:cols>
          <w:pgMar w:left="240" w:top="280" w:right="31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Executed as of the 7th day of October, 2008.</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COMCAST CORPORATION</w:t>
      </w:r>
    </w:p>
    <w:p>
      <w:pPr>
        <w:spacing w:after="0" w:line="248" w:lineRule="exact"/>
        <w:rPr>
          <w:sz w:val="20"/>
          <w:szCs w:val="20"/>
          <w:color w:val="auto"/>
        </w:rPr>
      </w:pPr>
    </w:p>
    <w:p>
      <w:pPr>
        <w:ind w:left="5940"/>
        <w:spacing w:after="0"/>
        <w:tabs>
          <w:tab w:leader="none" w:pos="6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25400</wp:posOffset>
            </wp:positionV>
            <wp:extent cx="24441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5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25400</wp:posOffset>
            </wp:positionV>
            <wp:extent cx="24441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8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299"/>
          </w:cols>
          <w:pgMar w:left="1160" w:top="280"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DEFERRED STOCK OPTION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CONTINUATION AND COVERAGE OF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Freeze of Plan</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335" w:lineRule="auto"/>
        <w:tabs>
          <w:tab w:leader="none" w:pos="1152"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COMCAST CORPORATION, a Pennsylvania corporation, hereby amends, restates and freezes the Comcast Corporation 2002 Deferred Stock Option Plan (the “Plan”), effective October 7, 2008. The Plan was initially adopted effective September 16, 1997 and was amended and restated effective June 21, 1999, December 19, 2000, November 29, 2001, April 29, 2002, November 18, 2002, February 26, 2003, July 30, 2003, January 30, 2004 and February 16, 2005.</w:t>
      </w:r>
    </w:p>
    <w:p>
      <w:pPr>
        <w:spacing w:after="0" w:line="88" w:lineRule="exact"/>
        <w:rPr>
          <w:rFonts w:ascii="Arial" w:cs="Arial" w:eastAsia="Arial" w:hAnsi="Arial"/>
          <w:sz w:val="15"/>
          <w:szCs w:val="15"/>
          <w:color w:val="auto"/>
        </w:rPr>
      </w:pPr>
    </w:p>
    <w:p>
      <w:pPr>
        <w:ind w:right="120" w:firstLine="921"/>
        <w:spacing w:after="0" w:line="294" w:lineRule="auto"/>
        <w:tabs>
          <w:tab w:leader="none" w:pos="11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In order to preserve the favorable tax treatment available to deferrals that were made under the Plan before January 1, 2005 in light of the American Jobs Creation Act of 2004, </w:t>
      </w:r>
      <w:r>
        <w:rPr>
          <w:rFonts w:ascii="Arial" w:cs="Arial" w:eastAsia="Arial" w:hAnsi="Arial"/>
          <w:sz w:val="16"/>
          <w:szCs w:val="16"/>
          <w:i w:val="1"/>
          <w:iCs w:val="1"/>
          <w:color w:val="auto"/>
        </w:rPr>
        <w:t>IRS Notice 2005-1</w:t>
      </w:r>
      <w:r>
        <w:rPr>
          <w:rFonts w:ascii="Arial" w:cs="Arial" w:eastAsia="Arial" w:hAnsi="Arial"/>
          <w:sz w:val="16"/>
          <w:szCs w:val="16"/>
          <w:color w:val="auto"/>
        </w:rPr>
        <w:t>, and the regulations issued by the Department of the Treasury thereunder (the “</w:t>
      </w:r>
      <w:r>
        <w:rPr>
          <w:rFonts w:ascii="Arial" w:cs="Arial" w:eastAsia="Arial" w:hAnsi="Arial"/>
          <w:sz w:val="16"/>
          <w:szCs w:val="16"/>
          <w:u w:val="single" w:color="auto"/>
          <w:color w:val="auto"/>
        </w:rPr>
        <w:t>AJCA</w:t>
      </w:r>
      <w:r>
        <w:rPr>
          <w:rFonts w:ascii="Arial" w:cs="Arial" w:eastAsia="Arial" w:hAnsi="Arial"/>
          <w:sz w:val="16"/>
          <w:szCs w:val="16"/>
          <w:color w:val="auto"/>
        </w:rPr>
        <w:t xml:space="preserve">”), deferrals under the Plan of amounts that were not earned and vested as of December 31, 2004 shall not be permitted. Accordingly, notwithstanding anything in the Plan to the contrary, on or after January 1, 2005, no Participant may make an Initial Election. Initial Elections made by Participants before January 1, 2005 shall be honored only to the extent that under Q-A 16(b) of </w:t>
      </w:r>
      <w:r>
        <w:rPr>
          <w:rFonts w:ascii="Arial" w:cs="Arial" w:eastAsia="Arial" w:hAnsi="Arial"/>
          <w:sz w:val="16"/>
          <w:szCs w:val="16"/>
          <w:i w:val="1"/>
          <w:iCs w:val="1"/>
          <w:color w:val="auto"/>
        </w:rPr>
        <w:t>IRS Notice 2005-1</w:t>
      </w:r>
      <w:r>
        <w:rPr>
          <w:rFonts w:ascii="Arial" w:cs="Arial" w:eastAsia="Arial" w:hAnsi="Arial"/>
          <w:sz w:val="16"/>
          <w:szCs w:val="16"/>
          <w:color w:val="auto"/>
        </w:rPr>
        <w:t>, the date of deferral is treated as having occurred before January 1, 2005.</w:t>
      </w:r>
    </w:p>
    <w:p>
      <w:pPr>
        <w:spacing w:after="0" w:line="115" w:lineRule="exact"/>
        <w:rPr>
          <w:rFonts w:ascii="Arial" w:cs="Arial" w:eastAsia="Arial" w:hAnsi="Arial"/>
          <w:sz w:val="16"/>
          <w:szCs w:val="16"/>
          <w:color w:val="auto"/>
        </w:rPr>
      </w:pPr>
    </w:p>
    <w:p>
      <w:pPr>
        <w:ind w:right="80" w:firstLine="921"/>
        <w:spacing w:after="0" w:line="268" w:lineRule="auto"/>
        <w:tabs>
          <w:tab w:leader="none" w:pos="11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otherwise provided in Paragraph 2.31, amounts earned and vested prior to January 1, 2005 are and will remain subject to the terms and conditions of the Plan.</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Plan Unfunded and Limited to Outside Directors and Select Group of Management or Highly Compensated Employees</w:t>
      </w:r>
      <w:r>
        <w:rPr>
          <w:rFonts w:ascii="Arial" w:cs="Arial" w:eastAsia="Arial" w:hAnsi="Arial"/>
          <w:sz w:val="18"/>
          <w:szCs w:val="18"/>
          <w:color w:val="auto"/>
        </w:rPr>
        <w:t>. The Plan is unfunded and is maintained primarily for the purpose of providing outside directors and a select group of management or highly compensated employees the opportunity to defer compensation otherwise payable to such outside directors and management or highly compensated employees. The Plan provides an opportunity for outside directors and management or highly compensated employees to defer the receipt of Shares upon the exercise of Options and to convert the right to receive Shares to the right to receive the cash value thereof as of the date of such conversion, plus interest thereon from the date of such conversion, in accordance with the terms of the Plan.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Account</w:t>
      </w:r>
      <w:r>
        <w:rPr>
          <w:rFonts w:ascii="Arial" w:cs="Arial" w:eastAsia="Arial" w:hAnsi="Arial"/>
          <w:sz w:val="16"/>
          <w:szCs w:val="16"/>
          <w:color w:val="auto"/>
        </w:rPr>
        <w:t>” means unfunded bookkeeping accounts established pursuant to Section 5.1 and maintained by the Administrator in the names of the respective Participants (a) to which Deferred Stock Units, dividend equivalents and earnings on dividend equivalents shall be credited with respect to the portion of the Account allocated to the Company Stock Fund and (b) to which an amount equal to the Fair Market Value of Deferred Stock Units with respect to which a Diversification Election has been made and interest thereon from the date of such election shall be credited with respect to the portion of the Account allocated to the Income Fund, and from which all amounts distributed pursuant to the Plan shall be debited.</w:t>
      </w:r>
    </w:p>
    <w:p>
      <w:pPr>
        <w:sectPr>
          <w:pgSz w:w="11900" w:h="16838" w:orient="portrait"/>
          <w:cols w:equalWidth="0" w:num="1">
            <w:col w:w="11420"/>
          </w:cols>
          <w:pgMar w:left="240" w:top="125" w:right="23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 and</w:t>
      </w:r>
    </w:p>
    <w:p>
      <w:pPr>
        <w:spacing w:after="0" w:line="171" w:lineRule="exact"/>
        <w:rPr>
          <w:rFonts w:ascii="Arial" w:cs="Arial" w:eastAsia="Arial" w:hAnsi="Arial"/>
          <w:sz w:val="18"/>
          <w:szCs w:val="18"/>
          <w:color w:val="auto"/>
        </w:rPr>
      </w:pPr>
    </w:p>
    <w:p>
      <w:pPr>
        <w:ind w:left="460" w:right="3300" w:firstLine="461"/>
        <w:spacing w:after="0" w:line="438" w:lineRule="auto"/>
        <w:tabs>
          <w:tab w:leader="none" w:pos="11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Permitted Transferee of an individual described in Section 2.2(a) or Section 2.2(b), if applicable. 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90" w:lineRule="exact"/>
        <w:rPr>
          <w:sz w:val="20"/>
          <w:szCs w:val="20"/>
          <w:color w:val="auto"/>
        </w:rPr>
      </w:pPr>
    </w:p>
    <w:p>
      <w:pPr>
        <w:ind w:right="20" w:firstLine="921"/>
        <w:spacing w:after="0" w:line="272" w:lineRule="auto"/>
        <w:tabs>
          <w:tab w:leader="none" w:pos="11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Except as otherwise provided in Section 2.6(b), the Applicable Interest Rate means 8% per annum, compounded annually as of the last day of the calendar year, or such other interest rate established by the Administrator from time to time. The effective date of any reduction in the Applicable Interest Rate shall not precede the latest of (i) November 29, 2003, (ii)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date of the Administrator’s action to establish a reduced rate or (ii) the lapse of 24 full calendar months from the date of the most recent adjustment of the Applicable Interest Rate by the Administrator.</w:t>
      </w:r>
    </w:p>
    <w:p>
      <w:pPr>
        <w:spacing w:after="0" w:line="153" w:lineRule="exact"/>
        <w:rPr>
          <w:rFonts w:ascii="Arial" w:cs="Arial" w:eastAsia="Arial" w:hAnsi="Arial"/>
          <w:sz w:val="16"/>
          <w:szCs w:val="16"/>
          <w:color w:val="auto"/>
        </w:rPr>
      </w:pPr>
    </w:p>
    <w:p>
      <w:pPr>
        <w:ind w:firstLine="921"/>
        <w:spacing w:after="0" w:line="255"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Effective for the period extending from a Participant’s employment termination date to the date the Participant’s Account is distributed in full, the Administrator, in its sole and absolute discretion, may designate the term “Applicable Interest Rate” for such Participant’s Account to mean the lesser of (i) the rate in effect under Section 2.6(a) or (ii) the Prime Rate plus one percent, compounded annually as of the last day of the calendar year. Notwithstanding the foregoing, the Administrator may delegate its authority to determine the Applicable Interest Rate under this Section 2.6(b) to an officer of the Company or committee of two or more officers of the Company.</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2.8.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1" w:name="page62"/>
    <w:bookmarkEnd w:id="61"/>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2.10.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Comcast Option Plan or Plans</w:t>
      </w:r>
      <w:r>
        <w:rPr>
          <w:rFonts w:ascii="Arial" w:cs="Arial" w:eastAsia="Arial" w:hAnsi="Arial"/>
          <w:sz w:val="18"/>
          <w:szCs w:val="18"/>
          <w:color w:val="auto"/>
        </w:rPr>
        <w:t>” means the Comcast Corporation 1987 Stock Option Plan, or the Comcast Corporation 2002 Stock Option Plan, the AT&amp;T Broadband Corp. Adjustment Plan, or any other incentive or non-qualified stock option plan subsequently adopted by the Company or a Related Corporation.</w:t>
      </w:r>
    </w:p>
    <w:p>
      <w:pPr>
        <w:spacing w:after="0" w:line="14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2.13. “</w:t>
      </w:r>
      <w:r>
        <w:rPr>
          <w:rFonts w:ascii="Arial" w:cs="Arial" w:eastAsia="Arial" w:hAnsi="Arial"/>
          <w:sz w:val="15"/>
          <w:szCs w:val="15"/>
          <w:u w:val="single" w:color="auto"/>
          <w:color w:val="auto"/>
        </w:rPr>
        <w:t>Comcast Plan</w:t>
      </w:r>
      <w:r>
        <w:rPr>
          <w:rFonts w:ascii="Arial" w:cs="Arial" w:eastAsia="Arial" w:hAnsi="Arial"/>
          <w:sz w:val="15"/>
          <w:szCs w:val="15"/>
          <w:color w:val="auto"/>
        </w:rPr>
        <w:t>” means any restricted stock, stock bonus, stock option or other compensation plan, program or arrangement established or maintained by the Company or an Affiliate, including, but not limited to this Plan, the Comcast Corporation 2002 Restricted Stock Plan and the Comcast Option Plans.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Common Stock</w:t>
      </w:r>
      <w:r>
        <w:rPr>
          <w:rFonts w:ascii="Arial" w:cs="Arial" w:eastAsia="Arial" w:hAnsi="Arial"/>
          <w:sz w:val="18"/>
          <w:szCs w:val="18"/>
          <w:color w:val="auto"/>
        </w:rPr>
        <w:t>” means Company’s Class A Common Stock, par value $.01 per share, including a fractional share.</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as successor to Comcast Corporation, including any successor thereto by merger, consolidation, acquisition of all or substantially all the assets thereof, or otherwise.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2.17. “</w:t>
      </w:r>
      <w:r>
        <w:rPr>
          <w:rFonts w:ascii="Arial" w:cs="Arial" w:eastAsia="Arial" w:hAnsi="Arial"/>
          <w:sz w:val="15"/>
          <w:szCs w:val="15"/>
          <w:u w:val="single" w:color="auto"/>
          <w:color w:val="auto"/>
        </w:rPr>
        <w:t>Company Stock</w:t>
      </w:r>
      <w:r>
        <w:rPr>
          <w:rFonts w:ascii="Arial" w:cs="Arial" w:eastAsia="Arial" w:hAnsi="Arial"/>
          <w:sz w:val="15"/>
          <w:szCs w:val="15"/>
          <w:color w:val="auto"/>
        </w:rPr>
        <w:t>” means Common Stock or such other securities as may be issued by the Company pursuant to adjustments as provided in Article 11.</w:t>
      </w:r>
    </w:p>
    <w:p>
      <w:pPr>
        <w:spacing w:after="0" w:line="20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Company Stock Fund</w:t>
      </w:r>
      <w:r>
        <w:rPr>
          <w:rFonts w:ascii="Arial" w:cs="Arial" w:eastAsia="Arial" w:hAnsi="Arial"/>
          <w:sz w:val="18"/>
          <w:szCs w:val="18"/>
          <w:color w:val="auto"/>
        </w:rPr>
        <w:t>” means a hypothetical investment fund pursuant to which Deferred Stock Units are credited with respect to an Option subject to an Initial Election, and thereafter until the date of distribution or the effective date of a Diversification Election, to the extent a Diversification Election applies to such Deferred Stock Units, as applicable. The portion of a Participant’s Account deemed invested in the Company Stock Fund shall be treated as if such portion of the Account were invested in hypothetical shares of Common Stock or Special Common Stock otherwise deliverable as Option Shares on the exercise of an Option,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2" w:name="page63"/>
    <w:bookmarkEnd w:id="6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171"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(a) such Deceased Participant’s or deceased Beneficiary’s Death Taxes have been finally determined, (b) all of such Deceased Participant’s or deceased Beneficiary’s Death Taxes apportioned against the Deceased Participant’s or deceased Beneficiary’s Account have been paid in full and (c) all potential liability for Death Taxes with respect to the Deceased Participant’s or deceased Beneficiary’s Account has been satisfied.</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w:t>
      </w:r>
    </w:p>
    <w:p>
      <w:pPr>
        <w:spacing w:after="0" w:line="90" w:lineRule="exact"/>
        <w:rPr>
          <w:sz w:val="20"/>
          <w:szCs w:val="20"/>
          <w:color w:val="auto"/>
        </w:rPr>
      </w:pPr>
    </w:p>
    <w:p>
      <w:pPr>
        <w:ind w:right="660" w:firstLine="921"/>
        <w:spacing w:after="0" w:line="268" w:lineRule="auto"/>
        <w:tabs>
          <w:tab w:leader="none" w:pos="11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was an Outside Director, a Participant whose service as an Outside Director, is terminated by death;</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Participant who dies following termination of active employment or active service;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Permitted Transferee of an individual described in Section 2.22(a) or 2.22(b), if applicable.</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2.23. “</w:t>
      </w:r>
      <w:r>
        <w:rPr>
          <w:rFonts w:ascii="Arial" w:cs="Arial" w:eastAsia="Arial" w:hAnsi="Arial"/>
          <w:sz w:val="16"/>
          <w:szCs w:val="16"/>
          <w:u w:val="single" w:color="auto"/>
          <w:color w:val="auto"/>
        </w:rPr>
        <w:t>Deferred Stock Units</w:t>
      </w:r>
      <w:r>
        <w:rPr>
          <w:rFonts w:ascii="Arial" w:cs="Arial" w:eastAsia="Arial" w:hAnsi="Arial"/>
          <w:sz w:val="16"/>
          <w:szCs w:val="16"/>
          <w:color w:val="auto"/>
        </w:rPr>
        <w:t xml:space="preserve">” mean the number of hypothetical Shares determined as the excess of (a) the number of Option Shares over (b) the number of Other Available Shares having a Fair Market Value as of the date of exercise of an Option equal to the exercise price for such Option Shares (hereinafter referred to in this Section 2.23 as the “Payment Shares”), as to which an Outside Director, Former Outside Director, Eligible Employee, Former Eligible Employee or Successor-in-Interest provides to the Company evidence of ownership of sufficient Payment Shares to pay the exercise price for such Option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if the Option is for Common Stock, the Deferred Stock Units shall be credited to the Participant’s Account as Deferred Common Stock Units, and if</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is for Special Common Stock, the Deferred Stock Units shall be credited to the Participant’s Account as Deferred Special Common Stock Units. Provision of a notarized statement under oath to the Company by the Outside Director, Former Outside Director, Eligible Employee, Former Eligible Employee or Successor-in-Interest attesting to the number of Payment Shares owned by the Outside Director, Former Outside Director, Eligible Employee, Former Eligible Employee or Successor-in-Interest and held by a securities broker for the Outside Director, Former Outside Director, Eligible Employee, Former Eligible Employee or Successor-in-Interest in “street name” or provision of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3" w:name="page64"/>
    <w:bookmarkEnd w:id="63"/>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numbers to the Company by the Outside Director, Former Outside Director, Eligible Employee, Former Eligible Employee or Successor-in-Interest of the Payment Share stock certificates actually held by the Outside Director, Former Outside Director, Eligible Employee, Former Eligible Employee or Successor-in-Interest shall constitute acceptable evidence of ownership.</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90" w:lineRule="exact"/>
        <w:rPr>
          <w:sz w:val="20"/>
          <w:szCs w:val="20"/>
          <w:color w:val="auto"/>
        </w:rPr>
      </w:pPr>
    </w:p>
    <w:p>
      <w:pPr>
        <w:ind w:firstLine="921"/>
        <w:spacing w:after="0" w:line="268" w:lineRule="auto"/>
        <w:tabs>
          <w:tab w:leader="none" w:pos="11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Participant who becomes disabled (as determined by the Committee) following termination of active service;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2.24(a) or 2.24(b) acting on behalf of such individual;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Permitted Transferee of an individual described in Section 2.24(a) or 2.24(b), if applicable.</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2.25. “</w:t>
      </w:r>
      <w:r>
        <w:rPr>
          <w:rFonts w:ascii="Arial" w:cs="Arial" w:eastAsia="Arial" w:hAnsi="Arial"/>
          <w:sz w:val="16"/>
          <w:szCs w:val="16"/>
          <w:u w:val="single" w:color="auto"/>
          <w:color w:val="auto"/>
        </w:rPr>
        <w:t>Diversification Election</w:t>
      </w:r>
      <w:r>
        <w:rPr>
          <w:rFonts w:ascii="Arial" w:cs="Arial" w:eastAsia="Arial" w:hAnsi="Arial"/>
          <w:sz w:val="16"/>
          <w:szCs w:val="16"/>
          <w:color w:val="auto"/>
        </w:rPr>
        <w:t>” means a Participant’s election to have a portion of the Participant’s Account credited in the form of Deferred Stock Units under the Company Stock Fund deemed liquidated and credited thereafter under the Income Fund, as provided in Section 5.2(b).</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90" w:lineRule="exact"/>
        <w:rPr>
          <w:sz w:val="20"/>
          <w:szCs w:val="20"/>
          <w:color w:val="auto"/>
        </w:rPr>
      </w:pPr>
    </w:p>
    <w:p>
      <w:pPr>
        <w:ind w:right="100" w:firstLine="921"/>
        <w:spacing w:after="0" w:line="268" w:lineRule="auto"/>
        <w:tabs>
          <w:tab w:leader="none" w:pos="11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31" w:lineRule="exact"/>
        <w:rPr>
          <w:rFonts w:ascii="Arial" w:cs="Arial" w:eastAsia="Arial" w:hAnsi="Arial"/>
          <w:sz w:val="18"/>
          <w:szCs w:val="18"/>
          <w:color w:val="auto"/>
        </w:rPr>
      </w:pPr>
    </w:p>
    <w:p>
      <w:pPr>
        <w:ind w:right="20" w:firstLine="921"/>
        <w:spacing w:after="0" w:line="268" w:lineRule="auto"/>
        <w:tabs>
          <w:tab w:leader="none" w:pos="11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employee of a Participating Company who has an Annual Rate of Pay of $125,000 as of each of (i) June 30, 2002; (ii) the date on which an Initial Election is filed with the Administrator and (iii) the first day of each calendar year beginning after December 31, 2002.</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sole and absolute discretion, as an Eligible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165"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2.27. “</w:t>
      </w:r>
      <w:r>
        <w:rPr>
          <w:rFonts w:ascii="Arial" w:cs="Arial" w:eastAsia="Arial" w:hAnsi="Arial"/>
          <w:sz w:val="16"/>
          <w:szCs w:val="16"/>
          <w:u w:val="single" w:color="auto"/>
          <w:color w:val="auto"/>
        </w:rPr>
        <w:t>Fair Market Value</w:t>
      </w:r>
      <w:r>
        <w:rPr>
          <w:rFonts w:ascii="Arial" w:cs="Arial" w:eastAsia="Arial" w:hAnsi="Arial"/>
          <w:sz w:val="16"/>
          <w:szCs w:val="16"/>
          <w:color w:val="auto"/>
        </w:rPr>
        <w:t>.” (a) 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64" w:name="page65"/>
    <w:bookmarkEnd w:id="64"/>
    <w:p>
      <w:pPr>
        <w:ind w:right="40" w:firstLine="921"/>
        <w:spacing w:after="0" w:line="332" w:lineRule="auto"/>
        <w:tabs>
          <w:tab w:leader="none" w:pos="1162"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9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Former Eligible Employee</w:t>
      </w:r>
      <w:r>
        <w:rPr>
          <w:rFonts w:ascii="Arial" w:cs="Arial" w:eastAsia="Arial" w:hAnsi="Arial"/>
          <w:sz w:val="18"/>
          <w:szCs w:val="18"/>
          <w:color w:val="auto"/>
        </w:rPr>
        <w:t>” means an individual who has ceased to be actively employed by a Participating Company for any reason but who, immediately preceding his termination of employment, was an Eligible Employee.</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Former Outside Director</w:t>
      </w:r>
      <w:r>
        <w:rPr>
          <w:rFonts w:ascii="Arial" w:cs="Arial" w:eastAsia="Arial" w:hAnsi="Arial"/>
          <w:sz w:val="18"/>
          <w:szCs w:val="18"/>
          <w:color w:val="auto"/>
        </w:rPr>
        <w:t>” means an individual who has ceased to be a member of the Board, but who, immediately preceding his cessation of service as a member of the Board was an Outside Director.</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2.30. “</w:t>
      </w:r>
      <w:r>
        <w:rPr>
          <w:rFonts w:ascii="Arial" w:cs="Arial" w:eastAsia="Arial" w:hAnsi="Arial"/>
          <w:sz w:val="16"/>
          <w:szCs w:val="16"/>
          <w:u w:val="single" w:color="auto"/>
          <w:color w:val="auto"/>
        </w:rPr>
        <w:t>Immediate Family</w:t>
      </w:r>
      <w:r>
        <w:rPr>
          <w:rFonts w:ascii="Arial" w:cs="Arial" w:eastAsia="Arial" w:hAnsi="Arial"/>
          <w:sz w:val="16"/>
          <w:szCs w:val="16"/>
          <w:color w:val="auto"/>
        </w:rPr>
        <w:t>” means an Outside Director’s, Former Outside Director’s, Eligible Employee’s or Former Eligible Employee’s spouse and lineal descendants, any trust all beneficiaries of which are any of such persons and any other entity all members or owners of which are any of such persons.</w:t>
      </w:r>
    </w:p>
    <w:p>
      <w:pPr>
        <w:spacing w:after="0" w:line="8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Income Fund</w:t>
      </w:r>
      <w:r>
        <w:rPr>
          <w:rFonts w:ascii="Arial" w:cs="Arial" w:eastAsia="Arial" w:hAnsi="Arial"/>
          <w:sz w:val="18"/>
          <w:szCs w:val="18"/>
          <w:color w:val="auto"/>
        </w:rPr>
        <w:t>” means a hypothetical investment fund pursuant to which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Participant’s Account as described in Section 2.1 and Section 2.18. Except as otherwise provided in Section 3.8, and notwithstanding any other provision of the Plan to the contrary, for purposes of determining the time and form of payment of amounts credited to the Income Fund, the rules of the Comcast Corporation 2005 Deferred Compensation Plan shall apply on the same basis as if such amounts were credited to a participant’s account under such Deferred Compensation Plan.</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Former Outside Director, Eligible Employee, Former Eligible Employee, Successor-in-Interest or Permitted Transferee who:</w:t>
      </w:r>
    </w:p>
    <w:p>
      <w:pPr>
        <w:spacing w:after="0" w:line="59" w:lineRule="exact"/>
        <w:rPr>
          <w:sz w:val="20"/>
          <w:szCs w:val="20"/>
          <w:color w:val="auto"/>
        </w:rPr>
      </w:pPr>
    </w:p>
    <w:p>
      <w:pPr>
        <w:ind w:left="1160" w:hanging="239"/>
        <w:spacing w:after="0"/>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Elects, within the time or times specified in Article 3, to defer the receipt of Shares pursuant to the exercise of all or part of an Option; and</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Designates the time that such Shares and any dividend equivalents shall be distributed.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90" w:lineRule="exact"/>
        <w:rPr>
          <w:sz w:val="20"/>
          <w:szCs w:val="20"/>
          <w:color w:val="auto"/>
        </w:rPr>
      </w:pPr>
    </w:p>
    <w:p>
      <w:pPr>
        <w:ind w:right="980" w:firstLine="921"/>
        <w:spacing w:after="0" w:line="268" w:lineRule="auto"/>
        <w:tabs>
          <w:tab w:leader="none" w:pos="11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Who becomes an employee of a Participating Company and has an Annual Rate of Pay of $200,000 or more as of his employment commencement date; and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80" w:right="359" w:bottom="1440" w:gutter="0" w:footer="0" w:header="0"/>
        </w:sectPr>
      </w:pPr>
    </w:p>
    <w:bookmarkStart w:id="65" w:name="page66"/>
    <w:bookmarkEnd w:id="6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Who has an Annual Rate of Pay that is increased to $200,000 or more and who, immediately preceding such increase, was not an Eligible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90" w:lineRule="exact"/>
        <w:rPr>
          <w:sz w:val="20"/>
          <w:szCs w:val="20"/>
          <w:color w:val="auto"/>
        </w:rPr>
      </w:pPr>
    </w:p>
    <w:p>
      <w:pPr>
        <w:ind w:right="500" w:firstLine="921"/>
        <w:spacing w:after="0" w:line="332" w:lineRule="auto"/>
        <w:tabs>
          <w:tab w:leader="none" w:pos="11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a Participant who is an Outside Director immediately preceding his termination of service, his normal retirement from the Board.</w:t>
      </w:r>
    </w:p>
    <w:p>
      <w:pPr>
        <w:spacing w:after="0" w:line="19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Option</w:t>
      </w:r>
      <w:r>
        <w:rPr>
          <w:rFonts w:ascii="Arial" w:cs="Arial" w:eastAsia="Arial" w:hAnsi="Arial"/>
          <w:sz w:val="18"/>
          <w:szCs w:val="18"/>
          <w:color w:val="auto"/>
        </w:rPr>
        <w:t>” means a non-qualified stock option to purchase Shares granted pursuant to an Comcast Option Plan; provided that each Option with a different Date of Grant shall be considered a separate Option.</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Option Shares</w:t>
      </w:r>
      <w:r>
        <w:rPr>
          <w:rFonts w:ascii="Arial" w:cs="Arial" w:eastAsia="Arial" w:hAnsi="Arial"/>
          <w:sz w:val="18"/>
          <w:szCs w:val="18"/>
          <w:color w:val="auto"/>
        </w:rPr>
        <w:t>” mean the Shares that are subject to the portion of an Option as to which an Initial Election or Subsequent Election is in effect as adjusted to reflect a Share Withholding Election.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sz w:val="20"/>
          <w:szCs w:val="20"/>
          <w:color w:val="auto"/>
        </w:rPr>
      </w:pPr>
    </w:p>
    <w:p>
      <w:pPr>
        <w:ind w:right="600" w:firstLine="921"/>
        <w:spacing w:after="0" w:line="268"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total number of Shares owned by a Participant that were not acquired by such Participant pursuant to a Comcast Plan or otherwise in connection with the performance of services to the Company or an Affiliate; plus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total number of Shares owned by a Participant other than the Shares described in Section 2.37(a); over</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2240" w:hanging="292"/>
        <w:spacing w:after="0"/>
        <w:tabs>
          <w:tab w:leader="none" w:pos="224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660" w:hanging="256"/>
        <w:spacing w:after="0"/>
        <w:tabs>
          <w:tab w:leader="none" w:pos="2660" w:val="left"/>
        </w:tabs>
        <w:numPr>
          <w:ilvl w:val="3"/>
          <w:numId w:val="70"/>
        </w:numPr>
        <w:rPr>
          <w:rFonts w:ascii="Arial" w:cs="Arial" w:eastAsia="Arial" w:hAnsi="Arial"/>
          <w:sz w:val="18"/>
          <w:szCs w:val="18"/>
          <w:color w:val="auto"/>
        </w:rPr>
      </w:pPr>
      <w:r>
        <w:rPr>
          <w:rFonts w:ascii="Arial" w:cs="Arial" w:eastAsia="Arial" w:hAnsi="Arial"/>
          <w:sz w:val="18"/>
          <w:szCs w:val="18"/>
          <w:color w:val="auto"/>
        </w:rPr>
        <w:t>The number of such Shares owned by such Participant for less than six months; plus</w:t>
      </w:r>
    </w:p>
    <w:p>
      <w:pPr>
        <w:spacing w:after="0" w:line="171" w:lineRule="exact"/>
        <w:rPr>
          <w:rFonts w:ascii="Arial" w:cs="Arial" w:eastAsia="Arial" w:hAnsi="Arial"/>
          <w:sz w:val="18"/>
          <w:szCs w:val="18"/>
          <w:color w:val="auto"/>
        </w:rPr>
      </w:pPr>
    </w:p>
    <w:p>
      <w:pPr>
        <w:ind w:right="400" w:firstLine="2404"/>
        <w:spacing w:after="0" w:line="268" w:lineRule="auto"/>
        <w:tabs>
          <w:tab w:leader="none" w:pos="2645" w:val="left"/>
        </w:tabs>
        <w:numPr>
          <w:ilvl w:val="3"/>
          <w:numId w:val="70"/>
        </w:numPr>
        <w:rPr>
          <w:rFonts w:ascii="Arial" w:cs="Arial" w:eastAsia="Arial" w:hAnsi="Arial"/>
          <w:sz w:val="18"/>
          <w:szCs w:val="18"/>
          <w:color w:val="auto"/>
        </w:rPr>
      </w:pPr>
      <w:r>
        <w:rPr>
          <w:rFonts w:ascii="Arial" w:cs="Arial" w:eastAsia="Arial" w:hAnsi="Arial"/>
          <w:sz w:val="18"/>
          <w:szCs w:val="18"/>
          <w:color w:val="auto"/>
        </w:rPr>
        <w:t>The number of such Shares owned by such Participant that has, within the preceding six months, been the subject of a withholding certification under any Comcast Plan; plus</w:t>
      </w:r>
    </w:p>
    <w:p>
      <w:pPr>
        <w:spacing w:after="0" w:line="131" w:lineRule="exact"/>
        <w:rPr>
          <w:rFonts w:ascii="Arial" w:cs="Arial" w:eastAsia="Arial" w:hAnsi="Arial"/>
          <w:sz w:val="18"/>
          <w:szCs w:val="18"/>
          <w:color w:val="auto"/>
        </w:rPr>
      </w:pPr>
    </w:p>
    <w:p>
      <w:pPr>
        <w:ind w:firstLine="2404"/>
        <w:spacing w:after="0" w:line="259" w:lineRule="auto"/>
        <w:tabs>
          <w:tab w:leader="none" w:pos="2645" w:val="left"/>
        </w:tabs>
        <w:numPr>
          <w:ilvl w:val="3"/>
          <w:numId w:val="70"/>
        </w:numPr>
        <w:rPr>
          <w:rFonts w:ascii="Arial" w:cs="Arial" w:eastAsia="Arial" w:hAnsi="Arial"/>
          <w:sz w:val="18"/>
          <w:szCs w:val="18"/>
          <w:color w:val="auto"/>
        </w:rPr>
      </w:pPr>
      <w:r>
        <w:rPr>
          <w:rFonts w:ascii="Arial" w:cs="Arial" w:eastAsia="Arial" w:hAnsi="Arial"/>
          <w:sz w:val="18"/>
          <w:szCs w:val="18"/>
          <w:color w:val="auto"/>
        </w:rPr>
        <w:t>The number of such Shares owned by such Participant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under any Comcast Plan, but only to the extent of the number of Shares surrendered or attested to; plus</w:t>
      </w:r>
    </w:p>
    <w:p>
      <w:pPr>
        <w:spacing w:after="0" w:line="90" w:lineRule="exact"/>
        <w:rPr>
          <w:sz w:val="20"/>
          <w:szCs w:val="20"/>
          <w:color w:val="auto"/>
        </w:rPr>
      </w:pPr>
    </w:p>
    <w:p>
      <w:pPr>
        <w:ind w:right="360" w:firstLine="2404"/>
        <w:spacing w:after="0" w:line="332" w:lineRule="auto"/>
        <w:tabs>
          <w:tab w:leader="none" w:pos="264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number of such Shares owned by such Participant as to which evidence of ownership has, within the preceding six months, been provided to the Company in connection with the crediting of Deferred Stock Units to such Participant’s Account.</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purposes of this Section 2.37, a Share that is subject to a deferral election pursuant to this Plan or another Comcast Plan shall not be treated as owned by a Person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Participant immediately before the consummation of the AT&amp;T Broadband Transaction that became Common Stock and Special Common Stock as a result of the AT&amp;T Broadband Transaction.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Participant</w:t>
      </w:r>
      <w:r>
        <w:rPr>
          <w:rFonts w:ascii="Arial" w:cs="Arial" w:eastAsia="Arial" w:hAnsi="Arial"/>
          <w:sz w:val="18"/>
          <w:szCs w:val="18"/>
          <w:color w:val="auto"/>
        </w:rPr>
        <w:t>” means each Outside Director, Former Outside Director, Eligible Employee, Former Eligible Employee, Successor-in-Interest or Permitted Transferee who is the grantee or transferee of an Option that has made an Initial Election or Subsequent Election and that has an undistributed amount credited to an Account under the Plan.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Comcast Corporation and each Related Corporation with respect to Comcast Corporation. Effective January 1, 2003, “Participating Company” means the Company and each Related Corporation.</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 a member of the Immediate Family of an Outside Director, Former Outside Director, Eligible Employee or Former Eligible Employee to whom the right to exercise an Option has been transferred pursuant to an Comcast Option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Personal Representative</w:t>
      </w:r>
      <w:r>
        <w:rPr>
          <w:rFonts w:ascii="Arial" w:cs="Arial" w:eastAsia="Arial" w:hAnsi="Arial"/>
          <w:sz w:val="18"/>
          <w:szCs w:val="18"/>
          <w:color w:val="auto"/>
        </w:rPr>
        <w:t>” means the executor, the administrator, or the personal representative of a deceased individual’s estate.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Deferred Stock Option Plan, as set forth herein, and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annual rate of interest identified by PNC Bank as its prime rate as of the first day of each calendar year.</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Related Corporation</w:t>
      </w:r>
      <w:r>
        <w:rPr>
          <w:rFonts w:ascii="Arial" w:cs="Arial" w:eastAsia="Arial" w:hAnsi="Arial"/>
          <w:sz w:val="18"/>
          <w:szCs w:val="18"/>
          <w:color w:val="auto"/>
        </w:rPr>
        <w:t>” means a subsidiary of Comcast Corporation or, effective January 1, 2003, a subsidiary of the Company, as defined in section 424(f) of the Code.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2.47.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employment pursuant to a Normal Retirement.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Except as provided in this Section 2.48, a share or shares Common Stock or Special Common Stock.</w:t>
      </w:r>
    </w:p>
    <w:p>
      <w:pPr>
        <w:spacing w:after="0" w:line="171"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term “Share” or “Shares” also means such other securities issued by the Sponsor as may be the subject of an adjustment under Section 11, or for purposes of Section 2.37 and Section 10, as may have been the subject of a similar adjustment under similar provisions of a Comcast Plan as now in effect or as may have been in effect before the AT&amp;T Broadband Transaction.</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2.49. “</w:t>
      </w:r>
      <w:r>
        <w:rPr>
          <w:rFonts w:ascii="Arial" w:cs="Arial" w:eastAsia="Arial" w:hAnsi="Arial"/>
          <w:sz w:val="16"/>
          <w:szCs w:val="16"/>
          <w:u w:val="single" w:color="auto"/>
          <w:color w:val="auto"/>
        </w:rPr>
        <w:t>Share Withholding Election</w:t>
      </w:r>
      <w:r>
        <w:rPr>
          <w:rFonts w:ascii="Arial" w:cs="Arial" w:eastAsia="Arial" w:hAnsi="Arial"/>
          <w:sz w:val="16"/>
          <w:szCs w:val="16"/>
          <w:color w:val="auto"/>
        </w:rPr>
        <w:t>” means a written election on a form provided by the Administrator, filed with the Administrator in accordance with the rules applicable to the filing of Initial Elections under Article 3, pursuant to which an Eligible Employee, Former Eligible Employee, Successor-in-Interest or Permitted Transferee elects to have the number of Shares deferred pursuant to the exercise of all or part of an Option and credited under the Plan as Deferred Stock Units adjusted so that Deferred Stock Units that would, but for a Share Withholding Election, be credited to an Account under the Plan, shall be deemed distributed pursuant to the Plan to satisfy applicable withholding tax liabilities, as described in Section 10.2.</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2.50. “</w:t>
      </w:r>
      <w:r>
        <w:rPr>
          <w:rFonts w:ascii="Arial" w:cs="Arial" w:eastAsia="Arial" w:hAnsi="Arial"/>
          <w:sz w:val="16"/>
          <w:szCs w:val="16"/>
          <w:u w:val="single" w:color="auto"/>
          <w:color w:val="auto"/>
        </w:rPr>
        <w:t>Special Common Stock</w:t>
      </w:r>
      <w:r>
        <w:rPr>
          <w:rFonts w:ascii="Arial" w:cs="Arial" w:eastAsia="Arial" w:hAnsi="Arial"/>
          <w:sz w:val="16"/>
          <w:szCs w:val="16"/>
          <w:color w:val="auto"/>
        </w:rPr>
        <w:t>” means the Company’s Class A Special Common Stock, par value $.01 per share, including a fractional share.</w:t>
      </w:r>
    </w:p>
    <w:p>
      <w:pPr>
        <w:spacing w:after="0" w:line="19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2.51. “</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a Diversification Election by a Participant other than an Outside Director to have more than 40 percent of the Deferred Stock Units credited to such Participant’s Account in the Company Stock Fund that are attributable to any Option deemed liquidated and credited thereafter under the Income Fund, as provided in Section 5.2(b), if (and to the extent that) it is approved by the Administrator in accordance with Section 5.2(b). An Outside Director may not make a Special Diversification Election.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2.52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Administrator, filed with the Administrator in accordance with Article 3, pursuant to which a Participant or Beneficiary may elect to defer (or, in limited cases, accelerate) the time of receipt of amounts credited to an Account previously deferred in accordance with the terms of a previously made Initial Election or Subsequent Election.</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2.53 “</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Beneficiary of a deceased Former Outside Director, a deceased Former Eligible Employee or another deceased Participant, to whom the right to exercise an Option or the right to payment under the Plan shall have passed, as applicable.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2.54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2.55 “</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either of the following events: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68" w:name="page69"/>
    <w:bookmarkEnd w:id="68"/>
    <w:p>
      <w:pPr>
        <w:ind w:left="1160" w:hanging="239"/>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liquidation of the Company;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2.56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94" w:lineRule="auto"/>
        <w:tabs>
          <w:tab w:leader="none" w:pos="1152"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Each Outside Director, Former Outside Director, Eligible Employee, Former Eligible Employee, Successor-in-Interest or Permitted Transferee who is the grantee or transferee of an Option, shall have the right to make an Initial Election to defer the receipt of Shares upon exercise of all or part of such Option by filing an Initial Election at the time and in the manner described in this Article 3. Unless otherwise specifically provided in the Initial Election, following a Diversification Election, an Initial Election shall apply to the portion of a Participant’s Account credited to the Income Fund on the same basis as the portion of such Participant’s Account credited to the Company Stock Fund.</w:t>
      </w:r>
    </w:p>
    <w:p>
      <w:pPr>
        <w:spacing w:after="0" w:line="115" w:lineRule="exact"/>
        <w:rPr>
          <w:rFonts w:ascii="Arial" w:cs="Arial" w:eastAsia="Arial" w:hAnsi="Arial"/>
          <w:sz w:val="16"/>
          <w:szCs w:val="16"/>
          <w:color w:val="auto"/>
        </w:rPr>
      </w:pPr>
    </w:p>
    <w:p>
      <w:pPr>
        <w:ind w:firstLine="921"/>
        <w:spacing w:after="0" w:line="298" w:lineRule="auto"/>
        <w:tabs>
          <w:tab w:leader="none" w:pos="1161"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Subsequent Elections</w:t>
      </w:r>
      <w:r>
        <w:rPr>
          <w:rFonts w:ascii="Arial" w:cs="Arial" w:eastAsia="Arial" w:hAnsi="Arial"/>
          <w:sz w:val="16"/>
          <w:szCs w:val="16"/>
          <w:color w:val="auto"/>
        </w:rPr>
        <w:t>. Each Participant and Beneficiary shall have the right to elect to defer (or, in limited cases, accelerate) the time of receipt of amounts previously deferred in accordance with the terms of a previously made Initial Election by filing a Subsequent Election at the time, to the extent, and in the manner described in this Article 3. Unless otherwise specifically provided in the Subsequent Election, a Subsequent Election shall apply to the portion of a Participant’s Account credited to the Income Fund on the same basis as the portion of such Participant’s Account credited to the Company Stock Fund.</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Filing of Initial Election: General</w:t>
      </w:r>
      <w:r>
        <w:rPr>
          <w:rFonts w:ascii="Arial" w:cs="Arial" w:eastAsia="Arial" w:hAnsi="Arial"/>
          <w:sz w:val="16"/>
          <w:szCs w:val="16"/>
          <w:color w:val="auto"/>
        </w:rPr>
        <w:t>. An Initial Election shall be made on the form provided by the Administrator for this purpose. No such Initial Election shall be effective unless it is filed with the Administrator on or before a date that is both (i) more than six (6) months prior to the exercise of such Option and (ii) in the calendar year preceding the calendar year in which such Option is exercised, provided that an Initial Election filed with the Administrator on or before December 31, 1997, shall be effective with respect to the exercise of any Option after December 31, 1997.</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Options to which Initial Elections May Apply</w:t>
      </w:r>
      <w:r>
        <w:rPr>
          <w:rFonts w:ascii="Arial" w:cs="Arial" w:eastAsia="Arial" w:hAnsi="Arial"/>
          <w:sz w:val="18"/>
          <w:szCs w:val="18"/>
          <w:color w:val="auto"/>
        </w:rPr>
        <w:t>. A separate Initial Election may be made for each Option, or a portion of such Option, with respect to which an Outside Director, Former Outside Director, Eligible Employee, Former Eligible Employee, Successor-in-Interest or Permitted Transferee desires to defer receipt of Shares upon exercise of all or a portion of such Option. The failure of such a Person to make an Initial Election with respect to an Option shall not affect such Person’s right to make an Initial Election for any other Option.</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Initial Election of Distribution Date</w:t>
      </w:r>
      <w:r>
        <w:rPr>
          <w:rFonts w:ascii="Arial" w:cs="Arial" w:eastAsia="Arial" w:hAnsi="Arial"/>
          <w:sz w:val="16"/>
          <w:szCs w:val="16"/>
          <w:color w:val="auto"/>
        </w:rPr>
        <w:t>. Each Participant who elects to defer the receipt of Shares shall, on the Initial Election, also elect the distribution date for such Shares or any corresponding amounts which may be credited to the Income Fund following a Diversification Election; provided, however, that subject to acceleration pursuant to Section 3.5(d), Section 3.5(e), Section 3.6, Section 3.7, Section 3.8 or Section 7.1, no distribution may be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69" w:name="page70"/>
    <w:bookmarkEnd w:id="69"/>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earlier than January 2nd of the third calendar year beginning after the date of the Initial Election nor later than January 2nd of the eleventh calendar year beginning after the date of the Initial Election. The designation of the distribution date may vary with each separate Initial Election.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Subsequent Elections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pursuant to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3.5(a), may elect to defer the time of payment of part or all of such Active Participant’s Account for a minimum of two and a maximum of ten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from the previously-elected payment date, by filing a Subsequent Election with the Administrator on or before the close of business on June 30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calendar year preceding the calendar year in which the distribution would otherwise be made. The number of Subsequent Elections under this Section 3.5(a) shall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not be limited.</w:t>
      </w:r>
    </w:p>
    <w:p>
      <w:pPr>
        <w:spacing w:after="0" w:line="165" w:lineRule="exact"/>
        <w:rPr>
          <w:sz w:val="20"/>
          <w:szCs w:val="20"/>
          <w:color w:val="auto"/>
        </w:rPr>
      </w:pPr>
    </w:p>
    <w:p>
      <w:pPr>
        <w:ind w:left="1160" w:hanging="239"/>
        <w:spacing w:after="0"/>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90" w:lineRule="auto"/>
        <w:tabs>
          <w:tab w:leader="none" w:pos="1693" w:val="left"/>
        </w:tabs>
        <w:numPr>
          <w:ilvl w:val="2"/>
          <w:numId w:val="75"/>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A Surviving Spouse who is a Deceased Participant’s Beneficiary may elect to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3.5(b)(i) with respect to all or any part of the Deceased Participant’s Account. Subsequent Elections pursuant to this Section 3.5(b)(i) may specify different changes with respect to different parts of the Deceased Participant’s Account.</w:t>
      </w:r>
    </w:p>
    <w:p>
      <w:pPr>
        <w:spacing w:after="0" w:line="118" w:lineRule="exact"/>
        <w:rPr>
          <w:rFonts w:ascii="Arial" w:cs="Arial" w:eastAsia="Arial" w:hAnsi="Arial"/>
          <w:sz w:val="16"/>
          <w:szCs w:val="16"/>
          <w:color w:val="auto"/>
        </w:rPr>
      </w:pPr>
    </w:p>
    <w:p>
      <w:pPr>
        <w:ind w:left="1740" w:hanging="248"/>
        <w:spacing w:after="0"/>
        <w:tabs>
          <w:tab w:leader="none" w:pos="1740" w:val="left"/>
        </w:tabs>
        <w:numPr>
          <w:ilvl w:val="2"/>
          <w:numId w:val="75"/>
        </w:numPr>
        <w:rPr>
          <w:rFonts w:ascii="Arial" w:cs="Arial" w:eastAsia="Arial" w:hAnsi="Arial"/>
          <w:sz w:val="16"/>
          <w:szCs w:val="16"/>
          <w:color w:val="auto"/>
        </w:rPr>
      </w:pPr>
      <w:r>
        <w:rPr>
          <w:rFonts w:ascii="Arial" w:cs="Arial" w:eastAsia="Arial" w:hAnsi="Arial"/>
          <w:sz w:val="16"/>
          <w:szCs w:val="16"/>
          <w:u w:val="single" w:color="auto"/>
          <w:color w:val="auto"/>
        </w:rPr>
        <w:t>Exception</w:t>
      </w:r>
      <w:r>
        <w:rPr>
          <w:rFonts w:ascii="Arial" w:cs="Arial" w:eastAsia="Arial" w:hAnsi="Arial"/>
          <w:sz w:val="16"/>
          <w:szCs w:val="16"/>
          <w:color w:val="auto"/>
        </w:rPr>
        <w:t>. Notwithstanding the above Section 3.5(b)(i), a Subsequent Election may be made by a Surviving Spouse within sixty</w:t>
      </w:r>
    </w:p>
    <w:p>
      <w:pPr>
        <w:spacing w:after="0" w:line="38" w:lineRule="exact"/>
        <w:rPr>
          <w:rFonts w:ascii="Arial" w:cs="Arial" w:eastAsia="Arial" w:hAnsi="Arial"/>
          <w:sz w:val="16"/>
          <w:szCs w:val="16"/>
          <w:color w:val="auto"/>
        </w:rPr>
      </w:pPr>
    </w:p>
    <w:p>
      <w:pPr>
        <w:ind w:right="240" w:firstLine="8"/>
        <w:spacing w:after="0" w:line="287" w:lineRule="auto"/>
        <w:tabs>
          <w:tab w:leader="none" w:pos="336" w:val="left"/>
        </w:tabs>
        <w:numPr>
          <w:ilvl w:val="0"/>
          <w:numId w:val="76"/>
        </w:numPr>
        <w:rPr>
          <w:rFonts w:ascii="Arial" w:cs="Arial" w:eastAsia="Arial" w:hAnsi="Arial"/>
          <w:sz w:val="16"/>
          <w:szCs w:val="16"/>
          <w:color w:val="auto"/>
        </w:rPr>
      </w:pPr>
      <w:r>
        <w:rPr>
          <w:rFonts w:ascii="Arial" w:cs="Arial" w:eastAsia="Arial" w:hAnsi="Arial"/>
          <w:sz w:val="16"/>
          <w:szCs w:val="16"/>
          <w:color w:val="auto"/>
        </w:rPr>
        <w:t>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time of payment, which shall be no less than two (2) nor more than ten (10) years from the previously-elected payment date, or such Surviving Spouse may elect to defer payment until such Surviving Spouse’s death. A Surviving Spouse may only make one (1) Subsequent Election under this Section 3.5(b)(ii) with respect to all or any part of the Deceased Participant’s Account. Such Surviving Spouse may, however, make one additional Subsequent Election under Section 3.5(b)(i) in accordance with the terms of Section 3.5(b)(i). The one (1) Subsequent Election permitted under this Section 3.5(b)(ii) may specify different changes for different parts of the Deceased Participant’s Account.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70" w:name="page71"/>
    <w:bookmarkEnd w:id="70"/>
    <w:p>
      <w:pPr>
        <w:ind w:left="1160" w:hanging="239"/>
        <w:spacing w:after="0"/>
        <w:tabs>
          <w:tab w:leader="none" w:pos="116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of a Deceased Participant Other Than a Surviving Spouse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1492"/>
        <w:spacing w:after="0" w:line="283" w:lineRule="auto"/>
        <w:tabs>
          <w:tab w:leader="none" w:pos="1693" w:val="left"/>
        </w:tabs>
        <w:numPr>
          <w:ilvl w:val="2"/>
          <w:numId w:val="77"/>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A Beneficiary of a Deceased Participant (other than a Surviving Spouse) may elect to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w:t>
      </w:r>
    </w:p>
    <w:p>
      <w:pPr>
        <w:spacing w:after="0" w:line="2" w:lineRule="exact"/>
        <w:rPr>
          <w:rFonts w:ascii="Arial" w:cs="Arial" w:eastAsia="Arial" w:hAnsi="Arial"/>
          <w:sz w:val="16"/>
          <w:szCs w:val="16"/>
          <w:color w:val="auto"/>
        </w:rPr>
      </w:pPr>
    </w:p>
    <w:p>
      <w:pPr>
        <w:ind w:right="180" w:firstLine="8"/>
        <w:spacing w:after="0" w:line="261" w:lineRule="auto"/>
        <w:tabs>
          <w:tab w:leader="none" w:pos="2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Subsequent Election under this Section 3.5(c)(i), with respect to all or any part of the Deceased Participant’s Account. Subsequent Elections pursuant to this Section 3.5(c)(i) may specify different changes for different parts of the Deceased Participant’s Account.</w:t>
      </w:r>
    </w:p>
    <w:p>
      <w:pPr>
        <w:spacing w:after="0" w:line="137" w:lineRule="exact"/>
        <w:rPr>
          <w:rFonts w:ascii="Arial" w:cs="Arial" w:eastAsia="Arial" w:hAnsi="Arial"/>
          <w:sz w:val="18"/>
          <w:szCs w:val="18"/>
          <w:color w:val="auto"/>
        </w:rPr>
      </w:pPr>
    </w:p>
    <w:p>
      <w:pPr>
        <w:ind w:firstLine="1492"/>
        <w:spacing w:after="0" w:line="290" w:lineRule="auto"/>
        <w:tabs>
          <w:tab w:leader="none" w:pos="1742" w:val="left"/>
        </w:tabs>
        <w:numPr>
          <w:ilvl w:val="2"/>
          <w:numId w:val="78"/>
        </w:numPr>
        <w:rPr>
          <w:rFonts w:ascii="Arial" w:cs="Arial" w:eastAsia="Arial" w:hAnsi="Arial"/>
          <w:sz w:val="16"/>
          <w:szCs w:val="16"/>
          <w:color w:val="auto"/>
        </w:rPr>
      </w:pPr>
      <w:r>
        <w:rPr>
          <w:rFonts w:ascii="Arial" w:cs="Arial" w:eastAsia="Arial" w:hAnsi="Arial"/>
          <w:sz w:val="16"/>
          <w:szCs w:val="16"/>
          <w:u w:val="single" w:color="auto"/>
          <w:color w:val="auto"/>
        </w:rPr>
        <w:t>Exception</w:t>
      </w:r>
      <w:r>
        <w:rPr>
          <w:rFonts w:ascii="Arial" w:cs="Arial" w:eastAsia="Arial" w:hAnsi="Arial"/>
          <w:sz w:val="16"/>
          <w:szCs w:val="16"/>
          <w:color w:val="auto"/>
        </w:rPr>
        <w:t>. Notwithstanding the above Section 3.5(c)(i),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 Subsequent Election under this Section 3.5(c)(ii) with respect to all or any part of the Deceased Participant’s Account. Subsequent Elections pursuant to this Section 3.5(c)(ii) may specify different changes for different parts of the Deceased Participant’s Account.</w:t>
      </w:r>
    </w:p>
    <w:p>
      <w:pPr>
        <w:spacing w:after="0" w:line="118" w:lineRule="exact"/>
        <w:rPr>
          <w:rFonts w:ascii="Arial" w:cs="Arial" w:eastAsia="Arial" w:hAnsi="Arial"/>
          <w:sz w:val="16"/>
          <w:szCs w:val="16"/>
          <w:color w:val="auto"/>
        </w:rPr>
      </w:pPr>
    </w:p>
    <w:p>
      <w:pPr>
        <w:ind w:right="200" w:firstLine="921"/>
        <w:spacing w:after="0" w:line="268" w:lineRule="auto"/>
        <w:tabs>
          <w:tab w:leader="none" w:pos="1161"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Other Deferral and Acceleration by a Beneficiary</w:t>
      </w:r>
      <w:r>
        <w:rPr>
          <w:rFonts w:ascii="Arial" w:cs="Arial" w:eastAsia="Arial" w:hAnsi="Arial"/>
          <w:sz w:val="18"/>
          <w:szCs w:val="18"/>
          <w:color w:val="auto"/>
        </w:rPr>
        <w:t>. Any Beneficiary (other than a Surviving Spouse who has made a Subsequent Election under Section 3.5(b) or a Beneficiary who has made a Subsequent Election under Section 3.5(c)) may elect to:</w:t>
      </w:r>
    </w:p>
    <w:p>
      <w:pPr>
        <w:spacing w:after="0" w:line="50" w:lineRule="exact"/>
        <w:rPr>
          <w:rFonts w:ascii="Arial" w:cs="Arial" w:eastAsia="Arial" w:hAnsi="Arial"/>
          <w:sz w:val="18"/>
          <w:szCs w:val="18"/>
          <w:color w:val="auto"/>
        </w:rPr>
      </w:pPr>
    </w:p>
    <w:p>
      <w:pPr>
        <w:ind w:firstLine="1492"/>
        <w:spacing w:after="0" w:line="256" w:lineRule="auto"/>
        <w:tabs>
          <w:tab w:leader="none" w:pos="1693" w:val="left"/>
        </w:tabs>
        <w:numPr>
          <w:ilvl w:val="2"/>
          <w:numId w:val="79"/>
        </w:numPr>
        <w:rPr>
          <w:rFonts w:ascii="Arial" w:cs="Arial" w:eastAsia="Arial" w:hAnsi="Arial"/>
          <w:sz w:val="18"/>
          <w:szCs w:val="18"/>
          <w:color w:val="auto"/>
        </w:rPr>
      </w:pPr>
      <w:r>
        <w:rPr>
          <w:rFonts w:ascii="Arial" w:cs="Arial" w:eastAsia="Arial" w:hAnsi="Arial"/>
          <w:sz w:val="18"/>
          <w:szCs w:val="18"/>
          <w:color w:val="auto"/>
        </w:rPr>
        <w:t>Defer the time of payment of any part or all of the Deceased Participant’s Account or deceased Beneficiary’s Account for one additional year from the date payment would otherwise be made (provided that if a Subsequent Election is made pursuant to this Section 3.5(d)(i), the Deceased Participant’s Account or deceased Beneficiary’s Account shall be in all events distributed in full on or before the fifth anniversary of the Deceased Participant’s or deceased Beneficiary’s death); or</w:t>
      </w:r>
    </w:p>
    <w:p>
      <w:pPr>
        <w:spacing w:after="0" w:line="143" w:lineRule="exact"/>
        <w:rPr>
          <w:rFonts w:ascii="Arial" w:cs="Arial" w:eastAsia="Arial" w:hAnsi="Arial"/>
          <w:sz w:val="18"/>
          <w:szCs w:val="18"/>
          <w:color w:val="auto"/>
        </w:rPr>
      </w:pPr>
    </w:p>
    <w:p>
      <w:pPr>
        <w:ind w:right="240" w:firstLine="1492"/>
        <w:spacing w:after="0" w:line="255" w:lineRule="auto"/>
        <w:tabs>
          <w:tab w:leader="none" w:pos="1732" w:val="left"/>
        </w:tabs>
        <w:numPr>
          <w:ilvl w:val="2"/>
          <w:numId w:val="79"/>
        </w:numPr>
        <w:rPr>
          <w:rFonts w:ascii="Arial" w:cs="Arial" w:eastAsia="Arial" w:hAnsi="Arial"/>
          <w:sz w:val="18"/>
          <w:szCs w:val="18"/>
          <w:color w:val="auto"/>
        </w:rPr>
      </w:pPr>
      <w:r>
        <w:rPr>
          <w:rFonts w:ascii="Arial" w:cs="Arial" w:eastAsia="Arial" w:hAnsi="Arial"/>
          <w:sz w:val="18"/>
          <w:szCs w:val="18"/>
          <w:color w:val="auto"/>
        </w:rPr>
        <w:t>Accelerate the time of payment of a Deceased Participant’s Account or deceased Beneficiary’s Account from the date or dates that payment would otherwise be made to the date that is the later of (A) six (6) months after the date of the Deceased Participant’s or deceased Beneficiary’s death and (B) January 2nd of the calendar year beginning after the Deceased Participant’s or deceased Beneficiary’s death, provided that if a Subsequent Election is made pursuant to this Section 3.5(d)(ii), the Deceased Participant’s Account or deceased Beneficiary’s Account shall be distributed in full on such accelerated payment date.</w:t>
      </w:r>
    </w:p>
    <w:p>
      <w:pPr>
        <w:spacing w:after="0" w:line="14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 Subsequent Election pursuant to this Section 3.5(d) must be filed with the Administrator within one hundred twenty (120) days following the Deceased Participant’s or deceased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71" w:name="page72"/>
    <w:bookmarkEnd w:id="71"/>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Beneficiary’s death. One and only one Subsequent Election shall be permitted pursuant to this Section 3.5(d) with respect to a Deceased Participant’s Account or deceased Beneficiary’s Account, although if such Subsequent Election is filed pursuant to Section 3.5(d)(i), it may specify different changes for different parts of the Account.</w:t>
      </w:r>
    </w:p>
    <w:p>
      <w:pPr>
        <w:spacing w:after="0" w:line="140" w:lineRule="exact"/>
        <w:rPr>
          <w:sz w:val="20"/>
          <w:szCs w:val="20"/>
          <w:color w:val="auto"/>
        </w:rPr>
      </w:pPr>
    </w:p>
    <w:p>
      <w:pPr>
        <w:ind w:right="180" w:firstLine="921"/>
        <w:spacing w:after="0" w:line="290" w:lineRule="auto"/>
        <w:tabs>
          <w:tab w:leader="none" w:pos="115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Acceleration by Disabled Participant or Permitted Transferee of Disabled Participant</w:t>
      </w:r>
      <w:r>
        <w:rPr>
          <w:rFonts w:ascii="Arial" w:cs="Arial" w:eastAsia="Arial" w:hAnsi="Arial"/>
          <w:sz w:val="16"/>
          <w:szCs w:val="16"/>
          <w:color w:val="auto"/>
        </w:rPr>
        <w:t>. A Disabled Participant, or the Permitted Transferee of a Disabled Participant if applicable, may elect to accelerate the time of payment of the Disabled Participant’s Account from the date payment would otherwise be made to January 2nd of the calendar year beginning after the Participant became disabled. A Subsequent Election pursuant to this Section 3.5(e)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18" w:lineRule="exact"/>
        <w:rPr>
          <w:rFonts w:ascii="Arial" w:cs="Arial" w:eastAsia="Arial" w:hAnsi="Arial"/>
          <w:sz w:val="16"/>
          <w:szCs w:val="16"/>
          <w:color w:val="auto"/>
        </w:rPr>
      </w:pPr>
    </w:p>
    <w:p>
      <w:pPr>
        <w:jc w:val="both"/>
        <w:ind w:right="40" w:firstLine="921"/>
        <w:spacing w:after="0" w:line="318" w:lineRule="auto"/>
        <w:tabs>
          <w:tab w:leader="none" w:pos="1132"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Retired Participants and Disabled Participants</w:t>
      </w:r>
      <w:r>
        <w:rPr>
          <w:rFonts w:ascii="Arial" w:cs="Arial" w:eastAsia="Arial" w:hAnsi="Arial"/>
          <w:sz w:val="15"/>
          <w:szCs w:val="15"/>
          <w:color w:val="auto"/>
        </w:rPr>
        <w:t>. The Committee may, in its sole and absolute discretion, permit a Retired Participant or a Disabled Participant to make a Subsequent Election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3.5(f) shall be determined by the Committee in its sole and absolute discretion.</w:t>
      </w:r>
    </w:p>
    <w:p>
      <w:pPr>
        <w:spacing w:after="0" w:line="99" w:lineRule="exact"/>
        <w:rPr>
          <w:rFonts w:ascii="Arial" w:cs="Arial" w:eastAsia="Arial" w:hAnsi="Arial"/>
          <w:sz w:val="15"/>
          <w:szCs w:val="15"/>
          <w:color w:val="auto"/>
        </w:rPr>
      </w:pPr>
    </w:p>
    <w:p>
      <w:pPr>
        <w:ind w:firstLine="921"/>
        <w:spacing w:after="0" w:line="290" w:lineRule="auto"/>
        <w:tabs>
          <w:tab w:leader="none" w:pos="1161"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Retired Participant or Permitted Transferee of Retired Participant</w:t>
      </w:r>
      <w:r>
        <w:rPr>
          <w:rFonts w:ascii="Arial" w:cs="Arial" w:eastAsia="Arial" w:hAnsi="Arial"/>
          <w:sz w:val="16"/>
          <w:szCs w:val="16"/>
          <w:color w:val="auto"/>
        </w:rPr>
        <w:t>. A Retired Participant (who has not been permitted to make a Subsequent Election under Section 3.5(f)) or a Permitted Transferee of a Retired Participant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of a calendar year, (ii) the 60th day following the Participant’s Normal Retirement after May 1 and before November 2 of a calendar year or (iii) the December 31 following the Participant’s Normal Retirement after November 1 of a calendar year.</w:t>
      </w:r>
    </w:p>
    <w:p>
      <w:pPr>
        <w:spacing w:after="0" w:line="118" w:lineRule="exact"/>
        <w:rPr>
          <w:rFonts w:ascii="Arial" w:cs="Arial" w:eastAsia="Arial" w:hAnsi="Arial"/>
          <w:sz w:val="16"/>
          <w:szCs w:val="16"/>
          <w:color w:val="auto"/>
        </w:rPr>
      </w:pPr>
    </w:p>
    <w:p>
      <w:pPr>
        <w:ind w:firstLine="921"/>
        <w:spacing w:after="0" w:line="256" w:lineRule="auto"/>
        <w:tabs>
          <w:tab w:leader="none" w:pos="116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Disabled Participant or Permitted Transferee of Disabled Participant</w:t>
      </w:r>
      <w:r>
        <w:rPr>
          <w:rFonts w:ascii="Arial" w:cs="Arial" w:eastAsia="Arial" w:hAnsi="Arial"/>
          <w:sz w:val="18"/>
          <w:szCs w:val="18"/>
          <w:color w:val="auto"/>
        </w:rPr>
        <w:t>. A Disabled Participant (who has not been permitted to make a Subsequent Election under 3.5(f)) or a Permitted Transferee of a Disabled Participant may elect to defer the time of payment of the Disabled Participant’s Account for a minimum of two additional years from the date payment would otherwise be made (provided that if a Subsequent Election is made pursuant to this Section 3.5(h), the Disabled Participant’s Account shall be distributed in full on or before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72" w:name="page73"/>
    <w:bookmarkEnd w:id="72"/>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fifth anniversary of the date the Participant became a Disabled Participant). A Subsequent Election pursuant to this Section 3.5(h)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16" w:lineRule="exact"/>
        <w:rPr>
          <w:sz w:val="20"/>
          <w:szCs w:val="20"/>
          <w:color w:val="auto"/>
        </w:rPr>
      </w:pPr>
    </w:p>
    <w:p>
      <w:pPr>
        <w:ind w:right="60" w:firstLine="921"/>
        <w:spacing w:after="0" w:line="256" w:lineRule="auto"/>
        <w:tabs>
          <w:tab w:leader="none" w:pos="112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Subject to acceleration pursuant to Section 3.5(d), or 3.5(e), Section 3.6 or 7.1, no distribution of the amounts deferred pursuant to this Article 3 for any calendar year shall be made before the distribution date designated by the Participant or Beneficiary, Permitted Transferee or Successor-in-Interest, as applicable, on the most recently filed Initial Election or Subsequent Election with respect to each deferred amount.</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Distribution in Full upon Terminating Event</w:t>
      </w:r>
      <w:r>
        <w:rPr>
          <w:rFonts w:ascii="Arial" w:cs="Arial" w:eastAsia="Arial" w:hAnsi="Arial"/>
          <w:sz w:val="18"/>
          <w:szCs w:val="18"/>
          <w:color w:val="auto"/>
        </w:rPr>
        <w:t>. The Company shall give Participants at least thirty (30) days notice (or, if not practicable, such shorter notice as may be reasonably practicable) prior to the anticipated date of the consummation of a Terminating Event. The Company may, in its sole and absolute discretion, provide in such notice that notwithstanding any other provision of the Plan or the terms of any Initial or Subsequent Election, upon the consummation of a Terminating Event, the Account balance of each Participant shall be distributed in full and any outstanding Initial Elections or Subsequent Elections shall be revoked.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90" w:lineRule="exact"/>
        <w:rPr>
          <w:sz w:val="20"/>
          <w:szCs w:val="20"/>
          <w:color w:val="auto"/>
        </w:rPr>
      </w:pPr>
    </w:p>
    <w:p>
      <w:pPr>
        <w:ind w:right="260" w:firstLine="921"/>
        <w:spacing w:after="0" w:line="256" w:lineRule="auto"/>
        <w:tabs>
          <w:tab w:leader="none" w:pos="11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w:t>
      </w:r>
    </w:p>
    <w:p>
      <w:pPr>
        <w:spacing w:after="0" w:line="90" w:lineRule="exact"/>
        <w:rPr>
          <w:rFonts w:ascii="Arial" w:cs="Arial" w:eastAsia="Arial" w:hAnsi="Arial"/>
          <w:sz w:val="18"/>
          <w:szCs w:val="18"/>
          <w:color w:val="auto"/>
        </w:rPr>
      </w:pPr>
    </w:p>
    <w:p>
      <w:pPr>
        <w:ind w:firstLine="1492"/>
        <w:spacing w:after="0" w:line="268" w:lineRule="auto"/>
        <w:tabs>
          <w:tab w:leader="none" w:pos="1693"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31" w:lineRule="exact"/>
        <w:rPr>
          <w:rFonts w:ascii="Arial" w:cs="Arial" w:eastAsia="Arial" w:hAnsi="Arial"/>
          <w:sz w:val="18"/>
          <w:szCs w:val="18"/>
          <w:color w:val="auto"/>
        </w:rPr>
      </w:pPr>
    </w:p>
    <w:p>
      <w:pPr>
        <w:ind w:right="120" w:firstLine="1492"/>
        <w:spacing w:after="0" w:line="268" w:lineRule="auto"/>
        <w:tabs>
          <w:tab w:leader="none" w:pos="1742"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certify to the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73" w:name="page74"/>
    <w:bookmarkEnd w:id="73"/>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07" w:lineRule="exact"/>
        <w:rPr>
          <w:sz w:val="20"/>
          <w:szCs w:val="20"/>
          <w:color w:val="auto"/>
        </w:rPr>
      </w:pPr>
    </w:p>
    <w:p>
      <w:pPr>
        <w:ind w:right="200" w:firstLine="1492"/>
        <w:spacing w:after="0" w:line="291" w:lineRule="auto"/>
        <w:tabs>
          <w:tab w:leader="none" w:pos="1781"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20" w:lineRule="exact"/>
        <w:rPr>
          <w:rFonts w:ascii="Arial" w:cs="Arial" w:eastAsia="Arial" w:hAnsi="Arial"/>
          <w:sz w:val="16"/>
          <w:szCs w:val="16"/>
          <w:color w:val="auto"/>
        </w:rPr>
      </w:pPr>
    </w:p>
    <w:p>
      <w:pPr>
        <w:ind w:right="40" w:firstLine="1492"/>
        <w:spacing w:after="0" w:line="332" w:lineRule="auto"/>
        <w:tabs>
          <w:tab w:leader="none" w:pos="17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85" w:lineRule="exact"/>
        <w:rPr>
          <w:rFonts w:ascii="Arial" w:cs="Arial" w:eastAsia="Arial" w:hAnsi="Arial"/>
          <w:sz w:val="16"/>
          <w:szCs w:val="16"/>
          <w:color w:val="auto"/>
        </w:rPr>
      </w:pPr>
    </w:p>
    <w:p>
      <w:pPr>
        <w:ind w:right="340" w:firstLine="1492"/>
        <w:spacing w:after="0" w:line="268" w:lineRule="auto"/>
        <w:tabs>
          <w:tab w:leader="none" w:pos="1781"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Effect of Distribution within Five Years of Effective Date of Diversification Election</w:t>
      </w:r>
      <w:r>
        <w:rPr>
          <w:rFonts w:ascii="Arial" w:cs="Arial" w:eastAsia="Arial" w:hAnsi="Arial"/>
          <w:sz w:val="16"/>
          <w:szCs w:val="16"/>
          <w:color w:val="auto"/>
        </w:rPr>
        <w:t>. If, pursuant to Section 3.1 through 3.7, Shares distributable with respect to Deferred Stock Units credited to the Company Stock Fund that are attributable to the Option as to which a Diversification Election was made are distributed on or before the fifth anniversary of the effective date of such Diversification Election (and, in the case of a Participant who is a Successor-in-Interest or a Permitted Transferee, whether or not such Diversification Election was made by a Participant’s predecessor-in-interest), then, except as to the extent such distribution of amounts credited to the Income Fund would constitute an impermissible acceleration of the time of payment under Section 409A, or as may otherwise be provided by the Committee in its sole and absolute discretion, the following percentage of the Participant’s Account credited to the Income Fund and attributable to such Diversification Election shall be distributed simultaneously with such Shares, without regard to any election to the contrary: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6"/>
              </w:rPr>
              <w:t>Distributable Percentage of</w:t>
            </w:r>
          </w:p>
        </w:tc>
      </w:tr>
      <w:tr>
        <w:trPr>
          <w:trHeight w:val="149"/>
        </w:trPr>
        <w:tc>
          <w:tcPr>
            <w:tcW w:w="29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Corresponding Income Fund</w:t>
            </w:r>
          </w:p>
        </w:tc>
      </w:tr>
      <w:tr>
        <w:trPr>
          <w:trHeight w:val="161"/>
        </w:trPr>
        <w:tc>
          <w:tcPr>
            <w:tcW w:w="2920" w:type="dxa"/>
            <w:vAlign w:val="bottom"/>
          </w:tcPr>
          <w:p>
            <w:pPr>
              <w:spacing w:after="0"/>
              <w:rPr>
                <w:sz w:val="14"/>
                <w:szCs w:val="14"/>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9"/>
              </w:rPr>
              <w:t>Time that Shares are Distributable</w:t>
            </w:r>
          </w:p>
        </w:tc>
        <w:tc>
          <w:tcPr>
            <w:tcW w:w="47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before the third anniversary of a Diversification Election</w:t>
            </w:r>
          </w:p>
        </w:tc>
        <w:tc>
          <w:tcPr>
            <w:tcW w:w="6380" w:type="dxa"/>
            <w:vAlign w:val="bottom"/>
            <w:gridSpan w:val="2"/>
            <w:shd w:val="clear" w:color="auto" w:fill="CCEEFF"/>
          </w:tcPr>
          <w:p>
            <w:pPr>
              <w:jc w:val="center"/>
              <w:ind w:left="4612"/>
              <w:spacing w:after="0"/>
              <w:rPr>
                <w:sz w:val="20"/>
                <w:szCs w:val="20"/>
                <w:color w:val="auto"/>
              </w:rPr>
            </w:pPr>
            <w:r>
              <w:rPr>
                <w:rFonts w:ascii="Arial" w:cs="Arial" w:eastAsia="Arial" w:hAnsi="Arial"/>
                <w:sz w:val="18"/>
                <w:szCs w:val="18"/>
                <w:color w:val="auto"/>
                <w:w w:val="88"/>
              </w:rPr>
              <w:t>60%</w:t>
            </w:r>
          </w:p>
        </w:tc>
      </w:tr>
      <w:tr>
        <w:trPr>
          <w:trHeight w:val="363"/>
        </w:trPr>
        <w:tc>
          <w:tcPr>
            <w:tcW w:w="2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700" w:type="dxa"/>
            <w:vAlign w:val="bottom"/>
          </w:tcPr>
          <w:p>
            <w:pPr>
              <w:jc w:val="right"/>
              <w:ind w:right="3792"/>
              <w:spacing w:after="0"/>
              <w:rPr>
                <w:sz w:val="20"/>
                <w:szCs w:val="20"/>
                <w:color w:val="auto"/>
              </w:rPr>
            </w:pPr>
            <w:r>
              <w:rPr>
                <w:rFonts w:ascii="Arial" w:cs="Arial" w:eastAsia="Arial" w:hAnsi="Arial"/>
                <w:sz w:val="18"/>
                <w:szCs w:val="18"/>
                <w:color w:val="auto"/>
              </w:rPr>
              <w:t>-15-</w:t>
            </w:r>
          </w:p>
        </w:tc>
        <w:tc>
          <w:tcPr>
            <w:tcW w:w="16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4" w:name="page75"/>
    <w:bookmarkEnd w:id="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6"/>
              </w:rPr>
              <w:t>Distributable Percentage of</w:t>
            </w:r>
          </w:p>
        </w:tc>
      </w:tr>
      <w:tr>
        <w:trPr>
          <w:trHeight w:val="149"/>
        </w:trPr>
        <w:tc>
          <w:tcPr>
            <w:tcW w:w="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Corresponding Income Fund</w:t>
            </w:r>
          </w:p>
        </w:tc>
      </w:tr>
      <w:tr>
        <w:trPr>
          <w:trHeight w:val="161"/>
        </w:trPr>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9"/>
              </w:rPr>
              <w:t>Time that Shares are Distributable</w:t>
            </w:r>
          </w:p>
        </w:tc>
        <w:tc>
          <w:tcPr>
            <w:tcW w:w="47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r>
      <w:tr>
        <w:trPr>
          <w:trHeight w:val="201"/>
        </w:trPr>
        <w:tc>
          <w:tcPr>
            <w:tcW w:w="97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After the third anniversary of a Diversification Election and on or before the fourth anniversary of a</w:t>
            </w: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40%</w:t>
            </w:r>
          </w:p>
        </w:tc>
      </w:tr>
      <w:tr>
        <w:trPr>
          <w:trHeight w:val="224"/>
        </w:trPr>
        <w:tc>
          <w:tcPr>
            <w:tcW w:w="97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Diversification Election</w:t>
            </w:r>
          </w:p>
        </w:tc>
        <w:tc>
          <w:tcPr>
            <w:tcW w:w="1680" w:type="dxa"/>
            <w:vAlign w:val="bottom"/>
            <w:shd w:val="clear" w:color="auto" w:fill="CCEEFF"/>
          </w:tcPr>
          <w:p>
            <w:pPr>
              <w:spacing w:after="0"/>
              <w:rPr>
                <w:sz w:val="19"/>
                <w:szCs w:val="19"/>
                <w:color w:val="auto"/>
              </w:rPr>
            </w:pPr>
          </w:p>
        </w:tc>
      </w:tr>
      <w:tr>
        <w:trPr>
          <w:trHeight w:val="208"/>
        </w:trPr>
        <w:tc>
          <w:tcPr>
            <w:tcW w:w="9740" w:type="dxa"/>
            <w:vAlign w:val="bottom"/>
            <w:gridSpan w:val="5"/>
          </w:tcPr>
          <w:p>
            <w:pPr>
              <w:spacing w:after="0"/>
              <w:rPr>
                <w:sz w:val="20"/>
                <w:szCs w:val="20"/>
                <w:color w:val="auto"/>
              </w:rPr>
            </w:pPr>
            <w:r>
              <w:rPr>
                <w:rFonts w:ascii="Arial" w:cs="Arial" w:eastAsia="Arial" w:hAnsi="Arial"/>
                <w:sz w:val="18"/>
                <w:szCs w:val="18"/>
                <w:color w:val="auto"/>
              </w:rPr>
              <w:t>After the fourth anniversary of a Diversification Election and on or before the fifth anniversary of a</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20%</w:t>
            </w:r>
          </w:p>
        </w:tc>
      </w:tr>
      <w:tr>
        <w:trPr>
          <w:trHeight w:val="222"/>
        </w:trPr>
        <w:tc>
          <w:tcPr>
            <w:tcW w:w="9740" w:type="dxa"/>
            <w:vAlign w:val="bottom"/>
            <w:gridSpan w:val="5"/>
          </w:tcPr>
          <w:p>
            <w:pPr>
              <w:ind w:left="220"/>
              <w:spacing w:after="0"/>
              <w:rPr>
                <w:sz w:val="20"/>
                <w:szCs w:val="20"/>
                <w:color w:val="auto"/>
              </w:rPr>
            </w:pPr>
            <w:r>
              <w:rPr>
                <w:rFonts w:ascii="Arial" w:cs="Arial" w:eastAsia="Arial" w:hAnsi="Arial"/>
                <w:sz w:val="18"/>
                <w:szCs w:val="18"/>
                <w:color w:val="auto"/>
              </w:rPr>
              <w:t>Diversification Election</w:t>
            </w:r>
          </w:p>
        </w:tc>
        <w:tc>
          <w:tcPr>
            <w:tcW w:w="1680" w:type="dxa"/>
            <w:vAlign w:val="bottom"/>
          </w:tcPr>
          <w:p>
            <w:pPr>
              <w:spacing w:after="0"/>
              <w:rPr>
                <w:sz w:val="19"/>
                <w:szCs w:val="19"/>
                <w:color w:val="auto"/>
              </w:rPr>
            </w:pPr>
          </w:p>
        </w:tc>
      </w:tr>
      <w:tr>
        <w:trPr>
          <w:trHeight w:val="218"/>
        </w:trPr>
        <w:tc>
          <w:tcPr>
            <w:tcW w:w="9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538"/>
        </w:trPr>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20" w:type="dxa"/>
            <w:vAlign w:val="bottom"/>
            <w:gridSpan w:val="2"/>
          </w:tcPr>
          <w:p>
            <w:pPr>
              <w:ind w:left="1040"/>
              <w:spacing w:after="0"/>
              <w:rPr>
                <w:sz w:val="20"/>
                <w:szCs w:val="20"/>
                <w:color w:val="auto"/>
              </w:rPr>
            </w:pPr>
            <w:r>
              <w:rPr>
                <w:rFonts w:ascii="Arial" w:cs="Arial" w:eastAsia="Arial" w:hAnsi="Arial"/>
                <w:sz w:val="18"/>
                <w:szCs w:val="18"/>
                <w:b w:val="1"/>
                <w:bCs w:val="1"/>
                <w:color w:val="auto"/>
              </w:rPr>
              <w:t>ARTICLE 4 - MANNER OF DISTRIBUTION</w:t>
            </w:r>
          </w:p>
        </w:tc>
        <w:tc>
          <w:tcPr>
            <w:tcW w:w="1680" w:type="dxa"/>
            <w:vAlign w:val="bottom"/>
          </w:tcPr>
          <w:p>
            <w:pPr>
              <w:spacing w:after="0"/>
              <w:rPr>
                <w:sz w:val="24"/>
                <w:szCs w:val="24"/>
                <w:color w:val="auto"/>
              </w:rPr>
            </w:pPr>
          </w:p>
        </w:tc>
      </w:tr>
      <w:tr>
        <w:trPr>
          <w:trHeight w:val="340"/>
        </w:trPr>
        <w:tc>
          <w:tcPr>
            <w:tcW w:w="9740" w:type="dxa"/>
            <w:vAlign w:val="bottom"/>
            <w:gridSpan w:val="5"/>
          </w:tcPr>
          <w:p>
            <w:pPr>
              <w:ind w:left="460"/>
              <w:spacing w:after="0"/>
              <w:rPr>
                <w:sz w:val="20"/>
                <w:szCs w:val="20"/>
                <w:color w:val="auto"/>
              </w:rPr>
            </w:pPr>
            <w:r>
              <w:rPr>
                <w:rFonts w:ascii="Arial" w:cs="Arial" w:eastAsia="Arial" w:hAnsi="Arial"/>
                <w:sz w:val="18"/>
                <w:szCs w:val="18"/>
                <w:color w:val="auto"/>
              </w:rPr>
              <w:t>4.1. Manner of Distribution.</w:t>
            </w:r>
          </w:p>
        </w:tc>
        <w:tc>
          <w:tcPr>
            <w:tcW w:w="168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00" w:lineRule="exact"/>
        <w:rPr>
          <w:sz w:val="20"/>
          <w:szCs w:val="20"/>
          <w:color w:val="auto"/>
        </w:rPr>
      </w:pPr>
    </w:p>
    <w:p>
      <w:pPr>
        <w:ind w:right="120" w:firstLine="921"/>
        <w:spacing w:after="0" w:line="259" w:lineRule="auto"/>
        <w:tabs>
          <w:tab w:leader="none" w:pos="11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Deferred Stock Units credited to an Account shall be distributed in a lump sum in shares of Common Stock and/or Special Common Stock, as applicable. Dividend equivalents shall be distributed in a lump sum in cash. Amounts credited to the Income Fund pursuant to a Diversification Election shall be distributed in a lump sum in cash.</w:t>
      </w:r>
    </w:p>
    <w:p>
      <w:pPr>
        <w:spacing w:after="0" w:line="140" w:lineRule="exact"/>
        <w:rPr>
          <w:rFonts w:ascii="Arial" w:cs="Arial" w:eastAsia="Arial" w:hAnsi="Arial"/>
          <w:sz w:val="18"/>
          <w:szCs w:val="18"/>
          <w:color w:val="auto"/>
        </w:rPr>
      </w:pPr>
    </w:p>
    <w:p>
      <w:pPr>
        <w:ind w:right="120" w:firstLine="921"/>
        <w:spacing w:after="0" w:line="255" w:lineRule="auto"/>
        <w:tabs>
          <w:tab w:leader="none" w:pos="1162"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 Initial Election or Subsequent Election or any other provision of the Plan to the contrary, following a Participant’s termination of employment for any reason, if the amount credited to the Participant’s Account has a value of $25,000 or less, the Administrator may, in its sole discretion, direct that such amount be distributed to the Participant (or Beneficiary, as applicable) in one lump sum payment; provided, however, that this Section 4.1(b) shall not apply to any amount credited to a Participant’s Account until the expiration of the deferral period applicable under any Initial Election or Subsequent Election in effect as of April 29, 2002.</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 BOOK ACCOUNTS</w:t>
      </w:r>
    </w:p>
    <w:p>
      <w:pPr>
        <w:spacing w:after="0" w:line="177"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Account</w:t>
      </w:r>
      <w:r>
        <w:rPr>
          <w:rFonts w:ascii="Arial" w:cs="Arial" w:eastAsia="Arial" w:hAnsi="Arial"/>
          <w:sz w:val="16"/>
          <w:szCs w:val="16"/>
          <w:color w:val="auto"/>
        </w:rPr>
        <w:t>. An Account shall be established for each Outside Director, Former Outside Director, Eligible Employee, Former Eligible Employee, Successor-in-Interest or Permitted Transferee when such Person becomes a Participant. Deferred Stock Units shall be credited to the Account as of the date of exercise of an Option as to which an Initial or Subsequent Election is in effect. Each Deferred Stock Unit that represented a hypothetical share of Comcast Corporation Class A Common Stock, par value $1.00 immediately before the consummation of the AT&amp;T Broadband Transaction shall be treated as a hypothetical share of Common Stock. Each Deferred Stock Unit that represented a hypothetical share of Comcast Corporation Class A Special Common Stock, par value $1.00 shall be treated as a hypothetical share of Special Common Stock. To the extent an Account is deemed invested in the Income Fund, the Administrator shall credit earnings with respect to such Account at the Applicable Interest Rate, as further provided in Section 5.2.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3" w:right="23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90" w:lineRule="exact"/>
        <w:rPr>
          <w:sz w:val="20"/>
          <w:szCs w:val="20"/>
          <w:color w:val="auto"/>
        </w:rPr>
      </w:pPr>
    </w:p>
    <w:p>
      <w:pPr>
        <w:ind w:right="140" w:firstLine="921"/>
        <w:spacing w:after="0" w:line="268" w:lineRule="auto"/>
        <w:tabs>
          <w:tab w:leader="none" w:pos="115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value of a Participant’s Account as of any date shall be determined as if it were invested in the Company Stock Fund.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80" w:firstLine="1492"/>
        <w:spacing w:after="0" w:line="256" w:lineRule="auto"/>
        <w:tabs>
          <w:tab w:leader="none" w:pos="1693"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A Diversification Election shall be available (A) at any time that a Registration Statement filed under the Securities Act of 1933, as amended (a “Registration Statement”), is effective with respect to the Plan and (B) with respect to a Special Diversification Election, if and to the extent that the opportunity to make such a Special Diversification Election has been approved by the Administrator. No approval is required for a Diversification Election other than a Special Diversification Election.</w:t>
      </w:r>
    </w:p>
    <w:p>
      <w:pPr>
        <w:spacing w:after="0" w:line="143" w:lineRule="exact"/>
        <w:rPr>
          <w:rFonts w:ascii="Arial" w:cs="Arial" w:eastAsia="Arial" w:hAnsi="Arial"/>
          <w:sz w:val="18"/>
          <w:szCs w:val="18"/>
          <w:color w:val="auto"/>
        </w:rPr>
      </w:pPr>
    </w:p>
    <w:p>
      <w:pPr>
        <w:ind w:right="160" w:firstLine="1492"/>
        <w:spacing w:after="0" w:line="306" w:lineRule="auto"/>
        <w:tabs>
          <w:tab w:leader="none" w:pos="1742"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Administrator Approval of Special Diversification Elections</w:t>
      </w:r>
      <w:r>
        <w:rPr>
          <w:rFonts w:ascii="Arial" w:cs="Arial" w:eastAsia="Arial" w:hAnsi="Arial"/>
          <w:sz w:val="16"/>
          <w:szCs w:val="16"/>
          <w:color w:val="auto"/>
        </w:rPr>
        <w:t>. The opportunity to make a Special Diversification Election and the extent to which a Special Diversification Election applies to Deferred Stock Units credited to the Company Stock Fund may be approved or rejected by the Administrator in its sole discretion. A Special Diversification Election shall only be effective if (and to the extent) approved by the Administrator.</w:t>
      </w:r>
    </w:p>
    <w:p>
      <w:pPr>
        <w:spacing w:after="0" w:line="106" w:lineRule="exact"/>
        <w:rPr>
          <w:rFonts w:ascii="Arial" w:cs="Arial" w:eastAsia="Arial" w:hAnsi="Arial"/>
          <w:sz w:val="16"/>
          <w:szCs w:val="16"/>
          <w:color w:val="auto"/>
        </w:rPr>
      </w:pPr>
    </w:p>
    <w:p>
      <w:pPr>
        <w:ind w:firstLine="1492"/>
        <w:spacing w:after="0" w:line="253" w:lineRule="auto"/>
        <w:tabs>
          <w:tab w:leader="none" w:pos="1791"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Conversion of Deferred Stock Units to Cash Equivalents</w:t>
      </w:r>
      <w:r>
        <w:rPr>
          <w:rFonts w:ascii="Arial" w:cs="Arial" w:eastAsia="Arial" w:hAnsi="Arial"/>
          <w:sz w:val="18"/>
          <w:szCs w:val="18"/>
          <w:color w:val="auto"/>
        </w:rPr>
        <w:t>. Each Participant who is an Outside Director, Former Outside Director, Eligible Employee, Former Eligible Employee, Successor-in-Interest or Permitted Transferee may make a Diversification Election to convert up to 40 percent (or in the case of a Special Diversification Election, up to the approved percentage) of Deferred Stock Units credited to the Company Stock Fund that are attributable to any Option to the Income Fund. No deemed transfers shall be permitted from the Income Fund to the Company Stock Fund. Diversification Elections under this Section 5.2(b) shall be prospectively effective on the later of (A) the date designated by the Participant on a Diversification Election filed with the Administrator or (B) the business day next following the lapse of six months from the date Deferred Stock Units subject to the Diversification Election are credited to the Participant’s Account.</w:t>
      </w:r>
    </w:p>
    <w:p>
      <w:pPr>
        <w:spacing w:after="0" w:line="147" w:lineRule="exact"/>
        <w:rPr>
          <w:rFonts w:ascii="Arial" w:cs="Arial" w:eastAsia="Arial" w:hAnsi="Arial"/>
          <w:sz w:val="18"/>
          <w:szCs w:val="18"/>
          <w:color w:val="auto"/>
        </w:rPr>
      </w:pPr>
    </w:p>
    <w:p>
      <w:pPr>
        <w:ind w:right="120" w:firstLine="921"/>
        <w:spacing w:after="0" w:line="256" w:lineRule="auto"/>
        <w:tabs>
          <w:tab w:leader="none" w:pos="115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Timing of Credits</w:t>
      </w:r>
      <w:r>
        <w:rPr>
          <w:rFonts w:ascii="Arial" w:cs="Arial" w:eastAsia="Arial" w:hAnsi="Arial"/>
          <w:sz w:val="18"/>
          <w:szCs w:val="18"/>
          <w:color w:val="auto"/>
        </w:rPr>
        <w:t>. Account balances subject to a Diversification Election under Section 5.2(b) shall be deemed transferred from the Company Stock Fund to the Income Fund as of the effective date of such Diversification Election. The value of amounts deemed invested in the Income Fund immediately following the effective date of a Diversification Election shall be based on hypothetical sales of Company Stock underlying liquidated Deferred Stock Units at Fair Market Value as of the effective date of a Diversification Election.</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amounts deferred under this Plan shall continue for all purposes to be a part of the general funds of the Company.</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76" w:name="page77"/>
    <w:bookmarkEnd w:id="76"/>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NONALIENATION OF BENEFITS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Alienation Prohibited</w:t>
      </w:r>
      <w:r>
        <w:rPr>
          <w:rFonts w:ascii="Arial" w:cs="Arial" w:eastAsia="Arial" w:hAnsi="Arial"/>
          <w:sz w:val="18"/>
          <w:szCs w:val="18"/>
          <w:color w:val="auto"/>
        </w:rPr>
        <w:t>. 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 DEATH OF PARTICIPANT</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Except as provided in Section 3.7, a Deceased Participant’s Account shall be distributed in accordance with the last Initial Election or Subsequent Election made by the Deceased Participant before the Deceased Participant’s death, unless the Deceased Participant’s Surviving Spouse, Permitted Transferee, Successor-in-Interest or Beneficiary timely elects to accelerate or defer the time of payment pursuant to Section 3.5(b), Section 3.5(c), Section 3.5(d), Section 3.5(e), or Section 3.5(f).</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 INTERPRETATION</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specific reason or reasons for the denial;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77" w:name="page78"/>
    <w:bookmarkEnd w:id="77"/>
    <w:p>
      <w:pPr>
        <w:ind w:left="1160" w:hanging="239"/>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 reference to pertinent Plan provisions on which the denial is based;</w:t>
      </w:r>
    </w:p>
    <w:p>
      <w:pPr>
        <w:spacing w:after="0" w:line="171" w:lineRule="exact"/>
        <w:rPr>
          <w:rFonts w:ascii="Arial" w:cs="Arial" w:eastAsia="Arial" w:hAnsi="Arial"/>
          <w:sz w:val="18"/>
          <w:szCs w:val="18"/>
          <w:color w:val="auto"/>
        </w:rPr>
      </w:pPr>
    </w:p>
    <w:p>
      <w:pPr>
        <w:ind w:right="180" w:firstLine="921"/>
        <w:spacing w:after="0" w:line="268" w:lineRule="auto"/>
        <w:tabs>
          <w:tab w:leader="none" w:pos="11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4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AMENDMENT OR TERMINATION</w:t>
      </w:r>
    </w:p>
    <w:p>
      <w:pPr>
        <w:spacing w:after="0" w:line="17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Amendment or Termination</w:t>
      </w:r>
      <w:r>
        <w:rPr>
          <w:rFonts w:ascii="Arial" w:cs="Arial" w:eastAsia="Arial" w:hAnsi="Arial"/>
          <w:sz w:val="16"/>
          <w:szCs w:val="16"/>
          <w:color w:val="auto"/>
        </w:rPr>
        <w:t>. The Company, by action of the Board or by action of the Committee, shall have the right at any time, or from time to time, to amend or modify this Plan. The Company, by action of the Board, shall have the right to terminate this Plan at any time.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WITHHOLDING OF TAXES ON EXERCISE OF OPTION</w:t>
      </w:r>
    </w:p>
    <w:p>
      <w:pPr>
        <w:spacing w:after="0" w:line="17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In General</w:t>
      </w:r>
      <w:r>
        <w:rPr>
          <w:rFonts w:ascii="Arial" w:cs="Arial" w:eastAsia="Arial" w:hAnsi="Arial"/>
          <w:sz w:val="16"/>
          <w:szCs w:val="16"/>
          <w:color w:val="auto"/>
        </w:rPr>
        <w:t>. Whenever the Company proposes or is required to credit Deferred Stock Units to an Account in connection with the exercise of an Option, the Company shall have the right to require the Participant to remit to the Company an amount sufficient to satisfy 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78" w:name="page79"/>
    <w:bookmarkEnd w:id="7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state and local withholding tax requirements prior to the date on which Deferred Stock Units shall be deemed credited to the Account, or take any action whatever that it deems necessary to protect its interests with respect to tax liabilities. The Company’s obligation to credit Deferred Stock Units to an Account on the exercise of an Option subject to an Initial or Subsequent Election shall be conditioned on the Participant’s compliance, to the Company’s satisfaction, with any withholding requirement. Except as otherwise provided in Section 10.2, the Company shall satisfy all applicable withholding tax requirements by withholding tax from other compensation payable by the Company to the Participant, or by the Participant’s delivery of cash or other property acceptable to the Company having a value equal to the applicable withholding tax.</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Share Withholding Election</w:t>
      </w:r>
      <w:r>
        <w:rPr>
          <w:rFonts w:ascii="Arial" w:cs="Arial" w:eastAsia="Arial" w:hAnsi="Arial"/>
          <w:sz w:val="16"/>
          <w:szCs w:val="16"/>
          <w:color w:val="auto"/>
        </w:rPr>
        <w:t>. With respect to any Option subject to an Initial Election, an Eligible Employee, Former Eligible Employee, Successor-in-Interest or Permitted Transferee may elect to have the number of Option Shares determined such that Shares subject to such Option are withheld by the Company to the extent necessary to satisfy any withholding tax liabilities incurred in connection with the exercise of such Option. The number of Shares subject to an Option to be withheld pursuant to such a Share Withholding Election shall have a Fair Market Value approximately equal to the sum of:</w:t>
      </w:r>
    </w:p>
    <w:p>
      <w:pPr>
        <w:spacing w:after="0" w:line="32" w:lineRule="exact"/>
        <w:rPr>
          <w:sz w:val="20"/>
          <w:szCs w:val="20"/>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minimum amount of withholding taxes required to be withheld by the Company under applicable law, plus</w:t>
      </w:r>
    </w:p>
    <w:p>
      <w:pPr>
        <w:spacing w:after="0" w:line="171" w:lineRule="exact"/>
        <w:rPr>
          <w:rFonts w:ascii="Arial" w:cs="Arial" w:eastAsia="Arial" w:hAnsi="Arial"/>
          <w:sz w:val="18"/>
          <w:szCs w:val="18"/>
          <w:color w:val="auto"/>
        </w:rPr>
      </w:pPr>
    </w:p>
    <w:p>
      <w:pPr>
        <w:ind w:right="140" w:firstLine="921"/>
        <w:spacing w:after="0" w:line="306" w:lineRule="auto"/>
        <w:tabs>
          <w:tab w:leader="none" w:pos="11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Either (i) the minimum amount of withholding taxes arising because of the recognition of income (and consequent non-deferral of income) with respect to such withheld Shares, or (ii) the amount of withholding taxes arising because of the recognition of income (and consequent non-deferral of income) with respect to such withheld Shares, calculated at the highest applicable marginal tax rates, as indicated on the Share Withholding Election.</w:t>
      </w:r>
    </w:p>
    <w:p>
      <w:pPr>
        <w:spacing w:after="0" w:line="10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Notwithstanding any other provision of the Plan or the terms of any Initial or Subsequent Election, the number of Deferred Stock Units credited to Participants’ Accounts shall be adjusted appropriately to reflect the withholding of Shares pursuant to such Share Withholding Elections.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CAPITAL ADJUSTMENTS</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Capital Adjustments</w:t>
      </w:r>
      <w:r>
        <w:rPr>
          <w:rFonts w:ascii="Arial" w:cs="Arial" w:eastAsia="Arial" w:hAnsi="Arial"/>
          <w:sz w:val="16"/>
          <w:szCs w:val="16"/>
          <w:color w:val="auto"/>
        </w:rPr>
        <w:t>. In the event that the Common Stock or Special Common Stock is changed into, or exchanged for, a different number or kind of shares of stock or other securities of the Company, whether through merger, consolidation, reorganization, recapitalization, stock dividends, stock split-ups or other substitution of securities of the Company, the Committee shall make appropriate equitable anti-dilution adjustments to the number of Deferred Stock Units credited to Participants’ Accounts. The Committee’s adjustment shall be effective and binding for all purposes of the Plan.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8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Expiration of Options</w:t>
      </w:r>
      <w:r>
        <w:rPr>
          <w:rFonts w:ascii="Arial" w:cs="Arial" w:eastAsia="Arial" w:hAnsi="Arial"/>
          <w:sz w:val="18"/>
          <w:szCs w:val="18"/>
          <w:color w:val="auto"/>
        </w:rPr>
        <w:t>. Notwithstanding any provision of the Plan or an Initial or Subsequent Election, no Initial or Subsequent Election shall be effective with respect to an Option that has expired. In addition, no provision of the Plan or an Initial or Subsequent Election shall be construed to extend the expiration date of any Option.</w:t>
      </w:r>
    </w:p>
    <w:p>
      <w:pPr>
        <w:spacing w:after="0" w:line="29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ARTICLE 13 - EFFECTIVE DATE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this amendment and restatement of the Plan shall be October 7, 2008.</w:t>
      </w:r>
    </w:p>
    <w:p>
      <w:pPr>
        <w:spacing w:after="0" w:line="171" w:lineRule="exact"/>
        <w:rPr>
          <w:sz w:val="20"/>
          <w:szCs w:val="20"/>
          <w:color w:val="auto"/>
        </w:rPr>
      </w:pPr>
    </w:p>
    <w:p>
      <w:pPr>
        <w:ind w:right="380" w:firstLine="913"/>
        <w:spacing w:after="0" w:line="304"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October, 2008.</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10795</wp:posOffset>
            </wp:positionV>
            <wp:extent cx="24441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10795</wp:posOffset>
            </wp:positionV>
            <wp:extent cx="24441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280"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194945</wp:posOffset>
            </wp:positionV>
            <wp:extent cx="1517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COMCAST CORPORATION RETIREMENT-INVESTMENT PLAN</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Effective October 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I – 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 TRANSITION AND ELIGIBILITY TO PARTICIPATE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1720" w:type="dxa"/>
            <w:vAlign w:val="bottom"/>
          </w:tcPr>
          <w:p>
            <w:pPr>
              <w:ind w:left="660"/>
              <w:spacing w:after="0"/>
              <w:rPr>
                <w:sz w:val="20"/>
                <w:szCs w:val="20"/>
                <w:color w:val="auto"/>
              </w:rPr>
            </w:pPr>
            <w:r>
              <w:rPr>
                <w:rFonts w:ascii="Arial" w:cs="Arial" w:eastAsia="Arial" w:hAnsi="Arial"/>
                <w:sz w:val="18"/>
                <w:szCs w:val="18"/>
                <w:color w:val="auto"/>
              </w:rPr>
              <w:t>Section 2.1.</w:t>
            </w:r>
          </w:p>
        </w:tc>
        <w:tc>
          <w:tcPr>
            <w:tcW w:w="9420" w:type="dxa"/>
            <w:vAlign w:val="bottom"/>
          </w:tcPr>
          <w:p>
            <w:pPr>
              <w:ind w:left="80"/>
              <w:spacing w:after="0"/>
              <w:rPr>
                <w:sz w:val="20"/>
                <w:szCs w:val="20"/>
                <w:color w:val="auto"/>
              </w:rPr>
            </w:pPr>
            <w:r>
              <w:rPr>
                <w:rFonts w:ascii="Arial" w:cs="Arial" w:eastAsia="Arial" w:hAnsi="Arial"/>
                <w:sz w:val="18"/>
                <w:szCs w:val="18"/>
                <w:color w:val="auto"/>
              </w:rPr>
              <w:t>Rights Affected and Preservation of Accrued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2.2.</w:t>
            </w:r>
          </w:p>
        </w:tc>
        <w:tc>
          <w:tcPr>
            <w:tcW w:w="9420" w:type="dxa"/>
            <w:vAlign w:val="bottom"/>
          </w:tcPr>
          <w:p>
            <w:pPr>
              <w:ind w:left="80"/>
              <w:spacing w:after="0"/>
              <w:rPr>
                <w:sz w:val="20"/>
                <w:szCs w:val="20"/>
                <w:color w:val="auto"/>
              </w:rPr>
            </w:pPr>
            <w:r>
              <w:rPr>
                <w:rFonts w:ascii="Arial" w:cs="Arial" w:eastAsia="Arial" w:hAnsi="Arial"/>
                <w:sz w:val="18"/>
                <w:szCs w:val="18"/>
                <w:color w:val="auto"/>
              </w:rPr>
              <w:t>Year of Eligibility Service for Special Employees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2.3.</w:t>
            </w:r>
          </w:p>
        </w:tc>
        <w:tc>
          <w:tcPr>
            <w:tcW w:w="9420" w:type="dxa"/>
            <w:vAlign w:val="bottom"/>
          </w:tcPr>
          <w:p>
            <w:pPr>
              <w:ind w:left="80"/>
              <w:spacing w:after="0"/>
              <w:rPr>
                <w:sz w:val="20"/>
                <w:szCs w:val="20"/>
                <w:color w:val="auto"/>
              </w:rPr>
            </w:pPr>
            <w:r>
              <w:rPr>
                <w:rFonts w:ascii="Arial" w:cs="Arial" w:eastAsia="Arial" w:hAnsi="Arial"/>
                <w:sz w:val="18"/>
                <w:szCs w:val="18"/>
                <w:color w:val="auto"/>
              </w:rPr>
              <w:t>Eligibility to Participate – Pre-Tax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2.4.</w:t>
            </w:r>
          </w:p>
        </w:tc>
        <w:tc>
          <w:tcPr>
            <w:tcW w:w="9420" w:type="dxa"/>
            <w:vAlign w:val="bottom"/>
          </w:tcPr>
          <w:p>
            <w:pPr>
              <w:ind w:left="80"/>
              <w:spacing w:after="0"/>
              <w:rPr>
                <w:sz w:val="20"/>
                <w:szCs w:val="20"/>
                <w:color w:val="auto"/>
              </w:rPr>
            </w:pPr>
            <w:r>
              <w:rPr>
                <w:rFonts w:ascii="Arial" w:cs="Arial" w:eastAsia="Arial" w:hAnsi="Arial"/>
                <w:sz w:val="18"/>
                <w:szCs w:val="18"/>
                <w:color w:val="auto"/>
              </w:rPr>
              <w:t>Election to Make Pre-Tax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w w:val="97"/>
              </w:rPr>
              <w:t>Section 2.4A.</w:t>
            </w:r>
          </w:p>
        </w:tc>
        <w:tc>
          <w:tcPr>
            <w:tcW w:w="9420" w:type="dxa"/>
            <w:vAlign w:val="bottom"/>
          </w:tcPr>
          <w:p>
            <w:pPr>
              <w:ind w:left="80"/>
              <w:spacing w:after="0"/>
              <w:rPr>
                <w:sz w:val="20"/>
                <w:szCs w:val="20"/>
                <w:color w:val="auto"/>
              </w:rPr>
            </w:pPr>
            <w:r>
              <w:rPr>
                <w:rFonts w:ascii="Arial" w:cs="Arial" w:eastAsia="Arial" w:hAnsi="Arial"/>
                <w:sz w:val="18"/>
                <w:szCs w:val="18"/>
                <w:color w:val="auto"/>
              </w:rPr>
              <w:t>Automatic Enrollment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2.5.</w:t>
            </w:r>
          </w:p>
        </w:tc>
        <w:tc>
          <w:tcPr>
            <w:tcW w:w="9420" w:type="dxa"/>
            <w:vAlign w:val="bottom"/>
          </w:tcPr>
          <w:p>
            <w:pPr>
              <w:ind w:left="80"/>
              <w:spacing w:after="0"/>
              <w:rPr>
                <w:sz w:val="20"/>
                <w:szCs w:val="20"/>
                <w:color w:val="auto"/>
              </w:rPr>
            </w:pPr>
            <w:r>
              <w:rPr>
                <w:rFonts w:ascii="Arial" w:cs="Arial" w:eastAsia="Arial" w:hAnsi="Arial"/>
                <w:sz w:val="18"/>
                <w:szCs w:val="18"/>
                <w:color w:val="auto"/>
              </w:rPr>
              <w:t>Participation in Matching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2.6.</w:t>
            </w:r>
          </w:p>
        </w:tc>
        <w:tc>
          <w:tcPr>
            <w:tcW w:w="9420" w:type="dxa"/>
            <w:vAlign w:val="bottom"/>
          </w:tcPr>
          <w:p>
            <w:pPr>
              <w:ind w:left="80"/>
              <w:spacing w:after="0"/>
              <w:rPr>
                <w:sz w:val="20"/>
                <w:szCs w:val="20"/>
                <w:color w:val="auto"/>
              </w:rPr>
            </w:pPr>
            <w:r>
              <w:rPr>
                <w:rFonts w:ascii="Arial" w:cs="Arial" w:eastAsia="Arial" w:hAnsi="Arial"/>
                <w:sz w:val="18"/>
                <w:szCs w:val="18"/>
                <w:color w:val="auto"/>
              </w:rPr>
              <w:t>Eligibility to Participate – After-Tax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2.7.</w:t>
            </w:r>
          </w:p>
        </w:tc>
        <w:tc>
          <w:tcPr>
            <w:tcW w:w="9420" w:type="dxa"/>
            <w:vAlign w:val="bottom"/>
          </w:tcPr>
          <w:p>
            <w:pPr>
              <w:ind w:left="80"/>
              <w:spacing w:after="0"/>
              <w:rPr>
                <w:sz w:val="20"/>
                <w:szCs w:val="20"/>
                <w:color w:val="auto"/>
              </w:rPr>
            </w:pPr>
            <w:r>
              <w:rPr>
                <w:rFonts w:ascii="Arial" w:cs="Arial" w:eastAsia="Arial" w:hAnsi="Arial"/>
                <w:sz w:val="18"/>
                <w:szCs w:val="18"/>
                <w:color w:val="auto"/>
              </w:rPr>
              <w:t>Data</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1720" w:type="dxa"/>
            <w:vAlign w:val="bottom"/>
          </w:tcPr>
          <w:p>
            <w:pPr>
              <w:ind w:left="660"/>
              <w:spacing w:after="0"/>
              <w:rPr>
                <w:sz w:val="20"/>
                <w:szCs w:val="20"/>
                <w:color w:val="auto"/>
              </w:rPr>
            </w:pPr>
            <w:r>
              <w:rPr>
                <w:rFonts w:ascii="Arial" w:cs="Arial" w:eastAsia="Arial" w:hAnsi="Arial"/>
                <w:sz w:val="18"/>
                <w:szCs w:val="18"/>
                <w:color w:val="auto"/>
              </w:rPr>
              <w:t>Section 2.8.</w:t>
            </w:r>
          </w:p>
        </w:tc>
        <w:tc>
          <w:tcPr>
            <w:tcW w:w="9420" w:type="dxa"/>
            <w:vAlign w:val="bottom"/>
          </w:tcPr>
          <w:p>
            <w:pPr>
              <w:ind w:left="80"/>
              <w:spacing w:after="0"/>
              <w:rPr>
                <w:sz w:val="20"/>
                <w:szCs w:val="20"/>
                <w:color w:val="auto"/>
              </w:rPr>
            </w:pPr>
            <w:r>
              <w:rPr>
                <w:rFonts w:ascii="Arial" w:cs="Arial" w:eastAsia="Arial" w:hAnsi="Arial"/>
                <w:sz w:val="18"/>
                <w:szCs w:val="18"/>
                <w:color w:val="auto"/>
              </w:rPr>
              <w:t>Credit for Qualified Military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 CONTRIBUTIONS TO THE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8"/>
        </w:trPr>
        <w:tc>
          <w:tcPr>
            <w:tcW w:w="1720" w:type="dxa"/>
            <w:vAlign w:val="bottom"/>
          </w:tcPr>
          <w:p>
            <w:pPr>
              <w:ind w:left="660"/>
              <w:spacing w:after="0"/>
              <w:rPr>
                <w:sz w:val="20"/>
                <w:szCs w:val="20"/>
                <w:color w:val="auto"/>
              </w:rPr>
            </w:pPr>
            <w:r>
              <w:rPr>
                <w:rFonts w:ascii="Arial" w:cs="Arial" w:eastAsia="Arial" w:hAnsi="Arial"/>
                <w:sz w:val="18"/>
                <w:szCs w:val="18"/>
                <w:color w:val="auto"/>
              </w:rPr>
              <w:t>Section 3.1.</w:t>
            </w:r>
          </w:p>
        </w:tc>
        <w:tc>
          <w:tcPr>
            <w:tcW w:w="9420" w:type="dxa"/>
            <w:vAlign w:val="bottom"/>
          </w:tcPr>
          <w:p>
            <w:pPr>
              <w:ind w:left="80"/>
              <w:spacing w:after="0"/>
              <w:rPr>
                <w:sz w:val="20"/>
                <w:szCs w:val="20"/>
                <w:color w:val="auto"/>
              </w:rPr>
            </w:pPr>
            <w:r>
              <w:rPr>
                <w:rFonts w:ascii="Arial" w:cs="Arial" w:eastAsia="Arial" w:hAnsi="Arial"/>
                <w:sz w:val="18"/>
                <w:szCs w:val="18"/>
                <w:color w:val="auto"/>
              </w:rPr>
              <w:t>Pre-Tax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3.2.</w:t>
            </w:r>
          </w:p>
        </w:tc>
        <w:tc>
          <w:tcPr>
            <w:tcW w:w="9420" w:type="dxa"/>
            <w:vAlign w:val="bottom"/>
          </w:tcPr>
          <w:p>
            <w:pPr>
              <w:ind w:left="80"/>
              <w:spacing w:after="0"/>
              <w:rPr>
                <w:sz w:val="20"/>
                <w:szCs w:val="20"/>
                <w:color w:val="auto"/>
              </w:rPr>
            </w:pPr>
            <w:r>
              <w:rPr>
                <w:rFonts w:ascii="Arial" w:cs="Arial" w:eastAsia="Arial" w:hAnsi="Arial"/>
                <w:sz w:val="18"/>
                <w:szCs w:val="18"/>
                <w:color w:val="auto"/>
              </w:rPr>
              <w:t>After-Tax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3.3.</w:t>
            </w:r>
          </w:p>
        </w:tc>
        <w:tc>
          <w:tcPr>
            <w:tcW w:w="9420" w:type="dxa"/>
            <w:vAlign w:val="bottom"/>
          </w:tcPr>
          <w:p>
            <w:pPr>
              <w:ind w:left="80"/>
              <w:spacing w:after="0"/>
              <w:rPr>
                <w:sz w:val="20"/>
                <w:szCs w:val="20"/>
                <w:color w:val="auto"/>
              </w:rPr>
            </w:pPr>
            <w:r>
              <w:rPr>
                <w:rFonts w:ascii="Arial" w:cs="Arial" w:eastAsia="Arial" w:hAnsi="Arial"/>
                <w:sz w:val="18"/>
                <w:szCs w:val="18"/>
                <w:color w:val="auto"/>
              </w:rPr>
              <w:t>Change of Percentage Rate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3.4.</w:t>
            </w:r>
          </w:p>
        </w:tc>
        <w:tc>
          <w:tcPr>
            <w:tcW w:w="9420" w:type="dxa"/>
            <w:vAlign w:val="bottom"/>
          </w:tcPr>
          <w:p>
            <w:pPr>
              <w:ind w:left="80"/>
              <w:spacing w:after="0"/>
              <w:rPr>
                <w:sz w:val="20"/>
                <w:szCs w:val="20"/>
                <w:color w:val="auto"/>
              </w:rPr>
            </w:pPr>
            <w:r>
              <w:rPr>
                <w:rFonts w:ascii="Arial" w:cs="Arial" w:eastAsia="Arial" w:hAnsi="Arial"/>
                <w:sz w:val="18"/>
                <w:szCs w:val="18"/>
                <w:color w:val="auto"/>
              </w:rPr>
              <w:t>Discontinuance of Pre-Tax Contributions and After-Tax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3.5.</w:t>
            </w:r>
          </w:p>
        </w:tc>
        <w:tc>
          <w:tcPr>
            <w:tcW w:w="9420" w:type="dxa"/>
            <w:vAlign w:val="bottom"/>
          </w:tcPr>
          <w:p>
            <w:pPr>
              <w:ind w:left="80"/>
              <w:spacing w:after="0"/>
              <w:rPr>
                <w:sz w:val="20"/>
                <w:szCs w:val="20"/>
                <w:color w:val="auto"/>
              </w:rPr>
            </w:pPr>
            <w:r>
              <w:rPr>
                <w:rFonts w:ascii="Arial" w:cs="Arial" w:eastAsia="Arial" w:hAnsi="Arial"/>
                <w:sz w:val="18"/>
                <w:szCs w:val="18"/>
                <w:color w:val="auto"/>
              </w:rPr>
              <w:t>Matching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3.6.</w:t>
            </w:r>
          </w:p>
        </w:tc>
        <w:tc>
          <w:tcPr>
            <w:tcW w:w="9420" w:type="dxa"/>
            <w:vAlign w:val="bottom"/>
          </w:tcPr>
          <w:p>
            <w:pPr>
              <w:ind w:left="80"/>
              <w:spacing w:after="0"/>
              <w:rPr>
                <w:sz w:val="20"/>
                <w:szCs w:val="20"/>
                <w:color w:val="auto"/>
              </w:rPr>
            </w:pPr>
            <w:r>
              <w:rPr>
                <w:rFonts w:ascii="Arial" w:cs="Arial" w:eastAsia="Arial" w:hAnsi="Arial"/>
                <w:sz w:val="18"/>
                <w:szCs w:val="18"/>
                <w:color w:val="auto"/>
              </w:rPr>
              <w:t>Timing and Deductibility of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3.7.</w:t>
            </w:r>
          </w:p>
        </w:tc>
        <w:tc>
          <w:tcPr>
            <w:tcW w:w="9420" w:type="dxa"/>
            <w:vAlign w:val="bottom"/>
          </w:tcPr>
          <w:p>
            <w:pPr>
              <w:ind w:left="80"/>
              <w:spacing w:after="0"/>
              <w:rPr>
                <w:sz w:val="20"/>
                <w:szCs w:val="20"/>
                <w:color w:val="auto"/>
              </w:rPr>
            </w:pPr>
            <w:r>
              <w:rPr>
                <w:rFonts w:ascii="Arial" w:cs="Arial" w:eastAsia="Arial" w:hAnsi="Arial"/>
                <w:sz w:val="18"/>
                <w:szCs w:val="18"/>
                <w:color w:val="auto"/>
              </w:rPr>
              <w:t>Fund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3.8.</w:t>
            </w:r>
          </w:p>
        </w:tc>
        <w:tc>
          <w:tcPr>
            <w:tcW w:w="9420" w:type="dxa"/>
            <w:vAlign w:val="bottom"/>
          </w:tcPr>
          <w:p>
            <w:pPr>
              <w:ind w:left="80"/>
              <w:spacing w:after="0"/>
              <w:rPr>
                <w:sz w:val="20"/>
                <w:szCs w:val="20"/>
                <w:color w:val="auto"/>
              </w:rPr>
            </w:pPr>
            <w:r>
              <w:rPr>
                <w:rFonts w:ascii="Arial" w:cs="Arial" w:eastAsia="Arial" w:hAnsi="Arial"/>
                <w:sz w:val="18"/>
                <w:szCs w:val="18"/>
                <w:color w:val="auto"/>
              </w:rPr>
              <w:t>Limitation on Pre-Tax Contributions and Matching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3.9.</w:t>
            </w:r>
          </w:p>
        </w:tc>
        <w:tc>
          <w:tcPr>
            <w:tcW w:w="9420" w:type="dxa"/>
            <w:vAlign w:val="bottom"/>
          </w:tcPr>
          <w:p>
            <w:pPr>
              <w:ind w:left="80"/>
              <w:spacing w:after="0"/>
              <w:rPr>
                <w:sz w:val="20"/>
                <w:szCs w:val="20"/>
                <w:color w:val="auto"/>
              </w:rPr>
            </w:pPr>
            <w:r>
              <w:rPr>
                <w:rFonts w:ascii="Arial" w:cs="Arial" w:eastAsia="Arial" w:hAnsi="Arial"/>
                <w:sz w:val="18"/>
                <w:szCs w:val="18"/>
                <w:color w:val="auto"/>
              </w:rPr>
              <w:t>Prevention of Violation of Limitation on Pre-Tax Contributions and Matching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w w:val="98"/>
              </w:rPr>
              <w:t>Section 3.10.</w:t>
            </w:r>
          </w:p>
        </w:tc>
        <w:tc>
          <w:tcPr>
            <w:tcW w:w="9420" w:type="dxa"/>
            <w:vAlign w:val="bottom"/>
          </w:tcPr>
          <w:p>
            <w:pPr>
              <w:ind w:left="80"/>
              <w:spacing w:after="0"/>
              <w:rPr>
                <w:sz w:val="20"/>
                <w:szCs w:val="20"/>
                <w:color w:val="auto"/>
              </w:rPr>
            </w:pPr>
            <w:r>
              <w:rPr>
                <w:rFonts w:ascii="Arial" w:cs="Arial" w:eastAsia="Arial" w:hAnsi="Arial"/>
                <w:sz w:val="18"/>
                <w:szCs w:val="18"/>
                <w:color w:val="auto"/>
              </w:rPr>
              <w:t>Maximum Allocation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1720" w:type="dxa"/>
            <w:vAlign w:val="bottom"/>
          </w:tcPr>
          <w:p>
            <w:pPr>
              <w:ind w:left="660"/>
              <w:spacing w:after="0"/>
              <w:rPr>
                <w:sz w:val="20"/>
                <w:szCs w:val="20"/>
                <w:color w:val="auto"/>
              </w:rPr>
            </w:pPr>
            <w:r>
              <w:rPr>
                <w:rFonts w:ascii="Arial" w:cs="Arial" w:eastAsia="Arial" w:hAnsi="Arial"/>
                <w:sz w:val="18"/>
                <w:szCs w:val="18"/>
                <w:color w:val="auto"/>
                <w:w w:val="98"/>
              </w:rPr>
              <w:t>Section 3.11.</w:t>
            </w:r>
          </w:p>
        </w:tc>
        <w:tc>
          <w:tcPr>
            <w:tcW w:w="9420" w:type="dxa"/>
            <w:vAlign w:val="bottom"/>
          </w:tcPr>
          <w:p>
            <w:pPr>
              <w:ind w:left="80"/>
              <w:spacing w:after="0"/>
              <w:rPr>
                <w:sz w:val="20"/>
                <w:szCs w:val="20"/>
                <w:color w:val="auto"/>
              </w:rPr>
            </w:pPr>
            <w:r>
              <w:rPr>
                <w:rFonts w:ascii="Arial" w:cs="Arial" w:eastAsia="Arial" w:hAnsi="Arial"/>
                <w:sz w:val="18"/>
                <w:szCs w:val="18"/>
                <w:color w:val="auto"/>
              </w:rPr>
              <w:t>Safe Harbor Status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 PARTICIPANTS’ ACCOUNTS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720" w:type="dxa"/>
            <w:vAlign w:val="bottom"/>
          </w:tcPr>
          <w:p>
            <w:pPr>
              <w:ind w:left="660"/>
              <w:spacing w:after="0"/>
              <w:rPr>
                <w:sz w:val="20"/>
                <w:szCs w:val="20"/>
                <w:color w:val="auto"/>
              </w:rPr>
            </w:pPr>
            <w:r>
              <w:rPr>
                <w:rFonts w:ascii="Arial" w:cs="Arial" w:eastAsia="Arial" w:hAnsi="Arial"/>
                <w:sz w:val="18"/>
                <w:szCs w:val="18"/>
                <w:color w:val="auto"/>
              </w:rPr>
              <w:t>Section 4.1.</w:t>
            </w:r>
          </w:p>
        </w:tc>
        <w:tc>
          <w:tcPr>
            <w:tcW w:w="9420" w:type="dxa"/>
            <w:vAlign w:val="bottom"/>
          </w:tcPr>
          <w:p>
            <w:pPr>
              <w:ind w:left="80"/>
              <w:spacing w:after="0"/>
              <w:rPr>
                <w:sz w:val="20"/>
                <w:szCs w:val="20"/>
                <w:color w:val="auto"/>
              </w:rPr>
            </w:pPr>
            <w:r>
              <w:rPr>
                <w:rFonts w:ascii="Arial" w:cs="Arial" w:eastAsia="Arial" w:hAnsi="Arial"/>
                <w:sz w:val="18"/>
                <w:szCs w:val="18"/>
                <w:color w:val="auto"/>
              </w:rPr>
              <w:t>Accounts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4.2.</w:t>
            </w:r>
          </w:p>
        </w:tc>
        <w:tc>
          <w:tcPr>
            <w:tcW w:w="9420" w:type="dxa"/>
            <w:vAlign w:val="bottom"/>
          </w:tcPr>
          <w:p>
            <w:pPr>
              <w:ind w:left="80"/>
              <w:spacing w:after="0"/>
              <w:rPr>
                <w:sz w:val="20"/>
                <w:szCs w:val="20"/>
                <w:color w:val="auto"/>
              </w:rPr>
            </w:pPr>
            <w:r>
              <w:rPr>
                <w:rFonts w:ascii="Arial" w:cs="Arial" w:eastAsia="Arial" w:hAnsi="Arial"/>
                <w:sz w:val="18"/>
                <w:szCs w:val="18"/>
                <w:color w:val="auto"/>
              </w:rPr>
              <w:t>Valuation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4.3.</w:t>
            </w:r>
          </w:p>
        </w:tc>
        <w:tc>
          <w:tcPr>
            <w:tcW w:w="9420" w:type="dxa"/>
            <w:vAlign w:val="bottom"/>
          </w:tcPr>
          <w:p>
            <w:pPr>
              <w:ind w:left="80"/>
              <w:spacing w:after="0"/>
              <w:rPr>
                <w:sz w:val="20"/>
                <w:szCs w:val="20"/>
                <w:color w:val="auto"/>
              </w:rPr>
            </w:pPr>
            <w:r>
              <w:rPr>
                <w:rFonts w:ascii="Arial" w:cs="Arial" w:eastAsia="Arial" w:hAnsi="Arial"/>
                <w:sz w:val="18"/>
                <w:szCs w:val="18"/>
                <w:color w:val="auto"/>
              </w:rPr>
              <w:t>Apportionment of Gain or Loss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1720" w:type="dxa"/>
            <w:vAlign w:val="bottom"/>
          </w:tcPr>
          <w:p>
            <w:pPr>
              <w:ind w:left="660"/>
              <w:spacing w:after="0"/>
              <w:rPr>
                <w:sz w:val="20"/>
                <w:szCs w:val="20"/>
                <w:color w:val="auto"/>
              </w:rPr>
            </w:pPr>
            <w:r>
              <w:rPr>
                <w:rFonts w:ascii="Arial" w:cs="Arial" w:eastAsia="Arial" w:hAnsi="Arial"/>
                <w:sz w:val="18"/>
                <w:szCs w:val="18"/>
                <w:color w:val="auto"/>
              </w:rPr>
              <w:t>Section 4.4.</w:t>
            </w:r>
          </w:p>
        </w:tc>
        <w:tc>
          <w:tcPr>
            <w:tcW w:w="9420" w:type="dxa"/>
            <w:vAlign w:val="bottom"/>
          </w:tcPr>
          <w:p>
            <w:pPr>
              <w:ind w:left="80"/>
              <w:spacing w:after="0"/>
              <w:rPr>
                <w:sz w:val="20"/>
                <w:szCs w:val="20"/>
                <w:color w:val="auto"/>
              </w:rPr>
            </w:pPr>
            <w:r>
              <w:rPr>
                <w:rFonts w:ascii="Arial" w:cs="Arial" w:eastAsia="Arial" w:hAnsi="Arial"/>
                <w:sz w:val="18"/>
                <w:szCs w:val="18"/>
                <w:color w:val="auto"/>
              </w:rPr>
              <w:t>Accounting for Allocations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 DISTRIBUTION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1720" w:type="dxa"/>
            <w:vAlign w:val="bottom"/>
          </w:tcPr>
          <w:p>
            <w:pPr>
              <w:ind w:left="660"/>
              <w:spacing w:after="0"/>
              <w:rPr>
                <w:sz w:val="20"/>
                <w:szCs w:val="20"/>
                <w:color w:val="auto"/>
              </w:rPr>
            </w:pPr>
            <w:r>
              <w:rPr>
                <w:rFonts w:ascii="Arial" w:cs="Arial" w:eastAsia="Arial" w:hAnsi="Arial"/>
                <w:sz w:val="18"/>
                <w:szCs w:val="18"/>
                <w:color w:val="auto"/>
              </w:rPr>
              <w:t>Section 5.1.</w:t>
            </w:r>
          </w:p>
        </w:tc>
        <w:tc>
          <w:tcPr>
            <w:tcW w:w="9420" w:type="dxa"/>
            <w:vAlign w:val="bottom"/>
          </w:tcPr>
          <w:p>
            <w:pPr>
              <w:ind w:left="80"/>
              <w:spacing w:after="0"/>
              <w:rPr>
                <w:sz w:val="20"/>
                <w:szCs w:val="20"/>
                <w:color w:val="auto"/>
              </w:rPr>
            </w:pPr>
            <w:r>
              <w:rPr>
                <w:rFonts w:ascii="Arial" w:cs="Arial" w:eastAsia="Arial" w:hAnsi="Arial"/>
                <w:sz w:val="18"/>
                <w:szCs w:val="18"/>
                <w:color w:val="auto"/>
              </w:rPr>
              <w:t>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5.2.</w:t>
            </w:r>
          </w:p>
        </w:tc>
        <w:tc>
          <w:tcPr>
            <w:tcW w:w="9420" w:type="dxa"/>
            <w:vAlign w:val="bottom"/>
          </w:tcPr>
          <w:p>
            <w:pPr>
              <w:ind w:left="80"/>
              <w:spacing w:after="0"/>
              <w:rPr>
                <w:sz w:val="20"/>
                <w:szCs w:val="20"/>
                <w:color w:val="auto"/>
              </w:rPr>
            </w:pPr>
            <w:r>
              <w:rPr>
                <w:rFonts w:ascii="Arial" w:cs="Arial" w:eastAsia="Arial" w:hAnsi="Arial"/>
                <w:sz w:val="18"/>
                <w:szCs w:val="18"/>
                <w:color w:val="auto"/>
              </w:rPr>
              <w:t>Separation from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5.3.</w:t>
            </w:r>
          </w:p>
        </w:tc>
        <w:tc>
          <w:tcPr>
            <w:tcW w:w="9420" w:type="dxa"/>
            <w:vAlign w:val="bottom"/>
          </w:tcPr>
          <w:p>
            <w:pPr>
              <w:ind w:left="80"/>
              <w:spacing w:after="0"/>
              <w:rPr>
                <w:sz w:val="20"/>
                <w:szCs w:val="20"/>
                <w:color w:val="auto"/>
              </w:rPr>
            </w:pPr>
            <w:r>
              <w:rPr>
                <w:rFonts w:ascii="Arial" w:cs="Arial" w:eastAsia="Arial" w:hAnsi="Arial"/>
                <w:sz w:val="18"/>
                <w:szCs w:val="18"/>
                <w:color w:val="auto"/>
              </w:rPr>
              <w:t>Death</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720" w:type="dxa"/>
            <w:vAlign w:val="bottom"/>
          </w:tcPr>
          <w:p>
            <w:pPr>
              <w:ind w:left="660"/>
              <w:spacing w:after="0"/>
              <w:rPr>
                <w:sz w:val="20"/>
                <w:szCs w:val="20"/>
                <w:color w:val="auto"/>
              </w:rPr>
            </w:pPr>
            <w:r>
              <w:rPr>
                <w:rFonts w:ascii="Arial" w:cs="Arial" w:eastAsia="Arial" w:hAnsi="Arial"/>
                <w:sz w:val="18"/>
                <w:szCs w:val="18"/>
                <w:color w:val="auto"/>
              </w:rPr>
              <w:t>Section 5.4.</w:t>
            </w:r>
          </w:p>
        </w:tc>
        <w:tc>
          <w:tcPr>
            <w:tcW w:w="9420" w:type="dxa"/>
            <w:vAlign w:val="bottom"/>
          </w:tcPr>
          <w:p>
            <w:pPr>
              <w:ind w:left="80"/>
              <w:spacing w:after="0"/>
              <w:rPr>
                <w:sz w:val="20"/>
                <w:szCs w:val="20"/>
                <w:color w:val="auto"/>
              </w:rPr>
            </w:pPr>
            <w:r>
              <w:rPr>
                <w:rFonts w:ascii="Arial" w:cs="Arial" w:eastAsia="Arial" w:hAnsi="Arial"/>
                <w:sz w:val="18"/>
                <w:szCs w:val="18"/>
                <w:color w:val="auto"/>
              </w:rPr>
              <w:t>Total Disability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1720" w:type="dxa"/>
            <w:vAlign w:val="bottom"/>
          </w:tcPr>
          <w:p>
            <w:pPr>
              <w:ind w:left="660"/>
              <w:spacing w:after="0"/>
              <w:rPr>
                <w:sz w:val="20"/>
                <w:szCs w:val="20"/>
                <w:color w:val="auto"/>
              </w:rPr>
            </w:pPr>
            <w:r>
              <w:rPr>
                <w:rFonts w:ascii="Arial" w:cs="Arial" w:eastAsia="Arial" w:hAnsi="Arial"/>
                <w:sz w:val="18"/>
                <w:szCs w:val="18"/>
                <w:color w:val="auto"/>
              </w:rPr>
              <w:t>Section 5.5.</w:t>
            </w:r>
          </w:p>
        </w:tc>
        <w:tc>
          <w:tcPr>
            <w:tcW w:w="9420" w:type="dxa"/>
            <w:vAlign w:val="bottom"/>
          </w:tcPr>
          <w:p>
            <w:pPr>
              <w:ind w:left="80"/>
              <w:spacing w:after="0"/>
              <w:rPr>
                <w:sz w:val="20"/>
                <w:szCs w:val="20"/>
                <w:color w:val="auto"/>
              </w:rPr>
            </w:pPr>
            <w:r>
              <w:rPr>
                <w:rFonts w:ascii="Arial" w:cs="Arial" w:eastAsia="Arial" w:hAnsi="Arial"/>
                <w:sz w:val="18"/>
                <w:szCs w:val="18"/>
                <w:color w:val="auto"/>
              </w:rPr>
              <w:t>Valuation for Distribution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700" w:type="dxa"/>
            <w:vAlign w:val="bottom"/>
            <w:vMerge w:val="restart"/>
          </w:tcPr>
          <w:p>
            <w:pPr>
              <w:ind w:left="660"/>
              <w:spacing w:after="0"/>
              <w:rPr>
                <w:sz w:val="20"/>
                <w:szCs w:val="20"/>
                <w:color w:val="auto"/>
              </w:rPr>
            </w:pPr>
            <w:r>
              <w:rPr>
                <w:rFonts w:ascii="Arial" w:cs="Arial" w:eastAsia="Arial" w:hAnsi="Arial"/>
                <w:sz w:val="18"/>
                <w:szCs w:val="18"/>
                <w:color w:val="auto"/>
              </w:rPr>
              <w:t>Section 5.6.</w:t>
            </w:r>
          </w:p>
        </w:tc>
        <w:tc>
          <w:tcPr>
            <w:tcW w:w="9440" w:type="dxa"/>
            <w:vAlign w:val="bottom"/>
            <w:vMerge w:val="restart"/>
          </w:tcPr>
          <w:p>
            <w:pPr>
              <w:ind w:left="100"/>
              <w:spacing w:after="0"/>
              <w:rPr>
                <w:sz w:val="20"/>
                <w:szCs w:val="20"/>
                <w:color w:val="auto"/>
              </w:rPr>
            </w:pPr>
            <w:r>
              <w:rPr>
                <w:rFonts w:ascii="Arial" w:cs="Arial" w:eastAsia="Arial" w:hAnsi="Arial"/>
                <w:sz w:val="18"/>
                <w:szCs w:val="18"/>
                <w:color w:val="auto"/>
              </w:rPr>
              <w:t>Timing of Distribution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700" w:type="dxa"/>
            <w:vAlign w:val="bottom"/>
            <w:vMerge w:val="continue"/>
          </w:tcPr>
          <w:p>
            <w:pPr>
              <w:spacing w:after="0"/>
              <w:rPr>
                <w:sz w:val="17"/>
                <w:szCs w:val="17"/>
                <w:color w:val="auto"/>
              </w:rPr>
            </w:pPr>
          </w:p>
        </w:tc>
        <w:tc>
          <w:tcPr>
            <w:tcW w:w="944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5.7.</w:t>
            </w:r>
          </w:p>
        </w:tc>
        <w:tc>
          <w:tcPr>
            <w:tcW w:w="9440" w:type="dxa"/>
            <w:vAlign w:val="bottom"/>
          </w:tcPr>
          <w:p>
            <w:pPr>
              <w:ind w:left="100"/>
              <w:spacing w:after="0"/>
              <w:rPr>
                <w:sz w:val="20"/>
                <w:szCs w:val="20"/>
                <w:color w:val="auto"/>
              </w:rPr>
            </w:pPr>
            <w:r>
              <w:rPr>
                <w:rFonts w:ascii="Arial" w:cs="Arial" w:eastAsia="Arial" w:hAnsi="Arial"/>
                <w:sz w:val="18"/>
                <w:szCs w:val="18"/>
                <w:color w:val="auto"/>
              </w:rPr>
              <w:t>Mode of Distribution of Retirement or Disability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5.8.</w:t>
            </w:r>
          </w:p>
        </w:tc>
        <w:tc>
          <w:tcPr>
            <w:tcW w:w="9440" w:type="dxa"/>
            <w:vAlign w:val="bottom"/>
          </w:tcPr>
          <w:p>
            <w:pPr>
              <w:ind w:left="100"/>
              <w:spacing w:after="0"/>
              <w:rPr>
                <w:sz w:val="20"/>
                <w:szCs w:val="20"/>
                <w:color w:val="auto"/>
              </w:rPr>
            </w:pPr>
            <w:r>
              <w:rPr>
                <w:rFonts w:ascii="Arial" w:cs="Arial" w:eastAsia="Arial" w:hAnsi="Arial"/>
                <w:sz w:val="18"/>
                <w:szCs w:val="18"/>
                <w:color w:val="auto"/>
              </w:rPr>
              <w:t>Rules for Election of Optional Mode of Retirement or Disability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5.9.</w:t>
            </w:r>
          </w:p>
        </w:tc>
        <w:tc>
          <w:tcPr>
            <w:tcW w:w="9440" w:type="dxa"/>
            <w:vAlign w:val="bottom"/>
          </w:tcPr>
          <w:p>
            <w:pPr>
              <w:ind w:left="100"/>
              <w:spacing w:after="0"/>
              <w:rPr>
                <w:sz w:val="20"/>
                <w:szCs w:val="20"/>
                <w:color w:val="auto"/>
              </w:rPr>
            </w:pPr>
            <w:r>
              <w:rPr>
                <w:rFonts w:ascii="Arial" w:cs="Arial" w:eastAsia="Arial" w:hAnsi="Arial"/>
                <w:sz w:val="18"/>
                <w:szCs w:val="18"/>
                <w:color w:val="auto"/>
              </w:rPr>
              <w:t>Death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5.10.</w:t>
            </w:r>
          </w:p>
        </w:tc>
        <w:tc>
          <w:tcPr>
            <w:tcW w:w="9440" w:type="dxa"/>
            <w:vAlign w:val="bottom"/>
          </w:tcPr>
          <w:p>
            <w:pPr>
              <w:ind w:left="100"/>
              <w:spacing w:after="0"/>
              <w:rPr>
                <w:sz w:val="20"/>
                <w:szCs w:val="20"/>
                <w:color w:val="auto"/>
              </w:rPr>
            </w:pPr>
            <w:r>
              <w:rPr>
                <w:rFonts w:ascii="Arial" w:cs="Arial" w:eastAsia="Arial" w:hAnsi="Arial"/>
                <w:sz w:val="18"/>
                <w:szCs w:val="18"/>
                <w:color w:val="auto"/>
              </w:rPr>
              <w:t>Explanations to Participants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5.11.</w:t>
            </w:r>
          </w:p>
        </w:tc>
        <w:tc>
          <w:tcPr>
            <w:tcW w:w="9440" w:type="dxa"/>
            <w:vAlign w:val="bottom"/>
          </w:tcPr>
          <w:p>
            <w:pPr>
              <w:ind w:left="100"/>
              <w:spacing w:after="0"/>
              <w:rPr>
                <w:sz w:val="20"/>
                <w:szCs w:val="20"/>
                <w:color w:val="auto"/>
              </w:rPr>
            </w:pPr>
            <w:r>
              <w:rPr>
                <w:rFonts w:ascii="Arial" w:cs="Arial" w:eastAsia="Arial" w:hAnsi="Arial"/>
                <w:sz w:val="18"/>
                <w:szCs w:val="18"/>
                <w:color w:val="auto"/>
              </w:rPr>
              <w:t>Beneficiary Designation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5.12.</w:t>
            </w:r>
          </w:p>
        </w:tc>
        <w:tc>
          <w:tcPr>
            <w:tcW w:w="9440" w:type="dxa"/>
            <w:vAlign w:val="bottom"/>
          </w:tcPr>
          <w:p>
            <w:pPr>
              <w:ind w:left="100"/>
              <w:spacing w:after="0"/>
              <w:rPr>
                <w:sz w:val="20"/>
                <w:szCs w:val="20"/>
                <w:color w:val="auto"/>
              </w:rPr>
            </w:pPr>
            <w:r>
              <w:rPr>
                <w:rFonts w:ascii="Arial" w:cs="Arial" w:eastAsia="Arial" w:hAnsi="Arial"/>
                <w:sz w:val="18"/>
                <w:szCs w:val="18"/>
                <w:color w:val="auto"/>
              </w:rPr>
              <w:t>Recalculation of Life Expectancy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5.13.</w:t>
            </w:r>
          </w:p>
        </w:tc>
        <w:tc>
          <w:tcPr>
            <w:tcW w:w="9440" w:type="dxa"/>
            <w:vAlign w:val="bottom"/>
          </w:tcPr>
          <w:p>
            <w:pPr>
              <w:ind w:left="100"/>
              <w:spacing w:after="0"/>
              <w:rPr>
                <w:sz w:val="20"/>
                <w:szCs w:val="20"/>
                <w:color w:val="auto"/>
              </w:rPr>
            </w:pPr>
            <w:r>
              <w:rPr>
                <w:rFonts w:ascii="Arial" w:cs="Arial" w:eastAsia="Arial" w:hAnsi="Arial"/>
                <w:sz w:val="18"/>
                <w:szCs w:val="18"/>
                <w:color w:val="auto"/>
              </w:rPr>
              <w:t>Transfer of Account to Other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5.14.</w:t>
            </w:r>
          </w:p>
        </w:tc>
        <w:tc>
          <w:tcPr>
            <w:tcW w:w="9440" w:type="dxa"/>
            <w:vAlign w:val="bottom"/>
          </w:tcPr>
          <w:p>
            <w:pPr>
              <w:ind w:left="100"/>
              <w:spacing w:after="0"/>
              <w:rPr>
                <w:sz w:val="20"/>
                <w:szCs w:val="20"/>
                <w:color w:val="auto"/>
              </w:rPr>
            </w:pPr>
            <w:r>
              <w:rPr>
                <w:rFonts w:ascii="Arial" w:cs="Arial" w:eastAsia="Arial" w:hAnsi="Arial"/>
                <w:sz w:val="18"/>
                <w:szCs w:val="18"/>
                <w:color w:val="auto"/>
              </w:rPr>
              <w:t>Section 401(a)(9)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 – VESTING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8"/>
        </w:trPr>
        <w:tc>
          <w:tcPr>
            <w:tcW w:w="1700" w:type="dxa"/>
            <w:vAlign w:val="bottom"/>
          </w:tcPr>
          <w:p>
            <w:pPr>
              <w:ind w:left="660"/>
              <w:spacing w:after="0"/>
              <w:rPr>
                <w:sz w:val="20"/>
                <w:szCs w:val="20"/>
                <w:color w:val="auto"/>
              </w:rPr>
            </w:pPr>
            <w:r>
              <w:rPr>
                <w:rFonts w:ascii="Arial" w:cs="Arial" w:eastAsia="Arial" w:hAnsi="Arial"/>
                <w:sz w:val="18"/>
                <w:szCs w:val="18"/>
                <w:color w:val="auto"/>
              </w:rPr>
              <w:t>Section 6.1.</w:t>
            </w:r>
          </w:p>
        </w:tc>
        <w:tc>
          <w:tcPr>
            <w:tcW w:w="9440" w:type="dxa"/>
            <w:vAlign w:val="bottom"/>
          </w:tcPr>
          <w:p>
            <w:pPr>
              <w:ind w:left="100"/>
              <w:spacing w:after="0"/>
              <w:rPr>
                <w:sz w:val="20"/>
                <w:szCs w:val="20"/>
                <w:color w:val="auto"/>
              </w:rPr>
            </w:pPr>
            <w:r>
              <w:rPr>
                <w:rFonts w:ascii="Arial" w:cs="Arial" w:eastAsia="Arial" w:hAnsi="Arial"/>
                <w:sz w:val="18"/>
                <w:szCs w:val="18"/>
                <w:color w:val="auto"/>
              </w:rPr>
              <w:t>Nonforfeitable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6.2.</w:t>
            </w:r>
          </w:p>
        </w:tc>
        <w:tc>
          <w:tcPr>
            <w:tcW w:w="9440" w:type="dxa"/>
            <w:vAlign w:val="bottom"/>
          </w:tcPr>
          <w:p>
            <w:pPr>
              <w:ind w:left="100"/>
              <w:spacing w:after="0"/>
              <w:rPr>
                <w:sz w:val="20"/>
                <w:szCs w:val="20"/>
                <w:color w:val="auto"/>
              </w:rPr>
            </w:pPr>
            <w:r>
              <w:rPr>
                <w:rFonts w:ascii="Arial" w:cs="Arial" w:eastAsia="Arial" w:hAnsi="Arial"/>
                <w:sz w:val="18"/>
                <w:szCs w:val="18"/>
                <w:color w:val="auto"/>
              </w:rPr>
              <w:t>Years of Service for Vesting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6.3.</w:t>
            </w:r>
          </w:p>
        </w:tc>
        <w:tc>
          <w:tcPr>
            <w:tcW w:w="9440" w:type="dxa"/>
            <w:vAlign w:val="bottom"/>
          </w:tcPr>
          <w:p>
            <w:pPr>
              <w:ind w:left="100"/>
              <w:spacing w:after="0"/>
              <w:rPr>
                <w:sz w:val="20"/>
                <w:szCs w:val="20"/>
                <w:color w:val="auto"/>
              </w:rPr>
            </w:pPr>
            <w:r>
              <w:rPr>
                <w:rFonts w:ascii="Arial" w:cs="Arial" w:eastAsia="Arial" w:hAnsi="Arial"/>
                <w:sz w:val="18"/>
                <w:szCs w:val="18"/>
                <w:color w:val="auto"/>
              </w:rPr>
              <w:t>Breaks in Service and Loss of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6.4.</w:t>
            </w:r>
          </w:p>
        </w:tc>
        <w:tc>
          <w:tcPr>
            <w:tcW w:w="9440" w:type="dxa"/>
            <w:vAlign w:val="bottom"/>
          </w:tcPr>
          <w:p>
            <w:pPr>
              <w:ind w:left="100"/>
              <w:spacing w:after="0"/>
              <w:rPr>
                <w:sz w:val="20"/>
                <w:szCs w:val="20"/>
                <w:color w:val="auto"/>
              </w:rPr>
            </w:pPr>
            <w:r>
              <w:rPr>
                <w:rFonts w:ascii="Arial" w:cs="Arial" w:eastAsia="Arial" w:hAnsi="Arial"/>
                <w:sz w:val="18"/>
                <w:szCs w:val="18"/>
                <w:color w:val="auto"/>
              </w:rPr>
              <w:t>Restoration of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1700" w:type="dxa"/>
            <w:vAlign w:val="bottom"/>
          </w:tcPr>
          <w:p>
            <w:pPr>
              <w:ind w:left="660"/>
              <w:spacing w:after="0"/>
              <w:rPr>
                <w:sz w:val="20"/>
                <w:szCs w:val="20"/>
                <w:color w:val="auto"/>
              </w:rPr>
            </w:pPr>
            <w:r>
              <w:rPr>
                <w:rFonts w:ascii="Arial" w:cs="Arial" w:eastAsia="Arial" w:hAnsi="Arial"/>
                <w:sz w:val="18"/>
                <w:szCs w:val="18"/>
                <w:color w:val="auto"/>
              </w:rPr>
              <w:t>Section 6.5.</w:t>
            </w:r>
          </w:p>
        </w:tc>
        <w:tc>
          <w:tcPr>
            <w:tcW w:w="9440" w:type="dxa"/>
            <w:vAlign w:val="bottom"/>
          </w:tcPr>
          <w:p>
            <w:pPr>
              <w:ind w:left="100"/>
              <w:spacing w:after="0"/>
              <w:rPr>
                <w:sz w:val="20"/>
                <w:szCs w:val="20"/>
                <w:color w:val="auto"/>
              </w:rPr>
            </w:pPr>
            <w:r>
              <w:rPr>
                <w:rFonts w:ascii="Arial" w:cs="Arial" w:eastAsia="Arial" w:hAnsi="Arial"/>
                <w:sz w:val="18"/>
                <w:szCs w:val="18"/>
                <w:color w:val="auto"/>
              </w:rPr>
              <w:t>Forfeitures and Restoration of Forfeited Amounts upon Reemployment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 ROLLOVER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1700" w:type="dxa"/>
            <w:vAlign w:val="bottom"/>
          </w:tcPr>
          <w:p>
            <w:pPr>
              <w:ind w:left="660"/>
              <w:spacing w:after="0"/>
              <w:rPr>
                <w:sz w:val="20"/>
                <w:szCs w:val="20"/>
                <w:color w:val="auto"/>
              </w:rPr>
            </w:pPr>
            <w:r>
              <w:rPr>
                <w:rFonts w:ascii="Arial" w:cs="Arial" w:eastAsia="Arial" w:hAnsi="Arial"/>
                <w:sz w:val="18"/>
                <w:szCs w:val="18"/>
                <w:color w:val="auto"/>
              </w:rPr>
              <w:t>Section 7.1.</w:t>
            </w:r>
          </w:p>
        </w:tc>
        <w:tc>
          <w:tcPr>
            <w:tcW w:w="9440" w:type="dxa"/>
            <w:vAlign w:val="bottom"/>
          </w:tcPr>
          <w:p>
            <w:pPr>
              <w:ind w:left="100"/>
              <w:spacing w:after="0"/>
              <w:rPr>
                <w:sz w:val="20"/>
                <w:szCs w:val="20"/>
                <w:color w:val="auto"/>
              </w:rPr>
            </w:pPr>
            <w:r>
              <w:rPr>
                <w:rFonts w:ascii="Arial" w:cs="Arial" w:eastAsia="Arial" w:hAnsi="Arial"/>
                <w:sz w:val="18"/>
                <w:szCs w:val="18"/>
                <w:color w:val="auto"/>
              </w:rPr>
              <w:t>Rollover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7.2.</w:t>
            </w:r>
          </w:p>
        </w:tc>
        <w:tc>
          <w:tcPr>
            <w:tcW w:w="9440" w:type="dxa"/>
            <w:vAlign w:val="bottom"/>
          </w:tcPr>
          <w:p>
            <w:pPr>
              <w:ind w:left="100"/>
              <w:spacing w:after="0"/>
              <w:rPr>
                <w:sz w:val="20"/>
                <w:szCs w:val="20"/>
                <w:color w:val="auto"/>
              </w:rPr>
            </w:pPr>
            <w:r>
              <w:rPr>
                <w:rFonts w:ascii="Arial" w:cs="Arial" w:eastAsia="Arial" w:hAnsi="Arial"/>
                <w:sz w:val="18"/>
                <w:szCs w:val="18"/>
                <w:color w:val="auto"/>
              </w:rPr>
              <w:t>Vesting and Distribution of Rollover Account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1700" w:type="dxa"/>
            <w:vAlign w:val="bottom"/>
          </w:tcPr>
          <w:p>
            <w:pPr>
              <w:ind w:left="660"/>
              <w:spacing w:after="0"/>
              <w:rPr>
                <w:sz w:val="20"/>
                <w:szCs w:val="20"/>
                <w:color w:val="auto"/>
              </w:rPr>
            </w:pPr>
            <w:r>
              <w:rPr>
                <w:rFonts w:ascii="Arial" w:cs="Arial" w:eastAsia="Arial" w:hAnsi="Arial"/>
                <w:sz w:val="18"/>
                <w:szCs w:val="18"/>
                <w:color w:val="auto"/>
              </w:rPr>
              <w:t>Section 7.3.</w:t>
            </w:r>
          </w:p>
        </w:tc>
        <w:tc>
          <w:tcPr>
            <w:tcW w:w="9440" w:type="dxa"/>
            <w:vAlign w:val="bottom"/>
          </w:tcPr>
          <w:p>
            <w:pPr>
              <w:ind w:left="100"/>
              <w:spacing w:after="0"/>
              <w:rPr>
                <w:sz w:val="20"/>
                <w:szCs w:val="20"/>
                <w:color w:val="auto"/>
              </w:rPr>
            </w:pPr>
            <w:r>
              <w:rPr>
                <w:rFonts w:ascii="Arial" w:cs="Arial" w:eastAsia="Arial" w:hAnsi="Arial"/>
                <w:sz w:val="18"/>
                <w:szCs w:val="18"/>
                <w:color w:val="auto"/>
              </w:rPr>
              <w:t>Additional Rollover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 WITHDRAWALS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700" w:type="dxa"/>
            <w:vAlign w:val="bottom"/>
          </w:tcPr>
          <w:p>
            <w:pPr>
              <w:ind w:left="660"/>
              <w:spacing w:after="0"/>
              <w:rPr>
                <w:sz w:val="20"/>
                <w:szCs w:val="20"/>
                <w:color w:val="auto"/>
              </w:rPr>
            </w:pPr>
            <w:r>
              <w:rPr>
                <w:rFonts w:ascii="Arial" w:cs="Arial" w:eastAsia="Arial" w:hAnsi="Arial"/>
                <w:sz w:val="18"/>
                <w:szCs w:val="18"/>
                <w:color w:val="auto"/>
              </w:rPr>
              <w:t>Section 8.1.</w:t>
            </w:r>
          </w:p>
        </w:tc>
        <w:tc>
          <w:tcPr>
            <w:tcW w:w="9440" w:type="dxa"/>
            <w:vAlign w:val="bottom"/>
          </w:tcPr>
          <w:p>
            <w:pPr>
              <w:ind w:left="100"/>
              <w:spacing w:after="0"/>
              <w:rPr>
                <w:sz w:val="20"/>
                <w:szCs w:val="20"/>
                <w:color w:val="auto"/>
              </w:rPr>
            </w:pPr>
            <w:r>
              <w:rPr>
                <w:rFonts w:ascii="Arial" w:cs="Arial" w:eastAsia="Arial" w:hAnsi="Arial"/>
                <w:sz w:val="18"/>
                <w:szCs w:val="18"/>
                <w:color w:val="auto"/>
              </w:rPr>
              <w:t>Withdrawals Not Subject to Section 401(k) Restrictions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8.2.</w:t>
            </w:r>
          </w:p>
        </w:tc>
        <w:tc>
          <w:tcPr>
            <w:tcW w:w="9440" w:type="dxa"/>
            <w:vAlign w:val="bottom"/>
          </w:tcPr>
          <w:p>
            <w:pPr>
              <w:ind w:left="100"/>
              <w:spacing w:after="0"/>
              <w:rPr>
                <w:sz w:val="20"/>
                <w:szCs w:val="20"/>
                <w:color w:val="auto"/>
              </w:rPr>
            </w:pPr>
            <w:r>
              <w:rPr>
                <w:rFonts w:ascii="Arial" w:cs="Arial" w:eastAsia="Arial" w:hAnsi="Arial"/>
                <w:sz w:val="18"/>
                <w:szCs w:val="18"/>
                <w:color w:val="auto"/>
              </w:rPr>
              <w:t>Withdrawals Subject to Section 401(k) Restrictions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8.3.</w:t>
            </w:r>
          </w:p>
        </w:tc>
        <w:tc>
          <w:tcPr>
            <w:tcW w:w="9440" w:type="dxa"/>
            <w:vAlign w:val="bottom"/>
          </w:tcPr>
          <w:p>
            <w:pPr>
              <w:ind w:left="100"/>
              <w:spacing w:after="0" w:line="217" w:lineRule="exact"/>
              <w:rPr>
                <w:sz w:val="20"/>
                <w:szCs w:val="20"/>
                <w:color w:val="auto"/>
              </w:rPr>
            </w:pPr>
            <w:r>
              <w:rPr>
                <w:rFonts w:ascii="Arial" w:cs="Arial" w:eastAsia="Arial" w:hAnsi="Arial"/>
                <w:sz w:val="18"/>
                <w:szCs w:val="18"/>
                <w:color w:val="auto"/>
              </w:rPr>
              <w:t xml:space="preserve">Withdrawals On and After Attainment of Age 59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8.4.</w:t>
            </w:r>
          </w:p>
        </w:tc>
        <w:tc>
          <w:tcPr>
            <w:tcW w:w="9440" w:type="dxa"/>
            <w:vAlign w:val="bottom"/>
          </w:tcPr>
          <w:p>
            <w:pPr>
              <w:ind w:left="100"/>
              <w:spacing w:after="0"/>
              <w:rPr>
                <w:sz w:val="20"/>
                <w:szCs w:val="20"/>
                <w:color w:val="auto"/>
              </w:rPr>
            </w:pPr>
            <w:r>
              <w:rPr>
                <w:rFonts w:ascii="Arial" w:cs="Arial" w:eastAsia="Arial" w:hAnsi="Arial"/>
                <w:sz w:val="18"/>
                <w:szCs w:val="18"/>
                <w:color w:val="auto"/>
              </w:rPr>
              <w:t>Amount and Payment of Withdrawals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8.5.</w:t>
            </w:r>
          </w:p>
        </w:tc>
        <w:tc>
          <w:tcPr>
            <w:tcW w:w="9440" w:type="dxa"/>
            <w:vAlign w:val="bottom"/>
          </w:tcPr>
          <w:p>
            <w:pPr>
              <w:ind w:left="100"/>
              <w:spacing w:after="0"/>
              <w:rPr>
                <w:sz w:val="20"/>
                <w:szCs w:val="20"/>
                <w:color w:val="auto"/>
              </w:rPr>
            </w:pPr>
            <w:r>
              <w:rPr>
                <w:rFonts w:ascii="Arial" w:cs="Arial" w:eastAsia="Arial" w:hAnsi="Arial"/>
                <w:sz w:val="18"/>
                <w:szCs w:val="18"/>
                <w:color w:val="auto"/>
              </w:rPr>
              <w:t>Withdrawals Not Subject to Replacement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8.6.</w:t>
            </w:r>
          </w:p>
        </w:tc>
        <w:tc>
          <w:tcPr>
            <w:tcW w:w="9440" w:type="dxa"/>
            <w:vAlign w:val="bottom"/>
          </w:tcPr>
          <w:p>
            <w:pPr>
              <w:ind w:left="100"/>
              <w:spacing w:after="0"/>
              <w:rPr>
                <w:sz w:val="20"/>
                <w:szCs w:val="20"/>
                <w:color w:val="auto"/>
              </w:rPr>
            </w:pPr>
            <w:r>
              <w:rPr>
                <w:rFonts w:ascii="Arial" w:cs="Arial" w:eastAsia="Arial" w:hAnsi="Arial"/>
                <w:sz w:val="18"/>
                <w:szCs w:val="18"/>
                <w:color w:val="auto"/>
              </w:rPr>
              <w:t>Pledged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1700" w:type="dxa"/>
            <w:vAlign w:val="bottom"/>
          </w:tcPr>
          <w:p>
            <w:pPr>
              <w:ind w:left="660"/>
              <w:spacing w:after="0"/>
              <w:rPr>
                <w:sz w:val="20"/>
                <w:szCs w:val="20"/>
                <w:color w:val="auto"/>
              </w:rPr>
            </w:pPr>
            <w:r>
              <w:rPr>
                <w:rFonts w:ascii="Arial" w:cs="Arial" w:eastAsia="Arial" w:hAnsi="Arial"/>
                <w:sz w:val="18"/>
                <w:szCs w:val="18"/>
                <w:color w:val="auto"/>
              </w:rPr>
              <w:t>Section 8.7.</w:t>
            </w:r>
          </w:p>
        </w:tc>
        <w:tc>
          <w:tcPr>
            <w:tcW w:w="9440" w:type="dxa"/>
            <w:vAlign w:val="bottom"/>
          </w:tcPr>
          <w:p>
            <w:pPr>
              <w:ind w:left="100"/>
              <w:spacing w:after="0"/>
              <w:rPr>
                <w:sz w:val="20"/>
                <w:szCs w:val="20"/>
                <w:color w:val="auto"/>
              </w:rPr>
            </w:pPr>
            <w:r>
              <w:rPr>
                <w:rFonts w:ascii="Arial" w:cs="Arial" w:eastAsia="Arial" w:hAnsi="Arial"/>
                <w:sz w:val="18"/>
                <w:szCs w:val="18"/>
                <w:color w:val="auto"/>
              </w:rPr>
              <w:t>Investment Medium to be Charged with Withdrawal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IX – LOANS TO PARTICIPANTS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8"/>
        </w:trPr>
        <w:tc>
          <w:tcPr>
            <w:tcW w:w="1700" w:type="dxa"/>
            <w:vAlign w:val="bottom"/>
          </w:tcPr>
          <w:p>
            <w:pPr>
              <w:ind w:left="660"/>
              <w:spacing w:after="0"/>
              <w:rPr>
                <w:sz w:val="20"/>
                <w:szCs w:val="20"/>
                <w:color w:val="auto"/>
              </w:rPr>
            </w:pPr>
            <w:r>
              <w:rPr>
                <w:rFonts w:ascii="Arial" w:cs="Arial" w:eastAsia="Arial" w:hAnsi="Arial"/>
                <w:sz w:val="18"/>
                <w:szCs w:val="18"/>
                <w:color w:val="auto"/>
              </w:rPr>
              <w:t>Section 9.1.</w:t>
            </w:r>
          </w:p>
        </w:tc>
        <w:tc>
          <w:tcPr>
            <w:tcW w:w="9440" w:type="dxa"/>
            <w:vAlign w:val="bottom"/>
          </w:tcPr>
          <w:p>
            <w:pPr>
              <w:ind w:left="100"/>
              <w:spacing w:after="0"/>
              <w:rPr>
                <w:sz w:val="20"/>
                <w:szCs w:val="20"/>
                <w:color w:val="auto"/>
              </w:rPr>
            </w:pPr>
            <w:r>
              <w:rPr>
                <w:rFonts w:ascii="Arial" w:cs="Arial" w:eastAsia="Arial" w:hAnsi="Arial"/>
                <w:sz w:val="18"/>
                <w:szCs w:val="18"/>
                <w:color w:val="auto"/>
              </w:rPr>
              <w:t>Loan Application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9.2.</w:t>
            </w:r>
          </w:p>
        </w:tc>
        <w:tc>
          <w:tcPr>
            <w:tcW w:w="9440" w:type="dxa"/>
            <w:vAlign w:val="bottom"/>
          </w:tcPr>
          <w:p>
            <w:pPr>
              <w:ind w:left="100"/>
              <w:spacing w:after="0"/>
              <w:rPr>
                <w:sz w:val="20"/>
                <w:szCs w:val="20"/>
                <w:color w:val="auto"/>
              </w:rPr>
            </w:pPr>
            <w:r>
              <w:rPr>
                <w:rFonts w:ascii="Arial" w:cs="Arial" w:eastAsia="Arial" w:hAnsi="Arial"/>
                <w:sz w:val="18"/>
                <w:szCs w:val="18"/>
                <w:color w:val="auto"/>
              </w:rPr>
              <w:t>Loan Approval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9.3.</w:t>
            </w:r>
          </w:p>
        </w:tc>
        <w:tc>
          <w:tcPr>
            <w:tcW w:w="9440" w:type="dxa"/>
            <w:vAlign w:val="bottom"/>
          </w:tcPr>
          <w:p>
            <w:pPr>
              <w:ind w:left="100"/>
              <w:spacing w:after="0"/>
              <w:rPr>
                <w:sz w:val="20"/>
                <w:szCs w:val="20"/>
                <w:color w:val="auto"/>
              </w:rPr>
            </w:pPr>
            <w:r>
              <w:rPr>
                <w:rFonts w:ascii="Arial" w:cs="Arial" w:eastAsia="Arial" w:hAnsi="Arial"/>
                <w:sz w:val="18"/>
                <w:szCs w:val="18"/>
                <w:color w:val="auto"/>
              </w:rPr>
              <w:t>Amount of Loan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9.4.</w:t>
            </w:r>
          </w:p>
        </w:tc>
        <w:tc>
          <w:tcPr>
            <w:tcW w:w="9440" w:type="dxa"/>
            <w:vAlign w:val="bottom"/>
          </w:tcPr>
          <w:p>
            <w:pPr>
              <w:ind w:left="100"/>
              <w:spacing w:after="0"/>
              <w:rPr>
                <w:sz w:val="20"/>
                <w:szCs w:val="20"/>
                <w:color w:val="auto"/>
              </w:rPr>
            </w:pPr>
            <w:r>
              <w:rPr>
                <w:rFonts w:ascii="Arial" w:cs="Arial" w:eastAsia="Arial" w:hAnsi="Arial"/>
                <w:sz w:val="18"/>
                <w:szCs w:val="18"/>
                <w:color w:val="auto"/>
              </w:rPr>
              <w:t>Terms of Loan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Section 9.5.</w:t>
            </w:r>
          </w:p>
        </w:tc>
        <w:tc>
          <w:tcPr>
            <w:tcW w:w="9440" w:type="dxa"/>
            <w:vAlign w:val="bottom"/>
          </w:tcPr>
          <w:p>
            <w:pPr>
              <w:ind w:left="100"/>
              <w:spacing w:after="0"/>
              <w:rPr>
                <w:sz w:val="20"/>
                <w:szCs w:val="20"/>
                <w:color w:val="auto"/>
              </w:rPr>
            </w:pPr>
            <w:r>
              <w:rPr>
                <w:rFonts w:ascii="Arial" w:cs="Arial" w:eastAsia="Arial" w:hAnsi="Arial"/>
                <w:sz w:val="18"/>
                <w:szCs w:val="18"/>
                <w:color w:val="auto"/>
              </w:rPr>
              <w:t>Enforcement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1700" w:type="dxa"/>
            <w:vAlign w:val="bottom"/>
          </w:tcPr>
          <w:p>
            <w:pPr>
              <w:ind w:left="660"/>
              <w:spacing w:after="0"/>
              <w:rPr>
                <w:sz w:val="20"/>
                <w:szCs w:val="20"/>
                <w:color w:val="auto"/>
              </w:rPr>
            </w:pPr>
            <w:r>
              <w:rPr>
                <w:rFonts w:ascii="Arial" w:cs="Arial" w:eastAsia="Arial" w:hAnsi="Arial"/>
                <w:sz w:val="18"/>
                <w:szCs w:val="18"/>
                <w:color w:val="auto"/>
              </w:rPr>
              <w:t>Section 9.6.</w:t>
            </w:r>
          </w:p>
        </w:tc>
        <w:tc>
          <w:tcPr>
            <w:tcW w:w="9440" w:type="dxa"/>
            <w:vAlign w:val="bottom"/>
          </w:tcPr>
          <w:p>
            <w:pPr>
              <w:ind w:left="100"/>
              <w:spacing w:after="0"/>
              <w:rPr>
                <w:sz w:val="20"/>
                <w:szCs w:val="20"/>
                <w:color w:val="auto"/>
              </w:rPr>
            </w:pPr>
            <w:r>
              <w:rPr>
                <w:rFonts w:ascii="Arial" w:cs="Arial" w:eastAsia="Arial" w:hAnsi="Arial"/>
                <w:sz w:val="18"/>
                <w:szCs w:val="18"/>
                <w:color w:val="auto"/>
              </w:rPr>
              <w:t>Additional Rules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 – ADMINISTRATION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8"/>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10.1.</w:t>
            </w:r>
          </w:p>
        </w:tc>
        <w:tc>
          <w:tcPr>
            <w:tcW w:w="9440" w:type="dxa"/>
            <w:vAlign w:val="bottom"/>
          </w:tcPr>
          <w:p>
            <w:pPr>
              <w:ind w:left="100"/>
              <w:spacing w:after="0"/>
              <w:rPr>
                <w:sz w:val="20"/>
                <w:szCs w:val="20"/>
                <w:color w:val="auto"/>
              </w:rPr>
            </w:pPr>
            <w:r>
              <w:rPr>
                <w:rFonts w:ascii="Arial" w:cs="Arial" w:eastAsia="Arial" w:hAnsi="Arial"/>
                <w:sz w:val="18"/>
                <w:szCs w:val="18"/>
                <w:color w:val="auto"/>
              </w:rPr>
              <w:t>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10.2.</w:t>
            </w:r>
          </w:p>
        </w:tc>
        <w:tc>
          <w:tcPr>
            <w:tcW w:w="9440" w:type="dxa"/>
            <w:vAlign w:val="bottom"/>
          </w:tcPr>
          <w:p>
            <w:pPr>
              <w:ind w:left="100"/>
              <w:spacing w:after="0"/>
              <w:rPr>
                <w:sz w:val="20"/>
                <w:szCs w:val="20"/>
                <w:color w:val="auto"/>
              </w:rPr>
            </w:pPr>
            <w:r>
              <w:rPr>
                <w:rFonts w:ascii="Arial" w:cs="Arial" w:eastAsia="Arial" w:hAnsi="Arial"/>
                <w:sz w:val="18"/>
                <w:szCs w:val="18"/>
                <w:color w:val="auto"/>
              </w:rPr>
              <w:t>Duties and Powers of 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10.3.</w:t>
            </w:r>
          </w:p>
        </w:tc>
        <w:tc>
          <w:tcPr>
            <w:tcW w:w="9440" w:type="dxa"/>
            <w:vAlign w:val="bottom"/>
          </w:tcPr>
          <w:p>
            <w:pPr>
              <w:ind w:left="100"/>
              <w:spacing w:after="0"/>
              <w:rPr>
                <w:sz w:val="20"/>
                <w:szCs w:val="20"/>
                <w:color w:val="auto"/>
              </w:rPr>
            </w:pPr>
            <w:r>
              <w:rPr>
                <w:rFonts w:ascii="Arial" w:cs="Arial" w:eastAsia="Arial" w:hAnsi="Arial"/>
                <w:sz w:val="18"/>
                <w:szCs w:val="18"/>
                <w:color w:val="auto"/>
              </w:rPr>
              <w:t>Functioning of 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ind w:left="660"/>
              <w:spacing w:after="0"/>
              <w:rPr>
                <w:sz w:val="20"/>
                <w:szCs w:val="20"/>
                <w:color w:val="auto"/>
              </w:rPr>
            </w:pPr>
            <w:r>
              <w:rPr>
                <w:rFonts w:ascii="Arial" w:cs="Arial" w:eastAsia="Arial" w:hAnsi="Arial"/>
                <w:sz w:val="18"/>
                <w:szCs w:val="18"/>
                <w:color w:val="auto"/>
              </w:rPr>
              <w:t>Section 10.4.   Allocation and Delegation of Duties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140" w:type="dxa"/>
            <w:vAlign w:val="bottom"/>
            <w:gridSpan w:val="2"/>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10.5.</w:t>
            </w:r>
          </w:p>
        </w:tc>
        <w:tc>
          <w:tcPr>
            <w:tcW w:w="9440" w:type="dxa"/>
            <w:vAlign w:val="bottom"/>
          </w:tcPr>
          <w:p>
            <w:pPr>
              <w:ind w:left="100"/>
              <w:spacing w:after="0"/>
              <w:rPr>
                <w:sz w:val="20"/>
                <w:szCs w:val="20"/>
                <w:color w:val="auto"/>
              </w:rPr>
            </w:pPr>
            <w:r>
              <w:rPr>
                <w:rFonts w:ascii="Arial" w:cs="Arial" w:eastAsia="Arial" w:hAnsi="Arial"/>
                <w:sz w:val="18"/>
                <w:szCs w:val="18"/>
                <w:color w:val="auto"/>
              </w:rPr>
              <w:t>Plan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1140" w:type="dxa"/>
            <w:vAlign w:val="bottom"/>
            <w:gridSpan w:val="2"/>
          </w:tcPr>
          <w:p>
            <w:pPr>
              <w:ind w:left="660"/>
              <w:spacing w:after="0"/>
              <w:rPr>
                <w:sz w:val="20"/>
                <w:szCs w:val="20"/>
                <w:color w:val="auto"/>
              </w:rPr>
            </w:pPr>
            <w:r>
              <w:rPr>
                <w:rFonts w:ascii="Arial" w:cs="Arial" w:eastAsia="Arial" w:hAnsi="Arial"/>
                <w:sz w:val="18"/>
                <w:szCs w:val="18"/>
                <w:color w:val="auto"/>
              </w:rPr>
              <w:t>Section 10.6.   Information to be Supplied by a Participating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10.7.</w:t>
            </w:r>
          </w:p>
        </w:tc>
        <w:tc>
          <w:tcPr>
            <w:tcW w:w="9440" w:type="dxa"/>
            <w:vAlign w:val="bottom"/>
          </w:tcPr>
          <w:p>
            <w:pPr>
              <w:ind w:left="100"/>
              <w:spacing w:after="0"/>
              <w:rPr>
                <w:sz w:val="20"/>
                <w:szCs w:val="20"/>
                <w:color w:val="auto"/>
              </w:rPr>
            </w:pPr>
            <w:r>
              <w:rPr>
                <w:rFonts w:ascii="Arial" w:cs="Arial" w:eastAsia="Arial" w:hAnsi="Arial"/>
                <w:sz w:val="18"/>
                <w:szCs w:val="18"/>
                <w:color w:val="auto"/>
              </w:rPr>
              <w:t>Disputes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10.8.</w:t>
            </w:r>
          </w:p>
        </w:tc>
        <w:tc>
          <w:tcPr>
            <w:tcW w:w="944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 – THE FUND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18"/>
        </w:trPr>
        <w:tc>
          <w:tcPr>
            <w:tcW w:w="11140" w:type="dxa"/>
            <w:vAlign w:val="bottom"/>
            <w:gridSpan w:val="2"/>
          </w:tcPr>
          <w:p>
            <w:pPr>
              <w:ind w:left="660"/>
              <w:spacing w:after="0"/>
              <w:rPr>
                <w:sz w:val="20"/>
                <w:szCs w:val="20"/>
                <w:color w:val="auto"/>
              </w:rPr>
            </w:pPr>
            <w:r>
              <w:rPr>
                <w:rFonts w:ascii="Arial" w:cs="Arial" w:eastAsia="Arial" w:hAnsi="Arial"/>
                <w:sz w:val="18"/>
                <w:szCs w:val="18"/>
                <w:color w:val="auto"/>
              </w:rPr>
              <w:t>Section 11.1.   Designation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11.2.</w:t>
            </w:r>
          </w:p>
        </w:tc>
        <w:tc>
          <w:tcPr>
            <w:tcW w:w="9440" w:type="dxa"/>
            <w:vAlign w:val="bottom"/>
          </w:tcPr>
          <w:p>
            <w:pPr>
              <w:ind w:left="100"/>
              <w:spacing w:after="0"/>
              <w:rPr>
                <w:sz w:val="20"/>
                <w:szCs w:val="20"/>
                <w:color w:val="auto"/>
              </w:rPr>
            </w:pPr>
            <w:r>
              <w:rPr>
                <w:rFonts w:ascii="Arial" w:cs="Arial" w:eastAsia="Arial" w:hAnsi="Arial"/>
                <w:sz w:val="18"/>
                <w:szCs w:val="18"/>
                <w:color w:val="auto"/>
              </w:rPr>
              <w:t>Exclusive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1140" w:type="dxa"/>
            <w:vAlign w:val="bottom"/>
            <w:gridSpan w:val="2"/>
          </w:tcPr>
          <w:p>
            <w:pPr>
              <w:ind w:left="660"/>
              <w:spacing w:after="0"/>
              <w:rPr>
                <w:sz w:val="20"/>
                <w:szCs w:val="20"/>
                <w:color w:val="auto"/>
              </w:rPr>
            </w:pPr>
            <w:r>
              <w:rPr>
                <w:rFonts w:ascii="Arial" w:cs="Arial" w:eastAsia="Arial" w:hAnsi="Arial"/>
                <w:sz w:val="18"/>
                <w:szCs w:val="18"/>
                <w:color w:val="auto"/>
              </w:rPr>
              <w:t>Section 11.3.   No Interest in Fund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11.4.</w:t>
            </w:r>
          </w:p>
        </w:tc>
        <w:tc>
          <w:tcPr>
            <w:tcW w:w="9440" w:type="dxa"/>
            <w:vAlign w:val="bottom"/>
          </w:tcPr>
          <w:p>
            <w:pPr>
              <w:ind w:left="100"/>
              <w:spacing w:after="0"/>
              <w:rPr>
                <w:sz w:val="20"/>
                <w:szCs w:val="20"/>
                <w:color w:val="auto"/>
              </w:rPr>
            </w:pPr>
            <w:r>
              <w:rPr>
                <w:rFonts w:ascii="Arial" w:cs="Arial" w:eastAsia="Arial" w:hAnsi="Arial"/>
                <w:sz w:val="18"/>
                <w:szCs w:val="18"/>
                <w:color w:val="auto"/>
              </w:rPr>
              <w:t>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11.5.</w:t>
            </w:r>
          </w:p>
        </w:tc>
        <w:tc>
          <w:tcPr>
            <w:tcW w:w="944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XII – AMENDMENT OR TERMINATION OF THE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8"/>
        </w:trPr>
        <w:tc>
          <w:tcPr>
            <w:tcW w:w="11140" w:type="dxa"/>
            <w:vAlign w:val="bottom"/>
            <w:gridSpan w:val="2"/>
          </w:tcPr>
          <w:p>
            <w:pPr>
              <w:ind w:left="660"/>
              <w:spacing w:after="0"/>
              <w:rPr>
                <w:sz w:val="20"/>
                <w:szCs w:val="20"/>
                <w:color w:val="auto"/>
              </w:rPr>
            </w:pPr>
            <w:r>
              <w:rPr>
                <w:rFonts w:ascii="Arial" w:cs="Arial" w:eastAsia="Arial" w:hAnsi="Arial"/>
                <w:sz w:val="18"/>
                <w:szCs w:val="18"/>
                <w:color w:val="auto"/>
              </w:rPr>
              <w:t>Section 12.1.   Power of Amendment and 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12.2.</w:t>
            </w:r>
          </w:p>
        </w:tc>
        <w:tc>
          <w:tcPr>
            <w:tcW w:w="9440" w:type="dxa"/>
            <w:vAlign w:val="bottom"/>
          </w:tcPr>
          <w:p>
            <w:pPr>
              <w:ind w:left="100"/>
              <w:spacing w:after="0"/>
              <w:rPr>
                <w:sz w:val="20"/>
                <w:szCs w:val="20"/>
                <w:color w:val="auto"/>
              </w:rPr>
            </w:pPr>
            <w:r>
              <w:rPr>
                <w:rFonts w:ascii="Arial" w:cs="Arial" w:eastAsia="Arial" w:hAnsi="Arial"/>
                <w:sz w:val="18"/>
                <w:szCs w:val="18"/>
                <w:color w:val="auto"/>
              </w:rPr>
              <w:t>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XIII – TOP-HEAVY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18"/>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13.1.</w:t>
            </w:r>
          </w:p>
        </w:tc>
        <w:tc>
          <w:tcPr>
            <w:tcW w:w="9440" w:type="dxa"/>
            <w:vAlign w:val="bottom"/>
          </w:tcPr>
          <w:p>
            <w:pPr>
              <w:ind w:left="100"/>
              <w:spacing w:after="0"/>
              <w:rPr>
                <w:sz w:val="20"/>
                <w:szCs w:val="20"/>
                <w:color w:val="auto"/>
              </w:rPr>
            </w:pPr>
            <w:r>
              <w:rPr>
                <w:rFonts w:ascii="Arial" w:cs="Arial" w:eastAsia="Arial" w:hAnsi="Arial"/>
                <w:sz w:val="18"/>
                <w:szCs w:val="18"/>
                <w:color w:val="auto"/>
              </w:rPr>
              <w:t>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13.2.</w:t>
            </w:r>
          </w:p>
        </w:tc>
        <w:tc>
          <w:tcPr>
            <w:tcW w:w="94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140" w:type="dxa"/>
            <w:vAlign w:val="bottom"/>
            <w:gridSpan w:val="2"/>
          </w:tcPr>
          <w:p>
            <w:pPr>
              <w:ind w:left="660"/>
              <w:spacing w:after="0"/>
              <w:rPr>
                <w:sz w:val="20"/>
                <w:szCs w:val="20"/>
                <w:color w:val="auto"/>
              </w:rPr>
            </w:pPr>
            <w:r>
              <w:rPr>
                <w:rFonts w:ascii="Arial" w:cs="Arial" w:eastAsia="Arial" w:hAnsi="Arial"/>
                <w:sz w:val="18"/>
                <w:szCs w:val="18"/>
                <w:color w:val="auto"/>
              </w:rPr>
              <w:t>Section 13.3.   Minimum Contribution for Non-Key Employees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13.4.</w:t>
            </w:r>
          </w:p>
        </w:tc>
        <w:tc>
          <w:tcPr>
            <w:tcW w:w="9440" w:type="dxa"/>
            <w:vAlign w:val="bottom"/>
          </w:tcPr>
          <w:p>
            <w:pPr>
              <w:ind w:left="100"/>
              <w:spacing w:after="0"/>
              <w:rPr>
                <w:sz w:val="20"/>
                <w:szCs w:val="20"/>
                <w:color w:val="auto"/>
              </w:rPr>
            </w:pPr>
            <w:r>
              <w:rPr>
                <w:rFonts w:ascii="Arial" w:cs="Arial" w:eastAsia="Arial" w:hAnsi="Arial"/>
                <w:sz w:val="18"/>
                <w:szCs w:val="18"/>
                <w:color w:val="auto"/>
              </w:rPr>
              <w:t>Social Security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XIV – GENERAL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11140" w:type="dxa"/>
            <w:vAlign w:val="bottom"/>
            <w:gridSpan w:val="2"/>
          </w:tcPr>
          <w:p>
            <w:pPr>
              <w:ind w:left="660"/>
              <w:spacing w:after="0"/>
              <w:rPr>
                <w:sz w:val="20"/>
                <w:szCs w:val="20"/>
                <w:color w:val="auto"/>
              </w:rPr>
            </w:pPr>
            <w:r>
              <w:rPr>
                <w:rFonts w:ascii="Arial" w:cs="Arial" w:eastAsia="Arial" w:hAnsi="Arial"/>
                <w:sz w:val="18"/>
                <w:szCs w:val="18"/>
                <w:color w:val="auto"/>
              </w:rPr>
              <w:t>Section 14.1.   No Employment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14.2.</w:t>
            </w:r>
          </w:p>
        </w:tc>
        <w:tc>
          <w:tcPr>
            <w:tcW w:w="94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1140" w:type="dxa"/>
            <w:vAlign w:val="bottom"/>
            <w:gridSpan w:val="2"/>
          </w:tcPr>
          <w:p>
            <w:pPr>
              <w:ind w:left="660"/>
              <w:spacing w:after="0"/>
              <w:rPr>
                <w:sz w:val="20"/>
                <w:szCs w:val="20"/>
                <w:color w:val="auto"/>
              </w:rPr>
            </w:pPr>
            <w:r>
              <w:rPr>
                <w:rFonts w:ascii="Arial" w:cs="Arial" w:eastAsia="Arial" w:hAnsi="Arial"/>
                <w:sz w:val="18"/>
                <w:szCs w:val="18"/>
                <w:color w:val="auto"/>
              </w:rPr>
              <w:t>Section 14.3.   Severability of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1140" w:type="dxa"/>
            <w:vAlign w:val="bottom"/>
            <w:gridSpan w:val="2"/>
          </w:tcPr>
          <w:p>
            <w:pPr>
              <w:ind w:left="660"/>
              <w:spacing w:after="0"/>
              <w:rPr>
                <w:sz w:val="20"/>
                <w:szCs w:val="20"/>
                <w:color w:val="auto"/>
              </w:rPr>
            </w:pPr>
            <w:r>
              <w:rPr>
                <w:rFonts w:ascii="Arial" w:cs="Arial" w:eastAsia="Arial" w:hAnsi="Arial"/>
                <w:sz w:val="18"/>
                <w:szCs w:val="18"/>
                <w:color w:val="auto"/>
              </w:rPr>
              <w:t>Section 14.4.   No Interest in Fund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14.5.</w:t>
            </w:r>
          </w:p>
        </w:tc>
        <w:tc>
          <w:tcPr>
            <w:tcW w:w="9440" w:type="dxa"/>
            <w:vAlign w:val="bottom"/>
          </w:tcPr>
          <w:p>
            <w:pPr>
              <w:ind w:left="100"/>
              <w:spacing w:after="0"/>
              <w:rPr>
                <w:sz w:val="20"/>
                <w:szCs w:val="20"/>
                <w:color w:val="auto"/>
              </w:rPr>
            </w:pPr>
            <w:r>
              <w:rPr>
                <w:rFonts w:ascii="Arial" w:cs="Arial" w:eastAsia="Arial" w:hAnsi="Arial"/>
                <w:sz w:val="18"/>
                <w:szCs w:val="18"/>
                <w:color w:val="auto"/>
              </w:rPr>
              <w:t>Spendthrift Clause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14.6.</w:t>
            </w:r>
          </w:p>
        </w:tc>
        <w:tc>
          <w:tcPr>
            <w:tcW w:w="9440" w:type="dxa"/>
            <w:vAlign w:val="bottom"/>
          </w:tcPr>
          <w:p>
            <w:pPr>
              <w:ind w:left="100"/>
              <w:spacing w:after="0"/>
              <w:rPr>
                <w:sz w:val="20"/>
                <w:szCs w:val="20"/>
                <w:color w:val="auto"/>
              </w:rPr>
            </w:pPr>
            <w:r>
              <w:rPr>
                <w:rFonts w:ascii="Arial" w:cs="Arial" w:eastAsia="Arial" w:hAnsi="Arial"/>
                <w:sz w:val="18"/>
                <w:szCs w:val="18"/>
                <w:color w:val="auto"/>
              </w:rPr>
              <w:t>Incapacity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14.7.</w:t>
            </w:r>
          </w:p>
        </w:tc>
        <w:tc>
          <w:tcPr>
            <w:tcW w:w="9440" w:type="dxa"/>
            <w:vAlign w:val="bottom"/>
          </w:tcPr>
          <w:p>
            <w:pPr>
              <w:ind w:left="100"/>
              <w:spacing w:after="0"/>
              <w:rPr>
                <w:sz w:val="20"/>
                <w:szCs w:val="20"/>
                <w:color w:val="auto"/>
              </w:rPr>
            </w:pPr>
            <w:r>
              <w:rPr>
                <w:rFonts w:ascii="Arial" w:cs="Arial" w:eastAsia="Arial" w:hAnsi="Arial"/>
                <w:sz w:val="18"/>
                <w:szCs w:val="18"/>
                <w:color w:val="auto"/>
              </w:rPr>
              <w:t>Withholding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1140" w:type="dxa"/>
            <w:vAlign w:val="bottom"/>
            <w:gridSpan w:val="2"/>
          </w:tcPr>
          <w:p>
            <w:pPr>
              <w:ind w:left="660"/>
              <w:spacing w:after="0"/>
              <w:rPr>
                <w:sz w:val="20"/>
                <w:szCs w:val="20"/>
                <w:color w:val="auto"/>
              </w:rPr>
            </w:pPr>
            <w:r>
              <w:rPr>
                <w:rFonts w:ascii="Arial" w:cs="Arial" w:eastAsia="Arial" w:hAnsi="Arial"/>
                <w:sz w:val="18"/>
                <w:szCs w:val="18"/>
                <w:color w:val="auto"/>
              </w:rPr>
              <w:t>Section 14.8.   Missing Persons/Uncashed Checks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14.9.</w:t>
            </w:r>
          </w:p>
        </w:tc>
        <w:tc>
          <w:tcPr>
            <w:tcW w:w="9440" w:type="dxa"/>
            <w:vAlign w:val="bottom"/>
          </w:tcPr>
          <w:p>
            <w:pPr>
              <w:ind w:left="100"/>
              <w:spacing w:after="0"/>
              <w:rPr>
                <w:sz w:val="20"/>
                <w:szCs w:val="20"/>
                <w:color w:val="auto"/>
              </w:rPr>
            </w:pPr>
            <w:r>
              <w:rPr>
                <w:rFonts w:ascii="Arial" w:cs="Arial" w:eastAsia="Arial" w:hAnsi="Arial"/>
                <w:sz w:val="18"/>
                <w:szCs w:val="18"/>
                <w:color w:val="auto"/>
              </w:rPr>
              <w:t>Notice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XV – ADDITIONAL SERVICE CREDIT FOR FORMER EMPLOYEES OF CERTAIN ACQUIRED BUSINESSES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8"/>
        </w:trPr>
        <w:tc>
          <w:tcPr>
            <w:tcW w:w="11140" w:type="dxa"/>
            <w:vAlign w:val="bottom"/>
            <w:gridSpan w:val="2"/>
          </w:tcPr>
          <w:p>
            <w:pPr>
              <w:ind w:left="660"/>
              <w:spacing w:after="0"/>
              <w:rPr>
                <w:sz w:val="20"/>
                <w:szCs w:val="20"/>
                <w:color w:val="auto"/>
              </w:rPr>
            </w:pPr>
            <w:r>
              <w:rPr>
                <w:rFonts w:ascii="Arial" w:cs="Arial" w:eastAsia="Arial" w:hAnsi="Arial"/>
                <w:sz w:val="18"/>
                <w:szCs w:val="18"/>
                <w:color w:val="auto"/>
              </w:rPr>
              <w:t>Section 15.1.   Additional Service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15.2.</w:t>
            </w:r>
          </w:p>
        </w:tc>
        <w:tc>
          <w:tcPr>
            <w:tcW w:w="9440" w:type="dxa"/>
            <w:vAlign w:val="bottom"/>
          </w:tcPr>
          <w:p>
            <w:pPr>
              <w:ind w:left="100"/>
              <w:spacing w:after="0"/>
              <w:rPr>
                <w:sz w:val="20"/>
                <w:szCs w:val="20"/>
                <w:color w:val="auto"/>
              </w:rPr>
            </w:pPr>
            <w:r>
              <w:rPr>
                <w:rFonts w:ascii="Arial" w:cs="Arial" w:eastAsia="Arial" w:hAnsi="Arial"/>
                <w:sz w:val="18"/>
                <w:szCs w:val="18"/>
                <w:color w:val="auto"/>
              </w:rPr>
              <w:t>Listed Employer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15.3.</w:t>
            </w:r>
          </w:p>
        </w:tc>
        <w:tc>
          <w:tcPr>
            <w:tcW w:w="9440" w:type="dxa"/>
            <w:vAlign w:val="bottom"/>
          </w:tcPr>
          <w:p>
            <w:pPr>
              <w:ind w:left="100"/>
              <w:spacing w:after="0"/>
              <w:rPr>
                <w:sz w:val="20"/>
                <w:szCs w:val="20"/>
                <w:color w:val="auto"/>
              </w:rPr>
            </w:pPr>
            <w:r>
              <w:rPr>
                <w:rFonts w:ascii="Arial" w:cs="Arial" w:eastAsia="Arial" w:hAnsi="Arial"/>
                <w:sz w:val="18"/>
                <w:szCs w:val="18"/>
                <w:color w:val="auto"/>
              </w:rPr>
              <w:t>Applicability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15.4.</w:t>
            </w:r>
          </w:p>
        </w:tc>
        <w:tc>
          <w:tcPr>
            <w:tcW w:w="9440" w:type="dxa"/>
            <w:vAlign w:val="bottom"/>
          </w:tcPr>
          <w:p>
            <w:pPr>
              <w:ind w:left="100"/>
              <w:spacing w:after="0"/>
              <w:rPr>
                <w:sz w:val="20"/>
                <w:szCs w:val="20"/>
                <w:color w:val="auto"/>
              </w:rPr>
            </w:pPr>
            <w:r>
              <w:rPr>
                <w:rFonts w:ascii="Arial" w:cs="Arial" w:eastAsia="Arial" w:hAnsi="Arial"/>
                <w:sz w:val="18"/>
                <w:szCs w:val="18"/>
                <w:color w:val="auto"/>
              </w:rPr>
              <w:t>Limitation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XVI – COMCAST SPORTS NETWORK (PHILADELPHIA) L.P.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8"/>
        </w:trPr>
        <w:tc>
          <w:tcPr>
            <w:tcW w:w="1700" w:type="dxa"/>
            <w:vAlign w:val="bottom"/>
          </w:tcPr>
          <w:p>
            <w:pPr>
              <w:ind w:left="660"/>
              <w:spacing w:after="0"/>
              <w:rPr>
                <w:sz w:val="20"/>
                <w:szCs w:val="20"/>
                <w:color w:val="auto"/>
              </w:rPr>
            </w:pPr>
            <w:r>
              <w:rPr>
                <w:rFonts w:ascii="Arial" w:cs="Arial" w:eastAsia="Arial" w:hAnsi="Arial"/>
                <w:sz w:val="18"/>
                <w:szCs w:val="18"/>
                <w:color w:val="auto"/>
                <w:w w:val="97"/>
              </w:rPr>
              <w:t>Section 16.1.</w:t>
            </w:r>
          </w:p>
        </w:tc>
        <w:tc>
          <w:tcPr>
            <w:tcW w:w="9440" w:type="dxa"/>
            <w:vAlign w:val="bottom"/>
          </w:tcPr>
          <w:p>
            <w:pPr>
              <w:ind w:left="100"/>
              <w:spacing w:after="0"/>
              <w:rPr>
                <w:sz w:val="20"/>
                <w:szCs w:val="20"/>
                <w:color w:val="auto"/>
              </w:rPr>
            </w:pPr>
            <w:r>
              <w:rPr>
                <w:rFonts w:ascii="Arial" w:cs="Arial" w:eastAsia="Arial" w:hAnsi="Arial"/>
                <w:sz w:val="18"/>
                <w:szCs w:val="18"/>
                <w:color w:val="auto"/>
              </w:rPr>
              <w:t>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1140" w:type="dxa"/>
            <w:vAlign w:val="bottom"/>
            <w:gridSpan w:val="2"/>
          </w:tcPr>
          <w:p>
            <w:pPr>
              <w:ind w:left="660"/>
              <w:spacing w:after="0"/>
              <w:rPr>
                <w:sz w:val="20"/>
                <w:szCs w:val="20"/>
                <w:color w:val="auto"/>
              </w:rPr>
            </w:pPr>
            <w:r>
              <w:rPr>
                <w:rFonts w:ascii="Arial" w:cs="Arial" w:eastAsia="Arial" w:hAnsi="Arial"/>
                <w:sz w:val="18"/>
                <w:szCs w:val="18"/>
                <w:color w:val="auto"/>
              </w:rPr>
              <w:t>Section 16.2.   Eligibility and Vesting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11140" w:type="dxa"/>
            <w:vAlign w:val="bottom"/>
            <w:gridSpan w:val="2"/>
          </w:tcPr>
          <w:p>
            <w:pPr>
              <w:ind w:left="660"/>
              <w:spacing w:after="0"/>
              <w:rPr>
                <w:sz w:val="20"/>
                <w:szCs w:val="20"/>
                <w:color w:val="auto"/>
              </w:rPr>
            </w:pPr>
            <w:r>
              <w:rPr>
                <w:rFonts w:ascii="Arial" w:cs="Arial" w:eastAsia="Arial" w:hAnsi="Arial"/>
                <w:sz w:val="18"/>
                <w:szCs w:val="18"/>
                <w:color w:val="auto"/>
              </w:rPr>
              <w:t>Section 16.3.   Eligibility to Participate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5"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Arial" w:cs="Arial" w:eastAsia="Arial" w:hAnsi="Arial"/>
                <w:sz w:val="18"/>
                <w:szCs w:val="18"/>
                <w:color w:val="auto"/>
              </w:rPr>
              <w:t>Section 16.4.   Separate Testing</w:t>
            </w:r>
          </w:p>
        </w:tc>
        <w:tc>
          <w:tcPr>
            <w:tcW w:w="686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3620" w:type="dxa"/>
            <w:vAlign w:val="bottom"/>
            <w:vMerge w:val="continue"/>
          </w:tcPr>
          <w:p>
            <w:pPr>
              <w:spacing w:after="0"/>
              <w:rPr>
                <w:sz w:val="18"/>
                <w:szCs w:val="18"/>
                <w:color w:val="auto"/>
              </w:rPr>
            </w:pPr>
          </w:p>
        </w:tc>
        <w:tc>
          <w:tcPr>
            <w:tcW w:w="686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3620" w:type="dxa"/>
            <w:vAlign w:val="bottom"/>
          </w:tcPr>
          <w:p>
            <w:pPr>
              <w:spacing w:after="0"/>
              <w:rPr>
                <w:sz w:val="24"/>
                <w:szCs w:val="24"/>
                <w:color w:val="auto"/>
              </w:rPr>
            </w:pPr>
          </w:p>
        </w:tc>
        <w:tc>
          <w:tcPr>
            <w:tcW w:w="7160" w:type="dxa"/>
            <w:vAlign w:val="bottom"/>
            <w:gridSpan w:val="3"/>
          </w:tcPr>
          <w:p>
            <w:pPr>
              <w:ind w:left="130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60"/>
          </w:cols>
          <w:pgMar w:left="90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5" w:name="page86"/>
    <w:bookmarkEnd w:id="8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COMCAST CORPORATION RETIREMENT-INVESTMENT PLAN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Amended and Restated Effective October 7, 2008</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Background</w:t>
      </w:r>
    </w:p>
    <w:p>
      <w:pPr>
        <w:spacing w:after="0" w:line="96"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Comcast Corporation, a Pennsylvania corporation, established The Comcast Corporation Employees’ Thrift Plan (the “Plan”) to provide benefits to those of its employees and the employees of its subsidiaries who were eligible to participate as provided therein effective December 1, 1979. The Plan was amended from time to time and amended, restated and redesignated The Comcast Corporation Retirement-Investment Plan effective March 1, 1983. The Plan has been amended subsequently, and amended and restated at various times.</w:t>
      </w:r>
    </w:p>
    <w:p>
      <w:pPr>
        <w:spacing w:after="0" w:line="143"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Comcast Corporation amended, restated and redesignated the Plan as The AT&amp;T Comcast Corporation Retirement-Investment Plan, effective November 18, 2002, the date on which the combination of Comcast Corporation and AT&amp;T Broadband Corp. was consummated. Immediately following such redesignation, the Plan was renamed as The Comcast Corporation Retirement-Investment Plan. The Plan was most recently amended and restated, effective July 1, 2003.</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Plan Mergers/Asset Transfers Prior to the Effective Date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plans were merged into the Plan as of the dates indicated below:</w:t>
      </w:r>
    </w:p>
    <w:p>
      <w:pPr>
        <w:spacing w:after="0" w:line="90" w:lineRule="exact"/>
        <w:rPr>
          <w:sz w:val="20"/>
          <w:szCs w:val="20"/>
          <w:color w:val="auto"/>
        </w:rPr>
      </w:pPr>
    </w:p>
    <w:p>
      <w:pPr>
        <w:ind w:left="1480" w:hanging="567"/>
        <w:spacing w:after="0" w:line="268" w:lineRule="auto"/>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Barden Savings Plan, the Michigan Savings Plan, the Suburban Savings Plan and the profit sharing and cash or deferred arrangement portion of the Selkirk Plan were merged with and into this Plan – January 1, 1996</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Jones Intercable, Inc. Profit Sharing\Retirement Savings Plan – October 1, 1999</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Garden State Cablevision Retirement-Investment Plan – May 1, 2000</w:t>
      </w:r>
    </w:p>
    <w:p>
      <w:pPr>
        <w:spacing w:after="0" w:line="90" w:lineRule="exact"/>
        <w:rPr>
          <w:rFonts w:ascii="Arial" w:cs="Arial" w:eastAsia="Arial" w:hAnsi="Arial"/>
          <w:sz w:val="18"/>
          <w:szCs w:val="18"/>
          <w:color w:val="auto"/>
        </w:rPr>
      </w:pPr>
    </w:p>
    <w:p>
      <w:pPr>
        <w:ind w:left="1480" w:right="600" w:hanging="567"/>
        <w:spacing w:after="0" w:line="268" w:lineRule="auto"/>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Prime Communications – Potomac LLC 401(k) Retirement &amp; Savings Plan and the Prime Cable 401(k) Savings and Security Plan – August 1, 2000</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TGC, Inc. D/B/A The Golf Channel 401(k) Profit Sharing Plan – August 1, 2002</w:t>
      </w:r>
    </w:p>
    <w:p>
      <w:pPr>
        <w:spacing w:after="0" w:line="171" w:lineRule="exact"/>
        <w:rPr>
          <w:sz w:val="20"/>
          <w:szCs w:val="20"/>
          <w:color w:val="auto"/>
        </w:rPr>
      </w:pPr>
    </w:p>
    <w:p>
      <w:pPr>
        <w:jc w:val="both"/>
        <w:ind w:right="460" w:firstLine="913"/>
        <w:spacing w:after="0" w:line="306" w:lineRule="auto"/>
        <w:rPr>
          <w:sz w:val="20"/>
          <w:szCs w:val="20"/>
          <w:color w:val="auto"/>
        </w:rPr>
      </w:pPr>
      <w:r>
        <w:rPr>
          <w:rFonts w:ascii="Arial" w:cs="Arial" w:eastAsia="Arial" w:hAnsi="Arial"/>
          <w:sz w:val="16"/>
          <w:szCs w:val="16"/>
          <w:color w:val="auto"/>
        </w:rPr>
        <w:t>Effective April 1, 1998, assets from the tax-qualified defined contribution plan of Marcus Cable (the “Marcus Cable Plan”), attributable to the account balances of participants in the Marcus Cable Plan who transferred employment directly from Marcus Cable to the Company in connection with the Company’s acquisition of certain cable television businesses of Marcus Cable, were transferred to the Plan.</w:t>
      </w:r>
    </w:p>
    <w:p>
      <w:pPr>
        <w:sectPr>
          <w:pgSz w:w="11900" w:h="16838" w:orient="portrait"/>
          <w:cols w:equalWidth="0" w:num="1">
            <w:col w:w="11380"/>
          </w:cols>
          <w:pgMar w:left="240" w:top="280" w:right="279" w:bottom="1440" w:gutter="0" w:footer="0" w:header="0"/>
        </w:sectPr>
      </w:pPr>
    </w:p>
    <w:bookmarkStart w:id="86" w:name="page87"/>
    <w:bookmarkEnd w:id="86"/>
    <w:p>
      <w:pPr>
        <w:ind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November 1, 1999, assets from the tax-qualified defined contribution plans of Greater Media (the “Greater Media Plans”), attributable to the account balances of participants in the Greater Media Plans who transferred employment directly from Greater Media to the Company in connection with the Company’s acquisition of the Philadelphia cable television business of Greater Media, were transferred to the Plan.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Effective April 1, 2002, assets from the Lenfest Group Retirement Plan were transferred to the Plan.</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Effective July 1, 2003 (the “Effective Date”), the Comcast Cable Communications Holdings, Inc. Long Term Savings Plan (formerly the AT&amp;T Broadband Long Term Savings Plan) was merged with and into the Plan.</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CCCHI Plan Mergers/Asset Transfers Prior to the Effective Date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plans were merged into the CCCHI Plan as of the dates indicated below:</w:t>
      </w:r>
    </w:p>
    <w:p>
      <w:pPr>
        <w:spacing w:after="0" w:line="90" w:lineRule="exact"/>
        <w:rPr>
          <w:sz w:val="20"/>
          <w:szCs w:val="20"/>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TCI TKR L.P. Retirement Savings Plan for Bargaining Unit Employees – May 31, 2001</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AT&amp;T Long Term Savings Plan — San Francisco – June 22, 2001</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MediaOne Group 401(k) Savings Plan – July 1, 2001</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United Artists Cablesystems Corporation Savings and Investment Plan – August 2, 2002</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TKR Cable Company Defined Contribution Plan – October 4, 2002.</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Tech TV Savings and Profit Sharing Plan – December 31, 2007</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401(k) Savings Plan for Certain Seymour Employees – December 31, 2007</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ThePlatform for Media Retirement Savings Plan – December 31, 2007</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Effective January 25, 2002, assets from the AT&amp;T Merger and Acquisition Retirement Savings Plan, to the extent attributable to current and former employees of AT&amp;T Broadband, were transferred to the CCCHI Plan.</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Amendment and Restatement</w:t>
      </w:r>
    </w:p>
    <w:p>
      <w:pPr>
        <w:spacing w:after="0" w:line="9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Comcast Corporation hereby amends and restates The Comcast Corporation Retirement-Investment Plan, effective October 7, 2008, unless stated otherwise herein, subject to receipt of an Internal Revenue Service determination that the Plan continues to meet all applicable requirements of section 401(a) of the Code, that employer contributions thereto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87" w:name="page88"/>
    <w:bookmarkEnd w:id="8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remain deductible under section 404 of the Code and that the trust fund maintained with respect thereto remains tax exempt under section 501(a) of the Code.</w:t>
      </w:r>
    </w:p>
    <w:p>
      <w:pPr>
        <w:sectPr>
          <w:pgSz w:w="11900" w:h="16838" w:orient="portrait"/>
          <w:cols w:equalWidth="0" w:num="1">
            <w:col w:w="11080"/>
          </w:cols>
          <w:pgMar w:left="240" w:top="280" w:right="579" w:bottom="1440" w:gutter="0" w:footer="0" w:header="0"/>
        </w:sectPr>
      </w:pPr>
    </w:p>
    <w:p>
      <w:pPr>
        <w:spacing w:after="0" w:line="200" w:lineRule="exact"/>
        <w:rPr>
          <w:sz w:val="20"/>
          <w:szCs w:val="20"/>
          <w:color w:val="auto"/>
        </w:rPr>
      </w:pPr>
    </w:p>
    <w:p>
      <w:pPr>
        <w:jc w:val="center"/>
        <w:ind w:right="-359"/>
        <w:spacing w:after="0"/>
        <w:tabs>
          <w:tab w:leader="none" w:pos="340" w:val="left"/>
          <w:tab w:leader="none" w:pos="340" w:val="left"/>
          <w:tab w:leader="none" w:pos="320" w:val="left"/>
          <w:tab w:leader="none" w:pos="320" w:val="left"/>
          <w:tab w:leader="none" w:pos="3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w:t>
      </w:r>
    </w:p>
    <w:p>
      <w:pPr>
        <w:spacing w:after="0" w:line="16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240" w:top="280" w:right="579" w:bottom="1440" w:gutter="0" w:footer="0" w:header="0"/>
          <w:type w:val="continuous"/>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ind w:right="60" w:firstLine="913"/>
        <w:spacing w:after="0" w:line="335" w:lineRule="auto"/>
        <w:rPr>
          <w:sz w:val="20"/>
          <w:szCs w:val="20"/>
          <w:color w:val="auto"/>
        </w:rPr>
      </w:pPr>
      <w:r>
        <w:rPr>
          <w:rFonts w:ascii="Arial" w:cs="Arial" w:eastAsia="Arial" w:hAnsi="Arial"/>
          <w:sz w:val="15"/>
          <w:szCs w:val="15"/>
          <w:color w:val="auto"/>
        </w:rPr>
        <w:t>Except where otherwise clearly indicated by context, the masculine shall include the feminine and the singular shall include the plural, and vice-versa. Any term used herein without an initial capital letter that is used in a provision of the Code with which this Plan must comply to meet the requirements of section 401(a) of the Code shall be interpreted as having the meaning used in such provision of the Code, if necessary for the Plan to comply with such provision.</w:t>
      </w:r>
    </w:p>
    <w:p>
      <w:pPr>
        <w:spacing w:after="0" w:line="8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the entries maintained in the records of the Trustee which represent the Participant’s interest in the Fund. The term “Account” shall refer, as the context indicates, to any or all of the following:</w:t>
      </w:r>
    </w:p>
    <w:p>
      <w:pPr>
        <w:spacing w:after="0" w:line="51"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Matched Contribution Account</w:t>
      </w:r>
      <w:r>
        <w:rPr>
          <w:rFonts w:ascii="Arial" w:cs="Arial" w:eastAsia="Arial" w:hAnsi="Arial"/>
          <w:sz w:val="18"/>
          <w:szCs w:val="18"/>
          <w:color w:val="auto"/>
        </w:rPr>
        <w:t>” – the Account to which are credited After-Tax Matched Contributions allocated to a Participant, adjustments for withdrawals and distributions, and the earnings, losses and expenses attributable thereto. In addition, amounts denominated as “After-Tax Matched Contributions” under the CCCHI Plan are credited to this Account.</w:t>
      </w:r>
    </w:p>
    <w:p>
      <w:pPr>
        <w:spacing w:after="0" w:line="140" w:lineRule="exact"/>
        <w:rPr>
          <w:sz w:val="20"/>
          <w:szCs w:val="20"/>
          <w:color w:val="auto"/>
        </w:rPr>
      </w:pPr>
    </w:p>
    <w:p>
      <w:pPr>
        <w:ind w:right="64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Rollover Account</w:t>
      </w:r>
      <w:r>
        <w:rPr>
          <w:rFonts w:ascii="Arial" w:cs="Arial" w:eastAsia="Arial" w:hAnsi="Arial"/>
          <w:sz w:val="18"/>
          <w:szCs w:val="18"/>
          <w:color w:val="auto"/>
        </w:rPr>
        <w:t>” – the Account to which are credited a Participant’s After-Tax Rollover Contributions, adjustments for withdrawals and distributions, and the earnings, losses and expenses attributable thereto. In addition, amounts denominated as “Non-taxable Rollover Contributions” under the CCCHI Plan are credited to this Account.</w:t>
      </w:r>
    </w:p>
    <w:p>
      <w:pPr>
        <w:spacing w:after="0" w:line="140" w:lineRule="exact"/>
        <w:rPr>
          <w:sz w:val="20"/>
          <w:szCs w:val="20"/>
          <w:color w:val="auto"/>
        </w:rPr>
      </w:pPr>
    </w:p>
    <w:p>
      <w:pPr>
        <w:ind w:right="80" w:firstLine="148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Unmatched Contribution Account</w:t>
      </w:r>
      <w:r>
        <w:rPr>
          <w:rFonts w:ascii="Arial" w:cs="Arial" w:eastAsia="Arial" w:hAnsi="Arial"/>
          <w:sz w:val="18"/>
          <w:szCs w:val="18"/>
          <w:color w:val="auto"/>
        </w:rPr>
        <w:t>” – the Account to which are credited After-Tax Unmatched Contributions allocated to a Participant, adjustments for withdrawals and distributions, and the earnings, losses and expenses attributable thereto. In addition, amounts denominated as “Prior Plan Contributions” under the Plan prior to the Effective Date, as well as amounts denominated as “After-Tax Unmatched Contributions” under the CCCHI Plan, are credited to this Account.</w:t>
      </w:r>
    </w:p>
    <w:p>
      <w:pPr>
        <w:spacing w:after="0" w:line="143" w:lineRule="exact"/>
        <w:rPr>
          <w:sz w:val="20"/>
          <w:szCs w:val="20"/>
          <w:color w:val="auto"/>
        </w:rPr>
      </w:pPr>
    </w:p>
    <w:p>
      <w:pPr>
        <w:jc w:val="both"/>
        <w:ind w:right="2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 Account</w:t>
      </w:r>
      <w:r>
        <w:rPr>
          <w:rFonts w:ascii="Arial" w:cs="Arial" w:eastAsia="Arial" w:hAnsi="Arial"/>
          <w:sz w:val="18"/>
          <w:szCs w:val="18"/>
          <w:color w:val="auto"/>
        </w:rPr>
        <w:t>” – the Account to which are credited Broadband Heritage Matching Contributions and Prior Broadband Heritage Matching Contributions allocated to a Participant, adjustments for withdrawals and distributions, and the earnings, losses and expenses attributable thereto.</w:t>
      </w:r>
    </w:p>
    <w:p>
      <w:pPr>
        <w:spacing w:after="0" w:line="140" w:lineRule="exact"/>
        <w:rPr>
          <w:sz w:val="20"/>
          <w:szCs w:val="20"/>
          <w:color w:val="auto"/>
        </w:rPr>
      </w:pPr>
    </w:p>
    <w:p>
      <w:pPr>
        <w:jc w:val="both"/>
        <w:ind w:right="24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Catch-Up Contribution Account</w:t>
      </w:r>
      <w:r>
        <w:rPr>
          <w:rFonts w:ascii="Arial" w:cs="Arial" w:eastAsia="Arial" w:hAnsi="Arial"/>
          <w:sz w:val="18"/>
          <w:szCs w:val="18"/>
          <w:color w:val="auto"/>
        </w:rPr>
        <w:t>” – the Account to which are credited Catch-Up Contributions allocated to a Participant, adjustments for withdrawals and distributions, and the earnings, losses and expenses attributable thereto. In addition, catch-up contributions allocated to a Participant under the Plan or the CCCHI prior to the Effective Date are allocated to this Account.</w:t>
      </w:r>
    </w:p>
    <w:p>
      <w:pPr>
        <w:spacing w:after="0" w:line="140" w:lineRule="exact"/>
        <w:rPr>
          <w:sz w:val="20"/>
          <w:szCs w:val="20"/>
          <w:color w:val="auto"/>
        </w:rPr>
      </w:pPr>
    </w:p>
    <w:p>
      <w:pPr>
        <w:jc w:val="both"/>
        <w:ind w:right="22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Matching Contribution Account</w:t>
      </w:r>
      <w:r>
        <w:rPr>
          <w:rFonts w:ascii="Arial" w:cs="Arial" w:eastAsia="Arial" w:hAnsi="Arial"/>
          <w:sz w:val="18"/>
          <w:szCs w:val="18"/>
          <w:color w:val="auto"/>
        </w:rPr>
        <w:t>” – the Account to which are credited Matching Contributions allocated to a Participant, adjustments for withdrawals and distributions, and the earnings, losses and expenses attributable thereto. In addition, matching contributions under the Plan after December 31, 2000 and through the Effective Date, as well as matching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contributions under the CCCHI Plan after December 31, 2002 and through the Effective Date are allocated to this Account.</w:t>
      </w:r>
    </w:p>
    <w:p>
      <w:pPr>
        <w:spacing w:after="0" w:line="171" w:lineRule="exact"/>
        <w:rPr>
          <w:sz w:val="20"/>
          <w:szCs w:val="20"/>
          <w:color w:val="auto"/>
        </w:rPr>
      </w:pPr>
    </w:p>
    <w:p>
      <w:pPr>
        <w:ind w:right="160" w:firstLine="148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Matched Contribution Account</w:t>
      </w:r>
      <w:r>
        <w:rPr>
          <w:rFonts w:ascii="Arial" w:cs="Arial" w:eastAsia="Arial" w:hAnsi="Arial"/>
          <w:sz w:val="18"/>
          <w:szCs w:val="18"/>
          <w:color w:val="auto"/>
        </w:rPr>
        <w:t>” – the Account to which are credited a Participant’s Pre-Tax Matched Contributions, adjustments for withdrawals and distributions, and the earnings, losses and expenses attributable thereto. In addition, amounts denominated as “Salary Reduction Contributions” under the Plan prior to the Effective Date that were matched, as well as amounts denominated as “Pre-Tax Matched Contributions” under the CCCHI Plan are credited to this Account.</w:t>
      </w:r>
    </w:p>
    <w:p>
      <w:pPr>
        <w:spacing w:after="0" w:line="143" w:lineRule="exact"/>
        <w:rPr>
          <w:sz w:val="20"/>
          <w:szCs w:val="20"/>
          <w:color w:val="auto"/>
        </w:rPr>
      </w:pPr>
    </w:p>
    <w:p>
      <w:pPr>
        <w:ind w:right="60" w:firstLine="148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 Account</w:t>
      </w:r>
      <w:r>
        <w:rPr>
          <w:rFonts w:ascii="Arial" w:cs="Arial" w:eastAsia="Arial" w:hAnsi="Arial"/>
          <w:sz w:val="18"/>
          <w:szCs w:val="18"/>
          <w:color w:val="auto"/>
        </w:rPr>
        <w:t>” – the Account to which are credited a Participant’s Pre-Tax Unmatched Contributions, adjustments for withdrawals and distributions, and the earnings, losses and expenses attributable thereto. In addition, amounts denominated as “Salary Reduction Contributions” under the Plan prior to the Effective Date that were not matched, as well as amounts denominated as “Pre-Tax Unmatched Contributions” under the CCCHI Plan are credited to this Account.</w:t>
      </w:r>
    </w:p>
    <w:p>
      <w:pPr>
        <w:spacing w:after="0" w:line="143" w:lineRule="exact"/>
        <w:rPr>
          <w:sz w:val="20"/>
          <w:szCs w:val="20"/>
          <w:color w:val="auto"/>
        </w:rPr>
      </w:pPr>
    </w:p>
    <w:p>
      <w:pPr>
        <w:ind w:right="140" w:firstLine="148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(Unvested)</w:t>
      </w:r>
      <w:r>
        <w:rPr>
          <w:rFonts w:ascii="Arial" w:cs="Arial" w:eastAsia="Arial" w:hAnsi="Arial"/>
          <w:sz w:val="16"/>
          <w:szCs w:val="16"/>
          <w:color w:val="auto"/>
        </w:rPr>
        <w:t>” – the Account to which are credited Prior Company Matching Contributions (Unvested) allocated to a Participant, adjustments for withdrawals and distributions, and the earnings, losses and expenses attributable thereto.</w:t>
      </w:r>
    </w:p>
    <w:p>
      <w:pPr>
        <w:spacing w:after="0" w:line="85" w:lineRule="exact"/>
        <w:rPr>
          <w:sz w:val="20"/>
          <w:szCs w:val="20"/>
          <w:color w:val="auto"/>
        </w:rPr>
      </w:pPr>
    </w:p>
    <w:p>
      <w:pPr>
        <w:ind w:right="340" w:firstLine="148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(Vested)</w:t>
      </w:r>
      <w:r>
        <w:rPr>
          <w:rFonts w:ascii="Arial" w:cs="Arial" w:eastAsia="Arial" w:hAnsi="Arial"/>
          <w:sz w:val="16"/>
          <w:szCs w:val="16"/>
          <w:color w:val="auto"/>
        </w:rPr>
        <w:t>” – the Account to which are credited Prior Company Matching Contributions (Vested) allocated to a Participant, adjustments for withdrawals and distributions, and the earnings, losses and expenses attributable thereto.</w:t>
      </w:r>
    </w:p>
    <w:p>
      <w:pPr>
        <w:spacing w:after="0" w:line="85" w:lineRule="exact"/>
        <w:rPr>
          <w:sz w:val="20"/>
          <w:szCs w:val="20"/>
          <w:color w:val="auto"/>
        </w:rPr>
      </w:pPr>
    </w:p>
    <w:p>
      <w:pPr>
        <w:jc w:val="both"/>
        <w:ind w:right="18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QNEC Account</w:t>
      </w:r>
      <w:r>
        <w:rPr>
          <w:rFonts w:ascii="Arial" w:cs="Arial" w:eastAsia="Arial" w:hAnsi="Arial"/>
          <w:sz w:val="18"/>
          <w:szCs w:val="18"/>
          <w:color w:val="auto"/>
        </w:rPr>
        <w:t>” – the Account to which are credited a Participant’s Qualified Non-Elective Contributions, adjustments for withdrawals and distributions, and the earnings, losses and expenses attributable thereto, including any amounts designated as qualified non-elective contributions under the Plan or the CCCHI Plan prior to the Effective Date.</w:t>
      </w:r>
    </w:p>
    <w:p>
      <w:pPr>
        <w:spacing w:after="0" w:line="140" w:lineRule="exact"/>
        <w:rPr>
          <w:sz w:val="20"/>
          <w:szCs w:val="20"/>
          <w:color w:val="auto"/>
        </w:rPr>
      </w:pPr>
    </w:p>
    <w:p>
      <w:pPr>
        <w:ind w:firstLine="148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Taxable Rollover Account</w:t>
      </w:r>
      <w:r>
        <w:rPr>
          <w:rFonts w:ascii="Arial" w:cs="Arial" w:eastAsia="Arial" w:hAnsi="Arial"/>
          <w:sz w:val="16"/>
          <w:szCs w:val="16"/>
          <w:color w:val="auto"/>
        </w:rPr>
        <w:t>” – the Account to which are credited a Participant’s Taxable Rollover Contributions, adjustments for withdrawals and distributions, and the earnings, losses and expenses attributable thereto. In addition, amounts denominated as “Rollover Contributions” under the Plan prior to the Effective Date, as well as amounts denominated as “Taxable Rollover Contributions” under the CCCHI Plan are credited to this Account.</w:t>
      </w:r>
    </w:p>
    <w:p>
      <w:pPr>
        <w:spacing w:after="0" w:line="10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 an individual who has become an Active Participant as provided in Article II and has remained a Covered Employee at all times thereafter.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Deferral Percentage</w:t>
      </w:r>
      <w:r>
        <w:rPr>
          <w:rFonts w:ascii="Arial" w:cs="Arial" w:eastAsia="Arial" w:hAnsi="Arial"/>
          <w:sz w:val="18"/>
          <w:szCs w:val="18"/>
          <w:color w:val="auto"/>
        </w:rPr>
        <w:t>” means, for any Early Entry Eligible Employee for a given Plan Year, the ratio 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90" w:name="page91"/>
    <w:bookmarkEnd w:id="90"/>
    <w:p>
      <w:pPr>
        <w:ind w:left="2180" w:hanging="232"/>
        <w:spacing w:after="0"/>
        <w:tabs>
          <w:tab w:leader="none" w:pos="2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sum of:</w:t>
      </w:r>
    </w:p>
    <w:p>
      <w:pPr>
        <w:spacing w:after="0" w:line="90" w:lineRule="exact"/>
        <w:rPr>
          <w:rFonts w:ascii="Arial" w:cs="Arial" w:eastAsia="Arial" w:hAnsi="Arial"/>
          <w:sz w:val="18"/>
          <w:szCs w:val="18"/>
          <w:color w:val="auto"/>
        </w:rPr>
      </w:pPr>
    </w:p>
    <w:p>
      <w:pPr>
        <w:ind w:left="2660" w:hanging="256"/>
        <w:spacing w:after="0"/>
        <w:tabs>
          <w:tab w:leader="none" w:pos="2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such Early Entry Eligible Employee’s Pre-Tax Contributions for the Plan Year, plus</w:t>
      </w:r>
    </w:p>
    <w:p>
      <w:pPr>
        <w:spacing w:after="0" w:line="171" w:lineRule="exact"/>
        <w:rPr>
          <w:rFonts w:ascii="Arial" w:cs="Arial" w:eastAsia="Arial" w:hAnsi="Arial"/>
          <w:sz w:val="18"/>
          <w:szCs w:val="18"/>
          <w:color w:val="auto"/>
        </w:rPr>
      </w:pPr>
    </w:p>
    <w:p>
      <w:pPr>
        <w:ind w:right="240" w:firstLine="2404"/>
        <w:spacing w:after="0" w:line="306" w:lineRule="auto"/>
        <w:tabs>
          <w:tab w:leader="none" w:pos="2645" w:val="left"/>
        </w:tabs>
        <w:numPr>
          <w:ilvl w:val="1"/>
          <w:numId w:val="90"/>
        </w:numPr>
        <w:rPr>
          <w:rFonts w:ascii="Arial" w:cs="Arial" w:eastAsia="Arial" w:hAnsi="Arial"/>
          <w:sz w:val="16"/>
          <w:szCs w:val="16"/>
          <w:color w:val="auto"/>
        </w:rPr>
      </w:pPr>
      <w:r>
        <w:rPr>
          <w:rFonts w:ascii="Arial" w:cs="Arial" w:eastAsia="Arial" w:hAnsi="Arial"/>
          <w:sz w:val="16"/>
          <w:szCs w:val="16"/>
          <w:color w:val="auto"/>
        </w:rPr>
        <w:t>in the case of any Highly Compensated Early Entry Eligible Employee, his elective deferrals for the year under any other qualified retirement plan, other than an employee stock ownership plan as defined in section 4975(e)(7) of the Code or a tax credit employee stock ownership plan as defined in section 409(a) of the Code, maintained by the Participating Company or any Affiliated Company; to</w:t>
      </w:r>
    </w:p>
    <w:p>
      <w:pPr>
        <w:spacing w:after="0" w:line="106" w:lineRule="exact"/>
        <w:rPr>
          <w:rFonts w:ascii="Arial" w:cs="Arial" w:eastAsia="Arial" w:hAnsi="Arial"/>
          <w:sz w:val="16"/>
          <w:szCs w:val="16"/>
          <w:color w:val="auto"/>
        </w:rPr>
      </w:pPr>
    </w:p>
    <w:p>
      <w:pPr>
        <w:ind w:left="2200" w:hanging="252"/>
        <w:spacing w:after="0"/>
        <w:tabs>
          <w:tab w:leader="none" w:pos="22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Early Entry Eligible Employee’s Compensation for that portion of the Plan Year during which he was an Early Entry Eligible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plan administrator within the meaning of ERISA. The Committee shall be the Administrator.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Company</w:t>
      </w:r>
      <w:r>
        <w:rPr>
          <w:rFonts w:ascii="Arial" w:cs="Arial" w:eastAsia="Arial" w:hAnsi="Arial"/>
          <w:sz w:val="18"/>
          <w:szCs w:val="18"/>
          <w:color w:val="auto"/>
        </w:rPr>
        <w:t>” means, with respect to any Participating Company:</w:t>
      </w:r>
    </w:p>
    <w:p>
      <w:pPr>
        <w:spacing w:after="0" w:line="90" w:lineRule="exact"/>
        <w:rPr>
          <w:sz w:val="20"/>
          <w:szCs w:val="20"/>
          <w:color w:val="auto"/>
        </w:rPr>
      </w:pPr>
    </w:p>
    <w:p>
      <w:pPr>
        <w:ind w:left="2180" w:hanging="232"/>
        <w:spacing w:after="0"/>
        <w:tabs>
          <w:tab w:leader="none" w:pos="2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General.</w:t>
      </w:r>
    </w:p>
    <w:p>
      <w:pPr>
        <w:spacing w:after="0" w:line="90" w:lineRule="exact"/>
        <w:rPr>
          <w:rFonts w:ascii="Arial" w:cs="Arial" w:eastAsia="Arial" w:hAnsi="Arial"/>
          <w:sz w:val="18"/>
          <w:szCs w:val="18"/>
          <w:color w:val="auto"/>
        </w:rPr>
      </w:pPr>
    </w:p>
    <w:p>
      <w:pPr>
        <w:ind w:right="320" w:firstLine="2404"/>
        <w:spacing w:after="0" w:line="268" w:lineRule="auto"/>
        <w:tabs>
          <w:tab w:leader="none" w:pos="264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corporation that is a member of a controlled group of corporations, as determined under section 414(b) of the Code, which includes such Participating Company;</w:t>
      </w:r>
    </w:p>
    <w:p>
      <w:pPr>
        <w:spacing w:after="0" w:line="131" w:lineRule="exact"/>
        <w:rPr>
          <w:rFonts w:ascii="Arial" w:cs="Arial" w:eastAsia="Arial" w:hAnsi="Arial"/>
          <w:sz w:val="18"/>
          <w:szCs w:val="18"/>
          <w:color w:val="auto"/>
        </w:rPr>
      </w:pPr>
    </w:p>
    <w:p>
      <w:pPr>
        <w:ind w:right="440" w:firstLine="2404"/>
        <w:spacing w:after="0" w:line="268" w:lineRule="auto"/>
        <w:tabs>
          <w:tab w:leader="none" w:pos="264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trade or business (whether or not incorporated) that is under common control with such Participating Company, as determined under section 414(c) of the Code;</w:t>
      </w:r>
    </w:p>
    <w:p>
      <w:pPr>
        <w:spacing w:after="0" w:line="131" w:lineRule="exact"/>
        <w:rPr>
          <w:rFonts w:ascii="Arial" w:cs="Arial" w:eastAsia="Arial" w:hAnsi="Arial"/>
          <w:sz w:val="18"/>
          <w:szCs w:val="18"/>
          <w:color w:val="auto"/>
        </w:rPr>
      </w:pPr>
    </w:p>
    <w:p>
      <w:pPr>
        <w:ind w:left="2660" w:hanging="256"/>
        <w:spacing w:after="0"/>
        <w:tabs>
          <w:tab w:leader="none" w:pos="26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any member of an affiliated service group, as determined under section 414(m) of the Code, of which such Participating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is a member; and</w:t>
      </w:r>
    </w:p>
    <w:p>
      <w:pPr>
        <w:spacing w:after="0" w:line="164" w:lineRule="exact"/>
        <w:rPr>
          <w:rFonts w:ascii="Arial" w:cs="Arial" w:eastAsia="Arial" w:hAnsi="Arial"/>
          <w:sz w:val="16"/>
          <w:szCs w:val="16"/>
          <w:color w:val="auto"/>
        </w:rPr>
      </w:pPr>
    </w:p>
    <w:p>
      <w:pPr>
        <w:ind w:right="100" w:firstLine="2404"/>
        <w:spacing w:after="0" w:line="268" w:lineRule="auto"/>
        <w:tabs>
          <w:tab w:leader="none" w:pos="264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other organization or entity which is required to be aggregated with the Participating Company under section 414(o) of the Code and regulations issued thereunder.</w:t>
      </w:r>
    </w:p>
    <w:p>
      <w:pPr>
        <w:spacing w:after="0" w:line="131" w:lineRule="exact"/>
        <w:rPr>
          <w:rFonts w:ascii="Arial" w:cs="Arial" w:eastAsia="Arial" w:hAnsi="Arial"/>
          <w:sz w:val="18"/>
          <w:szCs w:val="18"/>
          <w:color w:val="auto"/>
        </w:rPr>
      </w:pPr>
    </w:p>
    <w:p>
      <w:pPr>
        <w:ind w:firstLine="1948"/>
        <w:spacing w:after="0" w:line="259" w:lineRule="auto"/>
        <w:tabs>
          <w:tab w:leader="none" w:pos="21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50% Affiliated Company</w:t>
      </w:r>
      <w:r>
        <w:rPr>
          <w:rFonts w:ascii="Arial" w:cs="Arial" w:eastAsia="Arial" w:hAnsi="Arial"/>
          <w:sz w:val="18"/>
          <w:szCs w:val="18"/>
          <w:color w:val="auto"/>
        </w:rPr>
        <w:t>.” “50% Affiliated Company” means an Affiliated Company described in subsection (a)(1) or subsection (a)(2) of this definition, but determined with “more than 50%” substituted for the phrase “at least 80%” in section 1563(a) of the Code, when applying sections 414(b) and (c) of the Code.</w:t>
      </w:r>
    </w:p>
    <w:p>
      <w:pPr>
        <w:spacing w:after="0" w:line="140" w:lineRule="exact"/>
        <w:rPr>
          <w:rFonts w:ascii="Arial" w:cs="Arial" w:eastAsia="Arial" w:hAnsi="Arial"/>
          <w:sz w:val="18"/>
          <w:szCs w:val="18"/>
          <w:color w:val="auto"/>
        </w:rPr>
      </w:pPr>
    </w:p>
    <w:p>
      <w:pPr>
        <w:ind w:firstLine="1948"/>
        <w:spacing w:after="0" w:line="306" w:lineRule="auto"/>
        <w:tabs>
          <w:tab w:leader="none" w:pos="2179"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Special Rules</w:t>
      </w:r>
      <w:r>
        <w:rPr>
          <w:rFonts w:ascii="Arial" w:cs="Arial" w:eastAsia="Arial" w:hAnsi="Arial"/>
          <w:sz w:val="16"/>
          <w:szCs w:val="16"/>
          <w:color w:val="auto"/>
        </w:rPr>
        <w:t>. (i) An entity is an Affiliated Company only during those periods in which it is included in a category described in subsection (a) or (b) of this definition. (ii) For purposes of crediting service for eligibility to participate and vesting, an entity at least 25% owned by the Company or a Participating Company shall be deemed an Affiliated Company; provided that, for purposes of eligibility to participate, crediting of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1" w:name="page92"/>
    <w:bookmarkEnd w:id="91"/>
    <w:p>
      <w:pPr>
        <w:jc w:val="right"/>
        <w:ind w:right="2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is contingent upon an Employee notifying the Company of such prior service and verification of such prior service.</w:t>
      </w:r>
    </w:p>
    <w:p>
      <w:pPr>
        <w:spacing w:after="0" w:line="194"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Contributions</w:t>
      </w:r>
      <w:r>
        <w:rPr>
          <w:rFonts w:ascii="Arial" w:cs="Arial" w:eastAsia="Arial" w:hAnsi="Arial"/>
          <w:sz w:val="18"/>
          <w:szCs w:val="18"/>
          <w:color w:val="auto"/>
        </w:rPr>
        <w:t>” means After-Tax Matched Contributions and After-Tax Unmatched Contributions.</w:t>
      </w:r>
    </w:p>
    <w:p>
      <w:pPr>
        <w:spacing w:after="0" w:line="171" w:lineRule="exact"/>
        <w:rPr>
          <w:sz w:val="20"/>
          <w:szCs w:val="20"/>
          <w:color w:val="auto"/>
        </w:rPr>
      </w:pPr>
    </w:p>
    <w:p>
      <w:pPr>
        <w:jc w:val="both"/>
        <w:ind w:right="2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Matched Contributions</w:t>
      </w:r>
      <w:r>
        <w:rPr>
          <w:rFonts w:ascii="Arial" w:cs="Arial" w:eastAsia="Arial" w:hAnsi="Arial"/>
          <w:sz w:val="18"/>
          <w:szCs w:val="18"/>
          <w:color w:val="auto"/>
        </w:rPr>
        <w:t>” means an amount that a Participant who is a Covered Union Employee (Broadband) elects to have deducted from his or her Compensation, in accordance with Article IV, after income taxes have been withheld on such amounts. After-Tax Matched Contributions are eligible for Broadband Heritage Matching Contributions.</w:t>
      </w:r>
    </w:p>
    <w:p>
      <w:pPr>
        <w:spacing w:after="0" w:line="14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Rollover Contributions</w:t>
      </w:r>
      <w:r>
        <w:rPr>
          <w:rFonts w:ascii="Arial" w:cs="Arial" w:eastAsia="Arial" w:hAnsi="Arial"/>
          <w:sz w:val="18"/>
          <w:szCs w:val="18"/>
          <w:color w:val="auto"/>
        </w:rPr>
        <w:t>” means a contribution to the Plan made in accordance with the rules of section 402 of the Code and pursuant to Section 7.1 of amounts which will not constitute taxable income to the Participant when distributed or withdrawn.</w:t>
      </w:r>
    </w:p>
    <w:p>
      <w:pPr>
        <w:spacing w:after="0" w:line="132"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Unmatched Contributions</w:t>
      </w:r>
      <w:r>
        <w:rPr>
          <w:rFonts w:ascii="Arial" w:cs="Arial" w:eastAsia="Arial" w:hAnsi="Arial"/>
          <w:sz w:val="18"/>
          <w:szCs w:val="18"/>
          <w:color w:val="auto"/>
        </w:rPr>
        <w:t>” means an amount that a Participant who is a Covered Union Employee (Broadband) elects to have deducted from his or her Compensation, in accordance with Article IV, after income taxes have been withheld on such amounts. After-Tax Unmatched Contributions are not eligible for Broadband Heritage Matching Contributions.</w:t>
      </w:r>
    </w:p>
    <w:p>
      <w:pPr>
        <w:spacing w:after="0" w:line="167" w:lineRule="exact"/>
        <w:rPr>
          <w:sz w:val="20"/>
          <w:szCs w:val="20"/>
          <w:color w:val="auto"/>
        </w:rPr>
      </w:pPr>
    </w:p>
    <w:p>
      <w:pPr>
        <w:ind w:right="40" w:firstLine="913"/>
        <w:spacing w:after="0" w:line="23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w:t>
      </w:r>
      <w:r>
        <w:rPr>
          <w:rFonts w:ascii="Arial" w:cs="Arial" w:eastAsia="Arial" w:hAnsi="Arial"/>
          <w:sz w:val="18"/>
          <w:szCs w:val="18"/>
          <w:color w:val="auto"/>
        </w:rPr>
        <w:t xml:space="preserve">” means, for any individual, his age on his last birthday, except that an individual reaches Age 59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or Age 70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on the corresponding date in the sixth calendar month following the month in which his 59th or 70th (respectively) birthday falls (or the last day of such sixth month if there is no such corresponding date therein).</w:t>
      </w:r>
    </w:p>
    <w:p>
      <w:pPr>
        <w:spacing w:after="0" w:line="185"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combination of Comcast Corporation and AT&amp;T Broadband Corp., which was consummated on November 18, 2002.</w:t>
      </w:r>
    </w:p>
    <w:p>
      <w:pPr>
        <w:spacing w:after="0" w:line="132"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Actual Deferral Percentage</w:t>
      </w:r>
      <w:r>
        <w:rPr>
          <w:rFonts w:ascii="Arial" w:cs="Arial" w:eastAsia="Arial" w:hAnsi="Arial"/>
          <w:sz w:val="18"/>
          <w:szCs w:val="18"/>
          <w:color w:val="auto"/>
        </w:rPr>
        <w:t>” means, for a specified group of Early Entry Eligible Employees for a Plan Year, the average of the Actual Deferral Percentages for such Early Entry Eligible Employees for the Plan Year.</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Contribution Percentage</w:t>
      </w:r>
      <w:r>
        <w:rPr>
          <w:rFonts w:ascii="Arial" w:cs="Arial" w:eastAsia="Arial" w:hAnsi="Arial"/>
          <w:sz w:val="18"/>
          <w:szCs w:val="18"/>
          <w:color w:val="auto"/>
        </w:rPr>
        <w:t>” means, for a specified group of Early Entry Eligible Employees for a Plan Year, the average of the Contribution Percentages for such Early Entry Eligible Employees for the Plan Year.</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Commencement Date</w:t>
      </w:r>
      <w:r>
        <w:rPr>
          <w:rFonts w:ascii="Arial" w:cs="Arial" w:eastAsia="Arial" w:hAnsi="Arial"/>
          <w:sz w:val="18"/>
          <w:szCs w:val="18"/>
          <w:color w:val="auto"/>
        </w:rPr>
        <w:t>” means, for any Participant or beneficiary, the date as of which the first benefit payment, including a single sum, from the Participant’s Account is due, other than pursuant to a withdrawal under Article VIII.</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(or other governing body) of the Company and, to the extent the Board has delegated its authority hereunder to the Board’s Executive Committee, the Executive Committee.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Contributions</w:t>
      </w:r>
      <w:r>
        <w:rPr>
          <w:rFonts w:ascii="Arial" w:cs="Arial" w:eastAsia="Arial" w:hAnsi="Arial"/>
          <w:sz w:val="18"/>
          <w:szCs w:val="18"/>
          <w:color w:val="auto"/>
        </w:rPr>
        <w:t>” means the amounts contributed by the Company pursuant to Section 3.5.1(c).</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92" w:name="page93"/>
    <w:bookmarkEnd w:id="92"/>
    <w:p>
      <w:pPr>
        <w:ind w:right="2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Catch-Up Contributions</w:t>
      </w:r>
      <w:r>
        <w:rPr>
          <w:rFonts w:ascii="Arial" w:cs="Arial" w:eastAsia="Arial" w:hAnsi="Arial"/>
          <w:sz w:val="18"/>
          <w:szCs w:val="18"/>
          <w:color w:val="auto"/>
        </w:rPr>
        <w:t>” means for any eligible Participant, contributions on his behalf as provided in Section 3.1.3 that are made in accordance with, and subject to the limitations of, section 414(v) of the Code.</w:t>
      </w:r>
    </w:p>
    <w:p>
      <w:pPr>
        <w:spacing w:after="0" w:line="132"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CCCHI Plan</w:t>
      </w:r>
      <w:r>
        <w:rPr>
          <w:rFonts w:ascii="Arial" w:cs="Arial" w:eastAsia="Arial" w:hAnsi="Arial"/>
          <w:sz w:val="18"/>
          <w:szCs w:val="18"/>
          <w:color w:val="auto"/>
        </w:rPr>
        <w:t>” means the Comcast Cable Communications Holdings, Inc. Long Term Savings Plan (formerly the AT&amp;T Broadband Long Term Savings Plan), as in effect on June 30, 2003.</w:t>
      </w:r>
    </w:p>
    <w:p>
      <w:pPr>
        <w:spacing w:after="0" w:line="132"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 “Change in Control” as defined in the AT&amp;T 1997 Long Term Incentive Program (as amended May 19, 1999 and March 14, 2000), or (ii) the merger between AT&amp;T Broadband and Comcast Corp. contemplated in the Agreement and Plan of Merger dated as of December 19, 2001 by and among AT&amp;T Corp., AT&amp;T Broadband Corp., Comcast Corporation, AT&amp;T Broadband Acquisition Corp., Comcast Acquisition Corp. and AT&amp;T Comcast Corporation.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regulations issued thereunder.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individuals appointed to supervise the administration of the Plan, as provided in Article X of the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means Comcast Corporation Class A Common Stock.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for any Eligible Employee, for any Plan Year or Limitation Year, as the case may be:</w:t>
      </w:r>
    </w:p>
    <w:p>
      <w:pPr>
        <w:spacing w:after="0" w:line="90" w:lineRule="exact"/>
        <w:rPr>
          <w:sz w:val="20"/>
          <w:szCs w:val="20"/>
          <w:color w:val="auto"/>
        </w:rPr>
      </w:pPr>
    </w:p>
    <w:p>
      <w:pPr>
        <w:ind w:firstLine="1948"/>
        <w:spacing w:after="0" w:line="289" w:lineRule="auto"/>
        <w:tabs>
          <w:tab w:leader="none" w:pos="2179"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except as otherwise provided below in this definition, and subject to the limitations set forth in subsection (c) of this definition, his wages as reported on Form W-2 (</w:t>
      </w:r>
      <w:r>
        <w:rPr>
          <w:rFonts w:ascii="Arial" w:cs="Arial" w:eastAsia="Arial" w:hAnsi="Arial"/>
          <w:sz w:val="16"/>
          <w:szCs w:val="16"/>
          <w:u w:val="single" w:color="auto"/>
          <w:color w:val="auto"/>
        </w:rPr>
        <w:t>i.e.</w:t>
      </w:r>
      <w:r>
        <w:rPr>
          <w:rFonts w:ascii="Arial" w:cs="Arial" w:eastAsia="Arial" w:hAnsi="Arial"/>
          <w:sz w:val="16"/>
          <w:szCs w:val="16"/>
          <w:color w:val="auto"/>
        </w:rPr>
        <w:t>, wages as defined in section 3401(a) of the Code and all other payments of compensation for which the Participating Company is required to furnish the employee a written statement under sections 6041(d) and 6051(a)(3) of the Code) from a Participating Company for such Plan Year, reduced by reimbursements or other expense allowances, fringe benefits (cash and non-cash), moving expenses, deferred compensation, and welfare benefits, but including Pre-Tax Contributions and elective contributions that are not includible in gross income under sections 125 or 402(a)(8) of the Code. For the purposes of the definitions of “Actual Deferral Percentage” and “Contribution Percentage” in this Article (except as otherwise provided in such definitions), the Company may elect to consider only Compensation as defined above for that portion of the Plan Year during which the Employee was an Eligible Employee, provided that this election is applied uniformly to all Eligible Employees for the Plan Year.</w:t>
      </w:r>
    </w:p>
    <w:p>
      <w:pPr>
        <w:spacing w:after="0" w:line="118" w:lineRule="exact"/>
        <w:rPr>
          <w:rFonts w:ascii="Arial" w:cs="Arial" w:eastAsia="Arial" w:hAnsi="Arial"/>
          <w:sz w:val="16"/>
          <w:szCs w:val="16"/>
          <w:color w:val="auto"/>
        </w:rPr>
      </w:pPr>
    </w:p>
    <w:p>
      <w:pPr>
        <w:jc w:val="both"/>
        <w:ind w:right="80" w:firstLine="1948"/>
        <w:spacing w:after="0" w:line="298" w:lineRule="auto"/>
        <w:tabs>
          <w:tab w:leader="none" w:pos="2189" w:val="left"/>
        </w:tabs>
        <w:numPr>
          <w:ilvl w:val="0"/>
          <w:numId w:val="92"/>
        </w:numPr>
        <w:rPr>
          <w:rFonts w:ascii="Arial" w:cs="Arial" w:eastAsia="Arial" w:hAnsi="Arial"/>
          <w:sz w:val="16"/>
          <w:szCs w:val="16"/>
          <w:color w:val="auto"/>
        </w:rPr>
      </w:pPr>
      <w:r>
        <w:rPr>
          <w:rFonts w:ascii="Arial" w:cs="Arial" w:eastAsia="Arial" w:hAnsi="Arial"/>
          <w:sz w:val="16"/>
          <w:szCs w:val="16"/>
          <w:color w:val="auto"/>
        </w:rPr>
        <w:t>for the purposes of Article XIII and Section 3.9, subject to the limitations set forth in subsection (c) of this definition, the Employee’s wages as reported on Form W-2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wages as defined in section 3401(a) of the Code and all other payments of compensation for which the Participating Company is required to furnish the employee a written statement under sections 6041(d) and 6051(a)(3) of the Code); </w:t>
      </w:r>
      <w:r>
        <w:rPr>
          <w:rFonts w:ascii="Arial" w:cs="Arial" w:eastAsia="Arial" w:hAnsi="Arial"/>
          <w:sz w:val="16"/>
          <w:szCs w:val="16"/>
          <w:u w:val="single" w:color="auto"/>
          <w:color w:val="auto"/>
        </w:rPr>
        <w:t>provided that</w:t>
      </w:r>
      <w:r>
        <w:rPr>
          <w:rFonts w:ascii="Arial" w:cs="Arial" w:eastAsia="Arial" w:hAnsi="Arial"/>
          <w:sz w:val="16"/>
          <w:szCs w:val="16"/>
          <w:color w:val="auto"/>
        </w:rPr>
        <w:t>, Compensation shall include any elective deferral as defined by section 402(g)(3) of the Code, all employee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93" w:name="page94"/>
    <w:bookmarkEnd w:id="93"/>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contributions to an annuity under section 403(b) of the Code, and any amount which is contributed or deferred by a Participating Company or Affiliated Company at the election of the Employee and which is not includible in the gross income of the Employee by reason of sections 125, 132(f) or 457 of the Code.</w:t>
      </w:r>
    </w:p>
    <w:p>
      <w:pPr>
        <w:spacing w:after="0" w:line="85" w:lineRule="exact"/>
        <w:rPr>
          <w:sz w:val="20"/>
          <w:szCs w:val="20"/>
          <w:color w:val="auto"/>
        </w:rPr>
      </w:pPr>
    </w:p>
    <w:p>
      <w:pPr>
        <w:ind w:right="100" w:firstLine="1948"/>
        <w:spacing w:after="0" w:line="268" w:lineRule="auto"/>
        <w:tabs>
          <w:tab w:leader="none" w:pos="2179"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Only compensation not in excess of $200,000, as adjusted for cost-of-living increases in accordance with section 401(a)(17)(B) of the Code, shall be considered for all purposes under the Plan.</w:t>
      </w:r>
    </w:p>
    <w:p>
      <w:pPr>
        <w:spacing w:after="0" w:line="131" w:lineRule="exact"/>
        <w:rPr>
          <w:rFonts w:ascii="Arial" w:cs="Arial" w:eastAsia="Arial" w:hAnsi="Arial"/>
          <w:sz w:val="18"/>
          <w:szCs w:val="18"/>
          <w:color w:val="auto"/>
        </w:rPr>
      </w:pPr>
    </w:p>
    <w:p>
      <w:pPr>
        <w:ind w:right="140" w:firstLine="1948"/>
        <w:spacing w:after="0" w:line="289" w:lineRule="auto"/>
        <w:tabs>
          <w:tab w:leader="none" w:pos="2189" w:val="left"/>
        </w:tabs>
        <w:numPr>
          <w:ilvl w:val="0"/>
          <w:numId w:val="93"/>
        </w:numPr>
        <w:rPr>
          <w:rFonts w:ascii="Arial" w:cs="Arial" w:eastAsia="Arial" w:hAnsi="Arial"/>
          <w:sz w:val="16"/>
          <w:szCs w:val="16"/>
          <w:color w:val="auto"/>
        </w:rPr>
      </w:pPr>
      <w:r>
        <w:rPr>
          <w:rFonts w:ascii="Arial" w:cs="Arial" w:eastAsia="Arial" w:hAnsi="Arial"/>
          <w:sz w:val="16"/>
          <w:szCs w:val="16"/>
          <w:color w:val="auto"/>
        </w:rPr>
        <w:t>For purposes of Article III, except Section 3.9, as applied to Covered Union Employees (Broadband), Compensation shall mean base pay (prior to reductions under sections 125 and 401(k) of the Code), bonuses (other than STIP and executive STIP listed below), payments received under the Company Sickness and Accident Disability Plan or short term disability payments under the Company Disability Plan, commissions, and buyout of base pay due to demotion or resulting from pay parity, but shall not include: (1) shift, expatriate, and geographic differentials, overtime, non-cash payments, relocation allowances and special cash payments such as hire, stay or referral payments; (2) payments under the Short-Term Incentive Program (STIP), and executive bonuses including long-term payments and Executive Short-Term Incentive Plan (ESTIP); (3) payments made for waiver of medical coverage, previously deferred compensation, exercise of stock options, gross-up amounts or cashout of paid time off; (4) deferred compensation in any nonqualified plan; or (5) any compensation that is paid with an effective date after retirement or termination of employment.</w:t>
      </w:r>
    </w:p>
    <w:p>
      <w:pPr>
        <w:spacing w:after="0" w:line="118" w:lineRule="exact"/>
        <w:rPr>
          <w:rFonts w:ascii="Arial" w:cs="Arial" w:eastAsia="Arial" w:hAnsi="Arial"/>
          <w:sz w:val="16"/>
          <w:szCs w:val="16"/>
          <w:color w:val="auto"/>
        </w:rPr>
      </w:pPr>
    </w:p>
    <w:p>
      <w:pPr>
        <w:ind w:right="200" w:firstLine="1948"/>
        <w:spacing w:after="0" w:line="259" w:lineRule="auto"/>
        <w:tabs>
          <w:tab w:leader="none" w:pos="2179"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effective on and after January 1, 2006, Compensation shall not include any payments of compensation as described above in subsections (a), (b) and (d) that are paid more than 75 calendar days after an Employee’s Separation from Service.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Percentage</w:t>
      </w:r>
      <w:r>
        <w:rPr>
          <w:rFonts w:ascii="Arial" w:cs="Arial" w:eastAsia="Arial" w:hAnsi="Arial"/>
          <w:sz w:val="18"/>
          <w:szCs w:val="18"/>
          <w:color w:val="auto"/>
        </w:rPr>
        <w:t>” means for any Early Entry Eligible Employee for a given Plan Year, the ratio of:</w:t>
      </w:r>
    </w:p>
    <w:p>
      <w:pPr>
        <w:spacing w:after="0" w:line="90" w:lineRule="exact"/>
        <w:rPr>
          <w:sz w:val="20"/>
          <w:szCs w:val="20"/>
          <w:color w:val="auto"/>
        </w:rPr>
      </w:pPr>
    </w:p>
    <w:p>
      <w:pPr>
        <w:ind w:left="2180" w:hanging="232"/>
        <w:spacing w:after="0"/>
        <w:tabs>
          <w:tab w:leader="none" w:pos="2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660" w:hanging="256"/>
        <w:spacing w:after="0"/>
        <w:tabs>
          <w:tab w:leader="none" w:pos="26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such Early Entry Eligible Employee’s Matching Contributions or Broadband Heritage Matching Contributions for the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 plus</w:t>
      </w:r>
    </w:p>
    <w:p>
      <w:pPr>
        <w:spacing w:after="0" w:line="165" w:lineRule="exact"/>
        <w:rPr>
          <w:sz w:val="20"/>
          <w:szCs w:val="20"/>
          <w:color w:val="auto"/>
        </w:rPr>
      </w:pPr>
    </w:p>
    <w:p>
      <w:pPr>
        <w:jc w:val="both"/>
        <w:ind w:right="60" w:firstLine="2404"/>
        <w:spacing w:after="0" w:line="256" w:lineRule="auto"/>
        <w:tabs>
          <w:tab w:leader="none" w:pos="264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case of any Highly Compensated Early Entry Eligible Employee, any employee contributions and employer matching contributions, including any elective deferrals recharacterized as employee contributions, under any other qualified retirement plan, other than an employee stock ownership plan as defined in section 4975(e)(7) of the Code or a tax credit employee stock ownership plan as defined in section 409(a) of the Code, maintained by the Participating Company or any Affiliated Company, plus</w:t>
      </w:r>
    </w:p>
    <w:p>
      <w:pPr>
        <w:spacing w:after="0" w:line="143" w:lineRule="exact"/>
        <w:rPr>
          <w:rFonts w:ascii="Arial" w:cs="Arial" w:eastAsia="Arial" w:hAnsi="Arial"/>
          <w:sz w:val="18"/>
          <w:szCs w:val="18"/>
          <w:color w:val="auto"/>
        </w:rPr>
      </w:pPr>
    </w:p>
    <w:p>
      <w:pPr>
        <w:jc w:val="both"/>
        <w:ind w:firstLine="2404"/>
        <w:spacing w:after="0" w:line="259" w:lineRule="auto"/>
        <w:tabs>
          <w:tab w:leader="none" w:pos="264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the election of the Committee, any portion of the Early Entry Eligible Employee’s Pre-Tax Contributions for the Plan Year or elective deferrals under any other qualified retirement plan maintained by a Participating Company or any Affiliated Company that may be disregarded without causing this Plan or such other qualified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plan to fail to satisfy the requirements of section 401(k)(3) of the Code and the regulations issued thereunder; to</w:t>
      </w:r>
    </w:p>
    <w:p>
      <w:pPr>
        <w:spacing w:after="0" w:line="171"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(b) the Early Entry Eligible Employee’s Compensation for that portion of the Plan Year during which he was an Early Entry Eligible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65"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Employee</w:t>
      </w:r>
      <w:r>
        <w:rPr>
          <w:rFonts w:ascii="Arial" w:cs="Arial" w:eastAsia="Arial" w:hAnsi="Arial"/>
          <w:sz w:val="16"/>
          <w:szCs w:val="16"/>
          <w:color w:val="auto"/>
        </w:rPr>
        <w:t>” means any Employee who is (a) employed by a Participating Company and designated on the books and records of such Participating Company as an employee and (b) not covered by a collective bargaining agreement, unless such agreement specifically provides for participation hereunder. The following individuals shall not be Covered Employees: (a) an individual who is treated as an Employee solely by reason of being a Leased Employee; (b) an individual who is not on an employee payroll of a Participating Company or the Participating Company does report such individual’s wages on Form W-2; (c) an individual who has entered into an agreement with a Participating Company which excludes him from participation in employee benefit plans of a Participating Company (whether or not such individual is treated or classified as an employee for certain specified purposes that do not include eligibility to participate in the Plan); and (d) an individual who is not classified by the Participating Company as an employee, even if such individual is retroactively recharacterized as an employee by a third party or a Participating Company.</w:t>
      </w:r>
    </w:p>
    <w:p>
      <w:pPr>
        <w:spacing w:after="0" w:line="118"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Union Employee (Broadband)</w:t>
      </w:r>
      <w:r>
        <w:rPr>
          <w:rFonts w:ascii="Arial" w:cs="Arial" w:eastAsia="Arial" w:hAnsi="Arial"/>
          <w:sz w:val="16"/>
          <w:szCs w:val="16"/>
          <w:color w:val="auto"/>
        </w:rPr>
        <w:t>” means a Covered Employee who is represented by the Communications Workers Union of America at locations designated on Appendix A, as it shall be revised from time to time without further action by the Committee to reflect the date as of which, pursuant to amendment of an applicable collective bargaining agreement or union decertification, any such location is no longer in a category covered by Appendix A.</w:t>
      </w:r>
    </w:p>
    <w:p>
      <w:pPr>
        <w:spacing w:after="0" w:line="107"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Union Employee (Comcast)</w:t>
      </w:r>
      <w:r>
        <w:rPr>
          <w:rFonts w:ascii="Arial" w:cs="Arial" w:eastAsia="Arial" w:hAnsi="Arial"/>
          <w:sz w:val="18"/>
          <w:szCs w:val="18"/>
          <w:color w:val="auto"/>
        </w:rPr>
        <w:t>” means a Covered Employee who is represented by a collective bargaining agreement that covers Employees at the Detroit, Michigan or New Haven, Michigan locations.</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Entry Eligible Employee</w:t>
      </w:r>
      <w:r>
        <w:rPr>
          <w:rFonts w:ascii="Arial" w:cs="Arial" w:eastAsia="Arial" w:hAnsi="Arial"/>
          <w:sz w:val="18"/>
          <w:szCs w:val="18"/>
          <w:color w:val="auto"/>
        </w:rPr>
        <w:t>” means an Eligible Employee who has satisfied the eligibility requirements of Section 2.3.1, but has not completed a Period of Service of three months. An Eligible Employee shall be considered an “Early Entry Eligible Employee” only for that portion of a Plan Year prior to the time when such Eligible Employee has completed a Period of Service of three months.</w:t>
      </w:r>
    </w:p>
    <w:p>
      <w:pPr>
        <w:spacing w:after="0" w:line="140"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Retirement Date</w:t>
      </w:r>
      <w:r>
        <w:rPr>
          <w:rFonts w:ascii="Arial" w:cs="Arial" w:eastAsia="Arial" w:hAnsi="Arial"/>
          <w:sz w:val="18"/>
          <w:szCs w:val="18"/>
          <w:color w:val="auto"/>
        </w:rPr>
        <w:t>” means the first day of any month coincident with or following the Severance from Service Date of any Participant who has attained Age 55.</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July 1, 2003.</w:t>
      </w:r>
    </w:p>
    <w:p>
      <w:pPr>
        <w:spacing w:after="0" w:line="171"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has become an Eligible Employee as set forth in Section 2.3, whether or not he is an Active Participant, and who has remained a Covered Employee at all times thereafter. Notwithstanding anything herein to the contrary, for the period extending from the consummation of the transaction described in the Agreement and Plan of Merger pursuant to which Golfnow Inc. will merge with an indirect subsidiary of Comcast Corporation to June 1, 2008, the term “Eligible Employee” shall not include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individual who becomes an employee of a Participating Company as the result of the acquisition by a Participating Company of the business of Golfnow Inc.</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 individual who is employed by a Participating Company or an Affiliated Company or an individual who is a Leased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65"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Commencement Date</w:t>
      </w:r>
      <w:r>
        <w:rPr>
          <w:rFonts w:ascii="Arial" w:cs="Arial" w:eastAsia="Arial" w:hAnsi="Arial"/>
          <w:sz w:val="18"/>
          <w:szCs w:val="18"/>
          <w:color w:val="auto"/>
        </w:rPr>
        <w:t>” means, for any Employee, the date on which he is first entitled to be credited with an “Hour of Service” described in Paragraph (a)(1) of the definition of Hour of Service in this Article.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Entry Date</w:t>
      </w:r>
      <w:r>
        <w:rPr>
          <w:rFonts w:ascii="Arial" w:cs="Arial" w:eastAsia="Arial" w:hAnsi="Arial"/>
          <w:sz w:val="18"/>
          <w:szCs w:val="18"/>
          <w:color w:val="auto"/>
        </w:rPr>
        <w:t>” means the first day of any calendar month.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w:t>
      </w:r>
      <w:r>
        <w:rPr>
          <w:rFonts w:ascii="Arial" w:cs="Arial" w:eastAsia="Arial" w:hAnsi="Arial"/>
          <w:sz w:val="16"/>
          <w:szCs w:val="16"/>
          <w:color w:val="auto"/>
        </w:rPr>
        <w:t>” means the fund established for this Plan, administered under the Trust Agreement, out of which benefits payable under this Plan shall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paid.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Highly Compensated Early Entry Eligible Employee</w:t>
      </w:r>
      <w:r>
        <w:rPr>
          <w:rFonts w:ascii="Arial" w:cs="Arial" w:eastAsia="Arial" w:hAnsi="Arial"/>
          <w:sz w:val="16"/>
          <w:szCs w:val="16"/>
          <w:color w:val="auto"/>
        </w:rPr>
        <w:t>” means an Early Entry Eligible Employee who is (or is treated as) a Highly Compensated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Highly Compensated Employee</w:t>
      </w:r>
      <w:r>
        <w:rPr>
          <w:rFonts w:ascii="Arial" w:cs="Arial" w:eastAsia="Arial" w:hAnsi="Arial"/>
          <w:sz w:val="18"/>
          <w:szCs w:val="18"/>
          <w:color w:val="auto"/>
        </w:rPr>
        <w:t>” means an Employee who:</w:t>
      </w:r>
    </w:p>
    <w:p>
      <w:pPr>
        <w:spacing w:after="0" w:line="90" w:lineRule="exact"/>
        <w:rPr>
          <w:sz w:val="20"/>
          <w:szCs w:val="20"/>
          <w:color w:val="auto"/>
        </w:rPr>
      </w:pPr>
    </w:p>
    <w:p>
      <w:pPr>
        <w:ind w:left="2180" w:hanging="232"/>
        <w:spacing w:after="0"/>
        <w:tabs>
          <w:tab w:leader="none" w:pos="21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was a five-percent owner, as defined in section 416(i) of the Code at any time during the Plan Year or preceding Plan Year; or</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for the preceding Plan Year received more than $80,000 (as indexed) in Compensation from a Participating Company or 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Affiliated Company.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Hour of Service</w:t>
      </w:r>
      <w:r>
        <w:rPr>
          <w:rFonts w:ascii="Arial" w:cs="Arial" w:eastAsia="Arial" w:hAnsi="Arial"/>
          <w:sz w:val="18"/>
          <w:szCs w:val="18"/>
          <w:color w:val="auto"/>
        </w:rPr>
        <w:t>” means, for any Employee, a credit awarded with respect to:</w:t>
      </w:r>
    </w:p>
    <w:p>
      <w:pPr>
        <w:spacing w:after="0" w:line="90" w:lineRule="exact"/>
        <w:rPr>
          <w:sz w:val="20"/>
          <w:szCs w:val="20"/>
          <w:color w:val="auto"/>
        </w:rPr>
      </w:pPr>
    </w:p>
    <w:p>
      <w:pPr>
        <w:ind w:left="2180" w:hanging="232"/>
        <w:spacing w:after="0"/>
        <w:tabs>
          <w:tab w:leader="none" w:pos="2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as provided in (b),</w:t>
      </w:r>
    </w:p>
    <w:p>
      <w:pPr>
        <w:spacing w:after="0" w:line="90" w:lineRule="exact"/>
        <w:rPr>
          <w:rFonts w:ascii="Arial" w:cs="Arial" w:eastAsia="Arial" w:hAnsi="Arial"/>
          <w:sz w:val="18"/>
          <w:szCs w:val="18"/>
          <w:color w:val="auto"/>
        </w:rPr>
      </w:pPr>
    </w:p>
    <w:p>
      <w:pPr>
        <w:ind w:right="420" w:firstLine="2404"/>
        <w:spacing w:after="0" w:line="268" w:lineRule="auto"/>
        <w:tabs>
          <w:tab w:leader="none" w:pos="2645" w:val="left"/>
        </w:tabs>
        <w:numPr>
          <w:ilvl w:val="1"/>
          <w:numId w:val="97"/>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for the performance of employment duties; or</w:t>
      </w:r>
    </w:p>
    <w:p>
      <w:pPr>
        <w:spacing w:after="0" w:line="131" w:lineRule="exact"/>
        <w:rPr>
          <w:rFonts w:ascii="Arial" w:cs="Arial" w:eastAsia="Arial" w:hAnsi="Arial"/>
          <w:sz w:val="18"/>
          <w:szCs w:val="18"/>
          <w:color w:val="auto"/>
        </w:rPr>
      </w:pPr>
    </w:p>
    <w:p>
      <w:pPr>
        <w:ind w:right="60" w:firstLine="2404"/>
        <w:spacing w:after="0" w:line="268" w:lineRule="auto"/>
        <w:tabs>
          <w:tab w:leader="none" w:pos="2645" w:val="left"/>
        </w:tabs>
        <w:numPr>
          <w:ilvl w:val="1"/>
          <w:numId w:val="97"/>
        </w:numPr>
        <w:rPr>
          <w:rFonts w:ascii="Arial" w:cs="Arial" w:eastAsia="Arial" w:hAnsi="Arial"/>
          <w:sz w:val="18"/>
          <w:szCs w:val="18"/>
          <w:color w:val="auto"/>
        </w:rPr>
      </w:pPr>
      <w:r>
        <w:rPr>
          <w:rFonts w:ascii="Arial" w:cs="Arial" w:eastAsia="Arial" w:hAnsi="Arial"/>
          <w:sz w:val="18"/>
          <w:szCs w:val="18"/>
          <w:color w:val="auto"/>
        </w:rPr>
        <w:t>each hour for which he is entitled, either by award or agreement, to back pay from a Participating Company or an Affiliated Company, irrespective of mitigation of damages; or</w:t>
      </w:r>
    </w:p>
    <w:p>
      <w:pPr>
        <w:spacing w:after="0" w:line="131" w:lineRule="exact"/>
        <w:rPr>
          <w:rFonts w:ascii="Arial" w:cs="Arial" w:eastAsia="Arial" w:hAnsi="Arial"/>
          <w:sz w:val="18"/>
          <w:szCs w:val="18"/>
          <w:color w:val="auto"/>
        </w:rPr>
      </w:pPr>
    </w:p>
    <w:p>
      <w:pPr>
        <w:ind w:firstLine="2404"/>
        <w:spacing w:after="0" w:line="259" w:lineRule="auto"/>
        <w:tabs>
          <w:tab w:leader="none" w:pos="2645" w:val="left"/>
        </w:tabs>
        <w:numPr>
          <w:ilvl w:val="1"/>
          <w:numId w:val="97"/>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on account of a period of time during which no duties are performed due to vacation, holiday, illness, incapacity (including disability), jury duty, layoff, leave of absence, or military duty.</w:t>
      </w:r>
    </w:p>
    <w:p>
      <w:pPr>
        <w:spacing w:after="0" w:line="140" w:lineRule="exact"/>
        <w:rPr>
          <w:rFonts w:ascii="Arial" w:cs="Arial" w:eastAsia="Arial" w:hAnsi="Arial"/>
          <w:sz w:val="18"/>
          <w:szCs w:val="18"/>
          <w:color w:val="auto"/>
        </w:rPr>
      </w:pPr>
    </w:p>
    <w:p>
      <w:pPr>
        <w:ind w:left="2200" w:hanging="252"/>
        <w:spacing w:after="0"/>
        <w:tabs>
          <w:tab w:leader="none" w:pos="22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Anything to the contrary in subsection (a) notwithstanding: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96" w:name="page97"/>
    <w:bookmarkEnd w:id="96"/>
    <w:p>
      <w:pPr>
        <w:ind w:right="20" w:firstLine="2404"/>
        <w:spacing w:after="0" w:line="259" w:lineRule="auto"/>
        <w:tabs>
          <w:tab w:leader="none" w:pos="2645"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Hours of Service shall be credited to an Employee for any period merely because, during such period, payments are made or due him under a plan maintained solely for the purpose of complying with applicable workers’ compensation, unemployment compensation, or disability insurance laws.</w:t>
      </w:r>
    </w:p>
    <w:p>
      <w:pPr>
        <w:spacing w:after="0" w:line="140" w:lineRule="exact"/>
        <w:rPr>
          <w:rFonts w:ascii="Arial" w:cs="Arial" w:eastAsia="Arial" w:hAnsi="Arial"/>
          <w:sz w:val="18"/>
          <w:szCs w:val="18"/>
          <w:color w:val="auto"/>
        </w:rPr>
      </w:pPr>
    </w:p>
    <w:p>
      <w:pPr>
        <w:ind w:right="20" w:firstLine="2404"/>
        <w:spacing w:after="0" w:line="268" w:lineRule="auto"/>
        <w:tabs>
          <w:tab w:leader="none" w:pos="2645"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more than 501 Hours of Service shall be credited to an Employee under subsection (a)(3) of this definition on account of any single continuous period during which no duties are performed by him, except to the extent otherwise provided in the Plan.</w:t>
      </w:r>
    </w:p>
    <w:p>
      <w:pPr>
        <w:spacing w:after="0" w:line="131" w:lineRule="exact"/>
        <w:rPr>
          <w:rFonts w:ascii="Arial" w:cs="Arial" w:eastAsia="Arial" w:hAnsi="Arial"/>
          <w:sz w:val="18"/>
          <w:szCs w:val="18"/>
          <w:color w:val="auto"/>
        </w:rPr>
      </w:pPr>
    </w:p>
    <w:p>
      <w:pPr>
        <w:ind w:left="2660" w:hanging="256"/>
        <w:spacing w:after="0"/>
        <w:tabs>
          <w:tab w:leader="none" w:pos="2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Hours of Service shall be credited to an Employee with respect to payments solely to reimburse for medical or medically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related expenses.</w:t>
      </w:r>
    </w:p>
    <w:p>
      <w:pPr>
        <w:spacing w:after="0" w:line="164" w:lineRule="exact"/>
        <w:rPr>
          <w:rFonts w:ascii="Arial" w:cs="Arial" w:eastAsia="Arial" w:hAnsi="Arial"/>
          <w:sz w:val="16"/>
          <w:szCs w:val="16"/>
          <w:color w:val="auto"/>
        </w:rPr>
      </w:pPr>
    </w:p>
    <w:p>
      <w:pPr>
        <w:ind w:left="2660" w:hanging="256"/>
        <w:spacing w:after="0"/>
        <w:tabs>
          <w:tab w:leader="none" w:pos="2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Hours of Service shall be credited twice.</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Hours of Service shall be credited at least as liberally as required by the rules set forth in U.S. Department of Labor Reg.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§2530.200b-2(b) and (c).</w:t>
      </w:r>
    </w:p>
    <w:p>
      <w:pPr>
        <w:spacing w:after="0" w:line="164" w:lineRule="exact"/>
        <w:rPr>
          <w:rFonts w:ascii="Arial" w:cs="Arial" w:eastAsia="Arial" w:hAnsi="Arial"/>
          <w:sz w:val="16"/>
          <w:szCs w:val="16"/>
          <w:color w:val="auto"/>
        </w:rPr>
      </w:pPr>
    </w:p>
    <w:p>
      <w:pPr>
        <w:ind w:right="240" w:firstLine="2404"/>
        <w:spacing w:after="0" w:line="259" w:lineRule="auto"/>
        <w:tabs>
          <w:tab w:leader="none" w:pos="264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case of an Employee who is such solely by reason of service as a Leased Employee, Hours of Service shall be credited as if such Employee were employed and paid with respect to such service (or with respect to any related absences or entitlements) by the Participating Company or Affiliated Company that is the recipient thereof.</w:t>
      </w:r>
    </w:p>
    <w:p>
      <w:pPr>
        <w:spacing w:after="0" w:line="140"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Medium</w:t>
      </w:r>
      <w:r>
        <w:rPr>
          <w:rFonts w:ascii="Arial" w:cs="Arial" w:eastAsia="Arial" w:hAnsi="Arial"/>
          <w:sz w:val="18"/>
          <w:szCs w:val="18"/>
          <w:color w:val="auto"/>
        </w:rPr>
        <w:t>” means any fund, contract, obligation, or other mode of investment to which a Participant may direct the investment of the assets of his Account.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Stock</w:t>
      </w:r>
      <w:r>
        <w:rPr>
          <w:rFonts w:ascii="Arial" w:cs="Arial" w:eastAsia="Arial" w:hAnsi="Arial"/>
          <w:sz w:val="18"/>
          <w:szCs w:val="18"/>
          <w:color w:val="auto"/>
        </w:rPr>
        <w:t>” means Comcast Corporation Class A Special Common Stock.</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Leased Employee</w:t>
      </w:r>
      <w:r>
        <w:rPr>
          <w:rFonts w:ascii="Arial" w:cs="Arial" w:eastAsia="Arial" w:hAnsi="Arial"/>
          <w:sz w:val="16"/>
          <w:szCs w:val="16"/>
          <w:color w:val="auto"/>
        </w:rPr>
        <w:t>” means any person, other than an employee of a Participating Company or an Affiliated Company, who, pursuant to an agreement between a Participating Company or an Affiliated Company (the “recipient”) and any other individual (“leasing organization”), has performed services for the recipient (or for the recipient and related individuals) on a substantially full-time basis for a period of at least one year, and such services are performed by such individuals under the primary direction and control of the recipient, provided that for purposes of determining whether an individual is an Eligible Employee and for purposes of determining an individual’s eligibility and vesting service, an individual who would be a “Leased Employee” but for the requirement that such individual perform services for the recipient (or for the recipient and related individuals) on a substantially full-time basis for a period of at least one year shall nevertheless be treated as a Leased Employee.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Limitation Year</w:t>
      </w:r>
      <w:r>
        <w:rPr>
          <w:rFonts w:ascii="Arial" w:cs="Arial" w:eastAsia="Arial" w:hAnsi="Arial"/>
          <w:sz w:val="18"/>
          <w:szCs w:val="18"/>
          <w:color w:val="auto"/>
        </w:rPr>
        <w:t>” means the Plan Year or such other 12-consecutive-month period as may be designated by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 means the amounts contributed by the Company pursuant to Sections 3.5.1(a) and (b).</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97" w:name="page98"/>
    <w:bookmarkEnd w:id="9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means, for any Participant, the date on which he reaches Age 65.</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One-Year Period of Severance</w:t>
      </w:r>
      <w:r>
        <w:rPr>
          <w:rFonts w:ascii="Arial" w:cs="Arial" w:eastAsia="Arial" w:hAnsi="Arial"/>
          <w:sz w:val="18"/>
          <w:szCs w:val="18"/>
          <w:color w:val="auto"/>
        </w:rPr>
        <w:t>” means a 12-consecutive-month period beginning on the Employee’s Severance from Service Date during which the former Employee is credited with no Hours of Service.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individual for whom one or more Accounts are maintained under the Plan.</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the Company, each subsidiary of the Company which is eligible to file a consolidated federal income tax return with the Company (except to the extent that the Board or its authorized delegate determines otherwise as reflected on Exhibit A, as amended from time to time) and each other organization which is authorized by the Board of Directors or its authorized delegate to adopt this Plan by action of its board of directors or other governing body. Notwithstanding anything herein to the contrary, the term “Participating Company” excludes:</w:t>
      </w:r>
    </w:p>
    <w:p>
      <w:pPr>
        <w:spacing w:after="0" w:line="32" w:lineRule="exact"/>
        <w:rPr>
          <w:sz w:val="20"/>
          <w:szCs w:val="20"/>
          <w:color w:val="auto"/>
        </w:rPr>
      </w:pPr>
    </w:p>
    <w:p>
      <w:pPr>
        <w:ind w:left="2180" w:hanging="232"/>
        <w:spacing w:after="0"/>
        <w:tabs>
          <w:tab w:leader="none" w:pos="2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effective November 21, 2006, E! Entertainment Television, Inc. and its subsidiaries;</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the period beginning August 1, 2006 and ending December 17, 2006, thePlatform for Media, Inc.; and</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the period beginning April 15, 2005, Strata Marketing, Inc.</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Period</w:t>
      </w:r>
      <w:r>
        <w:rPr>
          <w:rFonts w:ascii="Arial" w:cs="Arial" w:eastAsia="Arial" w:hAnsi="Arial"/>
          <w:sz w:val="18"/>
          <w:szCs w:val="18"/>
          <w:color w:val="auto"/>
        </w:rPr>
        <w:t>” means a weekly, bi-weekly, semi-monthly, or monthly pay period or such other standard pay period of the Participating Company applicable to the class of Employees of which the Eligible Employee is a part.</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Service</w:t>
      </w:r>
      <w:r>
        <w:rPr>
          <w:rFonts w:ascii="Arial" w:cs="Arial" w:eastAsia="Arial" w:hAnsi="Arial"/>
          <w:sz w:val="18"/>
          <w:szCs w:val="18"/>
          <w:color w:val="auto"/>
        </w:rPr>
        <w:t>” means, with respect to any Employee, the period of time commencing on the Employee’s Employment Commencement Date and ending on the Employee’s Severance from Service Date and, if applicable, the period of time commencing on an Employee’s Reemployment Commencement Date and ending on the Employee’s subsequent Severance from Service Date. All service credited under the terms of the Plan in effect prior to the Effective Date shall be considered under the Plan.</w:t>
      </w:r>
    </w:p>
    <w:p>
      <w:pPr>
        <w:spacing w:after="0" w:line="143"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Severance</w:t>
      </w:r>
      <w:r>
        <w:rPr>
          <w:rFonts w:ascii="Arial" w:cs="Arial" w:eastAsia="Arial" w:hAnsi="Arial"/>
          <w:sz w:val="18"/>
          <w:szCs w:val="18"/>
          <w:color w:val="auto"/>
        </w:rPr>
        <w:t>” means the period of time commencing on the Employee’s Severance from Service Date and ending on the date on which the Employee is again entitled to be credited with an Hour of Service.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Retirement-Investment Plan, a profit sharing plan, as set forth herein.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each 12-consecutive month period that begins on January 1st and ends on the next following December 31st.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98" w:name="page99"/>
    <w:bookmarkEnd w:id="9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Pre-Tax Contributions</w:t>
      </w:r>
      <w:r>
        <w:rPr>
          <w:rFonts w:ascii="Arial" w:cs="Arial" w:eastAsia="Arial" w:hAnsi="Arial"/>
          <w:sz w:val="18"/>
          <w:szCs w:val="18"/>
          <w:color w:val="auto"/>
        </w:rPr>
        <w:t>” means Pre-Tax Matched Contributions and Pre-Tax Unmatched Contributions.</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Matched Contributions</w:t>
      </w:r>
      <w:r>
        <w:rPr>
          <w:rFonts w:ascii="Arial" w:cs="Arial" w:eastAsia="Arial" w:hAnsi="Arial"/>
          <w:sz w:val="18"/>
          <w:szCs w:val="18"/>
          <w:color w:val="auto"/>
        </w:rPr>
        <w:t>” means an amount that a Participant elects to have deducted on a pre-tax basis from his or her Compensation and contributed to the Plan under a pay reduction election pursuant to Article IV. Pre-Tax Matched Contributions are eligible for Company Matching Contributions or Broadband Heritage Matching Contributions, as applicable.</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Contributions</w:t>
      </w:r>
      <w:r>
        <w:rPr>
          <w:rFonts w:ascii="Arial" w:cs="Arial" w:eastAsia="Arial" w:hAnsi="Arial"/>
          <w:sz w:val="18"/>
          <w:szCs w:val="18"/>
          <w:color w:val="auto"/>
        </w:rPr>
        <w:t>” means an amount that a Participant elects to have deducted on a pre-tax basis from his or her Compensation and contributed to the Plan under a pay reduction election pursuant to Article IV. Pre-Tax Unmatched Contributions are not eligible for Company Matching Contributions or Broadband Heritage Matching Contributions.</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Broadband Heritage Matching Contributions</w:t>
      </w:r>
      <w:r>
        <w:rPr>
          <w:rFonts w:ascii="Arial" w:cs="Arial" w:eastAsia="Arial" w:hAnsi="Arial"/>
          <w:sz w:val="18"/>
          <w:szCs w:val="18"/>
          <w:color w:val="auto"/>
        </w:rPr>
        <w:t>” means matching contributions made under the CCCHI Plan prior to the Effective Date that were not subject to accelerated vesting under the CCCHI Plan as a result of the AT&amp;T Broadband Transaction because the Participant was not employed on such date or that were made after the AT&amp;T Broadband Transaction. Such matching contributions are subject to one of the vesting schedules set forth in Section 6.1.2 or 6.1.3.</w:t>
      </w:r>
    </w:p>
    <w:p>
      <w:pPr>
        <w:spacing w:after="0" w:line="143" w:lineRule="exact"/>
        <w:rPr>
          <w:sz w:val="20"/>
          <w:szCs w:val="20"/>
          <w:color w:val="auto"/>
        </w:rPr>
      </w:pPr>
    </w:p>
    <w:p>
      <w:pPr>
        <w:jc w:val="both"/>
        <w:ind w:right="20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Prior Company Matching Contributions (Unvested)</w:t>
      </w:r>
      <w:r>
        <w:rPr>
          <w:rFonts w:ascii="Arial" w:cs="Arial" w:eastAsia="Arial" w:hAnsi="Arial"/>
          <w:sz w:val="15"/>
          <w:szCs w:val="15"/>
          <w:color w:val="auto"/>
        </w:rPr>
        <w:t>” means amounts denominated as “Vision Contributions” under the Plan prior to the Effective Date and matching contributions made pursuant to the Plan prior to January 1, 2001, both of which are subject to the vesting schedule set forth in Section 6.1.4.</w:t>
      </w:r>
    </w:p>
    <w:p>
      <w:pPr>
        <w:spacing w:after="0" w:line="62"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Contributions (Vested)</w:t>
      </w:r>
      <w:r>
        <w:rPr>
          <w:rFonts w:ascii="Arial" w:cs="Arial" w:eastAsia="Arial" w:hAnsi="Arial"/>
          <w:sz w:val="16"/>
          <w:szCs w:val="16"/>
          <w:color w:val="auto"/>
        </w:rPr>
        <w:t>” means the following amounts: (a) matching contributions made under the CCCHI Plan prior to the Effective Date that were fully vested in accordance with the change in control vesting provisions of Section 6.3(c) of the CCCHI Plan; (b) amounts credited to the account under the CCCHI Plan denominated as the United Artists Entertainment Company ESOP Account; (c) matching contributions made under the MediaOne Group 401(k) Savings Plan prior to January 1, 1999; and (d) matching contributions credited to a separate sub-account in the Plan and attributable to matching contributions under the following plans that were previously merged into the Plan: (1) Jones Intercable, Inc. Profit Sharing\Retirement Savings Plan, (2) Lenfest Group Retirement Plan, and (3) the tax-qualified defined contribution plans of Greater Media.</w:t>
      </w:r>
    </w:p>
    <w:p>
      <w:pPr>
        <w:spacing w:after="0" w:line="120" w:lineRule="exact"/>
        <w:rPr>
          <w:sz w:val="20"/>
          <w:szCs w:val="20"/>
          <w:color w:val="auto"/>
        </w:rPr>
      </w:pPr>
    </w:p>
    <w:p>
      <w:pPr>
        <w:jc w:val="right"/>
        <w:ind w:right="3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Non-Elective Contributions</w:t>
      </w:r>
      <w:r>
        <w:rPr>
          <w:rFonts w:ascii="Arial" w:cs="Arial" w:eastAsia="Arial" w:hAnsi="Arial"/>
          <w:sz w:val="18"/>
          <w:szCs w:val="18"/>
          <w:color w:val="auto"/>
        </w:rPr>
        <w:t>” means contributions made pursuant to Section 3.9.4.</w:t>
      </w:r>
    </w:p>
    <w:p>
      <w:pPr>
        <w:spacing w:after="0" w:line="171"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Reemployment Commencement Date</w:t>
      </w:r>
      <w:r>
        <w:rPr>
          <w:rFonts w:ascii="Arial" w:cs="Arial" w:eastAsia="Arial" w:hAnsi="Arial"/>
          <w:sz w:val="18"/>
          <w:szCs w:val="18"/>
          <w:color w:val="auto"/>
        </w:rPr>
        <w:t>” means the first day following a One-Year Period of Severance on which an Employee is entitled to be credited with an Hour of Service described in Paragraph (a)(1) of the definition of “Hour of Service” in this Article.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Beginning Date</w:t>
      </w:r>
      <w:r>
        <w:rPr>
          <w:rFonts w:ascii="Arial" w:cs="Arial" w:eastAsia="Arial" w:hAnsi="Arial"/>
          <w:sz w:val="18"/>
          <w:szCs w:val="18"/>
          <w:color w:val="auto"/>
        </w:rPr>
        <w:t>” means: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 xml:space="preserve">(a) For any Participant who attains Age 70 </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w:t>
      </w:r>
      <w:r>
        <w:rPr>
          <w:rFonts w:ascii="Arial" w:cs="Arial" w:eastAsia="Arial" w:hAnsi="Arial"/>
          <w:sz w:val="12"/>
          <w:szCs w:val="12"/>
          <w:color w:val="auto"/>
        </w:rPr>
        <w:t>2</w:t>
      </w:r>
      <w:r>
        <w:rPr>
          <w:rFonts w:ascii="Arial" w:cs="Arial" w:eastAsia="Arial" w:hAnsi="Arial"/>
          <w:sz w:val="16"/>
          <w:szCs w:val="16"/>
          <w:color w:val="auto"/>
        </w:rPr>
        <w:t xml:space="preserve"> and is not a 5-percent owner (within the meaning of section 416 of the Code) of a</w:t>
      </w:r>
    </w:p>
    <w:p>
      <w:pPr>
        <w:spacing w:after="0"/>
        <w:rPr>
          <w:sz w:val="20"/>
          <w:szCs w:val="20"/>
          <w:color w:val="auto"/>
        </w:rPr>
      </w:pPr>
      <w:r>
        <w:rPr>
          <w:rFonts w:ascii="Arial" w:cs="Arial" w:eastAsia="Arial" w:hAnsi="Arial"/>
          <w:sz w:val="18"/>
          <w:szCs w:val="18"/>
          <w:color w:val="auto"/>
        </w:rPr>
        <w:t>Participating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99" w:name="page100"/>
    <w:bookmarkEnd w:id="99"/>
    <w:p>
      <w:pPr>
        <w:ind w:right="120"/>
        <w:spacing w:after="0" w:line="30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April 1 of the calendar year following the later of the calendar year in which he has a Severance from Service Date or the calendar year in which he attained Age 70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w:t>
      </w:r>
    </w:p>
    <w:p>
      <w:pPr>
        <w:spacing w:after="0" w:line="93" w:lineRule="exact"/>
        <w:rPr>
          <w:sz w:val="20"/>
          <w:szCs w:val="20"/>
          <w:color w:val="auto"/>
        </w:rPr>
      </w:pPr>
    </w:p>
    <w:p>
      <w:pPr>
        <w:ind w:right="780" w:firstLine="1948"/>
        <w:spacing w:after="0" w:line="274" w:lineRule="auto"/>
        <w:tabs>
          <w:tab w:leader="none" w:pos="21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For any Participant who attains Age 70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and is a 5-percent owner (within the meaning of section 416 of the Code) of a Participating Company, April 1 of the calendar year next following the calendar year in which he attains Age 70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right="180" w:firstLine="1948"/>
        <w:spacing w:after="0" w:line="268" w:lineRule="auto"/>
        <w:tabs>
          <w:tab w:leader="none" w:pos="217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any Participant who filed a valid deferral election with the Participating Company before January 1, 1984, and which has not subsequently been revoked, the date set forth in such election.</w:t>
      </w:r>
    </w:p>
    <w:p>
      <w:pPr>
        <w:spacing w:after="0" w:line="132"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Severance from Service Date</w:t>
      </w:r>
      <w:r>
        <w:rPr>
          <w:rFonts w:ascii="Arial" w:cs="Arial" w:eastAsia="Arial" w:hAnsi="Arial"/>
          <w:sz w:val="16"/>
          <w:szCs w:val="16"/>
          <w:color w:val="auto"/>
        </w:rPr>
        <w:t>” means the date, as recorded on the records of a Participating Company or an Affiliated Company, on which an Employee of such company quits, retires, is discharged, or dies, or, if earlier, the first anniversary of the first day of a period during which the Employee remains absent from service with all Participating Companies and Affiliated Companies (with or without pay) for any other reason, except:</w:t>
      </w:r>
    </w:p>
    <w:p>
      <w:pPr>
        <w:spacing w:after="0" w:line="26" w:lineRule="exact"/>
        <w:rPr>
          <w:sz w:val="20"/>
          <w:szCs w:val="20"/>
          <w:color w:val="auto"/>
        </w:rPr>
      </w:pPr>
    </w:p>
    <w:p>
      <w:pPr>
        <w:ind w:firstLine="1948"/>
        <w:spacing w:after="0" w:line="256" w:lineRule="auto"/>
        <w:tabs>
          <w:tab w:leader="none" w:pos="21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Solely for purposes of determining whether a One-Year Period of Severance has occurred, if the Employee is absent from work beyond the first anniversary of the first day of absence by reason of pregnancy, childbirth, or placement in connection with adoption, or for purposes of the care of such Employee’s child immediately after birth or placement in connection with adoption, such Employee’s Severance from Service Date shall be the second anniversary of the first day of such absence; or</w:t>
      </w:r>
    </w:p>
    <w:p>
      <w:pPr>
        <w:spacing w:after="0" w:line="143" w:lineRule="exact"/>
        <w:rPr>
          <w:rFonts w:ascii="Arial" w:cs="Arial" w:eastAsia="Arial" w:hAnsi="Arial"/>
          <w:sz w:val="18"/>
          <w:szCs w:val="18"/>
          <w:color w:val="auto"/>
        </w:rPr>
      </w:pPr>
    </w:p>
    <w:p>
      <w:pPr>
        <w:ind w:right="20" w:firstLine="1948"/>
        <w:spacing w:after="0" w:line="256" w:lineRule="auto"/>
        <w:tabs>
          <w:tab w:leader="none" w:pos="218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Employee is absent for military service under leave granted by the Participating Company or Affiliated Company or required by law, the Employee shall not be considered to have a Severance from Service Date, provided the absent Employee returns to service with the Participating Company or Affiliated Company within 90 days of his release from active military duty or any longer period during which his right to reemployment is protected by law.</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Employee</w:t>
      </w:r>
      <w:r>
        <w:rPr>
          <w:rFonts w:ascii="Arial" w:cs="Arial" w:eastAsia="Arial" w:hAnsi="Arial"/>
          <w:sz w:val="18"/>
          <w:szCs w:val="18"/>
          <w:color w:val="auto"/>
        </w:rPr>
        <w:t>” means an Employee whose regularly scheduled paid work week does not exceed 20 hours, or whose employment is classified as “temporary” or “intermittent,” both in accordance with uniformly applied personnel policies.</w:t>
      </w:r>
    </w:p>
    <w:p>
      <w:pPr>
        <w:spacing w:after="0" w:line="132"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Rollover Contributions</w:t>
      </w:r>
      <w:r>
        <w:rPr>
          <w:rFonts w:ascii="Arial" w:cs="Arial" w:eastAsia="Arial" w:hAnsi="Arial"/>
          <w:sz w:val="18"/>
          <w:szCs w:val="18"/>
          <w:color w:val="auto"/>
        </w:rPr>
        <w:t>” means a contribution to the Plan made in accordance with the rules of section 402 of the Code and pursuant to Section 7.1 of amounts which will constitute taxable income to the Participant when distributed or withdrawn. Taxable Rollover Contributions shall also include any amount voluntarily transferred by a Participant from the Storer Communications Pension Plan, or from the tax-qualified defined contribution plans of Adelphia Communications Corporation, Home Team Sports, AT&amp;T, MidAtlantic Communications, or Cable Network Services LLC (in which Outdoor Life Network was a participating employer).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Disability</w:t>
      </w:r>
      <w:r>
        <w:rPr>
          <w:rFonts w:ascii="Arial" w:cs="Arial" w:eastAsia="Arial" w:hAnsi="Arial"/>
          <w:sz w:val="16"/>
          <w:szCs w:val="16"/>
          <w:color w:val="auto"/>
        </w:rPr>
        <w:t>” means, with respect to any Participant, the earlier to occur of (a) the Participant qualifying for Social Security disability benefits or</w:t>
      </w:r>
    </w:p>
    <w:p>
      <w:pPr>
        <w:spacing w:after="0" w:line="38" w:lineRule="exact"/>
        <w:rPr>
          <w:sz w:val="20"/>
          <w:szCs w:val="20"/>
          <w:color w:val="auto"/>
        </w:rPr>
      </w:pPr>
    </w:p>
    <w:p>
      <w:pPr>
        <w:ind w:right="460" w:firstLine="8"/>
        <w:spacing w:after="0" w:line="261" w:lineRule="auto"/>
        <w:tabs>
          <w:tab w:leader="none" w:pos="24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Participant becoming eligible for and receiving benefits under a long-term disability program sponsored by a Participating Company or an Affiliated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00" w:name="page101"/>
    <w:bookmarkEnd w:id="10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Trust Agreement</w:t>
      </w:r>
      <w:r>
        <w:rPr>
          <w:rFonts w:ascii="Arial" w:cs="Arial" w:eastAsia="Arial" w:hAnsi="Arial"/>
          <w:sz w:val="18"/>
          <w:szCs w:val="18"/>
          <w:color w:val="auto"/>
        </w:rPr>
        <w:t>” means any agreement and declaration of trust executed under this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means the corporate trustee or trustees or one or more individuals collectively appointed and acting under a Trust Agreement.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Date</w:t>
      </w:r>
      <w:r>
        <w:rPr>
          <w:rFonts w:ascii="Arial" w:cs="Arial" w:eastAsia="Arial" w:hAnsi="Arial"/>
          <w:sz w:val="16"/>
          <w:szCs w:val="16"/>
          <w:color w:val="auto"/>
        </w:rPr>
        <w:t>” means each day the New York Stock Exchange is open for trading, or such other day as the Committee shall determine.</w:t>
      </w:r>
    </w:p>
    <w:p>
      <w:pPr>
        <w:spacing w:after="0" w:line="19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of Eligibility Service</w:t>
      </w:r>
      <w:r>
        <w:rPr>
          <w:rFonts w:ascii="Arial" w:cs="Arial" w:eastAsia="Arial" w:hAnsi="Arial"/>
          <w:sz w:val="18"/>
          <w:szCs w:val="18"/>
          <w:color w:val="auto"/>
        </w:rPr>
        <w:t>” means, for any Special Employee, a credit used to determine his eligibility to participate under the Plan, as further described in Section 2.2.</w:t>
      </w:r>
    </w:p>
    <w:p>
      <w:pPr>
        <w:spacing w:after="0" w:line="132" w:lineRule="exact"/>
        <w:rPr>
          <w:sz w:val="20"/>
          <w:szCs w:val="20"/>
          <w:color w:val="auto"/>
        </w:rPr>
      </w:pPr>
    </w:p>
    <w:p>
      <w:pPr>
        <w:jc w:val="center"/>
        <w:ind w:left="860" w:right="30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of Service</w:t>
      </w:r>
      <w:r>
        <w:rPr>
          <w:rFonts w:ascii="Arial" w:cs="Arial" w:eastAsia="Arial" w:hAnsi="Arial"/>
          <w:sz w:val="18"/>
          <w:szCs w:val="18"/>
          <w:color w:val="auto"/>
        </w:rPr>
        <w:t>” means, for any Employee, a credit used to determine his vested status under the Plan, as further described in Section 6.2. -16-</w:t>
      </w:r>
    </w:p>
    <w:p>
      <w:pPr>
        <w:sectPr>
          <w:pgSz w:w="11900" w:h="16838" w:orient="portrait"/>
          <w:cols w:equalWidth="0" w:num="1">
            <w:col w:w="10980"/>
          </w:cols>
          <w:pgMar w:left="240" w:top="280" w:right="67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TRANSITION AND ELIGIBILITY TO PARTICIPATE</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Rights Affected and Preservation of Accrued Benefit</w:t>
      </w:r>
      <w:r>
        <w:rPr>
          <w:rFonts w:ascii="Arial" w:cs="Arial" w:eastAsia="Arial" w:hAnsi="Arial"/>
          <w:sz w:val="18"/>
          <w:szCs w:val="18"/>
          <w:color w:val="auto"/>
        </w:rPr>
        <w:t>. Except as provided to the contrary herein, the provisions of this amended and restated Plan shall apply only to Employees who complete an Hour of Service on or after the Effective Date. The rights of any other individual shall be governed by the Plan as in effect upon his Severance from Service Date, except to the extent expressly provided in any amendment adopted subsequently thereto. Additional rules regarding service credit are set forth in Article XV.</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Year of Eligibility Service for Special Employees</w:t>
      </w:r>
      <w:r>
        <w:rPr>
          <w:rFonts w:ascii="Arial" w:cs="Arial" w:eastAsia="Arial" w:hAnsi="Arial"/>
          <w:sz w:val="18"/>
          <w:szCs w:val="18"/>
          <w:color w:val="auto"/>
        </w:rPr>
        <w:t>.</w:t>
      </w:r>
    </w:p>
    <w:p>
      <w:pPr>
        <w:spacing w:after="0" w:line="90" w:lineRule="exact"/>
        <w:rPr>
          <w:sz w:val="20"/>
          <w:szCs w:val="20"/>
          <w:color w:val="auto"/>
        </w:rPr>
      </w:pPr>
    </w:p>
    <w:p>
      <w:pPr>
        <w:ind w:right="80" w:firstLine="1484"/>
        <w:spacing w:after="0" w:line="268" w:lineRule="auto"/>
        <w:rPr>
          <w:sz w:val="20"/>
          <w:szCs w:val="20"/>
          <w:color w:val="auto"/>
        </w:rPr>
      </w:pPr>
      <w:r>
        <w:rPr>
          <w:rFonts w:ascii="Arial" w:cs="Arial" w:eastAsia="Arial" w:hAnsi="Arial"/>
          <w:sz w:val="18"/>
          <w:szCs w:val="18"/>
          <w:color w:val="auto"/>
        </w:rPr>
        <w:t>2.2.1. A Special Employee shall be credited with a Year of Eligibility Service as of the close of the 12-consecutive-month period that begins on his Employment Commencement Date if he is credited with 1,000 or more Hours of Service during such period.</w:t>
      </w:r>
    </w:p>
    <w:p>
      <w:pPr>
        <w:spacing w:after="0" w:line="132" w:lineRule="exact"/>
        <w:rPr>
          <w:sz w:val="20"/>
          <w:szCs w:val="20"/>
          <w:color w:val="auto"/>
        </w:rPr>
      </w:pPr>
    </w:p>
    <w:p>
      <w:pPr>
        <w:ind w:right="280" w:firstLine="1484"/>
        <w:spacing w:after="0" w:line="268" w:lineRule="auto"/>
        <w:rPr>
          <w:sz w:val="20"/>
          <w:szCs w:val="20"/>
          <w:color w:val="auto"/>
        </w:rPr>
      </w:pPr>
      <w:r>
        <w:rPr>
          <w:rFonts w:ascii="Arial" w:cs="Arial" w:eastAsia="Arial" w:hAnsi="Arial"/>
          <w:sz w:val="18"/>
          <w:szCs w:val="18"/>
          <w:color w:val="auto"/>
        </w:rPr>
        <w:t>2.2.2. A Special Employee who is not credited with 1,000 Hours of Service during such period shall be credited with a Year of Eligibility Service as of the close of the first Plan Year in which he is credited with 1,000 or more Hours of Service.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Eligibility to Participate – Pre-Tax Contributions</w:t>
      </w:r>
      <w:r>
        <w:rPr>
          <w:rFonts w:ascii="Arial" w:cs="Arial" w:eastAsia="Arial" w:hAnsi="Arial"/>
          <w:sz w:val="18"/>
          <w:szCs w:val="18"/>
          <w:color w:val="auto"/>
        </w:rPr>
        <w:t>.</w:t>
      </w:r>
    </w:p>
    <w:p>
      <w:pPr>
        <w:spacing w:after="0" w:line="90"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2.3.1. Each Covered Employee as of the Effective Date who was eligible to participate in the Plan in the CCCHI Plan immediately prior to the Effective Date shall continue to be an Eligible Employee as of the Effective Date.</w:t>
      </w:r>
    </w:p>
    <w:p>
      <w:pPr>
        <w:spacing w:after="0" w:line="132" w:lineRule="exact"/>
        <w:rPr>
          <w:sz w:val="20"/>
          <w:szCs w:val="20"/>
          <w:color w:val="auto"/>
        </w:rPr>
      </w:pPr>
    </w:p>
    <w:p>
      <w:pPr>
        <w:ind w:right="700" w:firstLine="1484"/>
        <w:spacing w:after="0" w:line="268" w:lineRule="auto"/>
        <w:rPr>
          <w:sz w:val="20"/>
          <w:szCs w:val="20"/>
          <w:color w:val="auto"/>
        </w:rPr>
      </w:pPr>
      <w:r>
        <w:rPr>
          <w:rFonts w:ascii="Arial" w:cs="Arial" w:eastAsia="Arial" w:hAnsi="Arial"/>
          <w:sz w:val="18"/>
          <w:szCs w:val="18"/>
          <w:color w:val="auto"/>
        </w:rPr>
        <w:t>2.3.2. Each Covered Employee who was not eligible to participate immediately prior to the Effective Date shall become an Eligible Employee on the Entry Date next following:</w:t>
      </w:r>
    </w:p>
    <w:p>
      <w:pPr>
        <w:spacing w:after="0" w:line="51"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 his completion of a Period of Service of at least six months, if he is other than a Special Employee or a Covered Union Employee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(Broadband);</w:t>
      </w:r>
    </w:p>
    <w:p>
      <w:pPr>
        <w:spacing w:after="0" w:line="165" w:lineRule="exact"/>
        <w:rPr>
          <w:sz w:val="20"/>
          <w:szCs w:val="20"/>
          <w:color w:val="auto"/>
        </w:rPr>
      </w:pPr>
    </w:p>
    <w:p>
      <w:pPr>
        <w:ind w:left="2200" w:hanging="252"/>
        <w:spacing w:after="0"/>
        <w:tabs>
          <w:tab w:leader="none" w:pos="22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his completion of one Year of Eligibility Service, if he is a Special Employee but not Covered Union Employee (Broadband); or</w:t>
      </w:r>
    </w:p>
    <w:p>
      <w:pPr>
        <w:spacing w:after="0" w:line="194" w:lineRule="exact"/>
        <w:rPr>
          <w:rFonts w:ascii="Arial" w:cs="Arial" w:eastAsia="Arial" w:hAnsi="Arial"/>
          <w:sz w:val="16"/>
          <w:szCs w:val="16"/>
          <w:color w:val="auto"/>
        </w:rPr>
      </w:pPr>
    </w:p>
    <w:p>
      <w:pPr>
        <w:ind w:firstLine="1948"/>
        <w:spacing w:after="0" w:line="256" w:lineRule="auto"/>
        <w:tabs>
          <w:tab w:leader="none" w:pos="217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his completion of one month of Service, if he is a Covered Union Employee (Broadband);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a Covered Union Employee (Broadband) who, as of the date after the Effective Date that he or she ceases to be a Covered Union Employee (Broadband), does not satisfy the eligibility requirements of the preceding subsections (a) or (b), as applicable, must satisfy such requirements in order to be eligible to make Pre-Tax Contributions after such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02" w:name="page103"/>
    <w:bookmarkEnd w:id="102"/>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anything herein to the contrary, effective July 1, 2007, a Covered Employee shall become an Eligible Employee on the first of the month next following his completion of a Period of Service of three months.</w:t>
      </w:r>
    </w:p>
    <w:p>
      <w:pPr>
        <w:spacing w:after="0" w:line="132"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2.3.3. If an individual is not a Covered Employee on the Entry Date next following the date he meets the requirements of Section 2.3.2, he shall become an Eligible Employee as of the first date thereafter on which he is a Covered Employee.</w:t>
      </w:r>
    </w:p>
    <w:p>
      <w:pPr>
        <w:spacing w:after="0" w:line="132" w:lineRule="exact"/>
        <w:rPr>
          <w:sz w:val="20"/>
          <w:szCs w:val="20"/>
          <w:color w:val="auto"/>
        </w:rPr>
      </w:pPr>
    </w:p>
    <w:p>
      <w:pPr>
        <w:ind w:right="360" w:firstLine="1484"/>
        <w:spacing w:after="0" w:line="256" w:lineRule="auto"/>
        <w:rPr>
          <w:sz w:val="20"/>
          <w:szCs w:val="20"/>
          <w:color w:val="auto"/>
        </w:rPr>
      </w:pPr>
      <w:r>
        <w:rPr>
          <w:rFonts w:ascii="Arial" w:cs="Arial" w:eastAsia="Arial" w:hAnsi="Arial"/>
          <w:sz w:val="18"/>
          <w:szCs w:val="18"/>
          <w:color w:val="auto"/>
        </w:rPr>
        <w:t>2.3.4. If a Covered Employee does not satisfy the requirements of Section 2.3.2 prior to incurring a Severance from Service Date, but is rehired prior to incurring a One-Year Period of Severance, the prior Period of Service shall be considered for purposes of satisfying the requirements of Section 2.3.2. If the Covered Employee incurs a One-Year Period of Severance, his prior Period of Service shall not be considered upon a subsequent Reemployment Commencement Date.</w:t>
      </w:r>
    </w:p>
    <w:p>
      <w:pPr>
        <w:spacing w:after="0" w:line="143"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2.3.5. An Eligible Employee who ceases to be a Covered Employee, due to incurring a Severance from Service Date or otherwise, and who later becomes a Covered Employee, shall become an Eligible Employee as of the date on which he first again completes an Hour of Service as a Covered Employee.</w:t>
      </w:r>
    </w:p>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Election to Make Pre-Tax Contributions</w:t>
      </w:r>
      <w:r>
        <w:rPr>
          <w:rFonts w:ascii="Arial" w:cs="Arial" w:eastAsia="Arial" w:hAnsi="Arial"/>
          <w:sz w:val="15"/>
          <w:szCs w:val="15"/>
          <w:color w:val="auto"/>
        </w:rPr>
        <w:t>. Each Eligible Employee may elect to make Pre-Tax Contributions and become an Active Participant by filing a notice in accordance with Section 14.9 of such election with the Committee. Such notice shall authorize the Participating Company to reduce such Eligible Employee’s cash remuneration by an amount determined in accordance with Section 3.1 and to make Pre-Tax Contributions on such Eligible Employee’s behalf in the amount of such reduction. Such election shall be effective as soon as administratively practicable following receipt of his election by the Committee.</w:t>
      </w:r>
    </w:p>
    <w:p>
      <w:pPr>
        <w:spacing w:after="0" w:line="9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2.4A. </w:t>
      </w:r>
      <w:r>
        <w:rPr>
          <w:rFonts w:ascii="Arial" w:cs="Arial" w:eastAsia="Arial" w:hAnsi="Arial"/>
          <w:sz w:val="16"/>
          <w:szCs w:val="16"/>
          <w:u w:val="single" w:color="auto"/>
          <w:color w:val="auto"/>
        </w:rPr>
        <w:t>Automatic Enrollment</w:t>
      </w:r>
      <w:r>
        <w:rPr>
          <w:rFonts w:ascii="Arial" w:cs="Arial" w:eastAsia="Arial" w:hAnsi="Arial"/>
          <w:sz w:val="16"/>
          <w:szCs w:val="16"/>
          <w:color w:val="auto"/>
        </w:rPr>
        <w:t>. Each Eligible Employee who (i) is employed by a Participating Company on or after July 1, 2007 (other than an Eligible Employee who commences employment by a Participating Company as the result of the acquisition of the business of such Eligible Employee’s employer by a Participating Company (whether via a merger, stock acquisition or asset acquisition) and (ii) does not elect to make Pre-Tax Contributions and become an Active Participant pursuant to Section 2.4 will be automatically enrolled in the Plan on the first of the month next following the Eligible Employee’s completion of three months of service, provided that the Eligible Employee does not affirmatively elect to decline to be an Active Participant in the Plan. Such an automatically enrolled Eligible Employee will be an Active Participant in the Plan as soon as administratively practicable following the expiration of the time determined by the Committee for returning the election form which includes the option to elect to decline to be an Active Participant in the Plan. Covered Employees who are designated by the Committee or its delegate as having been reemployed by a Participating Company following a Severance from Service Date are not considered Eligible Employees for purposes of the automatic enrollment provisions described in this Section 2.4A.</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2.5. </w:t>
      </w:r>
      <w:r>
        <w:rPr>
          <w:rFonts w:ascii="Arial" w:cs="Arial" w:eastAsia="Arial" w:hAnsi="Arial"/>
          <w:sz w:val="18"/>
          <w:szCs w:val="18"/>
          <w:u w:val="single" w:color="auto"/>
          <w:color w:val="auto"/>
        </w:rPr>
        <w:t>Participation in Matching Contributions</w:t>
      </w:r>
      <w:r>
        <w:rPr>
          <w:rFonts w:ascii="Arial" w:cs="Arial" w:eastAsia="Arial" w:hAnsi="Arial"/>
          <w:sz w:val="18"/>
          <w:szCs w:val="18"/>
          <w:color w:val="auto"/>
        </w:rPr>
        <w:t>.</w:t>
      </w:r>
    </w:p>
    <w:p>
      <w:pPr>
        <w:spacing w:after="0" w:line="90" w:lineRule="exact"/>
        <w:rPr>
          <w:sz w:val="20"/>
          <w:szCs w:val="20"/>
          <w:color w:val="auto"/>
        </w:rPr>
      </w:pPr>
    </w:p>
    <w:p>
      <w:pPr>
        <w:ind w:right="740" w:firstLine="1484"/>
        <w:spacing w:after="0" w:line="268" w:lineRule="auto"/>
        <w:rPr>
          <w:sz w:val="20"/>
          <w:szCs w:val="20"/>
          <w:color w:val="auto"/>
        </w:rPr>
      </w:pPr>
      <w:r>
        <w:rPr>
          <w:rFonts w:ascii="Arial" w:cs="Arial" w:eastAsia="Arial" w:hAnsi="Arial"/>
          <w:sz w:val="18"/>
          <w:szCs w:val="18"/>
          <w:color w:val="auto"/>
        </w:rPr>
        <w:t>2.5.1. If an Active Participant was eligible to share in Matching Contributions immediately prior to the Effective Date, such Active Participant shall continue to be eligible to share in Matching Contributions as of the Effective Date.</w:t>
      </w:r>
    </w:p>
    <w:p>
      <w:pPr>
        <w:spacing w:after="0" w:line="132" w:lineRule="exact"/>
        <w:rPr>
          <w:sz w:val="20"/>
          <w:szCs w:val="20"/>
          <w:color w:val="auto"/>
        </w:rPr>
      </w:pPr>
    </w:p>
    <w:p>
      <w:pPr>
        <w:ind w:right="120" w:firstLine="1484"/>
        <w:spacing w:after="0" w:line="332" w:lineRule="auto"/>
        <w:rPr>
          <w:sz w:val="20"/>
          <w:szCs w:val="20"/>
          <w:color w:val="auto"/>
        </w:rPr>
      </w:pPr>
      <w:r>
        <w:rPr>
          <w:rFonts w:ascii="Arial" w:cs="Arial" w:eastAsia="Arial" w:hAnsi="Arial"/>
          <w:sz w:val="16"/>
          <w:szCs w:val="16"/>
          <w:color w:val="auto"/>
        </w:rPr>
        <w:t>2.5.2. If Salary Reduction Contributions are made on behalf of an Active Participant in any Plan Year, such Active Participant shall share in any Matching Contributions under Section 3.4 beginning on the Entry Date next following completion of a Period of Service of three months.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Eligibility to Participate – After-Tax Contributions</w:t>
      </w:r>
      <w:r>
        <w:rPr>
          <w:rFonts w:ascii="Arial" w:cs="Arial" w:eastAsia="Arial" w:hAnsi="Arial"/>
          <w:sz w:val="18"/>
          <w:szCs w:val="18"/>
          <w:color w:val="auto"/>
        </w:rPr>
        <w:t>. A Covered Union Employee (Broadband) shall be eligible to make After-Tax Contributions at the same time that such Employee becomes eligible to make Pre-Tax Contributions in accordance with Section 2.2; provided that, if and when such Employee ceases to be a Covered Union Employee (Broadband), such Employee shall no longer be eligible to make After-Tax Contributions. Elections to make After-Tax Contributions shall be accomplished in the manner specified in Section 2.4.</w:t>
      </w:r>
    </w:p>
    <w:p>
      <w:pPr>
        <w:spacing w:after="0" w:line="143"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Data</w:t>
      </w:r>
      <w:r>
        <w:rPr>
          <w:rFonts w:ascii="Arial" w:cs="Arial" w:eastAsia="Arial" w:hAnsi="Arial"/>
          <w:sz w:val="16"/>
          <w:szCs w:val="16"/>
          <w:color w:val="auto"/>
        </w:rPr>
        <w:t>. Each Employee shall furnish to the Committee such data as the Committee may consider necessary for the determination of the Employee’s rights and benefits under the Plan and shall otherwise cooperate fully with the Committee in the administration of the Plan.</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Credit for Qualified Military Service</w:t>
      </w:r>
      <w:r>
        <w:rPr>
          <w:rFonts w:ascii="Arial" w:cs="Arial" w:eastAsia="Arial" w:hAnsi="Arial"/>
          <w:sz w:val="18"/>
          <w:szCs w:val="18"/>
          <w:color w:val="auto"/>
        </w:rPr>
        <w:t>. Notwithstanding any provision in this Plan to the contrary, contributions, benefits and service credit with respect to qualified military service will be provided in accordance with section 414(u) of the Code.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CONTRIBUTIONS TO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Pre-Tax Contributions</w:t>
      </w:r>
      <w:r>
        <w:rPr>
          <w:rFonts w:ascii="Arial" w:cs="Arial" w:eastAsia="Arial" w:hAnsi="Arial"/>
          <w:sz w:val="18"/>
          <w:szCs w:val="18"/>
          <w:color w:val="auto"/>
        </w:rPr>
        <w:t>.</w:t>
      </w:r>
    </w:p>
    <w:p>
      <w:pPr>
        <w:spacing w:after="0" w:line="90" w:lineRule="exact"/>
        <w:rPr>
          <w:sz w:val="20"/>
          <w:szCs w:val="20"/>
          <w:color w:val="auto"/>
        </w:rPr>
      </w:pPr>
    </w:p>
    <w:p>
      <w:pPr>
        <w:ind w:right="240" w:firstLine="1484"/>
        <w:spacing w:after="0" w:line="290" w:lineRule="auto"/>
        <w:rPr>
          <w:sz w:val="20"/>
          <w:szCs w:val="20"/>
          <w:color w:val="auto"/>
        </w:rPr>
      </w:pPr>
      <w:r>
        <w:rPr>
          <w:rFonts w:ascii="Arial" w:cs="Arial" w:eastAsia="Arial" w:hAnsi="Arial"/>
          <w:sz w:val="16"/>
          <w:szCs w:val="16"/>
          <w:color w:val="auto"/>
        </w:rPr>
        <w:t>3.1.1. When an Eligible Employee files an election under Section 2.4 to have Pre-Tax Contributions made on his behalf, he shall elect the percentage by which his Compensation shall be reduced on account of such Pre-Tax Contributions. Subject to Section 3.8, this percentage may be between one percent (1%) and fifty percent (50%) of such Compensation, rounded to the nearer whole percentage. An automatically enrolled Eligible Employee’s Pre-Tax Contributions will be equal to two percent (2%) of the Eligible Employee’s Compensation unless such percentage is changed by the Eligible Employee in accordance with Section 3.3 and subject to Section 3.8. The Participating Company shall contribute an amount equal to such percentage of the Eligible Employee’s Compensation to the Fund for credit to the Eligible Employee’s Pre-Tax Matched Contribution Account and/or Pre-Tax Unmatched Contribution Account, as applicable, provided that such contributions may be prospectively limited as provided in Section 3.9.</w:t>
      </w:r>
    </w:p>
    <w:p>
      <w:pPr>
        <w:spacing w:after="0" w:line="118" w:lineRule="exact"/>
        <w:rPr>
          <w:sz w:val="20"/>
          <w:szCs w:val="20"/>
          <w:color w:val="auto"/>
        </w:rPr>
      </w:pPr>
    </w:p>
    <w:p>
      <w:pPr>
        <w:ind w:firstLine="1484"/>
        <w:spacing w:after="0" w:line="306" w:lineRule="auto"/>
        <w:rPr>
          <w:sz w:val="20"/>
          <w:szCs w:val="20"/>
          <w:color w:val="auto"/>
        </w:rPr>
      </w:pPr>
      <w:r>
        <w:rPr>
          <w:rFonts w:ascii="Arial" w:cs="Arial" w:eastAsia="Arial" w:hAnsi="Arial"/>
          <w:sz w:val="16"/>
          <w:szCs w:val="16"/>
          <w:color w:val="auto"/>
        </w:rPr>
        <w:t>3.1.2. Pre-Tax Contributions made on behalf of an Eligible Employee under this Plan, together with elective deferrals under any other plan or arrangement maintained by any Participating Company or Affiliated Company, shall not exceed $12,000 (as adjusted in accordance with section 402(g) of the Code and regulations thereunder) for any calendar year. To the extent necessary to satisfy this limitation for any year:</w:t>
      </w:r>
    </w:p>
    <w:p>
      <w:pPr>
        <w:spacing w:after="0" w:line="26" w:lineRule="exact"/>
        <w:rPr>
          <w:sz w:val="20"/>
          <w:szCs w:val="20"/>
          <w:color w:val="auto"/>
        </w:rPr>
      </w:pPr>
    </w:p>
    <w:p>
      <w:pPr>
        <w:ind w:left="2180" w:hanging="232"/>
        <w:spacing w:after="0"/>
        <w:tabs>
          <w:tab w:leader="none" w:pos="2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elections under Section 3.1.1 shall be prospectively restricted; and</w:t>
      </w:r>
    </w:p>
    <w:p>
      <w:pPr>
        <w:spacing w:after="0" w:line="171" w:lineRule="exact"/>
        <w:rPr>
          <w:rFonts w:ascii="Arial" w:cs="Arial" w:eastAsia="Arial" w:hAnsi="Arial"/>
          <w:sz w:val="18"/>
          <w:szCs w:val="18"/>
          <w:color w:val="auto"/>
        </w:rPr>
      </w:pPr>
    </w:p>
    <w:p>
      <w:pPr>
        <w:ind w:right="180" w:firstLine="1948"/>
        <w:spacing w:after="0" w:line="306" w:lineRule="auto"/>
        <w:tabs>
          <w:tab w:leader="none" w:pos="218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after application of Section 3.1.2(a), the excess Pre-Tax Contributions and excess elective deferrals under any other plan or arrangement maintained by any Participating Company or Affiliated Company (with earnings thereon, but reduced by any amounts previously distributed under Section 3.9.1 for the year) shall be paid to the Participant on or before the April 15 first following the calendar year in which such contributions were made.</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If the Pre-Tax Contributions plus elective deferrals described above do not exceed such limitation, but Pre-Tax Contributions, plus the elective deferrals, as defined in section 402(g)(3) of the Code, under any other plan for any Participant exceed such limitation for any calendar year, upon the written request of the Participant made on or before the March 1 first following such calendar year, the excess, including any earnings attributable thereto, designated by the Participant to be distributed from the Plan shall be paid to the Participant on or before the April 15 first following such calendar year.</w:t>
      </w:r>
    </w:p>
    <w:p>
      <w:pPr>
        <w:spacing w:after="0" w:line="113" w:lineRule="exact"/>
        <w:rPr>
          <w:sz w:val="20"/>
          <w:szCs w:val="20"/>
          <w:color w:val="auto"/>
        </w:rPr>
      </w:pPr>
    </w:p>
    <w:p>
      <w:pPr>
        <w:ind w:right="320" w:firstLine="1484"/>
        <w:spacing w:after="0" w:line="268"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Catch-Up Contributions</w:t>
      </w:r>
      <w:r>
        <w:rPr>
          <w:rFonts w:ascii="Arial" w:cs="Arial" w:eastAsia="Arial" w:hAnsi="Arial"/>
          <w:sz w:val="18"/>
          <w:szCs w:val="18"/>
          <w:color w:val="auto"/>
        </w:rPr>
        <w:t>. Eligible Employees who have attained Age 50 before the close of any Plan Year shall be eligible to make Catch-Up Contributions. Catch-Up Contributions shall not be limited by the maximum deferral percentage imposed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05" w:name="page106"/>
    <w:bookmarkEnd w:id="105"/>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3.1.1. Furthermore, they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401(m)(12), 410(b) or 416 of the Code, as applicable, by reason of the making of such catch-up contributions. Catch-Up Contributions shall not be matched pursuant to Section 3.4.</w:t>
      </w:r>
    </w:p>
    <w:p>
      <w:pPr>
        <w:spacing w:after="0" w:line="143"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After-Tax Contributions</w:t>
      </w:r>
      <w:r>
        <w:rPr>
          <w:rFonts w:ascii="Arial" w:cs="Arial" w:eastAsia="Arial" w:hAnsi="Arial"/>
          <w:sz w:val="16"/>
          <w:szCs w:val="16"/>
          <w:color w:val="auto"/>
        </w:rPr>
        <w:t>. With respect to Participants who are Covered Union Employees (Broadband), the total amount of Pre-Tax Contributions and After-Tax Contributions credited to a Participant’s Account may not exceed 50% of the Participant’s Compensation.</w:t>
      </w:r>
    </w:p>
    <w:p>
      <w:pPr>
        <w:spacing w:after="0" w:line="85"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Change of Percentage Rate</w:t>
      </w:r>
      <w:r>
        <w:rPr>
          <w:rFonts w:ascii="Arial" w:cs="Arial" w:eastAsia="Arial" w:hAnsi="Arial"/>
          <w:sz w:val="18"/>
          <w:szCs w:val="18"/>
          <w:color w:val="auto"/>
        </w:rPr>
        <w:t>. A Participant may, without penalty, change the percentage of Compensation designated (i) through his automatic enrollment in the Plan or (ii) by him as his contribution rate under Sections 3.1.1 and/or 3.2, as applicable, to any percentage permitted by Sections 3.1.1 or 3.2, and such percentage shall remain in effect until so changed. Any such change shall become effective as soon as administratively practicable following receipt of the change by the Committee.</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Discontinuance of Pre-Tax Contributions and After-Tax Contributions</w:t>
      </w:r>
      <w:r>
        <w:rPr>
          <w:rFonts w:ascii="Arial" w:cs="Arial" w:eastAsia="Arial" w:hAnsi="Arial"/>
          <w:sz w:val="18"/>
          <w:szCs w:val="18"/>
          <w:color w:val="auto"/>
        </w:rPr>
        <w:t>. A Participant may discontinue his Pre-Tax Contributions or After-Tax Contributions at any time. Such discontinuance shall become effective as soon as administratively practicable following receipt of the discontinuance by the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3.5.1. Subject to Sections 2.5, 3.8 and 3.9, the Participating Company shall contribute to the Fund for each Payroll Period:</w:t>
      </w:r>
    </w:p>
    <w:p>
      <w:pPr>
        <w:spacing w:after="0" w:line="90" w:lineRule="exact"/>
        <w:rPr>
          <w:sz w:val="20"/>
          <w:szCs w:val="20"/>
          <w:color w:val="auto"/>
        </w:rPr>
      </w:pPr>
    </w:p>
    <w:p>
      <w:pPr>
        <w:ind w:right="200" w:firstLine="1948"/>
        <w:spacing w:after="0" w:line="306" w:lineRule="auto"/>
        <w:tabs>
          <w:tab w:leader="none" w:pos="217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with respect to each Active Participant during a Plan Year, other than an Active Participant who is a Covered Union Employee (Comcast) or Covered Union Employee (Broadband), an amount equal to one hundred percent (100%) of such Participant’s Pre-Tax Matched Contributions for such Payroll Period not in excess of six percent (6%) of his Compensation for such Payroll Period.</w:t>
      </w:r>
    </w:p>
    <w:p>
      <w:pPr>
        <w:spacing w:after="0" w:line="106" w:lineRule="exact"/>
        <w:rPr>
          <w:rFonts w:ascii="Arial" w:cs="Arial" w:eastAsia="Arial" w:hAnsi="Arial"/>
          <w:sz w:val="16"/>
          <w:szCs w:val="16"/>
          <w:color w:val="auto"/>
        </w:rPr>
      </w:pPr>
    </w:p>
    <w:p>
      <w:pPr>
        <w:jc w:val="both"/>
        <w:ind w:firstLine="1948"/>
        <w:spacing w:after="0" w:line="294" w:lineRule="auto"/>
        <w:tabs>
          <w:tab w:leader="none" w:pos="218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with respect to each Active Participant during a Plan Year who is a Covered Union Employee (Comcast), an amount equal to the sum of: (1) one hundred percent (100%) of such Participant’s Pre-Tax Matched Contributions for such Payroll Period not in excess of three percent (3%) of his Compensation for such Payroll Period; plus (2) fifty percent (50%) of such Participant’s Pre-Tax Matched Contributions for such Payroll Period in excess of three percent (3%) but not in excess of six percent (6%) of his Compensation for such Payroll Period, for a total maximum Matching Contribution not in excess of four and one-half percent (4.5%) of his Compensation for such Payroll Period.</w:t>
      </w:r>
    </w:p>
    <w:p>
      <w:pPr>
        <w:spacing w:after="0" w:line="115" w:lineRule="exact"/>
        <w:rPr>
          <w:rFonts w:ascii="Arial" w:cs="Arial" w:eastAsia="Arial" w:hAnsi="Arial"/>
          <w:sz w:val="16"/>
          <w:szCs w:val="16"/>
          <w:color w:val="auto"/>
        </w:rPr>
      </w:pPr>
    </w:p>
    <w:p>
      <w:pPr>
        <w:ind w:right="60" w:firstLine="1948"/>
        <w:spacing w:after="0" w:line="268" w:lineRule="auto"/>
        <w:tabs>
          <w:tab w:leader="none" w:pos="21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 respect to each Active Participant during a Plan Year who is a Covered Union Employee (Broadband), an amount, referred to as the “Broadband Heritage Matching Contribution,” equal to seventy-five percent (75%) of the sum of such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06" w:name="page107"/>
    <w:bookmarkEnd w:id="106"/>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Pre-Tax Matched Contributions and After-Tax Matched Contributions for such Payroll Period not in excess of 8% of his Compensation for such Payroll Period.</w:t>
      </w:r>
    </w:p>
    <w:p>
      <w:pPr>
        <w:spacing w:after="0" w:line="132" w:lineRule="exact"/>
        <w:rPr>
          <w:sz w:val="20"/>
          <w:szCs w:val="20"/>
          <w:color w:val="auto"/>
        </w:rPr>
      </w:pPr>
    </w:p>
    <w:p>
      <w:pPr>
        <w:ind w:right="100" w:firstLine="1948"/>
        <w:spacing w:after="0" w:line="288" w:lineRule="auto"/>
        <w:tabs>
          <w:tab w:leader="none" w:pos="218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Notwithstanding Section 3.5.1, if the sum of the Matching Contributions made for an Active Participant (other than an Active Participant who is a Covered Union Employee (Broadband)) on a Payroll Period basis for any Plan Year fails to provide the maximum amount of Matching Contributions to which such Active Participant would be entitled except for the Matching Contributions being made on a Payroll Period basis for such Plan Year or because of Catch-Up Contributions being re-designated as Pre-Tax Matched Contributions, a Participating Company shall make an additional Matching Contribution for the benefit of such Participant for such Plan Year in an amount equal to the amount which, when added to the Matching Contributions made pursuant to Section 3.4.1, would have been contributed had the Matching Contribution been based on the amount of the Participant’s annual Pre-Tax Matched Contributions and annual Compensation. If an Active Participant is a Covered Union Employee (Broadband) for only a portion of a Plan Year, such Active Participant shall be eligible for an additional Matching Contribution for that portion of the Plan Year following the date that he ceases to be a Covered Union Employee (Broadband), based on Compensation earned and Pre-Tax Matched Contributions made after such date.</w:t>
      </w:r>
    </w:p>
    <w:p>
      <w:pPr>
        <w:spacing w:after="0" w:line="120" w:lineRule="exact"/>
        <w:rPr>
          <w:sz w:val="20"/>
          <w:szCs w:val="20"/>
          <w:color w:val="auto"/>
        </w:rPr>
      </w:pPr>
    </w:p>
    <w:p>
      <w:pPr>
        <w:ind w:firstLine="1484"/>
        <w:spacing w:after="0" w:line="294" w:lineRule="auto"/>
        <w:rPr>
          <w:sz w:val="20"/>
          <w:szCs w:val="20"/>
          <w:color w:val="auto"/>
        </w:rPr>
      </w:pPr>
      <w:r>
        <w:rPr>
          <w:rFonts w:ascii="Arial" w:cs="Arial" w:eastAsia="Arial" w:hAnsi="Arial"/>
          <w:sz w:val="16"/>
          <w:szCs w:val="16"/>
          <w:color w:val="auto"/>
        </w:rPr>
        <w:t>3.5.2. The Participating Companies’ Matching Contribution obligation for a Plan Year shall be offset by the amount, if any, of the sum of Matching Contributions, Broadband Heritage Matching Contributions and Prior Company Matching Contributions (Unvested) forfeited during such Plan Year by Participants who were Employees of such Participating Company, provided that Matching Contributions and Broadband Heritage Matching Contributions may be prospectively limited as provided in Section 3.9. Notwithstanding the foregoing, the contributions under this Section for any Plan Year shall not cause the total contributions by the Participating Company to exceed the maximum allowable current deduction under the applicable provisions of the Code.</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Timing and Deductibility of Contributions</w:t>
      </w:r>
      <w:r>
        <w:rPr>
          <w:rFonts w:ascii="Arial" w:cs="Arial" w:eastAsia="Arial" w:hAnsi="Arial"/>
          <w:sz w:val="18"/>
          <w:szCs w:val="18"/>
          <w:color w:val="auto"/>
        </w:rPr>
        <w:t>. Matching Contributions and Broadband Heritage Matching Contributions for any Plan Year under this Article shall be made no later than the last date on which amounts so paid may be deducted for Federal income tax purposes for the taxable year of the employer in which the Plan Year ends. All Participating Company contributions are expressly conditioned upon their deductibility for Federal income tax purposes. Amounts contributed as Pre-Tax Contributions, After-Tax Contributions, After-Tax Rollover Contributions and Taxable Rollover Contributions will be remitted to the Trustee as soon as practicable.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Fund</w:t>
      </w:r>
      <w:r>
        <w:rPr>
          <w:rFonts w:ascii="Arial" w:cs="Arial" w:eastAsia="Arial" w:hAnsi="Arial"/>
          <w:sz w:val="16"/>
          <w:szCs w:val="16"/>
          <w:color w:val="auto"/>
        </w:rPr>
        <w:t>. The contributions deposited by the Participating Company in the Fund in accordance with this Article shall constitute a fund held for the benefit of Participants and their eligible beneficiaries under and in accordance with this Plan. No part of the principal or income of the Fund shall be used for, or diverted to, purposes other than for the exclusive benefit of such Participants and their eligible beneficiaries (including necessary administrative costs); provided, that in the case of a contribution made by the Participating Company as a mistake of fact, or for which a tax deduction is disallowed, in whole or in part, by the Internal Revenue Service, the Participating Company shall be entitled to a refund of said contributions,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must be made within one year after payment of a contribution made as a mistake of fact, or within one year after disallowance.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Limitation on Pre-Tax Contributions and Matching Contributions</w:t>
      </w:r>
      <w:r>
        <w:rPr>
          <w:rFonts w:ascii="Arial" w:cs="Arial" w:eastAsia="Arial" w:hAnsi="Arial"/>
          <w:sz w:val="18"/>
          <w:szCs w:val="18"/>
          <w:color w:val="auto"/>
        </w:rPr>
        <w:t>.</w:t>
      </w:r>
    </w:p>
    <w:p>
      <w:pPr>
        <w:spacing w:after="0" w:line="90" w:lineRule="exact"/>
        <w:rPr>
          <w:sz w:val="20"/>
          <w:szCs w:val="20"/>
          <w:color w:val="auto"/>
        </w:rPr>
      </w:pPr>
    </w:p>
    <w:p>
      <w:pPr>
        <w:ind w:right="460" w:firstLine="1484"/>
        <w:spacing w:after="0" w:line="268" w:lineRule="auto"/>
        <w:rPr>
          <w:sz w:val="20"/>
          <w:szCs w:val="20"/>
          <w:color w:val="auto"/>
        </w:rPr>
      </w:pPr>
      <w:r>
        <w:rPr>
          <w:rFonts w:ascii="Arial" w:cs="Arial" w:eastAsia="Arial" w:hAnsi="Arial"/>
          <w:sz w:val="18"/>
          <w:szCs w:val="18"/>
          <w:color w:val="auto"/>
        </w:rPr>
        <w:t>3.8.1. For any Plan Year, the Average Actual Deferral Percentage for the Highly Compensated Early Entry Eligible Employees for the current Plan Year shall not exceed the greater of:</w:t>
      </w:r>
    </w:p>
    <w:p>
      <w:pPr>
        <w:spacing w:after="0" w:line="51" w:lineRule="exact"/>
        <w:rPr>
          <w:sz w:val="20"/>
          <w:szCs w:val="20"/>
          <w:color w:val="auto"/>
        </w:rPr>
      </w:pPr>
    </w:p>
    <w:p>
      <w:pPr>
        <w:ind w:left="2180" w:hanging="232"/>
        <w:spacing w:after="0"/>
        <w:tabs>
          <w:tab w:leader="none" w:pos="21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one hundred twenty-five percent (125%) of the Average Actual Deferral Percentage for all other Early Entry Eligible Employees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the preceding Plan Year; or</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660" w:hanging="256"/>
        <w:spacing w:after="0"/>
        <w:tabs>
          <w:tab w:leader="none" w:pos="26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two hundred percent (200%) of the Average Actual Deferral Percentage for all other Early Entry Eligible Employees for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preceding Plan Year; or</w:t>
      </w:r>
    </w:p>
    <w:p>
      <w:pPr>
        <w:spacing w:after="0" w:line="164" w:lineRule="exact"/>
        <w:rPr>
          <w:rFonts w:ascii="Arial" w:cs="Arial" w:eastAsia="Arial" w:hAnsi="Arial"/>
          <w:sz w:val="16"/>
          <w:szCs w:val="16"/>
          <w:color w:val="auto"/>
        </w:rPr>
      </w:pPr>
    </w:p>
    <w:p>
      <w:pPr>
        <w:ind w:left="2660" w:hanging="256"/>
        <w:spacing w:after="0"/>
        <w:tabs>
          <w:tab w:leader="none" w:pos="26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two percent (2%) plus the Average Actual Deferral Percentage for all other Early Entry Eligible Employees for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preceding Plan Year.</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3.8.2. For any Plan Year, the Average Contribution Percentage for the Highly Compensated Early Entry Eligible Employees for the current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 Year shall not exceed the greater of:</w:t>
      </w:r>
    </w:p>
    <w:p>
      <w:pPr>
        <w:spacing w:after="0" w:line="84"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 one hundred twenty-five percent (125%) of the Average Contribution Percentage for all other Early Entry Eligible Employees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preceding Plan Year; or</w:t>
      </w:r>
    </w:p>
    <w:p>
      <w:pPr>
        <w:spacing w:after="0" w:line="165" w:lineRule="exact"/>
        <w:rPr>
          <w:sz w:val="20"/>
          <w:szCs w:val="20"/>
          <w:color w:val="auto"/>
        </w:rPr>
      </w:pPr>
    </w:p>
    <w:p>
      <w:pPr>
        <w:ind w:left="2200" w:hanging="252"/>
        <w:spacing w:after="0"/>
        <w:tabs>
          <w:tab w:leader="none" w:pos="2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660" w:hanging="256"/>
        <w:spacing w:after="0"/>
        <w:tabs>
          <w:tab w:leader="none" w:pos="266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two hundred percent (200%) of the Average Contribution Percentage for all other Early Entry Eligible Employees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preceding Plan Year; or</w:t>
      </w:r>
    </w:p>
    <w:p>
      <w:pPr>
        <w:spacing w:after="0" w:line="16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(2) two percent (2%) plus the Average Contribution Percentage for all other Early Entry Eligible Employees for the preceding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 Year.</w:t>
      </w:r>
    </w:p>
    <w:p>
      <w:pPr>
        <w:spacing w:after="0" w:line="165"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3.8.3. If the Plan and any other plan(s) maintained by a Participating Company or an Affiliated Company are treated as a single plan for purposes of section 401(a)(4) or section 410(b) of the Code, the limitations in Sections 3.8.1 and 3.8.2 shall be applied by treating the Plan and such other plan(s) as a single plan.</w:t>
      </w:r>
    </w:p>
    <w:p>
      <w:pPr>
        <w:spacing w:after="0" w:line="140" w:lineRule="exact"/>
        <w:rPr>
          <w:sz w:val="20"/>
          <w:szCs w:val="20"/>
          <w:color w:val="auto"/>
        </w:rPr>
      </w:pPr>
    </w:p>
    <w:p>
      <w:pPr>
        <w:ind w:right="560" w:firstLine="1484"/>
        <w:spacing w:after="0" w:line="268" w:lineRule="auto"/>
        <w:rPr>
          <w:sz w:val="20"/>
          <w:szCs w:val="20"/>
          <w:color w:val="auto"/>
        </w:rPr>
      </w:pPr>
      <w:r>
        <w:rPr>
          <w:rFonts w:ascii="Arial" w:cs="Arial" w:eastAsia="Arial" w:hAnsi="Arial"/>
          <w:sz w:val="18"/>
          <w:szCs w:val="18"/>
          <w:color w:val="auto"/>
        </w:rPr>
        <w:t>3.8.4. The application of this Section shall satisfy sections 401(k) and 401(m) of the Code and regulations thereunder and such other requirements as may be prescribed by the Secretary of the Treasury.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108" w:name="page109"/>
    <w:bookmarkEnd w:id="108"/>
    <w:p>
      <w:pPr>
        <w:ind w:right="100" w:firstLine="1484"/>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3.8.5. The test set forth in Section 3.8.1 must be satisfied separately with respect to (1) Early Entry Eligible Employees who are not covered by a collective bargaining agreement and (2) Early Entry Eligible Employees who are covered by a collective bargaining agreement. The test set forth in Section 3.8.2 must be satisfied only with respect to Early Entry Eligible Employees who are not covered by a collective bargaining agreement.</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Prevention of Violation of Limitation on Pre-Tax Contributions and Matching Contributions</w:t>
      </w:r>
      <w:r>
        <w:rPr>
          <w:rFonts w:ascii="Arial" w:cs="Arial" w:eastAsia="Arial" w:hAnsi="Arial"/>
          <w:sz w:val="16"/>
          <w:szCs w:val="16"/>
          <w:color w:val="auto"/>
        </w:rPr>
        <w:t>. The Committee shall monitor the level of Participants’ Pre-Tax Contributions, Matching Contributions, Broadband Heritage Matching Contributions, and elective deferrals, employee contributions, and employer matching contributions under any other qualified retirement plan maintained by a Participating Company or any Affiliated Company to insure against exceeding the limits of Section 3.8. To the extent practicable, the Plan Administrator may prospectively limit (i) some or all of the Highly Compensated Early Entry Eligible Employees’ Pre-Tax Contributions to reduce the Average Actual Deferral Percentage of the Highly Compensated Early Entry Eligible Employees to the extent necessary to satisfy Section 3.8.1 and/or (ii) some or all of the Highly Compensated Early Entry Eligible Employees’ Matching Contributions or Broadband Heritage Matching Contributions to reduce the Average Contribution Percentage of the Highly Compensated Early Entry Eligible Employees to the extent necessary to satisfy Section 3.8.2. If the Committee determines after the end of the Plan Year that the limits of Section 3.8 may be or have been exceeded, it shall take the appropriate following action for such Plan Year:</w:t>
      </w:r>
    </w:p>
    <w:p>
      <w:pPr>
        <w:spacing w:after="0" w:line="39" w:lineRule="exact"/>
        <w:rPr>
          <w:sz w:val="20"/>
          <w:szCs w:val="20"/>
          <w:color w:val="auto"/>
        </w:rPr>
      </w:pPr>
    </w:p>
    <w:p>
      <w:pPr>
        <w:ind w:right="460" w:firstLine="1484"/>
        <w:spacing w:after="0" w:line="268" w:lineRule="auto"/>
        <w:rPr>
          <w:sz w:val="20"/>
          <w:szCs w:val="20"/>
          <w:color w:val="auto"/>
        </w:rPr>
      </w:pPr>
      <w:r>
        <w:rPr>
          <w:rFonts w:ascii="Arial" w:cs="Arial" w:eastAsia="Arial" w:hAnsi="Arial"/>
          <w:sz w:val="18"/>
          <w:szCs w:val="18"/>
          <w:color w:val="auto"/>
        </w:rPr>
        <w:t>3.9.1. (a) The Average Actual Deferral Percentage for the Highly Compensated Early Entry Eligible Employees shall be reduced to the extent necessary to satisfy Section 3.8.1.</w:t>
      </w:r>
    </w:p>
    <w:p>
      <w:pPr>
        <w:spacing w:after="0" w:line="132" w:lineRule="exact"/>
        <w:rPr>
          <w:sz w:val="20"/>
          <w:szCs w:val="20"/>
          <w:color w:val="auto"/>
        </w:rPr>
      </w:pPr>
    </w:p>
    <w:p>
      <w:pPr>
        <w:ind w:right="100" w:firstLine="1948"/>
        <w:spacing w:after="0" w:line="291" w:lineRule="auto"/>
        <w:tabs>
          <w:tab w:leader="none" w:pos="218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reduction shall be accomplished by reducing the maximum Actual Deferral Percentage for any Highly Compensated Early Entry Eligible Employee to an adjusted maximum Actual Deferral Percentage, which shall be the highest Actual Deferral Percentage that would cause one of the tests in Section 3.8.1 to be satisfied, if each Highly Compensated Early Entry Eligible Employee with a higher Actual Deferral Percentage had instead the adjusted maximum Actual Deferral Percentage, reducing the Highly Compensated Early Entry Eligible Employee’s Pre-Tax Contributions and elective deferrals under any other qualified retirement plan maintained by the Participating Company or any Affiliated Company (less any amounts previously distributed under Section 3.1 for the year) in order, beginning with the Highly Compensated Early Entry Eligible Employee(s) with the highest Actual Deferral Percentage.</w:t>
      </w:r>
    </w:p>
    <w:p>
      <w:pPr>
        <w:spacing w:after="0" w:line="120" w:lineRule="exact"/>
        <w:rPr>
          <w:rFonts w:ascii="Arial" w:cs="Arial" w:eastAsia="Arial" w:hAnsi="Arial"/>
          <w:sz w:val="16"/>
          <w:szCs w:val="16"/>
          <w:color w:val="auto"/>
        </w:rPr>
      </w:pPr>
    </w:p>
    <w:p>
      <w:pPr>
        <w:ind w:right="260" w:firstLine="1948"/>
        <w:spacing w:after="0" w:line="294" w:lineRule="auto"/>
        <w:tabs>
          <w:tab w:leader="none" w:pos="217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Not later than the end of the Plan Year following the close of the Plan Year for which the Pre-Tax Contributions were made, the excess Pre-Tax Contributions shall be paid to the Highly Compensated Early Entry Eligible Employees (determined on the basis of the Highly Compensated Early Entry Eligible Employees with the largest dollar amount of Pre-Tax Contributions), with earnings attributable thereto (as determined in accordance with applicable Treasury Regulations); provided, however, that for any Participant who is also a participant in any other qualified retirement plan maintained by the Participating Company or any Affiliated Company under which the Participant makes elective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deferrals for such year, the Committee shall coordinate corrective actions under this Plan and such other plan for the year.</w:t>
      </w:r>
    </w:p>
    <w:p>
      <w:pPr>
        <w:spacing w:after="0" w:line="171"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3.9.2. (a) The Average Contribution Percentage for the Highly Compensated Early Entry Eligible Employees shall be reduced to the extent necessary to satisfy at least one of the tests in Section 3.8.2.</w:t>
      </w:r>
    </w:p>
    <w:p>
      <w:pPr>
        <w:spacing w:after="0" w:line="132" w:lineRule="exact"/>
        <w:rPr>
          <w:sz w:val="20"/>
          <w:szCs w:val="20"/>
          <w:color w:val="auto"/>
        </w:rPr>
      </w:pPr>
    </w:p>
    <w:p>
      <w:pPr>
        <w:ind w:right="60" w:firstLine="1948"/>
        <w:spacing w:after="0" w:line="253" w:lineRule="auto"/>
        <w:tabs>
          <w:tab w:leader="none" w:pos="218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reduction shall be accomplished by reducing the maximum Contribution Percentage for any Highly Compensated Early Entry Eligible Employee to an adjusted maximum Contribution Percentage, which shall be the highest Contribution Percentage that would cause one of the tests in Section 3.8.2 to be satisfied, if each Highly Compensated Early Entry Eligible Employee with a higher Contribution Percentage had instead the adjusted maximum Contribution Percentage, reducing, in the following order of priority, the Highly Compensated Early Entry Eligible Employees’ Matching Contributions and employee contributions and employer matching contributions under any other qualified retirement plan maintained by the Participating Company or an Affiliated Company, in order beginning with the Highly Compensated Early Entry Eligible Employee(s) with the highest Contribution Percentage.</w:t>
      </w:r>
    </w:p>
    <w:p>
      <w:pPr>
        <w:spacing w:after="0" w:line="147" w:lineRule="exact"/>
        <w:rPr>
          <w:rFonts w:ascii="Arial" w:cs="Arial" w:eastAsia="Arial" w:hAnsi="Arial"/>
          <w:sz w:val="18"/>
          <w:szCs w:val="18"/>
          <w:color w:val="auto"/>
        </w:rPr>
      </w:pPr>
    </w:p>
    <w:p>
      <w:pPr>
        <w:ind w:right="180" w:firstLine="1948"/>
        <w:spacing w:after="0" w:line="289" w:lineRule="auto"/>
        <w:tabs>
          <w:tab w:leader="none" w:pos="217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Not later than the end of the Plan Year following the close of the Plan Year for which such contributions were made, the excess Matching Contributions, with earnings attributable thereto (as determined in accordance with applicable Treasury Regulations) shall be treated as a forfeiture of the Highly Compensated Early Entry Eligible Employee’s Matching Contributions for the Plan Year to the extent such contributions are forfeitable (which forfeiture shall be used to reduce future Matching Contributions), or paid to the Highly Compensated Early Entry Eligible Employee to the extent such contributions are nonforfeitable; provided that any such forfeiture or payment shall be determined on the basis of the Highly Compensated Early Entry Eligible Employee(s) with the largest dollar amount of Matching Contributions; provided further, that, for any Participant who is also a participant in any other qualified retirement plan maintained by the Participating Company or any Affiliated Company under which the Participant makes employee contributions or is credited with employer matching contributions for the year, the Committee shall coordinate corrective actions under this Plan and such other plan for the year.</w:t>
      </w:r>
    </w:p>
    <w:p>
      <w:pPr>
        <w:spacing w:after="0" w:line="118"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3.9.3. If the Plan and any other plan maintained by a Participating Company or an Affiliated Company are treated as a single plan pursuant to Section 3.8.3, the Committee shall coordinate corrective actions under the Plan and such other plan for the year.</w:t>
      </w:r>
    </w:p>
    <w:p>
      <w:pPr>
        <w:spacing w:after="0" w:line="132" w:lineRule="exact"/>
        <w:rPr>
          <w:sz w:val="20"/>
          <w:szCs w:val="20"/>
          <w:color w:val="auto"/>
        </w:rPr>
      </w:pPr>
    </w:p>
    <w:p>
      <w:pPr>
        <w:ind w:right="40" w:firstLine="1484"/>
        <w:spacing w:after="0" w:line="254" w:lineRule="auto"/>
        <w:rPr>
          <w:sz w:val="20"/>
          <w:szCs w:val="20"/>
          <w:color w:val="auto"/>
        </w:rPr>
      </w:pPr>
      <w:r>
        <w:rPr>
          <w:rFonts w:ascii="Arial" w:cs="Arial" w:eastAsia="Arial" w:hAnsi="Arial"/>
          <w:sz w:val="18"/>
          <w:szCs w:val="18"/>
          <w:color w:val="auto"/>
        </w:rPr>
        <w:t>3.9.4. The Company in its sole discretion may authorize an additional Company contribution for a Plan Year on behalf of the Non-Highly Compensated Early Entry Eligible Employees in an amount which the Company determines is necessary to meet one of the two actual deferral percentage tests or one of the two actual contribution percentage tests for such Plan Year. Such additional contributions shall be allocated in an equitable manner among the Non-Highly Compensated Early Entry Eligible Employees and the amount allocated to each such Employee shall be treated for all purposes under the Plan as an additional Pre-Tax Contribution by the Company for such Plan Year. Any such contributions shall be allocated to the Qualified Non-Elective Contribution Account.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3.10. </w:t>
      </w:r>
      <w:r>
        <w:rPr>
          <w:rFonts w:ascii="Arial" w:cs="Arial" w:eastAsia="Arial" w:hAnsi="Arial"/>
          <w:sz w:val="18"/>
          <w:szCs w:val="18"/>
          <w:u w:val="single" w:color="auto"/>
          <w:color w:val="auto"/>
        </w:rPr>
        <w:t>Maximum Allocation</w:t>
      </w:r>
      <w:r>
        <w:rPr>
          <w:rFonts w:ascii="Arial" w:cs="Arial" w:eastAsia="Arial" w:hAnsi="Arial"/>
          <w:sz w:val="18"/>
          <w:szCs w:val="18"/>
          <w:color w:val="auto"/>
        </w:rPr>
        <w:t>.</w:t>
      </w:r>
    </w:p>
    <w:p>
      <w:pPr>
        <w:spacing w:after="0" w:line="90" w:lineRule="exact"/>
        <w:rPr>
          <w:sz w:val="20"/>
          <w:szCs w:val="20"/>
          <w:color w:val="auto"/>
        </w:rPr>
      </w:pPr>
    </w:p>
    <w:p>
      <w:pPr>
        <w:ind w:right="200" w:firstLine="1484"/>
        <w:spacing w:after="0" w:line="268" w:lineRule="auto"/>
        <w:rPr>
          <w:sz w:val="20"/>
          <w:szCs w:val="20"/>
          <w:color w:val="auto"/>
        </w:rPr>
      </w:pPr>
      <w:r>
        <w:rPr>
          <w:rFonts w:ascii="Arial" w:cs="Arial" w:eastAsia="Arial" w:hAnsi="Arial"/>
          <w:sz w:val="18"/>
          <w:szCs w:val="18"/>
          <w:color w:val="auto"/>
        </w:rPr>
        <w:t>3.10.1. Notwithstanding anything in this Plan to the contrary, in no event shall amounts allocated to a Participant’s Account under the Plan exceed the limitations set forth in section 415 of the Code, which are hereby incorporated into the Plan.</w:t>
      </w:r>
    </w:p>
    <w:p>
      <w:pPr>
        <w:spacing w:after="0" w:line="132" w:lineRule="exact"/>
        <w:rPr>
          <w:sz w:val="20"/>
          <w:szCs w:val="20"/>
          <w:color w:val="auto"/>
        </w:rPr>
      </w:pPr>
    </w:p>
    <w:p>
      <w:pPr>
        <w:ind w:right="60" w:firstLine="1484"/>
        <w:spacing w:after="0" w:line="254" w:lineRule="auto"/>
        <w:rPr>
          <w:sz w:val="20"/>
          <w:szCs w:val="20"/>
          <w:color w:val="auto"/>
        </w:rPr>
      </w:pPr>
      <w:r>
        <w:rPr>
          <w:rFonts w:ascii="Arial" w:cs="Arial" w:eastAsia="Arial" w:hAnsi="Arial"/>
          <w:sz w:val="18"/>
          <w:szCs w:val="18"/>
          <w:color w:val="auto"/>
        </w:rPr>
        <w:t>3.10.2. If the amounts otherwise allocable to a Participant’s Account under the Plan would exceed the limitations set forth in section 415(c) of the Code as a result of the reallocation of forfeitures, a reasonable error in estimating the Participant’s Compensation, a reasonable error in determining the amount of Pre-Tax Contributions or After-Tax Contributions that may be made with respect to the Participant under the limits, or such other circumstances as permitted by law, the Committee shall determine which portion, if any, of such excess amount is attributable to the Participant’s Pre-Tax Contributions, After-Tax Contributions, Matching Contributions or Broadband Heritage Matching Contributions, until such amount has been exhausted, and shall take the following steps to correct such violation:</w:t>
      </w:r>
    </w:p>
    <w:p>
      <w:pPr>
        <w:spacing w:after="0" w:line="63"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 Excess Pre-Tax Contributions and After- Tax Contributions and earnings thereon shall be paid to the Participant as soon as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administratively feasible.</w:t>
      </w:r>
    </w:p>
    <w:p>
      <w:pPr>
        <w:spacing w:after="0" w:line="165" w:lineRule="exact"/>
        <w:rPr>
          <w:sz w:val="20"/>
          <w:szCs w:val="20"/>
          <w:color w:val="auto"/>
        </w:rPr>
      </w:pPr>
    </w:p>
    <w:p>
      <w:pPr>
        <w:ind w:firstLine="1948"/>
        <w:spacing w:after="0" w:line="256" w:lineRule="auto"/>
        <w:tabs>
          <w:tab w:leader="none" w:pos="218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 While the Participant remains a Covered Employee, his excess Matching Contributions and/or Broadband Heritage Matching Contributions shall be held in a suspense account (which shall share in investment gains and losses of the Fund) by the Trustee until the following Limitation Year (or any succeeding Plan Years), at which time such amounts shall be allocated to the Participant’s Account before any contributions are made on his behalf for such Plan Year; and</w:t>
      </w:r>
    </w:p>
    <w:p>
      <w:pPr>
        <w:spacing w:after="0" w:line="143" w:lineRule="exact"/>
        <w:rPr>
          <w:rFonts w:ascii="Arial" w:cs="Arial" w:eastAsia="Arial" w:hAnsi="Arial"/>
          <w:sz w:val="18"/>
          <w:szCs w:val="18"/>
          <w:color w:val="auto"/>
        </w:rPr>
      </w:pPr>
    </w:p>
    <w:p>
      <w:pPr>
        <w:ind w:right="120" w:firstLine="2404"/>
        <w:spacing w:after="0" w:line="259" w:lineRule="auto"/>
        <w:tabs>
          <w:tab w:leader="none" w:pos="264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When the Participant ceases to be a Covered Employee, his excess Matching Contributions and/or Broadband Heritage Matching Contributions, along with earnings thereon, held in the suspense account shall be allocated in the following Plan Year (or any succeeding Plan Year) to the Accounts of other Participants in the Plan.</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Safe Harbor Status</w:t>
      </w:r>
      <w:r>
        <w:rPr>
          <w:rFonts w:ascii="Arial" w:cs="Arial" w:eastAsia="Arial" w:hAnsi="Arial"/>
          <w:sz w:val="18"/>
          <w:szCs w:val="18"/>
          <w:color w:val="auto"/>
        </w:rPr>
        <w:t>. Other than with respect to the Plan as it applies to Early Entry Eligible Employees and Covered Union Employees (Broadband), the Plan intends to satisfy section 401(k)(3)(a)(ii) of the Code by satisfying the matching contribution requirement of section 401(k)(12)(B) of the Code and the notice requirement of section 401(k)(12)(D) of the Code.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PARTICIPANTS’ ACCOUNTS</w:t>
      </w:r>
    </w:p>
    <w:p>
      <w:pPr>
        <w:spacing w:after="0" w:line="171"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Accounts</w:t>
      </w:r>
      <w:r>
        <w:rPr>
          <w:rFonts w:ascii="Arial" w:cs="Arial" w:eastAsia="Arial" w:hAnsi="Arial"/>
          <w:sz w:val="16"/>
          <w:szCs w:val="16"/>
          <w:color w:val="auto"/>
        </w:rPr>
        <w:t>. All contributions and earnings thereon may be invested in one commingled Fund for the benefit of all Participants. However, in order that the interest of each Participant may be accurately determined and computed, separate Accounts shall be maintained for each Participant and each Participant’s Accounts shall be made up of sub-accounts reflecting his investment elections pursuant to Section 11.5. These Accounts shall represent the Participant’s individual interest in the Fund. All contributions shall be credited to Participants’ Accounts as set forth in Article III.</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Valuation</w:t>
      </w:r>
      <w:r>
        <w:rPr>
          <w:rFonts w:ascii="Arial" w:cs="Arial" w:eastAsia="Arial" w:hAnsi="Arial"/>
          <w:sz w:val="18"/>
          <w:szCs w:val="18"/>
          <w:color w:val="auto"/>
        </w:rPr>
        <w:t>. The value of each Investment Medium in the Fund shall be computed by the Trustee as of the close of business on each Valuation Date on the basis of the fair market value of the assets of the Fund.</w:t>
      </w:r>
    </w:p>
    <w:p>
      <w:pPr>
        <w:spacing w:after="0" w:line="132"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Apportionment of Gain or Loss</w:t>
      </w:r>
      <w:r>
        <w:rPr>
          <w:rFonts w:ascii="Arial" w:cs="Arial" w:eastAsia="Arial" w:hAnsi="Arial"/>
          <w:sz w:val="15"/>
          <w:szCs w:val="15"/>
          <w:color w:val="auto"/>
        </w:rPr>
        <w:t>. The value of each Investment Medium in the Fund, as computed pursuant to Section 4.2, shall be compared with the value of such Investment Medium in the Fund as of the preceding Valuation Date. Any difference in the value, not including contributions or distributions made since the preceding Valuation Date, shall be the net increase or decrease of such Investment Medium in the Fund, and such amount shall be ratably apportioned by the Trustee on its books, among the Participants’ Accounts which are invested in such Investment Medium at the current Valuation Date.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Accounting for Allocations</w:t>
      </w:r>
      <w:r>
        <w:rPr>
          <w:rFonts w:ascii="Arial" w:cs="Arial" w:eastAsia="Arial" w:hAnsi="Arial"/>
          <w:sz w:val="18"/>
          <w:szCs w:val="18"/>
          <w:color w:val="auto"/>
        </w:rPr>
        <w:t>.</w:t>
      </w:r>
    </w:p>
    <w:p>
      <w:pPr>
        <w:spacing w:after="0" w:line="90"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establish or provide for the establishment of accounting procedures for the purpose of making the allocations, valuations and adjustments to Participants’ Accounts provided for in this Article. From time to time such procedures may be modified for the purpose of achieving equitable and non-discriminatory allocations among the Accounts of Participants in accordance with the general concepts of the Plan and the provisions of this Article.</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Accounting and Other Procedures Regarding Company Stock and Investment Stock</w:t>
      </w:r>
      <w:r>
        <w:rPr>
          <w:rFonts w:ascii="Arial" w:cs="Arial" w:eastAsia="Arial" w:hAnsi="Arial"/>
          <w:sz w:val="18"/>
          <w:szCs w:val="18"/>
          <w:color w:val="auto"/>
        </w:rPr>
        <w:t>.</w:t>
      </w:r>
    </w:p>
    <w:p>
      <w:pPr>
        <w:spacing w:after="0" w:line="90" w:lineRule="exact"/>
        <w:rPr>
          <w:sz w:val="20"/>
          <w:szCs w:val="20"/>
          <w:color w:val="auto"/>
        </w:rPr>
      </w:pPr>
    </w:p>
    <w:p>
      <w:pPr>
        <w:ind w:right="300" w:firstLine="1948"/>
        <w:spacing w:after="0" w:line="268" w:lineRule="auto"/>
        <w:tabs>
          <w:tab w:leader="none" w:pos="217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Company Stock required for purposes of the Plan shall either be transferred or sold to the Trustee by the Company, or if not so transferred or sold shall be acquired by the Trustee on the market.</w:t>
      </w:r>
    </w:p>
    <w:p>
      <w:pPr>
        <w:spacing w:after="0" w:line="131" w:lineRule="exact"/>
        <w:rPr>
          <w:rFonts w:ascii="Arial" w:cs="Arial" w:eastAsia="Arial" w:hAnsi="Arial"/>
          <w:sz w:val="18"/>
          <w:szCs w:val="18"/>
          <w:color w:val="auto"/>
        </w:rPr>
      </w:pPr>
    </w:p>
    <w:p>
      <w:pPr>
        <w:ind w:right="40" w:firstLine="1948"/>
        <w:spacing w:after="0" w:line="298" w:lineRule="auto"/>
        <w:tabs>
          <w:tab w:leader="none" w:pos="218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As of each Valuation Date, all amounts to be invested in Company Stock shall be allocated to Participants’ Accounts as additional shares in accordance with this Section 4.4.2(b). First, the Committee shall determine the number of shares to be allocated under the Plan as of such Valuation Date. Second, the number of shares to be allocated to each Participant’s Account shall be equal to the total number of shares to be allocated under the Plan as of such Valuation Date multiplied by the ratio of the sum of the items listed below for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112" w:name="page113"/>
    <w:bookmarkEnd w:id="112"/>
    <w:p>
      <w:pPr>
        <w:ind w:right="2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Participant entitled to share in such allocation that are to be invested in Company Stock to the sum of such items for all such Participants. The items referenced in the preceding sentence are (i) all Pre-Tax Contributions, (ii) all After-Tax Contributions, (iii) all Matching Contributions, Broadband Heritage Matching Contributions and Prior Broadband Heritage Matching Contributions, (iv) all Taxable Rollover Contributions and After-Tax Rollover Contributions,</w:t>
      </w:r>
    </w:p>
    <w:p>
      <w:pPr>
        <w:spacing w:after="0" w:line="1" w:lineRule="exact"/>
        <w:rPr>
          <w:sz w:val="20"/>
          <w:szCs w:val="20"/>
          <w:color w:val="auto"/>
        </w:rPr>
      </w:pPr>
    </w:p>
    <w:p>
      <w:pPr>
        <w:ind w:right="100" w:firstLine="8"/>
        <w:spacing w:after="0" w:line="261" w:lineRule="auto"/>
        <w:tabs>
          <w:tab w:leader="none" w:pos="24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repayments of loans pursuant to Article IX of the Plan, (vi) funds that were to be invested in Company Stock as of the preceding Valuation Date but were not and (vii) income earned with respect to such funds.</w:t>
      </w:r>
    </w:p>
    <w:p>
      <w:pPr>
        <w:spacing w:after="0" w:line="137" w:lineRule="exact"/>
        <w:rPr>
          <w:rFonts w:ascii="Arial" w:cs="Arial" w:eastAsia="Arial" w:hAnsi="Arial"/>
          <w:sz w:val="18"/>
          <w:szCs w:val="18"/>
          <w:color w:val="auto"/>
        </w:rPr>
      </w:pPr>
    </w:p>
    <w:p>
      <w:pPr>
        <w:ind w:firstLine="1948"/>
        <w:spacing w:after="0" w:line="268" w:lineRule="auto"/>
        <w:tabs>
          <w:tab w:leader="none" w:pos="217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Shares of Company Stock and Investment Stock shall be converted to cash for purposes of distributions, withdrawals, and loans in accordance with the batch trading guidelines established by the Committee.</w:t>
      </w:r>
    </w:p>
    <w:p>
      <w:pPr>
        <w:spacing w:after="0" w:line="131" w:lineRule="exact"/>
        <w:rPr>
          <w:rFonts w:ascii="Arial" w:cs="Arial" w:eastAsia="Arial" w:hAnsi="Arial"/>
          <w:sz w:val="18"/>
          <w:szCs w:val="18"/>
          <w:color w:val="auto"/>
        </w:rPr>
      </w:pPr>
    </w:p>
    <w:p>
      <w:pPr>
        <w:ind w:right="80" w:firstLine="1948"/>
        <w:spacing w:after="0" w:line="298" w:lineRule="auto"/>
        <w:tabs>
          <w:tab w:leader="none" w:pos="2189"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Shares of Company Stock shall be allocated to Participants’ Accounts as results of elections to reallocate the investment of funds held in Participants’ Accounts to the Investment Medium that holds Company Stock pursuant to the real time trading guidelines established by agreement between the Company and the Trustee. Shares of Company Stock and Investment Stock shall be converted to cash for purposes of elections to reallocate the investment of amounts held in an Investment Medium that holds Company Stock or Investment Stock.</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280" w:right="31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General</w:t>
      </w:r>
      <w:r>
        <w:rPr>
          <w:rFonts w:ascii="Arial" w:cs="Arial" w:eastAsia="Arial" w:hAnsi="Arial"/>
          <w:sz w:val="16"/>
          <w:szCs w:val="16"/>
          <w:color w:val="auto"/>
        </w:rPr>
        <w:t>. The interest of each Participant in the Fund shall be distributed in the manner, in the amount, and at the time provided in this Article, except as provided in Article VIII and except in the event of the termination of the Plan. The provisions of this Article shall be construed in accordance with section 401(a)(9) of the Code and regulations thereunder, including the incidental death benefit requirements of section 401(a)(9)(G) of the Code.</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A Participant who incurs a Severance from Service Date for reasons other than death or Total Disability shall have his nonforfeitable interest in his Account paid to him or applied for his benefit in accordance with the provisions of this Article.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Death</w:t>
      </w:r>
      <w:r>
        <w:rPr>
          <w:rFonts w:ascii="Arial" w:cs="Arial" w:eastAsia="Arial" w:hAnsi="Arial"/>
          <w:sz w:val="18"/>
          <w:szCs w:val="18"/>
          <w:color w:val="auto"/>
        </w:rPr>
        <w:t>. If a Participant dies before his Benefit Commencement Date, or if the Participant dies after his Benefit Commencement Date and before his entire nonforfeitable interest in his Account has been paid to him, his remaining nonforfeitable interest in his Account shall be paid to, or applied for the benefit of, his beneficiary in accordance with the provisions of this Article.</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Total Disability</w:t>
      </w:r>
      <w:r>
        <w:rPr>
          <w:rFonts w:ascii="Arial" w:cs="Arial" w:eastAsia="Arial" w:hAnsi="Arial"/>
          <w:sz w:val="18"/>
          <w:szCs w:val="18"/>
          <w:color w:val="auto"/>
        </w:rPr>
        <w:t>. If a Participant who is an Employee suffers a Total Disability and has a Severance from Service Date due to his Total Disability, his Account shall be paid to him or applied for his benefit in accordance with the provisions of this Article following the determination of his Total Disability and his Severance from Service Date.</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Valuation for Distribution</w:t>
      </w:r>
      <w:r>
        <w:rPr>
          <w:rFonts w:ascii="Arial" w:cs="Arial" w:eastAsia="Arial" w:hAnsi="Arial"/>
          <w:sz w:val="18"/>
          <w:szCs w:val="18"/>
          <w:color w:val="auto"/>
        </w:rPr>
        <w:t>. For the purposes of paying the amounts to be distributed to a Participant or his beneficiaries under the provisions of this Article, the value of the Fund and the amount of the Participant’s nonforfeitable interest shall be determined in accordance with the provisions of Article IV as of the Valuation Date coincident with or immediately preceding the date of any payment under this Article. Such amount shall be adjusted to take into account any additional contributions which have been or are to be allocated to the Participant’s Account since that Valuation Date, and any distributions or withdrawals made since that date.</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Timing of Distribution</w:t>
      </w:r>
      <w:r>
        <w:rPr>
          <w:rFonts w:ascii="Arial" w:cs="Arial" w:eastAsia="Arial" w:hAnsi="Arial"/>
          <w:sz w:val="18"/>
          <w:szCs w:val="18"/>
          <w:color w:val="auto"/>
        </w:rPr>
        <w:t>. Any Participant who has a Severance from Service Date for any reason other than death shall be entitled to receive his nonforfeitable interest in his Account, pursuant to the following rules:</w:t>
      </w:r>
    </w:p>
    <w:p>
      <w:pPr>
        <w:spacing w:after="0" w:line="51" w:lineRule="exact"/>
        <w:rPr>
          <w:sz w:val="20"/>
          <w:szCs w:val="20"/>
          <w:color w:val="auto"/>
        </w:rPr>
      </w:pPr>
    </w:p>
    <w:p>
      <w:pPr>
        <w:jc w:val="both"/>
        <w:ind w:right="120" w:firstLine="1484"/>
        <w:spacing w:after="0" w:line="323" w:lineRule="auto"/>
        <w:rPr>
          <w:sz w:val="20"/>
          <w:szCs w:val="20"/>
          <w:color w:val="auto"/>
        </w:rPr>
      </w:pPr>
      <w:r>
        <w:rPr>
          <w:rFonts w:ascii="Arial" w:cs="Arial" w:eastAsia="Arial" w:hAnsi="Arial"/>
          <w:sz w:val="15"/>
          <w:szCs w:val="15"/>
          <w:color w:val="auto"/>
        </w:rPr>
        <w:t>5.6.1. Except as provided in Section 5.6.2, if the Participant’s nonforfeitable interest in his Account is $5,000 or less, or the Participant has reached his Early Retirement Date or Normal Retirement Date, the Participant’s Benefit Commencement Date shall be the earliest practicable date following the Valuation Date coincident with or next following 30 days after his Severance from Service Date. Notwithstanding the preceding provisions of this Section 5.6.1, except in the case of a Participant whose nonforfeitable interest in his Account does not exceed $5,000, if the Participant does not consent to such distribution,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 of his benefits shall commence on any later date elected by the Participant that is not later than his Required Beginning Date.</w:t>
      </w:r>
    </w:p>
    <w:p>
      <w:pPr>
        <w:spacing w:after="0" w:line="171" w:lineRule="exact"/>
        <w:rPr>
          <w:sz w:val="20"/>
          <w:szCs w:val="20"/>
          <w:color w:val="auto"/>
        </w:rPr>
      </w:pPr>
    </w:p>
    <w:p>
      <w:pPr>
        <w:ind w:firstLine="1484"/>
        <w:spacing w:after="0" w:line="288" w:lineRule="auto"/>
        <w:rPr>
          <w:sz w:val="20"/>
          <w:szCs w:val="20"/>
          <w:color w:val="auto"/>
        </w:rPr>
      </w:pPr>
      <w:r>
        <w:rPr>
          <w:rFonts w:ascii="Arial" w:cs="Arial" w:eastAsia="Arial" w:hAnsi="Arial"/>
          <w:sz w:val="16"/>
          <w:szCs w:val="16"/>
          <w:color w:val="auto"/>
        </w:rPr>
        <w:t>5.6.2. If the Participant has not reached his Early Retirement Date or Normal Retirement Date and his nonforfeitable interest exceeds $5,000, his Benefit Commencement Date shall be the earliest practicable date following the Valuation Date coincident with or next following 30 days after his Severance from Service Date, except that, if the Participant does not consent to such distribution, distribution of his benefits shall commence on any later date elected by the Participant, that is not later than his Required Beginning Date, at which time his nonforfeitable interest shall commence to be paid to him. A Participant’s election to receive payment prior to his Required Beginning Date may be made no earlier than 90 days prior to the Benefit Commencement Date elected by the Participant. The Committee shall supply to each Participant who is subject to this Section 5.6.2, written information relating to (1) his right to defer distribution until his Required Beginning Date; (2) the material features of the modes of payment available to him; and (3) the relative values of such modes of payment. Such notice shall be furnished not less than 30 days nor more than 90 days prior to the date of any distribution that occurs prior to the earlier of his death or his Normal Retirement Date.</w:t>
      </w:r>
    </w:p>
    <w:p>
      <w:pPr>
        <w:spacing w:after="0" w:line="12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Effective March 28, 2005, if a Participant’s nonforfeitable interest in his Account is greater than $1,000 but not in excess of $5,000, and if the participant does not elect to have such distribution paid directly to an eligible retirement plan specified by the Participant in a direct rollover or to receive the distribution directly in accordance with this Section 5.6.1, then the Participant’s vested Account shall be distributed in a direct rollover to an individual retirement plan designated by the Committee. The preceding sentence shall not apply to alternate payees (under qualified domestic relations orders, as defined in section 414(p) of the Code), surviving spouses or beneficiaries.</w:t>
      </w:r>
    </w:p>
    <w:p>
      <w:pPr>
        <w:spacing w:after="0" w:line="143" w:lineRule="exact"/>
        <w:rPr>
          <w:sz w:val="20"/>
          <w:szCs w:val="20"/>
          <w:color w:val="auto"/>
        </w:rPr>
      </w:pPr>
    </w:p>
    <w:p>
      <w:pPr>
        <w:ind w:right="280" w:firstLine="1484"/>
        <w:spacing w:after="0" w:line="268" w:lineRule="auto"/>
        <w:rPr>
          <w:sz w:val="20"/>
          <w:szCs w:val="20"/>
          <w:color w:val="auto"/>
        </w:rPr>
      </w:pPr>
      <w:r>
        <w:rPr>
          <w:rFonts w:ascii="Arial" w:cs="Arial" w:eastAsia="Arial" w:hAnsi="Arial"/>
          <w:sz w:val="18"/>
          <w:szCs w:val="18"/>
          <w:color w:val="auto"/>
        </w:rPr>
        <w:t>5.6.3. This Section shall apply to all Participants, including Participants who had a Severance from Service Date or ceased to be Covered Employees prior to the Effective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Mode of Distribution of Retirement or Disability Benefits</w:t>
      </w:r>
      <w:r>
        <w:rPr>
          <w:rFonts w:ascii="Arial" w:cs="Arial" w:eastAsia="Arial" w:hAnsi="Arial"/>
          <w:sz w:val="18"/>
          <w:szCs w:val="18"/>
          <w:color w:val="auto"/>
        </w:rPr>
        <w:t>.</w:t>
      </w:r>
    </w:p>
    <w:p>
      <w:pPr>
        <w:spacing w:after="0" w:line="90"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color w:val="auto"/>
        </w:rPr>
        <w:t>5.7.1. Except as provided to the contrary in this Article, a Participant may elect in writing to have his nonforfeitable interest in his Account paid to him or applied for his benefit in accordance with any of the following modes of payment:</w:t>
      </w:r>
    </w:p>
    <w:p>
      <w:pPr>
        <w:spacing w:after="0" w:line="51" w:lineRule="exact"/>
        <w:rPr>
          <w:sz w:val="20"/>
          <w:szCs w:val="20"/>
          <w:color w:val="auto"/>
        </w:rPr>
      </w:pPr>
    </w:p>
    <w:p>
      <w:pPr>
        <w:ind w:right="160" w:firstLine="1948"/>
        <w:spacing w:after="0" w:line="268" w:lineRule="auto"/>
        <w:tabs>
          <w:tab w:leader="none" w:pos="217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case of a Participant whose nonforfeitable interest in his Account exceeds $5,000, approximately equal annual or quarterly installments over a period not to exceed the lesser of:</w:t>
      </w:r>
    </w:p>
    <w:p>
      <w:pPr>
        <w:spacing w:after="0" w:line="50" w:lineRule="exact"/>
        <w:rPr>
          <w:rFonts w:ascii="Arial" w:cs="Arial" w:eastAsia="Arial" w:hAnsi="Arial"/>
          <w:sz w:val="18"/>
          <w:szCs w:val="18"/>
          <w:color w:val="auto"/>
        </w:rPr>
      </w:pPr>
    </w:p>
    <w:p>
      <w:pPr>
        <w:ind w:right="260" w:firstLine="2404"/>
        <w:spacing w:after="0" w:line="268" w:lineRule="auto"/>
        <w:tabs>
          <w:tab w:leader="none" w:pos="264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life expectancy of the Participant or the joint and survivor life expectancy of the Participant and his beneficiary (with such life expectancy to be determined in accordance with applicable regulations under the Code); or</w:t>
      </w:r>
    </w:p>
    <w:p>
      <w:pPr>
        <w:spacing w:after="0" w:line="131" w:lineRule="exact"/>
        <w:rPr>
          <w:rFonts w:ascii="Arial" w:cs="Arial" w:eastAsia="Arial" w:hAnsi="Arial"/>
          <w:sz w:val="18"/>
          <w:szCs w:val="18"/>
          <w:color w:val="auto"/>
        </w:rPr>
      </w:pPr>
    </w:p>
    <w:p>
      <w:pPr>
        <w:ind w:right="160" w:firstLine="2404"/>
        <w:spacing w:after="0" w:line="268" w:lineRule="auto"/>
        <w:tabs>
          <w:tab w:leader="none" w:pos="264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unless the sole beneficiary is the Participant’s spouse, the maximum number of years permitted by section 401(a)(9) of the Code and the applicable regulations;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15" w:name="page116"/>
    <w:bookmarkEnd w:id="115"/>
    <w:p>
      <w:pPr>
        <w:ind w:right="80" w:firstLine="1948"/>
        <w:spacing w:after="0" w:line="268" w:lineRule="auto"/>
        <w:tabs>
          <w:tab w:leader="none" w:pos="2189"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single sum payment in cash, except that a Participant may elect to receive the portion of his Account invested in Company Stock and/or Investment Stock in the form of shares.</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the case of a Participant who was a participant in the CCCHI Plan, a Participant may withdraw up to ninety-five percent</w:t>
      </w:r>
    </w:p>
    <w:p>
      <w:pPr>
        <w:spacing w:after="0" w:line="3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(95%) of his Account, in increments of not less than $500. A surviving beneficiary of such a Participant may also make withdrawal in accordance with this Section 5.7.1(c).</w:t>
      </w:r>
    </w:p>
    <w:p>
      <w:pPr>
        <w:spacing w:after="0" w:line="138"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color w:val="auto"/>
        </w:rPr>
        <w:t>5.7.2. If a Participant fails to make a valid election under this Section in accordance with the rules described in Section 5.8, the value of his Account shall be distributed to him as a single sum payment.</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Rules for Election of Optional Mode of Retirement or Disability Benefit</w:t>
      </w:r>
      <w:r>
        <w:rPr>
          <w:rFonts w:ascii="Arial" w:cs="Arial" w:eastAsia="Arial" w:hAnsi="Arial"/>
          <w:sz w:val="18"/>
          <w:szCs w:val="18"/>
          <w:color w:val="auto"/>
        </w:rPr>
        <w:t>. A Participant may elect an optional mode of payment under Section 5.7 by filing a notice with the Committee in accordance with Section 14.9. A Participant may elect an optional mode of payment at any time during the period provided in Section 5.6.2.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Death Benefits</w:t>
      </w:r>
      <w:r>
        <w:rPr>
          <w:rFonts w:ascii="Arial" w:cs="Arial" w:eastAsia="Arial" w:hAnsi="Arial"/>
          <w:sz w:val="18"/>
          <w:szCs w:val="18"/>
          <w:color w:val="auto"/>
        </w:rPr>
        <w:t>.</w:t>
      </w:r>
    </w:p>
    <w:p>
      <w:pPr>
        <w:spacing w:after="0" w:line="90" w:lineRule="exact"/>
        <w:rPr>
          <w:sz w:val="20"/>
          <w:szCs w:val="20"/>
          <w:color w:val="auto"/>
        </w:rPr>
      </w:pPr>
    </w:p>
    <w:p>
      <w:pPr>
        <w:ind w:right="140" w:firstLine="1484"/>
        <w:spacing w:after="0" w:line="268" w:lineRule="auto"/>
        <w:rPr>
          <w:sz w:val="20"/>
          <w:szCs w:val="20"/>
          <w:color w:val="auto"/>
        </w:rPr>
      </w:pPr>
      <w:r>
        <w:rPr>
          <w:rFonts w:ascii="Arial" w:cs="Arial" w:eastAsia="Arial" w:hAnsi="Arial"/>
          <w:sz w:val="18"/>
          <w:szCs w:val="18"/>
          <w:color w:val="auto"/>
        </w:rPr>
        <w:t>5.9.1. (a) A beneficiary entitled to benefits under Section 5.3 upon the death of a Participant prior to his Benefit Commencement Date shall receive a single sum payment equal to the Participant’s nonforfeitable interest in his Account.</w:t>
      </w:r>
    </w:p>
    <w:p>
      <w:pPr>
        <w:spacing w:after="0" w:line="132" w:lineRule="exact"/>
        <w:rPr>
          <w:sz w:val="20"/>
          <w:szCs w:val="20"/>
          <w:color w:val="auto"/>
        </w:rPr>
      </w:pPr>
    </w:p>
    <w:p>
      <w:pPr>
        <w:ind w:right="60" w:firstLine="1948"/>
        <w:spacing w:after="0" w:line="259" w:lineRule="auto"/>
        <w:tabs>
          <w:tab w:leader="none" w:pos="218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 Participant dies after his Benefit Commencement Date while in receipt of installment payments described in Section 5.7.1(a), and before his entire nonforfeitable interest in his Account has been paid to him, his beneficiary may elect in writing to have the remaining nonforfeitable interest in the Participant’s Account paid in accordance with either of the following modes of payment:</w:t>
      </w:r>
    </w:p>
    <w:p>
      <w:pPr>
        <w:spacing w:after="0" w:line="59" w:lineRule="exact"/>
        <w:rPr>
          <w:rFonts w:ascii="Arial" w:cs="Arial" w:eastAsia="Arial" w:hAnsi="Arial"/>
          <w:sz w:val="18"/>
          <w:szCs w:val="18"/>
          <w:color w:val="auto"/>
        </w:rPr>
      </w:pPr>
    </w:p>
    <w:p>
      <w:pPr>
        <w:ind w:firstLine="2404"/>
        <w:spacing w:after="0" w:line="268" w:lineRule="auto"/>
        <w:tabs>
          <w:tab w:leader="none" w:pos="264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 single sum payment in cash, except that a beneficiary may elect to receive the portion of the Account invested in Company Stock and/or Investment Stock in the form of shares; or</w:t>
      </w:r>
    </w:p>
    <w:p>
      <w:pPr>
        <w:spacing w:after="0" w:line="131" w:lineRule="exact"/>
        <w:rPr>
          <w:rFonts w:ascii="Arial" w:cs="Arial" w:eastAsia="Arial" w:hAnsi="Arial"/>
          <w:sz w:val="18"/>
          <w:szCs w:val="18"/>
          <w:color w:val="auto"/>
        </w:rPr>
      </w:pPr>
    </w:p>
    <w:p>
      <w:pPr>
        <w:ind w:right="160" w:firstLine="2404"/>
        <w:spacing w:after="0" w:line="294" w:lineRule="auto"/>
        <w:tabs>
          <w:tab w:leader="none" w:pos="264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approximately equal annual installments over the remainder of the period over which the Participant had elected to receive installment payments (with such remainder to be determined in accordance with applicable regulations under the Code); provided, however, that this form of payment shall not be available to a beneficiary that is not an individual. A beneficiary may elect the mode of payment under this Section at any time prior to his Benefit Commencement Date. Such election shall be on a form prescribed by the Committee. In the event that a beneficiary fails to make a valid election under this Section, the value of the Participant’s Account will be distributed as a single sum payment.</w:t>
      </w:r>
    </w:p>
    <w:p>
      <w:pPr>
        <w:spacing w:after="0" w:line="11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5.9.2. Payment of death benefits payable under Section 5.3 shall commence as soon as practicable following the death of the Participant.</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16" w:name="page117"/>
    <w:bookmarkEnd w:id="11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5.10. </w:t>
      </w:r>
      <w:r>
        <w:rPr>
          <w:rFonts w:ascii="Arial" w:cs="Arial" w:eastAsia="Arial" w:hAnsi="Arial"/>
          <w:sz w:val="16"/>
          <w:szCs w:val="16"/>
          <w:u w:val="single" w:color="auto"/>
          <w:color w:val="auto"/>
        </w:rPr>
        <w:t>Explanations to Participants</w:t>
      </w:r>
      <w:r>
        <w:rPr>
          <w:rFonts w:ascii="Arial" w:cs="Arial" w:eastAsia="Arial" w:hAnsi="Arial"/>
          <w:sz w:val="16"/>
          <w:szCs w:val="16"/>
          <w:color w:val="auto"/>
        </w:rPr>
        <w:t>. The Committee shall provide to each Participant no less than 30 days and no more than 90 days before 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Benefit Commencement Date a written explanation of:</w:t>
      </w:r>
    </w:p>
    <w:p>
      <w:pPr>
        <w:spacing w:after="0" w:line="84" w:lineRule="exact"/>
        <w:rPr>
          <w:sz w:val="20"/>
          <w:szCs w:val="20"/>
          <w:color w:val="auto"/>
        </w:rPr>
      </w:pPr>
    </w:p>
    <w:p>
      <w:pPr>
        <w:ind w:right="320" w:firstLine="1484"/>
        <w:spacing w:after="0" w:line="268" w:lineRule="auto"/>
        <w:rPr>
          <w:sz w:val="20"/>
          <w:szCs w:val="20"/>
          <w:color w:val="auto"/>
        </w:rPr>
      </w:pPr>
      <w:r>
        <w:rPr>
          <w:rFonts w:ascii="Arial" w:cs="Arial" w:eastAsia="Arial" w:hAnsi="Arial"/>
          <w:sz w:val="18"/>
          <w:szCs w:val="18"/>
          <w:color w:val="auto"/>
        </w:rPr>
        <w:t>5.10.1. the terms and conditions of each optional mode of payment, including information explaining the relative values of each mode of benefit, in accordance with applicable governmental regulations under section 401(a)(11) of the Code;</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5.10.2. the Participant’s right to elect an optional mode of payment and the effect of such an election;</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5.10.3. the rights of the Participant’s spouse with respect to the Participant’s election of certain optional modes of payment; and</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5.10.4. the Participant’s right to revoke an election to receive an optional mode of payment and the effect of such revocation.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90" w:lineRule="exact"/>
        <w:rPr>
          <w:sz w:val="20"/>
          <w:szCs w:val="20"/>
          <w:color w:val="auto"/>
        </w:rPr>
      </w:pPr>
    </w:p>
    <w:p>
      <w:pPr>
        <w:ind w:right="80" w:firstLine="1484"/>
        <w:spacing w:after="0" w:line="290" w:lineRule="auto"/>
        <w:rPr>
          <w:sz w:val="20"/>
          <w:szCs w:val="20"/>
          <w:color w:val="auto"/>
        </w:rPr>
      </w:pPr>
      <w:r>
        <w:rPr>
          <w:rFonts w:ascii="Arial" w:cs="Arial" w:eastAsia="Arial" w:hAnsi="Arial"/>
          <w:sz w:val="16"/>
          <w:szCs w:val="16"/>
          <w:color w:val="auto"/>
        </w:rPr>
        <w:t>5.11.1. Except as provided in this Section 5.11, a Participant may designate the beneficiary or beneficiaries who shall receive, on or after his death, his interest in the Fund, provided that the designation of a beneficiary under a joint and survivor annuity shall be fixed and may not be changed on or after the date on which benefit payments commence. Such designation shall be made by executing and filing with the Committee a written instrument in such form as may be prescribed by the Committee for that purpose. Except as provided in this Section 5.11, the Participant may also revoke or change, at any time and from time to time, any beneficiary designations previously made. Such revocations and/or changes shall be made by executing and filing with the Committee a written instrument in such form as may be prescribed by the Committee for that purpose. If a Participant names a trust as beneficiary, a change in the identity of the trustees or in the instrument governing such trust shall not be deemed a change in beneficiary.</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5.11.2. No designation, revocation, or change of beneficiaries shall be valid and effective unless and until filed with the Committee.</w:t>
      </w:r>
    </w:p>
    <w:p>
      <w:pPr>
        <w:spacing w:after="0" w:line="194"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5.11.3. A Participant who does not establish to the satisfaction of the Committee that he has no spouse may not designate someone other than his spouse to be his beneficiary under Section 5.3 unless:</w:t>
      </w:r>
    </w:p>
    <w:p>
      <w:pPr>
        <w:spacing w:after="0" w:line="51" w:lineRule="exact"/>
        <w:rPr>
          <w:sz w:val="20"/>
          <w:szCs w:val="20"/>
          <w:color w:val="auto"/>
        </w:rPr>
      </w:pPr>
    </w:p>
    <w:p>
      <w:pPr>
        <w:ind w:right="240" w:firstLine="1948"/>
        <w:spacing w:after="0" w:line="268" w:lineRule="auto"/>
        <w:tabs>
          <w:tab w:leader="none" w:pos="217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(1) such spouse (or the spouse’s legal guardian if the spouse is legally incompetent) executes a written instrument whereby such spouse consents not to receive such benefit and consents either:</w:t>
      </w:r>
    </w:p>
    <w:p>
      <w:pPr>
        <w:spacing w:after="0" w:line="50" w:lineRule="exact"/>
        <w:rPr>
          <w:rFonts w:ascii="Arial" w:cs="Arial" w:eastAsia="Arial" w:hAnsi="Arial"/>
          <w:sz w:val="18"/>
          <w:szCs w:val="18"/>
          <w:color w:val="auto"/>
        </w:rPr>
      </w:pPr>
    </w:p>
    <w:p>
      <w:pPr>
        <w:ind w:left="3180" w:hanging="205"/>
        <w:spacing w:after="0"/>
        <w:tabs>
          <w:tab w:leader="none" w:pos="31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 the specific beneficiary or beneficiaries designated by the Participant; or</w:t>
      </w:r>
    </w:p>
    <w:p>
      <w:pPr>
        <w:spacing w:after="0" w:line="171" w:lineRule="exact"/>
        <w:rPr>
          <w:rFonts w:ascii="Arial" w:cs="Arial" w:eastAsia="Arial" w:hAnsi="Arial"/>
          <w:sz w:val="18"/>
          <w:szCs w:val="18"/>
          <w:color w:val="auto"/>
        </w:rPr>
      </w:pPr>
    </w:p>
    <w:p>
      <w:pPr>
        <w:ind w:left="3240" w:hanging="265"/>
        <w:spacing w:after="0"/>
        <w:tabs>
          <w:tab w:leader="none" w:pos="32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 the Participant’s right to designate any beneficiary without further consent by the spouse;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17" w:name="page118"/>
    <w:bookmarkEnd w:id="117"/>
    <w:p>
      <w:pPr>
        <w:ind w:left="2660" w:hanging="256"/>
        <w:spacing w:after="0"/>
        <w:tabs>
          <w:tab w:leader="none" w:pos="2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instrument acknowledges the effect of the election to which the Spouse’s consent is being given; and</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such instrument is witnessed by a Plan representative or notary public;</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Participant:</w:t>
      </w:r>
    </w:p>
    <w:p>
      <w:pPr>
        <w:spacing w:after="0" w:line="90" w:lineRule="exact"/>
        <w:rPr>
          <w:rFonts w:ascii="Arial" w:cs="Arial" w:eastAsia="Arial" w:hAnsi="Arial"/>
          <w:sz w:val="18"/>
          <w:szCs w:val="18"/>
          <w:color w:val="auto"/>
        </w:rPr>
      </w:pPr>
    </w:p>
    <w:p>
      <w:pPr>
        <w:ind w:left="2660" w:hanging="256"/>
        <w:spacing w:after="0"/>
        <w:tabs>
          <w:tab w:leader="none" w:pos="2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establishes to the satisfaction of the Committee that his spouse cannot be located; or</w:t>
      </w:r>
    </w:p>
    <w:p>
      <w:pPr>
        <w:spacing w:after="0" w:line="171" w:lineRule="exact"/>
        <w:rPr>
          <w:rFonts w:ascii="Arial" w:cs="Arial" w:eastAsia="Arial" w:hAnsi="Arial"/>
          <w:sz w:val="18"/>
          <w:szCs w:val="18"/>
          <w:color w:val="auto"/>
        </w:rPr>
      </w:pPr>
    </w:p>
    <w:p>
      <w:pPr>
        <w:ind w:right="80" w:firstLine="2404"/>
        <w:spacing w:after="0" w:line="370" w:lineRule="auto"/>
        <w:tabs>
          <w:tab w:leader="none" w:pos="2645" w:val="left"/>
        </w:tabs>
        <w:numPr>
          <w:ilvl w:val="1"/>
          <w:numId w:val="119"/>
        </w:numPr>
        <w:rPr>
          <w:rFonts w:ascii="Arial" w:cs="Arial" w:eastAsia="Arial" w:hAnsi="Arial"/>
          <w:sz w:val="15"/>
          <w:szCs w:val="15"/>
          <w:color w:val="auto"/>
        </w:rPr>
      </w:pPr>
      <w:r>
        <w:rPr>
          <w:rFonts w:ascii="Arial" w:cs="Arial" w:eastAsia="Arial" w:hAnsi="Arial"/>
          <w:sz w:val="15"/>
          <w:szCs w:val="15"/>
          <w:color w:val="auto"/>
        </w:rPr>
        <w:t>furnishes a court order to the Committee establishing that the Participant is legally separated or has been abandoned (within the meaning of local law), unless a qualified domestic relations order pertaining to such Participant provides that the spouse’s consent must be obtained; or</w:t>
      </w:r>
    </w:p>
    <w:p>
      <w:pPr>
        <w:spacing w:after="0" w:line="62" w:lineRule="exact"/>
        <w:rPr>
          <w:rFonts w:ascii="Arial" w:cs="Arial" w:eastAsia="Arial" w:hAnsi="Arial"/>
          <w:sz w:val="15"/>
          <w:szCs w:val="15"/>
          <w:color w:val="auto"/>
        </w:rPr>
      </w:pPr>
    </w:p>
    <w:p>
      <w:pPr>
        <w:ind w:right="220" w:firstLine="1948"/>
        <w:spacing w:after="0" w:line="268" w:lineRule="auto"/>
        <w:tabs>
          <w:tab w:leader="none" w:pos="217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spouse has previously given consent in accordance with this Section and consented to the Participant’s right to designate any beneficiary without further consent by the spouse.</w:t>
      </w:r>
    </w:p>
    <w:p>
      <w:pPr>
        <w:spacing w:after="0" w:line="13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consent of a spouse in accordance with this Section 5.11.3 shall not be effective with respect to other spouses of the Participant prior to the Participant’s Benefit Commencement Date, and an election to which Section 5.11.3(b) applies shall become void if the circumstances causing the consent of the spouse not to be required no longer exist prior to the Participant’s Benefit Commencement Date. For purposes of this Section 5.11.3, the term “spouse” shall include an individual of the same sex as the Participant, provided that the Participant and such other individual are legally married pursuant to applicable law of a state or other jurisdiction, and the state or other jurisdiction in which the Participant resides recognizes Participant and such other individual as spouses of each other.</w:t>
      </w:r>
    </w:p>
    <w:p>
      <w:pPr>
        <w:spacing w:after="0" w:line="116" w:lineRule="exact"/>
        <w:rPr>
          <w:sz w:val="20"/>
          <w:szCs w:val="20"/>
          <w:color w:val="auto"/>
        </w:rPr>
      </w:pPr>
    </w:p>
    <w:p>
      <w:pPr>
        <w:ind w:right="500" w:firstLine="1484"/>
        <w:spacing w:after="0" w:line="306" w:lineRule="auto"/>
        <w:rPr>
          <w:sz w:val="20"/>
          <w:szCs w:val="20"/>
          <w:color w:val="auto"/>
        </w:rPr>
      </w:pPr>
      <w:r>
        <w:rPr>
          <w:rFonts w:ascii="Arial" w:cs="Arial" w:eastAsia="Arial" w:hAnsi="Arial"/>
          <w:sz w:val="16"/>
          <w:szCs w:val="16"/>
          <w:color w:val="auto"/>
        </w:rPr>
        <w:t>5.11.4. If a Participant has no beneficiary under Section 5.11.1 or Section 5.11.3, if the Participant’s beneficiary(ies) predecease the Participant, or if the beneficiary(ies) cannot be located by the Committee, the interest of the deceased Participant shall be paid to the Participant’s surviving spouse, or if no spouse survives the Participant, to the personal representative of the Participant’s estate.</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Recalculation of Life Expectancy</w:t>
      </w:r>
      <w:r>
        <w:rPr>
          <w:rFonts w:ascii="Arial" w:cs="Arial" w:eastAsia="Arial" w:hAnsi="Arial"/>
          <w:sz w:val="18"/>
          <w:szCs w:val="18"/>
          <w:color w:val="auto"/>
        </w:rPr>
        <w:t>. If a Participant’s Account is payable over the life expectancy of the Participant and/or his spouse and/or another beneficiary, the determination of whether such life expectancy shall be recalculated, in accordance with regulations issued under section 401(a)(9) of the Code, shall be made as follows:</w:t>
      </w:r>
    </w:p>
    <w:p>
      <w:pPr>
        <w:spacing w:after="0" w:line="59" w:lineRule="exact"/>
        <w:rPr>
          <w:sz w:val="20"/>
          <w:szCs w:val="20"/>
          <w:color w:val="auto"/>
        </w:rPr>
      </w:pPr>
    </w:p>
    <w:p>
      <w:pPr>
        <w:ind w:firstLine="1484"/>
        <w:spacing w:after="0" w:line="332" w:lineRule="auto"/>
        <w:rPr>
          <w:sz w:val="20"/>
          <w:szCs w:val="20"/>
          <w:color w:val="auto"/>
        </w:rPr>
      </w:pPr>
      <w:r>
        <w:rPr>
          <w:rFonts w:ascii="Arial" w:cs="Arial" w:eastAsia="Arial" w:hAnsi="Arial"/>
          <w:sz w:val="16"/>
          <w:szCs w:val="16"/>
          <w:color w:val="auto"/>
        </w:rPr>
        <w:t>5.12.1. If the Account is payable over the life expectancy of the Participant or the joint and survivor life expectancy of the Participant and his spouse, the Participant shall elect, on a form supplied by the Committee, whether or not such life expectancy shall be recalculated.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118" w:name="page119"/>
    <w:bookmarkEnd w:id="118"/>
    <w:p>
      <w:pPr>
        <w:ind w:right="460" w:firstLine="14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5.12.2. If the Account is payable over the life expectancy of the Participant’s spouse, such spouse shall elect, on a form supplied by the Committee, whether or not such life expectancy will be recalculated.</w:t>
      </w:r>
    </w:p>
    <w:p>
      <w:pPr>
        <w:spacing w:after="0" w:line="132" w:lineRule="exact"/>
        <w:rPr>
          <w:sz w:val="20"/>
          <w:szCs w:val="20"/>
          <w:color w:val="auto"/>
        </w:rPr>
      </w:pPr>
    </w:p>
    <w:p>
      <w:pPr>
        <w:ind w:right="180" w:firstLine="1484"/>
        <w:spacing w:after="0" w:line="259" w:lineRule="auto"/>
        <w:rPr>
          <w:sz w:val="20"/>
          <w:szCs w:val="20"/>
          <w:color w:val="auto"/>
        </w:rPr>
      </w:pPr>
      <w:r>
        <w:rPr>
          <w:rFonts w:ascii="Arial" w:cs="Arial" w:eastAsia="Arial" w:hAnsi="Arial"/>
          <w:sz w:val="18"/>
          <w:szCs w:val="18"/>
          <w:color w:val="auto"/>
        </w:rPr>
        <w:t>5.12.3. If the Account is payable over the joint and survivor life expectancy of the Participant and a beneficiary other than the Participant’s spouse, the Participant shall elect, on a form supplied by the Committee, whether or not the Participant’s own life expectancy shall be recalculated. The life expectancy of the beneficiary shall not be recalculated after the Benefit Commencement Date.</w:t>
      </w:r>
    </w:p>
    <w:p>
      <w:pPr>
        <w:spacing w:after="0" w:line="140" w:lineRule="exact"/>
        <w:rPr>
          <w:sz w:val="20"/>
          <w:szCs w:val="20"/>
          <w:color w:val="auto"/>
        </w:rPr>
      </w:pPr>
    </w:p>
    <w:p>
      <w:pPr>
        <w:ind w:right="140" w:firstLine="1484"/>
        <w:spacing w:after="0" w:line="268" w:lineRule="auto"/>
        <w:rPr>
          <w:sz w:val="20"/>
          <w:szCs w:val="20"/>
          <w:color w:val="auto"/>
        </w:rPr>
      </w:pPr>
      <w:r>
        <w:rPr>
          <w:rFonts w:ascii="Arial" w:cs="Arial" w:eastAsia="Arial" w:hAnsi="Arial"/>
          <w:sz w:val="18"/>
          <w:szCs w:val="18"/>
          <w:color w:val="auto"/>
        </w:rPr>
        <w:t>5.12.4. If the Account is payable over the life expectancy of a beneficiary other than the Participant’s spouse, such life expectancy shall not be recalculated after the Benefit Commencement Date.</w:t>
      </w:r>
    </w:p>
    <w:p>
      <w:pPr>
        <w:spacing w:after="0" w:line="132" w:lineRule="exact"/>
        <w:rPr>
          <w:sz w:val="20"/>
          <w:szCs w:val="20"/>
          <w:color w:val="auto"/>
        </w:rPr>
      </w:pPr>
    </w:p>
    <w:p>
      <w:pPr>
        <w:ind w:right="20" w:firstLine="1484"/>
        <w:spacing w:after="0" w:line="268" w:lineRule="auto"/>
        <w:rPr>
          <w:sz w:val="20"/>
          <w:szCs w:val="20"/>
          <w:color w:val="auto"/>
        </w:rPr>
      </w:pPr>
      <w:r>
        <w:rPr>
          <w:rFonts w:ascii="Arial" w:cs="Arial" w:eastAsia="Arial" w:hAnsi="Arial"/>
          <w:sz w:val="18"/>
          <w:szCs w:val="18"/>
          <w:color w:val="auto"/>
        </w:rPr>
        <w:t>5.12.5. If a Participant or a Participant’s spouse fails to make an election under this Section, his life expectancy shall not be recalculated after his Benefit Commencement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Transfer of Account to Other Plan</w:t>
      </w:r>
      <w:r>
        <w:rPr>
          <w:rFonts w:ascii="Arial" w:cs="Arial" w:eastAsia="Arial" w:hAnsi="Arial"/>
          <w:sz w:val="18"/>
          <w:szCs w:val="18"/>
          <w:color w:val="auto"/>
        </w:rPr>
        <w:t>.</w:t>
      </w:r>
    </w:p>
    <w:p>
      <w:pPr>
        <w:spacing w:after="0" w:line="90"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5.13.1. Except to the extent otherwise provided by section 401(a)(31) of the Code and regulations thereunder, a Participant or beneficiary entitled to receive a distribution from the Plan, either pursuant to this Article or pursuant to Article VIII, may direct the Committee to have the Trustee transfer the amount to be distributed directly to:</w:t>
      </w:r>
    </w:p>
    <w:p>
      <w:pPr>
        <w:spacing w:after="0" w:line="59" w:lineRule="exact"/>
        <w:rPr>
          <w:sz w:val="20"/>
          <w:szCs w:val="20"/>
          <w:color w:val="auto"/>
        </w:rPr>
      </w:pPr>
    </w:p>
    <w:p>
      <w:pPr>
        <w:ind w:left="2180" w:hanging="232"/>
        <w:spacing w:after="0"/>
        <w:tabs>
          <w:tab w:leader="none" w:pos="2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individual retirement account described in section 408(a) of the Code,</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individual retirement annuity described in section 408(b) of the Code (other than an endowment contract),</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qualified retirement plan described in section 401(a) of the Code, the terms of which permit the acceptance of rollover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165" w:lineRule="exact"/>
        <w:rPr>
          <w:sz w:val="20"/>
          <w:szCs w:val="20"/>
          <w:color w:val="auto"/>
        </w:rPr>
      </w:pPr>
    </w:p>
    <w:p>
      <w:pPr>
        <w:ind w:left="2200" w:hanging="252"/>
        <w:spacing w:after="0"/>
        <w:tabs>
          <w:tab w:leader="none" w:pos="22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annuity plan described in section 403(a) of the Code, or</w:t>
      </w:r>
    </w:p>
    <w:p>
      <w:pPr>
        <w:spacing w:after="0" w:line="171" w:lineRule="exact"/>
        <w:rPr>
          <w:rFonts w:ascii="Arial" w:cs="Arial" w:eastAsia="Arial" w:hAnsi="Arial"/>
          <w:sz w:val="18"/>
          <w:szCs w:val="18"/>
          <w:color w:val="auto"/>
        </w:rPr>
      </w:pPr>
    </w:p>
    <w:p>
      <w:pPr>
        <w:ind w:right="140" w:firstLine="1948"/>
        <w:spacing w:after="0" w:line="259" w:lineRule="auto"/>
        <w:tabs>
          <w:tab w:leader="none" w:pos="217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w:t>
      </w:r>
    </w:p>
    <w:p>
      <w:pPr>
        <w:spacing w:after="0" w:line="140" w:lineRule="exact"/>
        <w:rPr>
          <w:sz w:val="20"/>
          <w:szCs w:val="20"/>
          <w:color w:val="auto"/>
        </w:rPr>
      </w:pPr>
    </w:p>
    <w:p>
      <w:pPr>
        <w:ind w:right="120" w:firstLine="1484"/>
        <w:spacing w:after="0" w:line="268" w:lineRule="auto"/>
        <w:rPr>
          <w:sz w:val="20"/>
          <w:szCs w:val="20"/>
          <w:color w:val="auto"/>
        </w:rPr>
      </w:pPr>
      <w:r>
        <w:rPr>
          <w:rFonts w:ascii="Arial" w:cs="Arial" w:eastAsia="Arial" w:hAnsi="Arial"/>
          <w:sz w:val="18"/>
          <w:szCs w:val="18"/>
          <w:color w:val="auto"/>
        </w:rPr>
        <w:t>5.13.2. The Participant must specify the name of the plan to which the Participant wishes to have the amount transferred, on a form and in a manner prescribed by the Committee.</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5.13.3. Section 5.13.1 shall not apply to the following distributions: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119" w:name="page120"/>
    <w:bookmarkEnd w:id="119"/>
    <w:p>
      <w:pPr>
        <w:ind w:left="2180" w:hanging="232"/>
        <w:spacing w:after="0"/>
        <w:tabs>
          <w:tab w:leader="none" w:pos="21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provided in Section 5.13.3(f), any distribution of After-Tax Contributions;</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any distribution which is made pursuant to the Participant’s election of installments over either (1) a period of 10 years or more, or</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period equal to the life or life expectancy of the Participant or the joint lives or life expectancy of the Participant and his beneficiary;</w:t>
      </w:r>
    </w:p>
    <w:p>
      <w:pPr>
        <w:spacing w:after="0" w:line="164" w:lineRule="exact"/>
        <w:rPr>
          <w:rFonts w:ascii="Arial" w:cs="Arial" w:eastAsia="Arial" w:hAnsi="Arial"/>
          <w:sz w:val="18"/>
          <w:szCs w:val="18"/>
          <w:color w:val="auto"/>
        </w:rPr>
      </w:pPr>
    </w:p>
    <w:p>
      <w:pPr>
        <w:ind w:right="140" w:firstLine="1948"/>
        <w:spacing w:after="0" w:line="268" w:lineRule="auto"/>
        <w:tabs>
          <w:tab w:leader="none" w:pos="217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that portion of any distribution after the Participant’s Required Beginning Date that is required to be distributed to the Participant by the minimum distribution rules of section 401(a)(9) of the Code;</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amount that is distributed on account of hardship; or</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such other distributions as may be exempted by applicable statute or regulation from the requirements of section 401(a)(31)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164" w:lineRule="exact"/>
        <w:rPr>
          <w:rFonts w:ascii="Arial" w:cs="Arial" w:eastAsia="Arial" w:hAnsi="Arial"/>
          <w:sz w:val="16"/>
          <w:szCs w:val="16"/>
          <w:color w:val="auto"/>
        </w:rPr>
      </w:pPr>
    </w:p>
    <w:p>
      <w:pPr>
        <w:ind w:firstLine="1948"/>
        <w:spacing w:after="0" w:line="255" w:lineRule="auto"/>
        <w:tabs>
          <w:tab w:leader="none" w:pos="215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 portion of a distribution shall not fail to be eligible for rollover merely because the portion consists of after-tax employee contributions which are not includible in gross income. However, such portion may be transferred only to an individual retirement account or annuity described in section 408(a) or (b) of the Code, or to a qualified defined contribution plan described in section 401(a) or 403(a) of the Code that agrees to separately account for amounts so transferred, including separately accounting for the portion of such distribution which is includible in gross income and the portion of such distribution which is not so includible.</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Section 401(a)(9)</w:t>
      </w:r>
      <w:r>
        <w:rPr>
          <w:rFonts w:ascii="Arial" w:cs="Arial" w:eastAsia="Arial" w:hAnsi="Arial"/>
          <w:sz w:val="18"/>
          <w:szCs w:val="18"/>
          <w:color w:val="auto"/>
        </w:rPr>
        <w:t>. Required minimum distributions shall be made in accordance with section 401(a)(9) of the Code and the regulations thereunder, as provided in Schedule A attached 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20" w:name="page121"/>
    <w:bookmarkEnd w:id="120"/>
    <w:p>
      <w:pPr>
        <w:jc w:val="center"/>
        <w:ind w:right="-3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VESTING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Nonforfeitable Amounts</w:t>
      </w:r>
      <w:r>
        <w:rPr>
          <w:rFonts w:ascii="Arial" w:cs="Arial" w:eastAsia="Arial" w:hAnsi="Arial"/>
          <w:sz w:val="18"/>
          <w:szCs w:val="18"/>
          <w:color w:val="auto"/>
        </w:rPr>
        <w:t>.</w:t>
      </w:r>
    </w:p>
    <w:p>
      <w:pPr>
        <w:spacing w:after="0" w:line="90"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6.1.1. A Participant shall have a 100% nonforfeitable interest at all times in the following Accounts: (1) After-Tax Matched Contribution Account, (2) After-Tax Unmatched Contribution Account, (3) Catch-Up Contribution Account, (4) Matching Contribution Account, (5) After-Tax Rollover Account, (6) Pre-Tax Matched Contribution Account, (7) Pre-Tax Unmatched Contribution Account, (8) Prior Company Matching Contribution Account (Vested), (9) QNEC Account, and (10) Taxable Rollover Account.</w:t>
      </w:r>
    </w:p>
    <w:p>
      <w:pPr>
        <w:spacing w:after="0" w:line="143" w:lineRule="exact"/>
        <w:rPr>
          <w:sz w:val="20"/>
          <w:szCs w:val="20"/>
          <w:color w:val="auto"/>
        </w:rPr>
      </w:pPr>
    </w:p>
    <w:p>
      <w:pPr>
        <w:ind w:right="20" w:firstLine="1484"/>
        <w:spacing w:after="0" w:line="332" w:lineRule="auto"/>
        <w:rPr>
          <w:sz w:val="20"/>
          <w:szCs w:val="20"/>
          <w:color w:val="auto"/>
        </w:rPr>
      </w:pPr>
      <w:r>
        <w:rPr>
          <w:rFonts w:ascii="Arial" w:cs="Arial" w:eastAsia="Arial" w:hAnsi="Arial"/>
          <w:sz w:val="16"/>
          <w:szCs w:val="16"/>
          <w:color w:val="auto"/>
        </w:rPr>
        <w:t>6.1.2. A Participant whose hire date, as determined under the CCCHI Plan, was on or after January 1, 1998 and prior to January 1, 2001, shall have a nonforfeitable interest in his Broadband Heritage Matching Contribution Account determined in accordance with the following schedule:</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Years of Service</w:t>
            </w:r>
          </w:p>
        </w:tc>
        <w:tc>
          <w:tcPr>
            <w:tcW w:w="56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Nonforfeitable Interest</w:t>
            </w:r>
          </w:p>
        </w:tc>
      </w:tr>
      <w:tr>
        <w:trPr>
          <w:trHeight w:val="201"/>
        </w:trPr>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rPr>
              <w:t>less than 1 year</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5"/>
              </w:rPr>
              <w:t>0 percent</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1 year</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33 percent</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2 years</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66 percent</w:t>
            </w:r>
          </w:p>
        </w:tc>
      </w:t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3 years</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100 percent</w:t>
            </w:r>
          </w:p>
        </w:tc>
      </w:tr>
    </w:tbl>
    <w:p>
      <w:pPr>
        <w:spacing w:after="0" w:line="156" w:lineRule="exact"/>
        <w:rPr>
          <w:sz w:val="20"/>
          <w:szCs w:val="20"/>
          <w:color w:val="auto"/>
        </w:rPr>
      </w:pPr>
    </w:p>
    <w:p>
      <w:pPr>
        <w:ind w:right="140" w:firstLine="1484"/>
        <w:spacing w:after="0" w:line="268" w:lineRule="auto"/>
        <w:rPr>
          <w:sz w:val="20"/>
          <w:szCs w:val="20"/>
          <w:color w:val="auto"/>
        </w:rPr>
      </w:pPr>
      <w:r>
        <w:rPr>
          <w:rFonts w:ascii="Arial" w:cs="Arial" w:eastAsia="Arial" w:hAnsi="Arial"/>
          <w:sz w:val="18"/>
          <w:szCs w:val="18"/>
          <w:color w:val="auto"/>
        </w:rPr>
        <w:t>6.1.3. A Participant whose hire date, as determined under the CCCHI Plan, was on or after January 1, 2001, shall have a nonforfeitable interest in his Broadband Heritage Matching Contribution Account determined in accordance with the following schedule: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Years of Service</w:t>
            </w:r>
          </w:p>
        </w:tc>
        <w:tc>
          <w:tcPr>
            <w:tcW w:w="56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Nonforfeitable Interest</w:t>
            </w:r>
          </w:p>
        </w:tc>
      </w:tr>
      <w:tr>
        <w:trPr>
          <w:trHeight w:val="201"/>
        </w:trPr>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rPr>
              <w:t>less than 3 years</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5"/>
              </w:rPr>
              <w:t>0 percent</w:t>
            </w:r>
          </w:p>
        </w:tc>
      </w:t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3 or more years</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100 percent</w:t>
            </w:r>
          </w:p>
        </w:tc>
      </w:tr>
    </w:tbl>
    <w:p>
      <w:pPr>
        <w:spacing w:after="0" w:line="156" w:lineRule="exact"/>
        <w:rPr>
          <w:sz w:val="20"/>
          <w:szCs w:val="20"/>
          <w:color w:val="auto"/>
        </w:rPr>
      </w:pPr>
    </w:p>
    <w:p>
      <w:pPr>
        <w:ind w:right="80" w:firstLine="1484"/>
        <w:spacing w:after="0" w:line="268" w:lineRule="auto"/>
        <w:rPr>
          <w:sz w:val="20"/>
          <w:szCs w:val="20"/>
          <w:color w:val="auto"/>
        </w:rPr>
      </w:pPr>
      <w:r>
        <w:rPr>
          <w:rFonts w:ascii="Arial" w:cs="Arial" w:eastAsia="Arial" w:hAnsi="Arial"/>
          <w:sz w:val="18"/>
          <w:szCs w:val="18"/>
          <w:color w:val="auto"/>
        </w:rPr>
        <w:t>6.1.4. A Participant shall have a nonforfeitable interest in his Prior Company Matching Contribution Account (Unvested) determined in accordance with the following schedule: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Years of Service</w:t>
            </w:r>
          </w:p>
        </w:tc>
        <w:tc>
          <w:tcPr>
            <w:tcW w:w="18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Nonforfeitable Interest</w:t>
            </w:r>
          </w:p>
        </w:tc>
      </w:tr>
      <w:tr>
        <w:trPr>
          <w:trHeight w:val="201"/>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less than 1 year</w:t>
            </w:r>
          </w:p>
        </w:tc>
        <w:tc>
          <w:tcPr>
            <w:tcW w:w="380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5"/>
              </w:rPr>
              <w:t>0 percent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1 year</w:t>
            </w:r>
          </w:p>
        </w:tc>
        <w:tc>
          <w:tcPr>
            <w:tcW w:w="38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20 percent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 years</w:t>
            </w:r>
          </w:p>
        </w:tc>
        <w:tc>
          <w:tcPr>
            <w:tcW w:w="38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40 percent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3 years</w:t>
            </w:r>
          </w:p>
        </w:tc>
        <w:tc>
          <w:tcPr>
            <w:tcW w:w="38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60 percent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4 years</w:t>
            </w:r>
          </w:p>
        </w:tc>
        <w:tc>
          <w:tcPr>
            <w:tcW w:w="38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80 percent</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5 years or more</w:t>
            </w:r>
          </w:p>
        </w:tc>
        <w:tc>
          <w:tcPr>
            <w:tcW w:w="38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100 percent</w:t>
            </w:r>
          </w:p>
        </w:tc>
      </w:tr>
      <w:tr>
        <w:trPr>
          <w:trHeight w:val="365"/>
        </w:trPr>
        <w:tc>
          <w:tcPr>
            <w:tcW w:w="1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0" w:type="dxa"/>
            <w:vAlign w:val="bottom"/>
          </w:tcPr>
          <w:p>
            <w:pPr>
              <w:jc w:val="right"/>
              <w:ind w:right="1652"/>
              <w:spacing w:after="0"/>
              <w:rPr>
                <w:sz w:val="20"/>
                <w:szCs w:val="20"/>
                <w:color w:val="auto"/>
              </w:rPr>
            </w:pPr>
            <w:r>
              <w:rPr>
                <w:rFonts w:ascii="Arial" w:cs="Arial" w:eastAsia="Arial" w:hAnsi="Arial"/>
                <w:sz w:val="18"/>
                <w:szCs w:val="18"/>
                <w:color w:val="auto"/>
              </w:rPr>
              <w:t>-36-</w:t>
            </w:r>
          </w:p>
        </w:tc>
        <w:tc>
          <w:tcPr>
            <w:tcW w:w="1400" w:type="dxa"/>
            <w:vAlign w:val="bottom"/>
          </w:tcPr>
          <w:p>
            <w:pPr>
              <w:spacing w:after="0"/>
              <w:rPr>
                <w:sz w:val="24"/>
                <w:szCs w:val="24"/>
                <w:color w:val="auto"/>
              </w:rPr>
            </w:pPr>
          </w:p>
        </w:tc>
      </w:tr>
    </w:tbl>
    <w:p>
      <w:pPr>
        <w:sectPr>
          <w:pgSz w:w="11900" w:h="16838" w:orient="portrait"/>
          <w:cols w:equalWidth="0" w:num="1">
            <w:col w:w="11100"/>
          </w:cols>
          <w:pgMar w:left="240" w:top="280" w:right="559" w:bottom="1440" w:gutter="0" w:footer="0" w:header="0"/>
        </w:sectPr>
      </w:pPr>
    </w:p>
    <w:bookmarkStart w:id="121" w:name="page122"/>
    <w:bookmarkEnd w:id="121"/>
    <w:p>
      <w:pPr>
        <w:ind w:right="460" w:firstLine="148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6.1.5. Notwithstanding the foregoing, a Participant shall have a 100% nonforfeitable interest in his Broadband Heritage Matching Contribution Account and Prior Company Matching Contribution Account (Unvested) upon his attainment of his Normal Retirement Date, his death, or his suffering a Total Disability while an Employee, or upon a Change in Control.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Years of Service for Vesting</w:t>
      </w:r>
      <w:r>
        <w:rPr>
          <w:rFonts w:ascii="Arial" w:cs="Arial" w:eastAsia="Arial" w:hAnsi="Arial"/>
          <w:sz w:val="18"/>
          <w:szCs w:val="18"/>
          <w:color w:val="auto"/>
        </w:rPr>
        <w:t>.</w:t>
      </w:r>
    </w:p>
    <w:p>
      <w:pPr>
        <w:spacing w:after="0" w:line="90" w:lineRule="exact"/>
        <w:rPr>
          <w:sz w:val="20"/>
          <w:szCs w:val="20"/>
          <w:color w:val="auto"/>
        </w:rPr>
      </w:pPr>
    </w:p>
    <w:p>
      <w:pPr>
        <w:jc w:val="both"/>
        <w:ind w:right="120" w:firstLine="1484"/>
        <w:spacing w:after="0" w:line="370" w:lineRule="auto"/>
        <w:rPr>
          <w:sz w:val="20"/>
          <w:szCs w:val="20"/>
          <w:color w:val="auto"/>
        </w:rPr>
      </w:pPr>
      <w:r>
        <w:rPr>
          <w:rFonts w:ascii="Arial" w:cs="Arial" w:eastAsia="Arial" w:hAnsi="Arial"/>
          <w:sz w:val="15"/>
          <w:szCs w:val="15"/>
          <w:color w:val="auto"/>
        </w:rPr>
        <w:t>6.2.1. For the purposes of this Article, an Employee shall be credited with Years of Service equal to the number of whole years in all of the Employee’s Periods of Service. To determine the number of whole years in all of an Employee’s Periods of Service, non-contiguous periods shall be aggregated.</w:t>
      </w:r>
    </w:p>
    <w:p>
      <w:pPr>
        <w:spacing w:after="0" w:line="62" w:lineRule="exact"/>
        <w:rPr>
          <w:sz w:val="20"/>
          <w:szCs w:val="20"/>
          <w:color w:val="auto"/>
        </w:rPr>
      </w:pPr>
    </w:p>
    <w:p>
      <w:pPr>
        <w:ind w:right="340" w:firstLine="1484"/>
        <w:spacing w:after="0" w:line="268" w:lineRule="auto"/>
        <w:rPr>
          <w:sz w:val="20"/>
          <w:szCs w:val="20"/>
          <w:color w:val="auto"/>
        </w:rPr>
      </w:pPr>
      <w:r>
        <w:rPr>
          <w:rFonts w:ascii="Arial" w:cs="Arial" w:eastAsia="Arial" w:hAnsi="Arial"/>
          <w:sz w:val="18"/>
          <w:szCs w:val="18"/>
          <w:color w:val="auto"/>
        </w:rPr>
        <w:t>6.2.2. Years of Service shall be calculated on the basis that 30 days equals a completed month or one-twelfth (1/12) of a year and twelve completed months equal one year.</w:t>
      </w:r>
    </w:p>
    <w:p>
      <w:pPr>
        <w:spacing w:after="0" w:line="132"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6.2.3. If a former Employee is reemployed by a Participating Company or an Affiliated Company before he incurs a One-Year Period of Severance and if such Employee’s Period of Severance commenced with a quit, discharge or retirement, the Employee shall be credited with Years of Service for the Period of Severance.</w:t>
      </w:r>
    </w:p>
    <w:p>
      <w:pPr>
        <w:spacing w:after="0" w:line="140"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6.2.4. If an Employee severs from service by reason of a quit, discharge, or retirement during an absence from service for 12 months or less for any reason other than a quit, discharge or retirement, and if he then performs an Hour of Service within 12 months of the date on which he was first absent from service, he shall be credited with Years of Service for his Period of Severance.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6.2.5. Notwithstanding any provision of the Plan to the contrary, an Employee shall not be credited with Years of Service for the same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twice.</w:t>
      </w:r>
    </w:p>
    <w:p>
      <w:pPr>
        <w:spacing w:after="0" w:line="165" w:lineRule="exact"/>
        <w:rPr>
          <w:sz w:val="20"/>
          <w:szCs w:val="20"/>
          <w:color w:val="auto"/>
        </w:rPr>
      </w:pPr>
    </w:p>
    <w:p>
      <w:pPr>
        <w:ind w:right="40" w:firstLine="1484"/>
        <w:spacing w:after="0" w:line="255" w:lineRule="auto"/>
        <w:rPr>
          <w:sz w:val="20"/>
          <w:szCs w:val="20"/>
          <w:color w:val="auto"/>
        </w:rPr>
      </w:pPr>
      <w:r>
        <w:rPr>
          <w:rFonts w:ascii="Arial" w:cs="Arial" w:eastAsia="Arial" w:hAnsi="Arial"/>
          <w:sz w:val="18"/>
          <w:szCs w:val="18"/>
          <w:color w:val="auto"/>
        </w:rPr>
        <w:t xml:space="preserve">6.2.6. </w:t>
      </w:r>
      <w:r>
        <w:rPr>
          <w:rFonts w:ascii="Arial" w:cs="Arial" w:eastAsia="Arial" w:hAnsi="Arial"/>
          <w:sz w:val="18"/>
          <w:szCs w:val="18"/>
          <w:u w:val="single" w:color="auto"/>
          <w:color w:val="auto"/>
        </w:rPr>
        <w:t>CIC Development Corp</w:t>
      </w:r>
      <w:r>
        <w:rPr>
          <w:rFonts w:ascii="Arial" w:cs="Arial" w:eastAsia="Arial" w:hAnsi="Arial"/>
          <w:sz w:val="18"/>
          <w:szCs w:val="18"/>
          <w:color w:val="auto"/>
        </w:rPr>
        <w:t>. Effective December 14, 1999, any Active Participant who transfers employment directly from a Participating Company to CIC Development Corp., shall have his service with CIC Development Corp. credited for purposes of vesting under the Plan for the period commencing with the effective date of such individual’s direct transfer and ending on the earlier of (a) the date such individual is fully vested in his Matching Contribution and Vision Accounts (as applicable) or (b) the date such individual requests a distribution of any portion of his Matching Contribution or Vision Accounts.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Breaks in Service and Loss of Service</w:t>
      </w:r>
      <w:r>
        <w:rPr>
          <w:rFonts w:ascii="Arial" w:cs="Arial" w:eastAsia="Arial" w:hAnsi="Arial"/>
          <w:sz w:val="18"/>
          <w:szCs w:val="18"/>
          <w:color w:val="auto"/>
        </w:rPr>
        <w:t>. An Employee’s Years of Service shall be canceled if he incurs a One-Year Period of Severance before his Normal Retirement Date and at a time when he has no Accounts under the Plan.</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Restoration of Service</w:t>
      </w:r>
      <w:r>
        <w:rPr>
          <w:rFonts w:ascii="Arial" w:cs="Arial" w:eastAsia="Arial" w:hAnsi="Arial"/>
          <w:sz w:val="16"/>
          <w:szCs w:val="16"/>
          <w:color w:val="auto"/>
        </w:rPr>
        <w:t>. The Years of Service of an Employee whose Years of Service have been canceled pursuant to Section 6.3 shall be restored to his credit if he thereafter completes an Hour of Service at a time when the number of his consecutive One-Year Periods of Severance is less than the greater of (a) the number of Years of Service to his credit when the first such One-Year Period of Severance occurred, or (b) five.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6.5. </w:t>
      </w:r>
      <w:r>
        <w:rPr>
          <w:rFonts w:ascii="Arial" w:cs="Arial" w:eastAsia="Arial" w:hAnsi="Arial"/>
          <w:sz w:val="18"/>
          <w:szCs w:val="18"/>
          <w:u w:val="single" w:color="auto"/>
          <w:color w:val="auto"/>
        </w:rPr>
        <w:t>Forfeitures and Restoration of Forfeited Amounts upon Reemployment</w:t>
      </w:r>
      <w:r>
        <w:rPr>
          <w:rFonts w:ascii="Arial" w:cs="Arial" w:eastAsia="Arial" w:hAnsi="Arial"/>
          <w:sz w:val="18"/>
          <w:szCs w:val="18"/>
          <w:color w:val="auto"/>
        </w:rPr>
        <w:t>.</w:t>
      </w:r>
    </w:p>
    <w:p>
      <w:pPr>
        <w:spacing w:after="0" w:line="90" w:lineRule="exact"/>
        <w:rPr>
          <w:sz w:val="20"/>
          <w:szCs w:val="20"/>
          <w:color w:val="auto"/>
        </w:rPr>
      </w:pPr>
    </w:p>
    <w:p>
      <w:pPr>
        <w:ind w:right="20" w:firstLine="1484"/>
        <w:spacing w:after="0" w:line="268" w:lineRule="auto"/>
        <w:rPr>
          <w:sz w:val="20"/>
          <w:szCs w:val="20"/>
          <w:color w:val="auto"/>
        </w:rPr>
      </w:pPr>
      <w:r>
        <w:rPr>
          <w:rFonts w:ascii="Arial" w:cs="Arial" w:eastAsia="Arial" w:hAnsi="Arial"/>
          <w:sz w:val="18"/>
          <w:szCs w:val="18"/>
          <w:color w:val="auto"/>
        </w:rPr>
        <w:t>6.5.1. If a Participant who has had a Severance from Service Date does not thereafter complete an Hour of Service before the end of the Plan Year in which occurs the earlier of:</w:t>
      </w:r>
    </w:p>
    <w:p>
      <w:pPr>
        <w:spacing w:after="0" w:line="51"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(a) the date on which he receives or is deemed to receive a distribution of his entire nonforfeitable interest in his Account, which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less than 100%; or</w:t>
      </w:r>
    </w:p>
    <w:p>
      <w:pPr>
        <w:spacing w:after="0" w:line="16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 the date on which he incurs his fifth consecutive One-Year Period of Severance,</w:t>
      </w:r>
    </w:p>
    <w:p>
      <w:pPr>
        <w:spacing w:after="0" w:line="17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his Broadband Heritage Matching Contribution Account and his Prior Company Matching Contribution Account (Unvested) shall be closed, and the forfeitable amount held therein shall be forfeited. For purposes of this Section 6.5.1, a Participant who has a Severance from Service Date at a time when his nonforfeitable interest in the Plan is zero shall be deemed to have received a distribution described in Section 6.5.1(a) on such Severance from Service Date.</w:t>
      </w:r>
    </w:p>
    <w:p>
      <w:pPr>
        <w:spacing w:after="0" w:line="107" w:lineRule="exact"/>
        <w:rPr>
          <w:sz w:val="20"/>
          <w:szCs w:val="20"/>
          <w:color w:val="auto"/>
        </w:rPr>
      </w:pPr>
    </w:p>
    <w:p>
      <w:pPr>
        <w:jc w:val="both"/>
        <w:ind w:right="60" w:firstLine="1484"/>
        <w:spacing w:after="0" w:line="332" w:lineRule="auto"/>
        <w:rPr>
          <w:sz w:val="20"/>
          <w:szCs w:val="20"/>
          <w:color w:val="auto"/>
        </w:rPr>
      </w:pPr>
      <w:r>
        <w:rPr>
          <w:rFonts w:ascii="Arial" w:cs="Arial" w:eastAsia="Arial" w:hAnsi="Arial"/>
          <w:sz w:val="16"/>
          <w:szCs w:val="16"/>
          <w:color w:val="auto"/>
        </w:rPr>
        <w:t>6.5.2. Amounts forfeited from a Participant’s Broadband Heritage Matching Contribution Account and Prior Company Matching Contribution Account (Unvested) under Section 6.5.1 shall be used to reduce future Matching Contributions and/or Broadband Heritage Matching Contributions.</w:t>
      </w:r>
    </w:p>
    <w:p>
      <w:pPr>
        <w:spacing w:after="0" w:line="85" w:lineRule="exact"/>
        <w:rPr>
          <w:sz w:val="20"/>
          <w:szCs w:val="20"/>
          <w:color w:val="auto"/>
        </w:rPr>
      </w:pPr>
    </w:p>
    <w:p>
      <w:pPr>
        <w:jc w:val="both"/>
        <w:ind w:right="60" w:firstLine="1484"/>
        <w:spacing w:after="0" w:line="283" w:lineRule="auto"/>
        <w:rPr>
          <w:sz w:val="20"/>
          <w:szCs w:val="20"/>
          <w:color w:val="auto"/>
        </w:rPr>
      </w:pPr>
      <w:r>
        <w:rPr>
          <w:rFonts w:ascii="Arial" w:cs="Arial" w:eastAsia="Arial" w:hAnsi="Arial"/>
          <w:sz w:val="16"/>
          <w:szCs w:val="16"/>
          <w:color w:val="auto"/>
        </w:rPr>
        <w:t>6.5.3. If a Participant who has received (or is deemed to have received) a distribution described in Section 6.5.1(a), whereby any part of his Account has been forfeited, again becomes a Covered Employee prior to incurring five consecutive One-Year Periods of Severance, the amount so forfeited shall be restored to his new Broadband Heritage Matching Contribution Account and/or Prior Company Matching Contribution Account, if, and only if, he repays the full amount of such distribution (if any) prior to the earlier of (1) the fifth anniversary of the date on which he subsequently becomes a Covered Employee or</w:t>
      </w:r>
    </w:p>
    <w:p>
      <w:pPr>
        <w:spacing w:after="0" w:line="3" w:lineRule="exact"/>
        <w:rPr>
          <w:sz w:val="20"/>
          <w:szCs w:val="20"/>
          <w:color w:val="auto"/>
        </w:rPr>
      </w:pPr>
    </w:p>
    <w:p>
      <w:pPr>
        <w:ind w:firstLine="8"/>
        <w:spacing w:after="0" w:line="290" w:lineRule="auto"/>
        <w:tabs>
          <w:tab w:leader="none" w:pos="24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first date the Participant incurs five consecutive One-Year Periods of Severance following the date of the distribution; provided, however, that a Participant described in the preceding sentence who is deemed to receive a distribution of his entire nonforfeitable interest shall be deemed to repay such distribution on the date he again becomes a Covered Employee. Any amounts repaid pursuant to this Section 6.5.3 shall be credited to the Participant’s After-Tax Unmatched Contribution Account. Amounts restored under this Section shall be charged against the following amounts in the following order of priority: (A) forfeitures for the Plan Year and (B) Company contributions for the Plan Year. If the foregoing amounts are insufficient, the Participating Company by whom such Participant is reemployed shall make any additional contribution necessary to accomplish the restoration.</w:t>
      </w:r>
    </w:p>
    <w:p>
      <w:pPr>
        <w:spacing w:after="0" w:line="118" w:lineRule="exact"/>
        <w:rPr>
          <w:sz w:val="20"/>
          <w:szCs w:val="20"/>
          <w:color w:val="auto"/>
        </w:rPr>
      </w:pPr>
    </w:p>
    <w:p>
      <w:pPr>
        <w:ind w:right="160" w:firstLine="1484"/>
        <w:spacing w:after="0" w:line="256" w:lineRule="auto"/>
        <w:rPr>
          <w:sz w:val="20"/>
          <w:szCs w:val="20"/>
          <w:color w:val="auto"/>
        </w:rPr>
      </w:pPr>
      <w:r>
        <w:rPr>
          <w:rFonts w:ascii="Arial" w:cs="Arial" w:eastAsia="Arial" w:hAnsi="Arial"/>
          <w:sz w:val="18"/>
          <w:szCs w:val="18"/>
          <w:color w:val="auto"/>
        </w:rPr>
        <w:t>6.5.4. If a Participant has received a distribution under the Plan, other than a distribution of his entire nonforfeitable interest in his Account upon his Severance from Service Date, at a time when he has less than a 100% nonforfeitable interest in his entire Account and prior to the date on which he incurs his fifth consecutive One-Year Period of Severance, his nonforfeitable interest in his Account at all times prior to the date on which he incurs his fifth consecutive One-Year Period of Severance, shall be the difference between: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123" w:name="page124"/>
    <w:bookmarkEnd w:id="123"/>
    <w:p>
      <w:pPr>
        <w:ind w:left="2180" w:hanging="232"/>
        <w:spacing w:after="0"/>
        <w:tabs>
          <w:tab w:leader="none" w:pos="2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his nonforfeitable interest would have been if he had not received the distribution; and</w:t>
      </w:r>
    </w:p>
    <w:p>
      <w:pPr>
        <w:spacing w:after="0" w:line="171" w:lineRule="exact"/>
        <w:rPr>
          <w:rFonts w:ascii="Arial" w:cs="Arial" w:eastAsia="Arial" w:hAnsi="Arial"/>
          <w:sz w:val="18"/>
          <w:szCs w:val="18"/>
          <w:color w:val="auto"/>
        </w:rPr>
      </w:pPr>
    </w:p>
    <w:p>
      <w:pPr>
        <w:ind w:right="20" w:firstLine="1948"/>
        <w:spacing w:after="0" w:line="298" w:lineRule="auto"/>
        <w:tabs>
          <w:tab w:leader="none" w:pos="218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amount to which the distribution would have increased or decreased if it had remained in the Fund. Immediately after the Participant has five consecutive One-Year Periods of Severance, his nonforfeitable interest determined under this Section, if in excess of zero, shall be established as a separate account, and he shall at all times have a nonforfeitable interest therein. If the Participant is later reemployed as a Covered Employee, any allocations to him shall be credited to a new account, and his nonforfeitable interest therein shall be determined under Section 6.1.</w:t>
      </w:r>
    </w:p>
    <w:p>
      <w:pPr>
        <w:spacing w:after="0" w:line="113"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6.5.5. If a Participant has had five consecutive One-Year Periods of Severance and again becomes a Covered Employee, the amount forfeited under Section 6.5.1 shall not be restored to his new Account under any circumstances.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ROLLOVER CONTRIBUTIONS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Rollover Contributions</w:t>
      </w:r>
      <w:r>
        <w:rPr>
          <w:rFonts w:ascii="Arial" w:cs="Arial" w:eastAsia="Arial" w:hAnsi="Arial"/>
          <w:sz w:val="18"/>
          <w:szCs w:val="18"/>
          <w:color w:val="auto"/>
        </w:rPr>
        <w:t>.</w:t>
      </w:r>
    </w:p>
    <w:p>
      <w:pPr>
        <w:spacing w:after="0" w:line="90"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7.1.1. Subject to the restrictions set forth in Section 7.1.2, a Covered Employee may transfer or have transferred directly to the Fund, from any qualified retirement plan of a former employer, all or a portion of his interest in the distributing plan. In addition, a Covered Employee who has established an individual retirement account to hold distributions received from qualified retirement plans of former employers may transfer all of the assets of such individual retirement account to the Fund.</w:t>
      </w:r>
    </w:p>
    <w:p>
      <w:pPr>
        <w:spacing w:after="0" w:line="143" w:lineRule="exact"/>
        <w:rPr>
          <w:sz w:val="20"/>
          <w:szCs w:val="20"/>
          <w:color w:val="auto"/>
        </w:rPr>
      </w:pPr>
    </w:p>
    <w:p>
      <w:pPr>
        <w:ind w:right="40" w:firstLine="1484"/>
        <w:spacing w:after="0" w:line="268" w:lineRule="auto"/>
        <w:rPr>
          <w:sz w:val="20"/>
          <w:szCs w:val="20"/>
          <w:color w:val="auto"/>
        </w:rPr>
      </w:pPr>
      <w:r>
        <w:rPr>
          <w:rFonts w:ascii="Arial" w:cs="Arial" w:eastAsia="Arial" w:hAnsi="Arial"/>
          <w:sz w:val="18"/>
          <w:szCs w:val="18"/>
          <w:color w:val="auto"/>
        </w:rPr>
        <w:t>7.1.2. The Trustee shall not accept a distribution from any other qualified retirement plan or from an individual retirement account unless the following conditions are met:</w:t>
      </w:r>
    </w:p>
    <w:p>
      <w:pPr>
        <w:spacing w:after="0" w:line="51" w:lineRule="exact"/>
        <w:rPr>
          <w:sz w:val="20"/>
          <w:szCs w:val="20"/>
          <w:color w:val="auto"/>
        </w:rPr>
      </w:pPr>
    </w:p>
    <w:p>
      <w:pPr>
        <w:ind w:left="2180" w:hanging="232"/>
        <w:spacing w:after="0"/>
        <w:tabs>
          <w:tab w:leader="none" w:pos="21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 the distribution being transferred must come directly from the fiduciary of the plan of the former employer, or</w:t>
      </w:r>
    </w:p>
    <w:p>
      <w:pPr>
        <w:spacing w:after="0" w:line="171" w:lineRule="exact"/>
        <w:rPr>
          <w:rFonts w:ascii="Arial" w:cs="Arial" w:eastAsia="Arial" w:hAnsi="Arial"/>
          <w:sz w:val="18"/>
          <w:szCs w:val="18"/>
          <w:color w:val="auto"/>
        </w:rPr>
      </w:pPr>
    </w:p>
    <w:p>
      <w:pPr>
        <w:ind w:right="160" w:firstLine="2404"/>
        <w:spacing w:after="0" w:line="259" w:lineRule="auto"/>
        <w:tabs>
          <w:tab w:leader="none" w:pos="264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it must come from the Covered Employee within 60 days after the Covered Employee receives a distribution from such other qualified retirement plan or individual retirement account and must comply with the provisions of section 402(c), 403(a)(4), 408(d)(3) or 457(f)(16) of the Code, whichever applies;</w:t>
      </w:r>
    </w:p>
    <w:p>
      <w:pPr>
        <w:spacing w:after="0" w:line="140" w:lineRule="exact"/>
        <w:rPr>
          <w:rFonts w:ascii="Arial" w:cs="Arial" w:eastAsia="Arial" w:hAnsi="Arial"/>
          <w:sz w:val="18"/>
          <w:szCs w:val="18"/>
          <w:color w:val="auto"/>
        </w:rPr>
      </w:pPr>
    </w:p>
    <w:p>
      <w:pPr>
        <w:ind w:right="120" w:firstLine="1948"/>
        <w:spacing w:after="0" w:line="268" w:lineRule="auto"/>
        <w:tabs>
          <w:tab w:leader="none" w:pos="218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distributions from a plan for a self-employed person shall not be transferred to this Plan, unless the transfer is directly to the Fund from the funding agent of the distributing plan;</w:t>
      </w:r>
    </w:p>
    <w:p>
      <w:pPr>
        <w:spacing w:after="0" w:line="131" w:lineRule="exact"/>
        <w:rPr>
          <w:rFonts w:ascii="Arial" w:cs="Arial" w:eastAsia="Arial" w:hAnsi="Arial"/>
          <w:sz w:val="18"/>
          <w:szCs w:val="18"/>
          <w:color w:val="auto"/>
        </w:rPr>
      </w:pPr>
    </w:p>
    <w:p>
      <w:pPr>
        <w:ind w:right="80" w:firstLine="1948"/>
        <w:spacing w:after="0" w:line="256" w:lineRule="auto"/>
        <w:tabs>
          <w:tab w:leader="none" w:pos="217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interest being transferred shall not include assets from any plan to the extent that the Committee determines that the transfer of such interest (i) would impose upon this Plan requirements as to form of distribution that would not otherwise apply hereunder, or (ii) would otherwise result in the elimination of Code section 411(d)(6) protected benefits, or (iii) would cause the Plan to be a direct or indirect transferee of a plan to which the joint and survivor annuity requirements of sections 401(a)(11) and 417 of the Code apply;</w:t>
      </w:r>
    </w:p>
    <w:p>
      <w:pPr>
        <w:spacing w:after="0" w:line="143" w:lineRule="exact"/>
        <w:rPr>
          <w:rFonts w:ascii="Arial" w:cs="Arial" w:eastAsia="Arial" w:hAnsi="Arial"/>
          <w:sz w:val="18"/>
          <w:szCs w:val="18"/>
          <w:color w:val="auto"/>
        </w:rPr>
      </w:pPr>
    </w:p>
    <w:p>
      <w:pPr>
        <w:ind w:right="60" w:firstLine="1948"/>
        <w:spacing w:after="0" w:line="268" w:lineRule="auto"/>
        <w:tabs>
          <w:tab w:leader="none" w:pos="218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interest being transferred shall not contain nondeductible contributions made to the distributing plan by the Covered Employee unless the transfer to the Fund is directly from the funding agent of the distributing plan; and</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subject to Section 7.3, the interest being transferred shall be in the form of cash.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Vesting and Distribution of Rollover Account</w:t>
      </w:r>
      <w:r>
        <w:rPr>
          <w:rFonts w:ascii="Arial" w:cs="Arial" w:eastAsia="Arial" w:hAnsi="Arial"/>
          <w:sz w:val="18"/>
          <w:szCs w:val="18"/>
          <w:color w:val="auto"/>
        </w:rPr>
        <w:t>.</w:t>
      </w:r>
    </w:p>
    <w:p>
      <w:pPr>
        <w:spacing w:after="0" w:line="90" w:lineRule="exact"/>
        <w:rPr>
          <w:sz w:val="20"/>
          <w:szCs w:val="20"/>
          <w:color w:val="auto"/>
        </w:rPr>
      </w:pPr>
    </w:p>
    <w:p>
      <w:pPr>
        <w:ind w:right="280" w:firstLine="1484"/>
        <w:spacing w:after="0" w:line="268" w:lineRule="auto"/>
        <w:rPr>
          <w:sz w:val="20"/>
          <w:szCs w:val="20"/>
          <w:color w:val="auto"/>
        </w:rPr>
      </w:pPr>
      <w:r>
        <w:rPr>
          <w:rFonts w:ascii="Arial" w:cs="Arial" w:eastAsia="Arial" w:hAnsi="Arial"/>
          <w:sz w:val="18"/>
          <w:szCs w:val="18"/>
          <w:color w:val="auto"/>
        </w:rPr>
        <w:t>7.2.1. The distributions transferred by or for a Covered Employee from another qualified retirement plan or from an individual retirement account shall be credited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125" w:name="page126"/>
    <w:bookmarkEnd w:id="125"/>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Covered Employee’s After-Tax Rollover Account and/or Taxable Rollover Account, as applicable. A Covered Employee shall be fully vested at all times in his After-Tax Rollover Account and Taxable Rollover Account.</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7.2.2. A Covered Employee’s After-Tax Rollover Account and Taxable Rollover Account shall be distributed as otherwise provided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Additional Rollover Amounts</w:t>
      </w:r>
      <w:r>
        <w:rPr>
          <w:rFonts w:ascii="Arial" w:cs="Arial" w:eastAsia="Arial" w:hAnsi="Arial"/>
          <w:sz w:val="16"/>
          <w:szCs w:val="16"/>
          <w:color w:val="auto"/>
        </w:rPr>
        <w:t>. If an individual becomes a Participant as a result of a corporate transaction and elects to roll over a benefit from the prior employer’s tax-qualified defined contribution plan, the Committee, in its sole discretion, may permit the rollover of outstanding loan balances.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WITHDRAWALS</w:t>
      </w:r>
    </w:p>
    <w:p>
      <w:pPr>
        <w:spacing w:after="0" w:line="198" w:lineRule="exact"/>
        <w:rPr>
          <w:sz w:val="20"/>
          <w:szCs w:val="20"/>
          <w:color w:val="auto"/>
        </w:rPr>
      </w:pPr>
    </w:p>
    <w:p>
      <w:pPr>
        <w:ind w:right="600" w:firstLine="456"/>
        <w:spacing w:after="0" w:line="27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Withdrawals Not Subject to Section 401(k) Restrictions</w:t>
      </w:r>
      <w:r>
        <w:rPr>
          <w:rFonts w:ascii="Arial" w:cs="Arial" w:eastAsia="Arial" w:hAnsi="Arial"/>
          <w:sz w:val="16"/>
          <w:szCs w:val="16"/>
          <w:color w:val="auto"/>
        </w:rPr>
        <w:t xml:space="preserve">. A Participant who is an active Employee and has not attained Age 59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may withdraw, in accordance with rules prescribed by the Committee and uniformly applied, up to the total value of the following Accounts:</w:t>
      </w:r>
    </w:p>
    <w:p>
      <w:pPr>
        <w:spacing w:after="0" w:line="71"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8.1.1. After-Tax Matched Contribution Account; provided that, if a Participant withdraws any After-Tax Matched Contributions credited in the Plan Year of withdrawal or the two preceding Plan Years, the Participant shall be suspended from participation for three months from the date of the withdrawal.</w:t>
      </w:r>
    </w:p>
    <w:p>
      <w:pPr>
        <w:spacing w:after="0" w:line="14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8.1.2. After-Tax Unmatched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8.1.3. After-Tax Rollover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8.1.4. Taxable Rollover Contribution Account;</w:t>
      </w:r>
    </w:p>
    <w:p>
      <w:pPr>
        <w:spacing w:after="0" w:line="171" w:lineRule="exact"/>
        <w:rPr>
          <w:sz w:val="20"/>
          <w:szCs w:val="20"/>
          <w:color w:val="auto"/>
        </w:rPr>
      </w:pPr>
    </w:p>
    <w:p>
      <w:pPr>
        <w:ind w:firstLine="1484"/>
        <w:spacing w:after="0" w:line="332" w:lineRule="auto"/>
        <w:rPr>
          <w:sz w:val="20"/>
          <w:szCs w:val="20"/>
          <w:color w:val="auto"/>
        </w:rPr>
      </w:pPr>
      <w:r>
        <w:rPr>
          <w:rFonts w:ascii="Arial" w:cs="Arial" w:eastAsia="Arial" w:hAnsi="Arial"/>
          <w:sz w:val="16"/>
          <w:szCs w:val="16"/>
          <w:color w:val="auto"/>
        </w:rPr>
        <w:t>8.1.5. Broadband Heritage Matching Contribution Account, provided that Broadband Heritage Matching Contributions and Prior Broadband Heritage Matching Contributions are not eligible for withdrawal if they were credited in the Plan Year of withdrawal or the two preceding Plan Years; and</w:t>
      </w:r>
    </w:p>
    <w:p>
      <w:pPr>
        <w:spacing w:after="0" w:line="85" w:lineRule="exact"/>
        <w:rPr>
          <w:sz w:val="20"/>
          <w:szCs w:val="20"/>
          <w:color w:val="auto"/>
        </w:rPr>
      </w:pPr>
    </w:p>
    <w:p>
      <w:pPr>
        <w:ind w:right="380" w:firstLine="1484"/>
        <w:spacing w:after="0" w:line="268" w:lineRule="auto"/>
        <w:rPr>
          <w:sz w:val="20"/>
          <w:szCs w:val="20"/>
          <w:color w:val="auto"/>
        </w:rPr>
      </w:pPr>
      <w:r>
        <w:rPr>
          <w:rFonts w:ascii="Arial" w:cs="Arial" w:eastAsia="Arial" w:hAnsi="Arial"/>
          <w:sz w:val="18"/>
          <w:szCs w:val="18"/>
          <w:color w:val="auto"/>
        </w:rPr>
        <w:t>8.1.6. Prior Company Matching Contribution Account (Vested), provided that contributions are not eligible for withdrawal if they were credited in the Plan Year of withdrawal or the two preceding Plan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Withdrawals Subject to Section 401(k) Restrictions</w:t>
      </w:r>
      <w:r>
        <w:rPr>
          <w:rFonts w:ascii="Arial" w:cs="Arial" w:eastAsia="Arial" w:hAnsi="Arial"/>
          <w:sz w:val="18"/>
          <w:szCs w:val="18"/>
          <w:color w:val="auto"/>
        </w:rPr>
        <w:t>.</w:t>
      </w:r>
    </w:p>
    <w:p>
      <w:pPr>
        <w:spacing w:after="0" w:line="90" w:lineRule="exact"/>
        <w:rPr>
          <w:sz w:val="20"/>
          <w:szCs w:val="20"/>
          <w:color w:val="auto"/>
        </w:rPr>
      </w:pPr>
    </w:p>
    <w:p>
      <w:pPr>
        <w:ind w:right="20" w:firstLine="1484"/>
        <w:spacing w:after="0" w:line="332" w:lineRule="auto"/>
        <w:rPr>
          <w:sz w:val="20"/>
          <w:szCs w:val="20"/>
          <w:color w:val="auto"/>
        </w:rPr>
      </w:pPr>
      <w:r>
        <w:rPr>
          <w:rFonts w:ascii="Arial" w:cs="Arial" w:eastAsia="Arial" w:hAnsi="Arial"/>
          <w:sz w:val="16"/>
          <w:szCs w:val="16"/>
          <w:color w:val="auto"/>
        </w:rPr>
        <w:t>8.2.1. In addition to the withdrawals permitted under Section 8.1, a Participant who is an active Employee may withdraw, under the rules set forth in Sections 8.2.2 through 8.2.5 and such other rules as may be prescribed by the Committee and uniformly applied, the following amounts:</w:t>
      </w:r>
    </w:p>
    <w:p>
      <w:pPr>
        <w:spacing w:after="0" w:line="4" w:lineRule="exact"/>
        <w:rPr>
          <w:sz w:val="20"/>
          <w:szCs w:val="20"/>
          <w:color w:val="auto"/>
        </w:rPr>
      </w:pPr>
    </w:p>
    <w:p>
      <w:pPr>
        <w:ind w:right="60" w:firstLine="1948"/>
        <w:spacing w:after="0" w:line="332" w:lineRule="auto"/>
        <w:tabs>
          <w:tab w:leader="none" w:pos="217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his Broadband Heritage Matching Contribution Account, to the extent that Broadband Heritage Matching Contributions and Prior Broadband Heritage Matching Contributions were made in the Plan Year of withdrawal or the two preceding Plan Years;</w:t>
      </w:r>
    </w:p>
    <w:p>
      <w:pPr>
        <w:spacing w:after="0" w:line="85" w:lineRule="exact"/>
        <w:rPr>
          <w:rFonts w:ascii="Arial" w:cs="Arial" w:eastAsia="Arial" w:hAnsi="Arial"/>
          <w:sz w:val="16"/>
          <w:szCs w:val="16"/>
          <w:color w:val="auto"/>
        </w:rPr>
      </w:pPr>
    </w:p>
    <w:p>
      <w:pPr>
        <w:ind w:right="120" w:firstLine="1948"/>
        <w:spacing w:after="0" w:line="259" w:lineRule="auto"/>
        <w:tabs>
          <w:tab w:leader="none" w:pos="218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that portion of his Prior Company Matching Contribution Account (Vested) consisting of matching contributions made under the CCCHI Plan prior to the Effective Date that were fully vested in accordance with the change of control vesting provisions of Section 6.3(c) of the CCCHI Plan and that were made in the Plan Year of withdrawal or the two preceding Plan Years;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80" w:right="299" w:bottom="1440" w:gutter="0" w:footer="0" w:header="0"/>
        </w:sectPr>
      </w:pPr>
    </w:p>
    <w:bookmarkStart w:id="127" w:name="page128"/>
    <w:bookmarkEnd w:id="127"/>
    <w:p>
      <w:pPr>
        <w:ind w:left="2180" w:hanging="232"/>
        <w:spacing w:after="0"/>
        <w:tabs>
          <w:tab w:leader="none" w:pos="21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nonforfeitable portion of his Prior Company Matching Contribution Account (Unvested);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his Catch-Up Contribution Account;</w:t>
      </w:r>
    </w:p>
    <w:p>
      <w:pPr>
        <w:spacing w:after="0" w:line="171" w:lineRule="exact"/>
        <w:rPr>
          <w:rFonts w:ascii="Arial" w:cs="Arial" w:eastAsia="Arial" w:hAnsi="Arial"/>
          <w:sz w:val="18"/>
          <w:szCs w:val="18"/>
          <w:color w:val="auto"/>
        </w:rPr>
      </w:pPr>
    </w:p>
    <w:p>
      <w:pPr>
        <w:ind w:right="200" w:firstLine="1948"/>
        <w:spacing w:after="0" w:line="268" w:lineRule="auto"/>
        <w:tabs>
          <w:tab w:leader="none" w:pos="217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his Pre-Tax Matched Contribution Account (consisting of all amounts credited as of December 31, 1988 plus the sum of his Pre-Tax Matched Contributions made after December 31, 1988); plus</w:t>
      </w:r>
    </w:p>
    <w:p>
      <w:pPr>
        <w:spacing w:after="0" w:line="131" w:lineRule="exact"/>
        <w:rPr>
          <w:rFonts w:ascii="Arial" w:cs="Arial" w:eastAsia="Arial" w:hAnsi="Arial"/>
          <w:sz w:val="18"/>
          <w:szCs w:val="18"/>
          <w:color w:val="auto"/>
        </w:rPr>
      </w:pPr>
    </w:p>
    <w:p>
      <w:pPr>
        <w:ind w:right="40" w:firstLine="1948"/>
        <w:spacing w:after="0" w:line="268" w:lineRule="auto"/>
        <w:tabs>
          <w:tab w:leader="none" w:pos="215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his Pre-Tax Unmatched Contribution Account (consisting of all amounts credited as of December 31, 1988 plus the sum of his Pre-Tax Matched Contributions made after December 31, 1988).</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8.2.2. A withdrawal under Section 8.2.1 shall be permitted only if the Committee finds that:</w:t>
      </w:r>
    </w:p>
    <w:p>
      <w:pPr>
        <w:spacing w:after="0" w:line="90" w:lineRule="exact"/>
        <w:rPr>
          <w:sz w:val="20"/>
          <w:szCs w:val="20"/>
          <w:color w:val="auto"/>
        </w:rPr>
      </w:pPr>
    </w:p>
    <w:p>
      <w:pPr>
        <w:ind w:left="2180" w:hanging="232"/>
        <w:spacing w:after="0"/>
        <w:tabs>
          <w:tab w:leader="none" w:pos="21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is made on account of the Participant’s immediate and heavy financial need (as defined in Section 8.2.3);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is necessary (as defined in Section 8.2.4) to satisfy such immediate and heavy financial need.</w:t>
      </w:r>
    </w:p>
    <w:p>
      <w:pPr>
        <w:spacing w:after="0" w:line="171" w:lineRule="exact"/>
        <w:rPr>
          <w:sz w:val="20"/>
          <w:szCs w:val="20"/>
          <w:color w:val="auto"/>
        </w:rPr>
      </w:pPr>
    </w:p>
    <w:p>
      <w:pPr>
        <w:ind w:right="620" w:firstLine="1484"/>
        <w:spacing w:after="0" w:line="268" w:lineRule="auto"/>
        <w:rPr>
          <w:sz w:val="20"/>
          <w:szCs w:val="20"/>
          <w:color w:val="auto"/>
        </w:rPr>
      </w:pPr>
      <w:r>
        <w:rPr>
          <w:rFonts w:ascii="Arial" w:cs="Arial" w:eastAsia="Arial" w:hAnsi="Arial"/>
          <w:sz w:val="18"/>
          <w:szCs w:val="18"/>
          <w:color w:val="auto"/>
        </w:rPr>
        <w:t>8.2.3. A withdrawal under Section 8.2.1 will be deemed to be on account of an immediate and heavy financial need if the Participant requests such withdrawal on account of:</w:t>
      </w:r>
    </w:p>
    <w:p>
      <w:pPr>
        <w:spacing w:after="0" w:line="51" w:lineRule="exact"/>
        <w:rPr>
          <w:sz w:val="20"/>
          <w:szCs w:val="20"/>
          <w:color w:val="auto"/>
        </w:rPr>
      </w:pPr>
    </w:p>
    <w:p>
      <w:pPr>
        <w:ind w:right="80" w:firstLine="1948"/>
        <w:spacing w:after="0" w:line="332" w:lineRule="auto"/>
        <w:tabs>
          <w:tab w:leader="none" w:pos="217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expenses for medical care described in section 213(d) of the Code and previously incurred by the Participant, his spouse, or any of the Participant’s dependents (as defined in section 152 of the Code) or necessary for such individuals to obtain such medical care;</w:t>
      </w:r>
    </w:p>
    <w:p>
      <w:pPr>
        <w:spacing w:after="0" w:line="85" w:lineRule="exact"/>
        <w:rPr>
          <w:rFonts w:ascii="Arial" w:cs="Arial" w:eastAsia="Arial" w:hAnsi="Arial"/>
          <w:sz w:val="16"/>
          <w:szCs w:val="16"/>
          <w:color w:val="auto"/>
        </w:rPr>
      </w:pPr>
    </w:p>
    <w:p>
      <w:pPr>
        <w:ind w:left="2200" w:hanging="252"/>
        <w:spacing w:after="0"/>
        <w:tabs>
          <w:tab w:leader="none" w:pos="22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costs directly related to the purchase (excluding mortgage payments) of a principal residence of the Participant;</w:t>
      </w:r>
    </w:p>
    <w:p>
      <w:pPr>
        <w:spacing w:after="0" w:line="171" w:lineRule="exact"/>
        <w:rPr>
          <w:rFonts w:ascii="Arial" w:cs="Arial" w:eastAsia="Arial" w:hAnsi="Arial"/>
          <w:sz w:val="18"/>
          <w:szCs w:val="18"/>
          <w:color w:val="auto"/>
        </w:rPr>
      </w:pPr>
    </w:p>
    <w:p>
      <w:pPr>
        <w:ind w:right="420" w:firstLine="1948"/>
        <w:spacing w:after="0" w:line="268" w:lineRule="auto"/>
        <w:tabs>
          <w:tab w:leader="none" w:pos="217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payment of tuition and related educational fees for the next 12 months of post-secondary education for the Participant, his spouse, children, or dependents (as defined in section 152 of the Code);</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need to prevent the eviction of the Participant from his principal residence or foreclosure on the mortgage of his principal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residence;</w:t>
      </w:r>
    </w:p>
    <w:p>
      <w:pPr>
        <w:spacing w:after="0" w:line="164" w:lineRule="exact"/>
        <w:rPr>
          <w:rFonts w:ascii="Arial" w:cs="Arial" w:eastAsia="Arial" w:hAnsi="Arial"/>
          <w:sz w:val="16"/>
          <w:szCs w:val="16"/>
          <w:color w:val="auto"/>
        </w:rPr>
      </w:pPr>
    </w:p>
    <w:p>
      <w:pPr>
        <w:ind w:firstLine="1948"/>
        <w:spacing w:after="0" w:line="268" w:lineRule="auto"/>
        <w:tabs>
          <w:tab w:leader="none" w:pos="217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Covered Union Employees (Broadband) only, payment for extensive home repairs or renovations related to fire, natural disaster or other similar unforeseeable event; extraordinary legal expenses; or funeral expenses for members of immediate family; or</w:t>
      </w:r>
    </w:p>
    <w:p>
      <w:pPr>
        <w:spacing w:after="0" w:line="131" w:lineRule="exact"/>
        <w:rPr>
          <w:rFonts w:ascii="Arial" w:cs="Arial" w:eastAsia="Arial" w:hAnsi="Arial"/>
          <w:sz w:val="18"/>
          <w:szCs w:val="18"/>
          <w:color w:val="auto"/>
        </w:rPr>
      </w:pPr>
    </w:p>
    <w:p>
      <w:pPr>
        <w:ind w:left="2160" w:hanging="212"/>
        <w:spacing w:after="0"/>
        <w:tabs>
          <w:tab w:leader="none" w:pos="21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notwithstanding Section 8.2.3(e) above, effective June 1, 2006, payments for burial or funeral expenses for the Participant’s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deceased parent, spouse,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128" w:name="page129"/>
    <w:bookmarkEnd w:id="128"/>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children or dependents (as defined in Code Section 152 without regard to Code Section 152(d)(1)(B)) and expenses for the repair of damage to a Participant’s principal residence that would qualify for the casualty deduction under Code Section 165 without regard to whether the loss exceeds 10% of the Participant’s adjusted gross income; or</w:t>
      </w:r>
    </w:p>
    <w:p>
      <w:pPr>
        <w:spacing w:after="0" w:line="14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 such other circumstances or events as may be prescribed by the Secretary of the Treasury or his or her delegate.</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8.2.4. A withdrawal under Section 8.2.2(a) shall be deemed to be necessary if:</w:t>
      </w:r>
    </w:p>
    <w:p>
      <w:pPr>
        <w:spacing w:after="0" w:line="90" w:lineRule="exact"/>
        <w:rPr>
          <w:sz w:val="20"/>
          <w:szCs w:val="20"/>
          <w:color w:val="auto"/>
        </w:rPr>
      </w:pPr>
    </w:p>
    <w:p>
      <w:pPr>
        <w:ind w:right="140" w:firstLine="1948"/>
        <w:spacing w:after="0" w:line="332" w:lineRule="auto"/>
        <w:tabs>
          <w:tab w:leader="none" w:pos="217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amount of the withdrawal does not exceed the amount of the Participant’s immediate and heavy financial need, including any amounts necessary to pay any federal, state or local income taxes or penalties reasonably anticipated to result from the withdrawal;</w:t>
      </w:r>
    </w:p>
    <w:p>
      <w:pPr>
        <w:spacing w:after="0" w:line="85" w:lineRule="exact"/>
        <w:rPr>
          <w:rFonts w:ascii="Arial" w:cs="Arial" w:eastAsia="Arial" w:hAnsi="Arial"/>
          <w:sz w:val="16"/>
          <w:szCs w:val="16"/>
          <w:color w:val="auto"/>
        </w:rPr>
      </w:pPr>
    </w:p>
    <w:p>
      <w:pPr>
        <w:ind w:right="20" w:firstLine="1948"/>
        <w:spacing w:after="0" w:line="268" w:lineRule="auto"/>
        <w:tabs>
          <w:tab w:leader="none" w:pos="218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Participant has obtained all currently permissible distributions (other than hardship distributions) and non-taxable loans, if any, under this and all other plans maintained by the Participating Company and all Affiliated Companies; and</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Participant agrees in writing to be bound by the rules of Section 8.2.5.</w:t>
      </w:r>
    </w:p>
    <w:p>
      <w:pPr>
        <w:spacing w:after="0" w:line="171" w:lineRule="exact"/>
        <w:rPr>
          <w:sz w:val="20"/>
          <w:szCs w:val="20"/>
          <w:color w:val="auto"/>
        </w:rPr>
      </w:pPr>
    </w:p>
    <w:p>
      <w:pPr>
        <w:ind w:right="20" w:firstLine="1484"/>
        <w:spacing w:after="0" w:line="289" w:lineRule="auto"/>
        <w:rPr>
          <w:sz w:val="20"/>
          <w:szCs w:val="20"/>
          <w:color w:val="auto"/>
        </w:rPr>
      </w:pPr>
      <w:r>
        <w:rPr>
          <w:rFonts w:ascii="Arial" w:cs="Arial" w:eastAsia="Arial" w:hAnsi="Arial"/>
          <w:sz w:val="16"/>
          <w:szCs w:val="16"/>
          <w:color w:val="auto"/>
        </w:rPr>
        <w:t xml:space="preserve">8.2.5. If a Participant withdraws any amount from his Pre-Tax Matched Contribution Account, Pre-Tax Unmatched Contribution Account or Catch-Up Contribution Account pursuant to Section 8.2.1, or withdraws any elective deferrals under any other qualified retirement plan maintained by the Participating Company or any Affiliated Company, which other plan conditions such withdrawal upon the Participant’s being subject to rules similar to those stated in this Section 8.2.5 and Section 8.2.4, such Participant may not make Pre-Tax Contributions (and, in the case of a Covered Union Employee (Broadband), After-Tax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a period of 6 months commencing on the date of the withdrawal (12 months for a Participant who is a Covered Union Employee (Broadband)); </w:t>
      </w:r>
      <w:r>
        <w:rPr>
          <w:rFonts w:ascii="Arial" w:cs="Arial" w:eastAsia="Arial" w:hAnsi="Arial"/>
          <w:sz w:val="16"/>
          <w:szCs w:val="16"/>
          <w:u w:val="single" w:color="auto"/>
          <w:color w:val="auto"/>
        </w:rPr>
        <w:t>provided, however</w:t>
      </w:r>
      <w:r>
        <w:rPr>
          <w:rFonts w:ascii="Arial" w:cs="Arial" w:eastAsia="Arial" w:hAnsi="Arial"/>
          <w:sz w:val="16"/>
          <w:szCs w:val="16"/>
          <w:color w:val="auto"/>
        </w:rPr>
        <w:t>:</w:t>
      </w:r>
    </w:p>
    <w:p>
      <w:pPr>
        <w:spacing w:after="0" w:line="37" w:lineRule="exact"/>
        <w:rPr>
          <w:sz w:val="20"/>
          <w:szCs w:val="20"/>
          <w:color w:val="auto"/>
        </w:rPr>
      </w:pPr>
    </w:p>
    <w:p>
      <w:pPr>
        <w:ind w:firstLine="1948"/>
        <w:spacing w:after="0" w:line="259" w:lineRule="auto"/>
        <w:tabs>
          <w:tab w:leader="none" w:pos="217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Participant who, immediately prior to the Effective Date, was a participant in the CCCHI Plan, was not an “Eligible Union Employee” as defined under the CCCHI Plan, and was serving a twelve-month suspension under the CCCHI Plan in connection with a hardship withdrawal taken in 2002, shall have the suspension period lifted effective September 15, 2003; and</w:t>
      </w:r>
    </w:p>
    <w:p>
      <w:pPr>
        <w:spacing w:after="0" w:line="140" w:lineRule="exact"/>
        <w:rPr>
          <w:rFonts w:ascii="Arial" w:cs="Arial" w:eastAsia="Arial" w:hAnsi="Arial"/>
          <w:sz w:val="18"/>
          <w:szCs w:val="18"/>
          <w:color w:val="auto"/>
        </w:rPr>
      </w:pPr>
    </w:p>
    <w:p>
      <w:pPr>
        <w:ind w:right="40" w:firstLine="1948"/>
        <w:spacing w:after="0" w:line="268" w:lineRule="auto"/>
        <w:tabs>
          <w:tab w:leader="none" w:pos="218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Participant who is a Covered Union Employee (Broadband) for only a portion of a Plan Year and, thereafter, remains an Eligible Employee (other than a Covered Union Employee (Broadband)), shall have the twelve-month suspension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129" w:name="page130"/>
    <w:bookmarkEnd w:id="129"/>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 lifted on the latest of (1) September 15, 2003, (2) completion of a six-month suspension period, or (3) decertification of such Covered Union Employee’s union.</w:t>
      </w:r>
    </w:p>
    <w:p>
      <w:pPr>
        <w:spacing w:after="0" w:line="132" w:lineRule="exact"/>
        <w:rPr>
          <w:sz w:val="20"/>
          <w:szCs w:val="20"/>
          <w:color w:val="auto"/>
        </w:rPr>
      </w:pPr>
    </w:p>
    <w:p>
      <w:pPr>
        <w:ind w:firstLine="1484"/>
        <w:spacing w:after="0" w:line="291" w:lineRule="auto"/>
        <w:rPr>
          <w:sz w:val="20"/>
          <w:szCs w:val="20"/>
          <w:color w:val="auto"/>
        </w:rPr>
      </w:pPr>
      <w:r>
        <w:rPr>
          <w:rFonts w:ascii="Arial" w:cs="Arial" w:eastAsia="Arial" w:hAnsi="Arial"/>
          <w:sz w:val="16"/>
          <w:szCs w:val="16"/>
          <w:color w:val="auto"/>
        </w:rPr>
        <w:t>8.2.6. If a Participant withdraws any elective deferrals under any other qualified retirement plan maintained by the Participating Company or any Affiliated Company, which other plan conditions such withdrawal upon the Participant’s being subject to rules similar to those stated in this Section 8.2, such Participant may not make Pre-Tax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the time period specified in Section 8.2.5.</w:t>
      </w:r>
    </w:p>
    <w:p>
      <w:pPr>
        <w:spacing w:after="0" w:line="147" w:lineRule="exact"/>
        <w:rPr>
          <w:sz w:val="20"/>
          <w:szCs w:val="20"/>
          <w:color w:val="auto"/>
        </w:rPr>
      </w:pPr>
    </w:p>
    <w:p>
      <w:pPr>
        <w:ind w:right="80" w:firstLine="456"/>
        <w:spacing w:after="0" w:line="244"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Withdrawals On and After Attainment of Age 59</w:t>
      </w:r>
      <w:r>
        <w:rPr>
          <w:rFonts w:ascii="Arial" w:cs="Arial" w:eastAsia="Arial" w:hAnsi="Arial"/>
          <w:sz w:val="17"/>
          <w:szCs w:val="17"/>
          <w:color w:val="auto"/>
        </w:rPr>
        <w:t xml:space="preserve"> </w:t>
      </w:r>
      <w:r>
        <w:rPr>
          <w:rFonts w:ascii="Arial" w:cs="Arial" w:eastAsia="Arial" w:hAnsi="Arial"/>
          <w:sz w:val="21"/>
          <w:szCs w:val="21"/>
          <w:color w:val="auto"/>
          <w:vertAlign w:val="superscript"/>
        </w:rPr>
        <w:t>1</w:t>
      </w:r>
      <w:r>
        <w:rPr>
          <w:rFonts w:ascii="Arial" w:cs="Arial" w:eastAsia="Arial" w:hAnsi="Arial"/>
          <w:sz w:val="17"/>
          <w:szCs w:val="17"/>
          <w:u w:val="single" w:color="auto"/>
          <w:color w:val="auto"/>
        </w:rPr>
        <w:t>/</w:t>
      </w:r>
      <w:r>
        <w:rPr>
          <w:rFonts w:ascii="Arial" w:cs="Arial" w:eastAsia="Arial" w:hAnsi="Arial"/>
          <w:sz w:val="13"/>
          <w:szCs w:val="13"/>
          <w:u w:val="single" w:color="auto"/>
          <w:color w:val="auto"/>
        </w:rPr>
        <w:t>2</w:t>
      </w:r>
      <w:r>
        <w:rPr>
          <w:rFonts w:ascii="Arial" w:cs="Arial" w:eastAsia="Arial" w:hAnsi="Arial"/>
          <w:sz w:val="17"/>
          <w:szCs w:val="17"/>
          <w:color w:val="auto"/>
        </w:rPr>
        <w:t xml:space="preserve">. Upon his attainment of Age 59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a Participant who is an Active Participant may withdraw, in accordance with rules prescribed by the Committee and uniformly applied, less amounts previously withdrawn therefrom, by submitting his request in accordance with Section 14.9 to the Committee, up to the vested portion in his Account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-325120</wp:posOffset>
            </wp:positionV>
            <wp:extent cx="533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line="8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 After-Tax 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8.3.2. After-Tax Unmatched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8.3.3. After-Tax Rollover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8.3.4. Taxable Rollover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8.3.5. Prior Company Matching Contribution Account (Vested);</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8.3.6. Prior Company Matching Contribution Account (Unvested);</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8.3.7. Pre-Tax 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8.3.8. Pre-Tax Unmatched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8.3.9. Matching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8.3.10. Broadband Heritage Matching Contribution Account;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8.3.11. Catch-Up Contribution Account.</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Amount and Payment of Withdrawals</w:t>
      </w:r>
      <w:r>
        <w:rPr>
          <w:rFonts w:ascii="Arial" w:cs="Arial" w:eastAsia="Arial" w:hAnsi="Arial"/>
          <w:sz w:val="18"/>
          <w:szCs w:val="18"/>
          <w:color w:val="auto"/>
        </w:rPr>
        <w:t>. The amount of any withdrawal will be determined on the basis of the value of the Participant’s Account valued as of the Valuation Date coincident with or immediately preceding the date of the withdrawal. Any withdrawal requested under this Section shall be paid as soon as practicable following the Committee’s determination that the requested withdrawal complies with the terms and conditions set forth in this Section. Withdrawals shall be made in a single sum payment in cash, except that a Participant making a withdrawal pursuant to Section 8.1 or 8.3 may elect to receive all or 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130" w:name="page131"/>
    <w:bookmarkEnd w:id="13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 of the withdrawal in the form of shares of Company Stock and/or Investment Stock to the extent that the portion of the Account that is the subject of the withdrawal is invested in Company Stock and/or Investment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Withdrawals Not Subject to Replacement</w:t>
      </w:r>
      <w:r>
        <w:rPr>
          <w:rFonts w:ascii="Arial" w:cs="Arial" w:eastAsia="Arial" w:hAnsi="Arial"/>
          <w:sz w:val="16"/>
          <w:szCs w:val="16"/>
          <w:color w:val="auto"/>
        </w:rPr>
        <w:t>. A Participant may not replace any portion of his Accounts withdrawn under this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Pledged Amounts</w:t>
      </w:r>
      <w:r>
        <w:rPr>
          <w:rFonts w:ascii="Arial" w:cs="Arial" w:eastAsia="Arial" w:hAnsi="Arial"/>
          <w:sz w:val="16"/>
          <w:szCs w:val="16"/>
          <w:color w:val="auto"/>
        </w:rPr>
        <w:t>. No amount that has been pledged as security for a loan under Article IX may be withdrawn under this Article.</w:t>
      </w:r>
    </w:p>
    <w:p>
      <w:pPr>
        <w:spacing w:after="0" w:line="194"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Investment Medium to be Charged with Withdrawal</w:t>
      </w:r>
      <w:r>
        <w:rPr>
          <w:rFonts w:ascii="Arial" w:cs="Arial" w:eastAsia="Arial" w:hAnsi="Arial"/>
          <w:sz w:val="16"/>
          <w:szCs w:val="16"/>
          <w:color w:val="auto"/>
        </w:rPr>
        <w:t>. Any withdrawal by a Participant under this Article shall be charged against the Investment Media in which such Participant’s Accounts are invested in such priority as shall be established by the Committee.</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280" w:right="41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LOANS TO PARTICIPANTS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Loan Application</w:t>
      </w:r>
      <w:r>
        <w:rPr>
          <w:rFonts w:ascii="Arial" w:cs="Arial" w:eastAsia="Arial" w:hAnsi="Arial"/>
          <w:sz w:val="18"/>
          <w:szCs w:val="18"/>
          <w:color w:val="auto"/>
        </w:rPr>
        <w:t>. Each Participant who is an Employee of a Participating Company may apply for a loan from the Plan. All applications shall be made to the Committee on forms which it prescribes, and the Committee shall rule upon such applications in a uniform and nondiscriminatory manner in accordance with the rules and guidelines established in this Article.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Loan Approval</w:t>
      </w:r>
      <w:r>
        <w:rPr>
          <w:rFonts w:ascii="Arial" w:cs="Arial" w:eastAsia="Arial" w:hAnsi="Arial"/>
          <w:sz w:val="18"/>
          <w:szCs w:val="18"/>
          <w:color w:val="auto"/>
        </w:rPr>
        <w:t>.</w:t>
      </w:r>
    </w:p>
    <w:p>
      <w:pPr>
        <w:spacing w:after="0" w:line="90"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9.2.1. No application for a loan shall be approved for any Participant unless at least six months have elapsed since the date he has repaid in full any prior loan from the Plan.</w:t>
      </w:r>
    </w:p>
    <w:p>
      <w:pPr>
        <w:spacing w:after="0" w:line="132" w:lineRule="exact"/>
        <w:rPr>
          <w:sz w:val="20"/>
          <w:szCs w:val="20"/>
          <w:color w:val="auto"/>
        </w:rPr>
      </w:pPr>
    </w:p>
    <w:p>
      <w:pPr>
        <w:ind w:right="240" w:firstLine="1484"/>
        <w:spacing w:after="0" w:line="306" w:lineRule="auto"/>
        <w:rPr>
          <w:sz w:val="20"/>
          <w:szCs w:val="20"/>
          <w:color w:val="auto"/>
        </w:rPr>
      </w:pPr>
      <w:r>
        <w:rPr>
          <w:rFonts w:ascii="Arial" w:cs="Arial" w:eastAsia="Arial" w:hAnsi="Arial"/>
          <w:sz w:val="16"/>
          <w:szCs w:val="16"/>
          <w:color w:val="auto"/>
        </w:rPr>
        <w:t>9.2.2. The Committee shall have the right to reject a loan application if the Participant has the present intention to take a personal leave of absence during the period of loan repayment or on the basis of a Participant’s credit worthiness or such other factors as would be considered in a normal commercial setting by an entity in the business of making loans and as the Committee determines necessary to safeguard the Fund.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Amount of Loan</w:t>
      </w:r>
      <w:r>
        <w:rPr>
          <w:rFonts w:ascii="Arial" w:cs="Arial" w:eastAsia="Arial" w:hAnsi="Arial"/>
          <w:sz w:val="18"/>
          <w:szCs w:val="18"/>
          <w:color w:val="auto"/>
        </w:rPr>
        <w:t>.</w:t>
      </w:r>
    </w:p>
    <w:p>
      <w:pPr>
        <w:spacing w:after="0" w:line="90" w:lineRule="exact"/>
        <w:rPr>
          <w:sz w:val="20"/>
          <w:szCs w:val="20"/>
          <w:color w:val="auto"/>
        </w:rPr>
      </w:pPr>
    </w:p>
    <w:p>
      <w:pPr>
        <w:ind w:firstLine="1484"/>
        <w:spacing w:after="0" w:line="291" w:lineRule="auto"/>
        <w:rPr>
          <w:sz w:val="20"/>
          <w:szCs w:val="20"/>
          <w:color w:val="auto"/>
        </w:rPr>
      </w:pPr>
      <w:r>
        <w:rPr>
          <w:rFonts w:ascii="Arial" w:cs="Arial" w:eastAsia="Arial" w:hAnsi="Arial"/>
          <w:sz w:val="16"/>
          <w:szCs w:val="16"/>
          <w:color w:val="auto"/>
        </w:rPr>
        <w:t>9.3.1. Generally, a Participant shall not be permitted to have more than one loan outstanding at any time from this Plan; however, individuals who become Participants as a result of a corporate transaction and who have more than one loan transferred from a prior employer’s plan in connection with such transaction, may continue both loans but may not take a new loan from the Plan until all outstanding loans are paid in full. The minimum amount of any loan shall be $500. The amount of any loan must be an even multiple of $100, provided that loans for uneven amounts shall be permitted solely to accommodate loans to former employees of a business acquired by a Participating Company in connection with the commencement of such individual’s eligibility to participate in the Plan, provided that such rule shall be applied on a uniform and nondiscriminatory basis.</w:t>
      </w:r>
    </w:p>
    <w:p>
      <w:pPr>
        <w:spacing w:after="0" w:line="120" w:lineRule="exact"/>
        <w:rPr>
          <w:sz w:val="20"/>
          <w:szCs w:val="20"/>
          <w:color w:val="auto"/>
        </w:rPr>
      </w:pPr>
    </w:p>
    <w:p>
      <w:pPr>
        <w:ind w:right="220" w:firstLine="1484"/>
        <w:spacing w:after="0" w:line="332" w:lineRule="auto"/>
        <w:rPr>
          <w:sz w:val="20"/>
          <w:szCs w:val="20"/>
          <w:color w:val="auto"/>
        </w:rPr>
      </w:pPr>
      <w:r>
        <w:rPr>
          <w:rFonts w:ascii="Arial" w:cs="Arial" w:eastAsia="Arial" w:hAnsi="Arial"/>
          <w:sz w:val="16"/>
          <w:szCs w:val="16"/>
          <w:color w:val="auto"/>
        </w:rPr>
        <w:t>9.3.2. The amount of any loan, when added to the amount of a Participant’s outstanding loans under all other plans qualified under section 401(a) of the Code which are sponsored by the Participating Company or any Affiliated Company shall not exceed the lesser of:</w:t>
      </w:r>
    </w:p>
    <w:p>
      <w:pPr>
        <w:spacing w:after="0" w:line="4" w:lineRule="exact"/>
        <w:rPr>
          <w:sz w:val="20"/>
          <w:szCs w:val="20"/>
          <w:color w:val="auto"/>
        </w:rPr>
      </w:pPr>
    </w:p>
    <w:p>
      <w:pPr>
        <w:ind w:left="2180" w:hanging="232"/>
        <w:spacing w:after="0"/>
        <w:tabs>
          <w:tab w:leader="none" w:pos="2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$50,000, reduced by the excess (if any) of:</w:t>
      </w:r>
    </w:p>
    <w:p>
      <w:pPr>
        <w:spacing w:after="0" w:line="90" w:lineRule="exact"/>
        <w:rPr>
          <w:rFonts w:ascii="Arial" w:cs="Arial" w:eastAsia="Arial" w:hAnsi="Arial"/>
          <w:sz w:val="18"/>
          <w:szCs w:val="18"/>
          <w:color w:val="auto"/>
        </w:rPr>
      </w:pPr>
    </w:p>
    <w:p>
      <w:pPr>
        <w:ind w:right="40" w:firstLine="2404"/>
        <w:spacing w:after="0" w:line="268" w:lineRule="auto"/>
        <w:tabs>
          <w:tab w:leader="none" w:pos="264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Participant’s highest outstanding balance of loans during the one-year period ending on the day before the date on which such loan is made to the Participant, over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132" w:name="page133"/>
    <w:bookmarkEnd w:id="132"/>
    <w:p>
      <w:pPr>
        <w:ind w:left="2660" w:hanging="256"/>
        <w:spacing w:after="0"/>
        <w:tabs>
          <w:tab w:leader="none" w:pos="26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outstanding balance of loans made to the Participant on the date such loan is made to the Participant; or</w:t>
      </w:r>
    </w:p>
    <w:p>
      <w:pPr>
        <w:spacing w:after="0" w:line="171" w:lineRule="exact"/>
        <w:rPr>
          <w:rFonts w:ascii="Arial" w:cs="Arial" w:eastAsia="Arial" w:hAnsi="Arial"/>
          <w:sz w:val="18"/>
          <w:szCs w:val="18"/>
          <w:color w:val="auto"/>
        </w:rPr>
      </w:pPr>
    </w:p>
    <w:p>
      <w:pPr>
        <w:ind w:right="440" w:firstLine="1948"/>
        <w:spacing w:after="0" w:line="268" w:lineRule="auto"/>
        <w:tabs>
          <w:tab w:leader="none" w:pos="218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fifty percent (50%) of the value of the Participant’s nonforfeitable Account, determined as of the Valuation Date immediately preceding the date on which the loan application is received by the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Terms of Loan</w:t>
      </w:r>
      <w:r>
        <w:rPr>
          <w:rFonts w:ascii="Arial" w:cs="Arial" w:eastAsia="Arial" w:hAnsi="Arial"/>
          <w:sz w:val="18"/>
          <w:szCs w:val="18"/>
          <w:color w:val="auto"/>
        </w:rPr>
        <w:t>.</w:t>
      </w:r>
    </w:p>
    <w:p>
      <w:pPr>
        <w:spacing w:after="0" w:line="90"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9.4.1. The interest rate on loans shall be: (a) determined by the Committee, (b) at least commensurate with rates charged for similar loans by entities in the business of making loans, and (c) adjusted from time to time as circumstances warrant. Security for each loan granted pursuant to this Article shall be, to the extent necessary, the currently unpledged portion of the Participant’s Account. In no event shall more than fifty percent (50%) of the Participant’s vested Account as of the date the loan is made be used as security for the loan. In its sole discretion, the Committee may require such additional security as it deems necessary.</w:t>
      </w:r>
    </w:p>
    <w:p>
      <w:pPr>
        <w:spacing w:after="0" w:line="143" w:lineRule="exact"/>
        <w:rPr>
          <w:sz w:val="20"/>
          <w:szCs w:val="20"/>
          <w:color w:val="auto"/>
        </w:rPr>
      </w:pPr>
    </w:p>
    <w:p>
      <w:pPr>
        <w:ind w:right="160" w:firstLine="1484"/>
        <w:spacing w:after="0" w:line="256" w:lineRule="auto"/>
        <w:rPr>
          <w:sz w:val="20"/>
          <w:szCs w:val="20"/>
          <w:color w:val="auto"/>
        </w:rPr>
      </w:pPr>
      <w:r>
        <w:rPr>
          <w:rFonts w:ascii="Arial" w:cs="Arial" w:eastAsia="Arial" w:hAnsi="Arial"/>
          <w:sz w:val="18"/>
          <w:szCs w:val="18"/>
          <w:color w:val="auto"/>
        </w:rPr>
        <w:t>9.4.2. Each loan shall be evidenced by the Participant’s execution of a personal demand note on such form as shall be supplied by the Committee. Each such note shall specify that, to the extent repayment is not demanded sooner, repayment shall be made in installments over a period of not less than 6 nor more than 60 months from the date on which the loan is distributed. All loans from the Plan shall be non-renewable. Each note shall also specify the interest rate as determined by the Committee at the time the loan is approved.</w:t>
      </w:r>
    </w:p>
    <w:p>
      <w:pPr>
        <w:spacing w:after="0" w:line="143" w:lineRule="exact"/>
        <w:rPr>
          <w:sz w:val="20"/>
          <w:szCs w:val="20"/>
          <w:color w:val="auto"/>
        </w:rPr>
      </w:pPr>
    </w:p>
    <w:p>
      <w:pPr>
        <w:ind w:right="80" w:firstLine="1484"/>
        <w:spacing w:after="0" w:line="290" w:lineRule="auto"/>
        <w:rPr>
          <w:sz w:val="20"/>
          <w:szCs w:val="20"/>
          <w:color w:val="auto"/>
        </w:rPr>
      </w:pPr>
      <w:r>
        <w:rPr>
          <w:rFonts w:ascii="Arial" w:cs="Arial" w:eastAsia="Arial" w:hAnsi="Arial"/>
          <w:sz w:val="16"/>
          <w:szCs w:val="16"/>
          <w:color w:val="auto"/>
        </w:rPr>
        <w:t>9.4.3. All loans shall be repaid in approximately equal installments (not less frequently than quarterly) through payroll deductions or in such other manner as the Committee may determine, including, without limitation, coupon repayment in the event the Committee determines that a Participant has incurred a Severance from Service Date as a result of a corporate transaction or in the event a Participant is on an unpaid leave of absence. In addition, a Participant who is a Covered Union Employee (Broadband) on his Severance from Service Date may repay through coupon repayment following his Severance from Service Date. A Participant may repay the outstanding balance of any loan in one lump sum at any time by notifying the Committee of his intent to do so and by forwarding to the Committee payment in full of the then outstanding balance, plus interest accrued to the date of payment. The amount of principal and interest repaid by a Participant shall be credited to a Participant’s Account as each repayment is made.</w:t>
      </w:r>
    </w:p>
    <w:p>
      <w:pPr>
        <w:spacing w:after="0" w:line="118" w:lineRule="exact"/>
        <w:rPr>
          <w:sz w:val="20"/>
          <w:szCs w:val="20"/>
          <w:color w:val="auto"/>
        </w:rPr>
      </w:pPr>
    </w:p>
    <w:p>
      <w:pPr>
        <w:ind w:right="80" w:firstLine="1484"/>
        <w:spacing w:after="0" w:line="256" w:lineRule="auto"/>
        <w:rPr>
          <w:sz w:val="20"/>
          <w:szCs w:val="20"/>
          <w:color w:val="auto"/>
        </w:rPr>
      </w:pPr>
      <w:r>
        <w:rPr>
          <w:rFonts w:ascii="Arial" w:cs="Arial" w:eastAsia="Arial" w:hAnsi="Arial"/>
          <w:sz w:val="18"/>
          <w:szCs w:val="18"/>
          <w:color w:val="auto"/>
        </w:rPr>
        <w:t xml:space="preserve">9.4.4. Loan repayments shall be suspended under this Plan as permitted under section 414(u) of the Code. In such cases, (1) if the loan is for a period of less than 60 months, the period of repayments shall be extended for the period necessary to permit repayment, or (2) otherwise, the loan shall be re-amortized over its remaining term;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period of repayment for any loan shall not exceed a total of 60 months, unless an extension is permitted in accordance with section 72(p) of the Code and the regulations thereunder.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133" w:name="page134"/>
    <w:bookmarkEnd w:id="133"/>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9.4.5. If, and only if:</w:t>
      </w:r>
    </w:p>
    <w:p>
      <w:pPr>
        <w:spacing w:after="0" w:line="90" w:lineRule="exact"/>
        <w:rPr>
          <w:sz w:val="20"/>
          <w:szCs w:val="20"/>
          <w:color w:val="auto"/>
        </w:rPr>
      </w:pPr>
    </w:p>
    <w:p>
      <w:pPr>
        <w:ind w:left="2180" w:hanging="232"/>
        <w:spacing w:after="0"/>
        <w:tabs>
          <w:tab w:leader="none" w:pos="21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Participant dies;</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Participant (other than a Participant who continues to be a party in interest) has a Severance from Service Date;</w:t>
      </w:r>
    </w:p>
    <w:p>
      <w:pPr>
        <w:spacing w:after="0" w:line="194" w:lineRule="exact"/>
        <w:rPr>
          <w:rFonts w:ascii="Arial" w:cs="Arial" w:eastAsia="Arial" w:hAnsi="Arial"/>
          <w:sz w:val="16"/>
          <w:szCs w:val="16"/>
          <w:color w:val="auto"/>
        </w:rPr>
      </w:pPr>
    </w:p>
    <w:p>
      <w:pPr>
        <w:ind w:right="120" w:firstLine="1948"/>
        <w:spacing w:after="0" w:line="259" w:lineRule="auto"/>
        <w:tabs>
          <w:tab w:leader="none" w:pos="217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Compensation of a Participant who is an Employee is discontinued or decreased below the amount necessary to amortize the loan and such status continues beyond the last day of the calendar quarter following the calendar quarter in which the first required installment payment is due after such Compensation discontinuance or decrease;</w:t>
      </w:r>
    </w:p>
    <w:p>
      <w:pPr>
        <w:spacing w:after="0" w:line="140" w:lineRule="exact"/>
        <w:rPr>
          <w:rFonts w:ascii="Arial" w:cs="Arial" w:eastAsia="Arial" w:hAnsi="Arial"/>
          <w:sz w:val="18"/>
          <w:szCs w:val="18"/>
          <w:color w:val="auto"/>
        </w:rPr>
      </w:pPr>
    </w:p>
    <w:p>
      <w:pPr>
        <w:ind w:left="2200" w:hanging="252"/>
        <w:spacing w:after="0"/>
        <w:tabs>
          <w:tab w:leader="none" w:pos="22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loan is not repaid by the time the note matures including any extensions pursuant to Section 9.4.4;</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Participant attempts to revoke any payroll deduction authorization for repayment of the loan without the consent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Committee;</w:t>
      </w:r>
    </w:p>
    <w:p>
      <w:pPr>
        <w:spacing w:after="0" w:line="164" w:lineRule="exact"/>
        <w:rPr>
          <w:rFonts w:ascii="Arial" w:cs="Arial" w:eastAsia="Arial" w:hAnsi="Arial"/>
          <w:sz w:val="16"/>
          <w:szCs w:val="16"/>
          <w:color w:val="auto"/>
        </w:rPr>
      </w:pPr>
    </w:p>
    <w:p>
      <w:pPr>
        <w:ind w:left="2160" w:hanging="212"/>
        <w:spacing w:after="0"/>
        <w:tabs>
          <w:tab w:leader="none" w:pos="21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Participant fails to pay any installment of the loan when due and the Committee elects to treat such failure as default; or</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other event occurs which the Committee, in its sole discretion, believes may jeopardize the repayment of the loan;</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before a loan is repaid in full, the unpaid balance thereof, with interest due thereon, shall become immediately due and payable. The Participant (or his beneficiary, in the event of the Participant’s death) may satisfy the loan by paying the outstanding balance of the loan within such time as may be specified in the note which period shall not extend more than 30 days from a Severance from Service Date. If the loan and interest are not repaid within the time specified, the Committee shall satisfy the indebtedness from the amount of the Participant’s vested interest in his Account as provided in Section 9.5 before making any payments otherwise due hereunder to the Participant or his beneficiary.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90" w:lineRule="exact"/>
        <w:rPr>
          <w:sz w:val="20"/>
          <w:szCs w:val="20"/>
          <w:color w:val="auto"/>
        </w:rPr>
      </w:pPr>
    </w:p>
    <w:p>
      <w:pPr>
        <w:jc w:val="both"/>
        <w:ind w:right="260" w:firstLine="1484"/>
        <w:spacing w:after="0" w:line="298" w:lineRule="auto"/>
        <w:rPr>
          <w:sz w:val="20"/>
          <w:szCs w:val="20"/>
          <w:color w:val="auto"/>
        </w:rPr>
      </w:pPr>
      <w:r>
        <w:rPr>
          <w:rFonts w:ascii="Arial" w:cs="Arial" w:eastAsia="Arial" w:hAnsi="Arial"/>
          <w:sz w:val="16"/>
          <w:szCs w:val="16"/>
          <w:color w:val="auto"/>
        </w:rPr>
        <w:t>9.5.1. The Committee shall give written notice to the Participant (or his beneficiary in the event of the Participant’s death) of an event of default described in Section 9.4.5(d). If the loan and interest are not paid within the time period specified in the notice, the amount of the Participant’s vested interest in his Account, to the extent such Account is security for the loan, shall be reduced by the amount of the unpaid balance of the loan, with interest due thereon, and the Participant’s indebtedness shall thereupon be discharged to the extent of the reduction.</w:t>
      </w:r>
    </w:p>
    <w:p>
      <w:pPr>
        <w:spacing w:after="0" w:line="113" w:lineRule="exact"/>
        <w:rPr>
          <w:sz w:val="20"/>
          <w:szCs w:val="20"/>
          <w:color w:val="auto"/>
        </w:rPr>
      </w:pPr>
    </w:p>
    <w:p>
      <w:pPr>
        <w:ind w:right="100" w:firstLine="1484"/>
        <w:spacing w:after="0" w:line="335" w:lineRule="auto"/>
        <w:rPr>
          <w:sz w:val="20"/>
          <w:szCs w:val="20"/>
          <w:color w:val="auto"/>
        </w:rPr>
      </w:pPr>
      <w:r>
        <w:rPr>
          <w:rFonts w:ascii="Arial" w:cs="Arial" w:eastAsia="Arial" w:hAnsi="Arial"/>
          <w:sz w:val="15"/>
          <w:szCs w:val="15"/>
          <w:color w:val="auto"/>
        </w:rPr>
        <w:t>9.5.2. In addition, if the value of the Participant’s total vested interest in his Account pledged as security for the loan is insufficient to discharge fully the Participant’s indebtedness, the Participant’s Account shall be used to reduce the Participant’s indebtedness at such time as the Participant is entitled to a distribution under Article V or a withdrawal under Article VIII, and any remaining amounts in his Account shall be used to reduce the Participant’s</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280" w:right="339" w:bottom="1440" w:gutter="0" w:footer="0" w:header="0"/>
        </w:sectPr>
      </w:pPr>
    </w:p>
    <w:bookmarkStart w:id="134" w:name="page135"/>
    <w:bookmarkEnd w:id="134"/>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indebtedness at such time as the Participant has a Severance from Service Date. Such action shall not operate as a waiver of the rights of the Company, the Committee, the Trustee, or the Plan under applicable law.</w:t>
      </w:r>
    </w:p>
    <w:p>
      <w:pPr>
        <w:spacing w:after="0" w:line="132" w:lineRule="exact"/>
        <w:rPr>
          <w:sz w:val="20"/>
          <w:szCs w:val="20"/>
          <w:color w:val="auto"/>
        </w:rPr>
      </w:pPr>
    </w:p>
    <w:p>
      <w:pPr>
        <w:ind w:right="20" w:firstLine="1484"/>
        <w:spacing w:after="0" w:line="332" w:lineRule="auto"/>
        <w:rPr>
          <w:sz w:val="20"/>
          <w:szCs w:val="20"/>
          <w:color w:val="auto"/>
        </w:rPr>
      </w:pPr>
      <w:r>
        <w:rPr>
          <w:rFonts w:ascii="Arial" w:cs="Arial" w:eastAsia="Arial" w:hAnsi="Arial"/>
          <w:sz w:val="16"/>
          <w:szCs w:val="16"/>
          <w:color w:val="auto"/>
        </w:rPr>
        <w:t>9.5.3. The Committee also shall be entitled to take any and all other actions necessary and appropriate to foreclose upon any property other than the Participant’s Account pledged as security for the loan or to otherwise enforce collection of the outstanding balance of the loan.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Additional Rules</w:t>
      </w:r>
      <w:r>
        <w:rPr>
          <w:rFonts w:ascii="Arial" w:cs="Arial" w:eastAsia="Arial" w:hAnsi="Arial"/>
          <w:sz w:val="18"/>
          <w:szCs w:val="18"/>
          <w:color w:val="auto"/>
        </w:rPr>
        <w:t>. The Committee may establish additional rules relating to Participant loans under the Plan, which rules shall be applied on a uniform and non-discriminatory basis.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80"/>
          </w:cols>
          <w:pgMar w:left="240" w:top="280" w:right="379" w:bottom="1440" w:gutter="0" w:footer="0" w:header="0"/>
        </w:sectPr>
      </w:pPr>
    </w:p>
    <w:bookmarkStart w:id="135" w:name="page136"/>
    <w:bookmarkEnd w:id="13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ADMINISTRATION</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Committee</w:t>
      </w:r>
      <w:r>
        <w:rPr>
          <w:rFonts w:ascii="Arial" w:cs="Arial" w:eastAsia="Arial" w:hAnsi="Arial"/>
          <w:sz w:val="16"/>
          <w:szCs w:val="16"/>
          <w:color w:val="auto"/>
        </w:rPr>
        <w:t>. The Company’s Executive Vice President with supervisory responsibility for the Company’s Human Resources Department (“EVP”) shall appoint at least three (3) persons to serve as the Committee. The EVP may, but is not required to, appoint himself or herself to serve on the Committee and to act as Chairperson of such Committee. The Committee shall be the Administrator and the “named fiduciary” of the Plan, as defined in section 402(a)(2) of ERISA. Each member of the Committee may, but need not be, a director, officer or Employee of a Participating Company and each shall serve until his or her successor is appointed in like manner. Any member of the Committee may resign by delivering his or her written resignation to the EVP prior to the effective date of such resignation. In addition, if a member of the Committee is an Employee at the time of his or her appointment, he or she will automatically cease to be a member of the Committee when his or her employment with a Participating Company terminates. The EVP may remove any member of the Committee by written action of the EVP prior to the effective date of such removal. In the event a member of the Committee dies or is removed (automatically or by the EVP), the EVP shall appoint a successor member if necessary to assure that at least three persons are serving as members of the Committee. Until such time as such successor member’ or members’ appointment is effective, the Committee shall continue to act with full power until the vacancy is filled.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w:t>
      </w:r>
    </w:p>
    <w:p>
      <w:pPr>
        <w:spacing w:after="0" w:line="90"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10.2.1. The Committee shall have the general responsibility for the administration of the Plan and for carrying out its provisions. In addition to the duties and powers described elsewhere hereunder, the Committee shall have the discretion and authority to control and manage the operation and administration of the Plan.</w:t>
      </w:r>
    </w:p>
    <w:p>
      <w:pPr>
        <w:spacing w:after="0" w:line="140"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10.2.2. The Committee shall have all other duties and powers necessary or desirable to administer the Plan, including, but not limited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2180" w:hanging="232"/>
        <w:spacing w:after="0"/>
        <w:tabs>
          <w:tab w:leader="none" w:pos="2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communicate the terms of the Plan to Participants and beneficiaries;</w:t>
      </w:r>
    </w:p>
    <w:p>
      <w:pPr>
        <w:spacing w:after="0" w:line="171" w:lineRule="exact"/>
        <w:rPr>
          <w:rFonts w:ascii="Arial" w:cs="Arial" w:eastAsia="Arial" w:hAnsi="Arial"/>
          <w:sz w:val="18"/>
          <w:szCs w:val="18"/>
          <w:color w:val="auto"/>
        </w:rPr>
      </w:pPr>
    </w:p>
    <w:p>
      <w:pPr>
        <w:ind w:right="280" w:firstLine="1948"/>
        <w:spacing w:after="0" w:line="268" w:lineRule="auto"/>
        <w:tabs>
          <w:tab w:leader="none" w:pos="218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including forms and procedures for making elections and contributions under the Plan;</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administration of the Plan;</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keep records related to the Plan, including any other information required by ERISA or the Code;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80" w:right="299" w:bottom="1440" w:gutter="0" w:footer="0" w:header="0"/>
        </w:sectPr>
      </w:pPr>
    </w:p>
    <w:bookmarkStart w:id="136" w:name="page137"/>
    <w:bookmarkEnd w:id="136"/>
    <w:p>
      <w:pPr>
        <w:ind w:right="380" w:firstLine="1948"/>
        <w:spacing w:after="0" w:line="268" w:lineRule="auto"/>
        <w:tabs>
          <w:tab w:leader="none" w:pos="2179"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appoint, discharge and periodically monitor the performance of third party administrators, insurers, service providers, other agents, consultants, accountants and attorneys in the administration of the Plan;</w:t>
      </w:r>
    </w:p>
    <w:p>
      <w:pPr>
        <w:spacing w:after="0" w:line="131" w:lineRule="exact"/>
        <w:rPr>
          <w:rFonts w:ascii="Arial" w:cs="Arial" w:eastAsia="Arial" w:hAnsi="Arial"/>
          <w:sz w:val="18"/>
          <w:szCs w:val="18"/>
          <w:color w:val="auto"/>
        </w:rPr>
      </w:pPr>
    </w:p>
    <w:p>
      <w:pPr>
        <w:ind w:left="2160" w:hanging="212"/>
        <w:spacing w:after="0"/>
        <w:tabs>
          <w:tab w:leader="none" w:pos="21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determine whether any domestic relations order received by the Plan is a qualified domestic relations order as provided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414(p) of the Code;</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prepare and file any reports or returns with respect to the Plan required by the Code, ERISA or any other law;</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administration of the Plan;</w:t>
      </w:r>
    </w:p>
    <w:p>
      <w:pPr>
        <w:spacing w:after="0" w:line="171" w:lineRule="exact"/>
        <w:rPr>
          <w:rFonts w:ascii="Arial" w:cs="Arial" w:eastAsia="Arial" w:hAnsi="Arial"/>
          <w:sz w:val="18"/>
          <w:szCs w:val="18"/>
          <w:color w:val="auto"/>
        </w:rPr>
      </w:pPr>
    </w:p>
    <w:p>
      <w:pPr>
        <w:ind w:left="2160" w:hanging="212"/>
        <w:spacing w:after="0"/>
        <w:tabs>
          <w:tab w:leader="none" w:pos="21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issue rules and regulations necessary for the proper conduct and administration of the Plan and to change, alter, or amend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rules and regulations;</w:t>
      </w:r>
    </w:p>
    <w:p>
      <w:pPr>
        <w:spacing w:after="0" w:line="164" w:lineRule="exact"/>
        <w:rPr>
          <w:rFonts w:ascii="Arial" w:cs="Arial" w:eastAsia="Arial" w:hAnsi="Arial"/>
          <w:sz w:val="16"/>
          <w:szCs w:val="16"/>
          <w:color w:val="auto"/>
        </w:rPr>
      </w:pPr>
    </w:p>
    <w:p>
      <w:pPr>
        <w:ind w:firstLine="1948"/>
        <w:spacing w:after="0" w:line="268" w:lineRule="auto"/>
        <w:tabs>
          <w:tab w:leader="none" w:pos="21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determine all questions arising in the administration of the Plan, to the extent the determination is not the responsibility of a third party administrator, insurer or some other entity;</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propose and accept settlements of claims involving the Plan;</w:t>
      </w:r>
    </w:p>
    <w:p>
      <w:pPr>
        <w:spacing w:after="0" w:line="171" w:lineRule="exact"/>
        <w:rPr>
          <w:rFonts w:ascii="Arial" w:cs="Arial" w:eastAsia="Arial" w:hAnsi="Arial"/>
          <w:sz w:val="18"/>
          <w:szCs w:val="18"/>
          <w:color w:val="auto"/>
        </w:rPr>
      </w:pPr>
    </w:p>
    <w:p>
      <w:pPr>
        <w:ind w:left="2160" w:hanging="212"/>
        <w:spacing w:after="0"/>
        <w:tabs>
          <w:tab w:leader="none" w:pos="2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direct the Trustee to pay benefits and Plan expenses properly chargeable to the Plan; and</w:t>
      </w:r>
    </w:p>
    <w:p>
      <w:pPr>
        <w:spacing w:after="0" w:line="171" w:lineRule="exact"/>
        <w:rPr>
          <w:rFonts w:ascii="Arial" w:cs="Arial" w:eastAsia="Arial" w:hAnsi="Arial"/>
          <w:sz w:val="18"/>
          <w:szCs w:val="18"/>
          <w:color w:val="auto"/>
        </w:rPr>
      </w:pPr>
    </w:p>
    <w:p>
      <w:pPr>
        <w:ind w:left="2240" w:hanging="292"/>
        <w:spacing w:after="0"/>
        <w:tabs>
          <w:tab w:leader="none" w:pos="22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such other duties or powers provided in the Plan or necessary to administer the Plan.</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10.2.3. The Committee shall have exclusive authority and discretion to manage and control the assets of the Plan, including, but not limited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the following</w:t>
      </w:r>
    </w:p>
    <w:p>
      <w:pPr>
        <w:spacing w:after="0" w:line="84" w:lineRule="exact"/>
        <w:rPr>
          <w:sz w:val="20"/>
          <w:szCs w:val="20"/>
          <w:color w:val="auto"/>
        </w:rPr>
      </w:pPr>
    </w:p>
    <w:p>
      <w:pPr>
        <w:ind w:left="2180" w:hanging="232"/>
        <w:spacing w:after="0"/>
        <w:tabs>
          <w:tab w:leader="none" w:pos="21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establish the Plan’s overall investment policy, including asset allocation, investment policy statement or investment guidelines;</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appoint and remove a Trustee or Trustees with respect to a portion of or all of the assets of the Trust;</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direct such Trustee(s) with respect to the investment and management of the Plan’s assets, including any voting rights for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held by the Trustee;</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direct the Trustee to pay investment-related expenses properly chargeable to the Plan, including Trustee expenses;</w:t>
      </w:r>
    </w:p>
    <w:p>
      <w:pPr>
        <w:spacing w:after="0" w:line="171" w:lineRule="exact"/>
        <w:rPr>
          <w:rFonts w:ascii="Arial" w:cs="Arial" w:eastAsia="Arial" w:hAnsi="Arial"/>
          <w:sz w:val="18"/>
          <w:szCs w:val="18"/>
          <w:color w:val="auto"/>
        </w:rPr>
      </w:pPr>
    </w:p>
    <w:p>
      <w:pPr>
        <w:ind w:right="580" w:firstLine="1948"/>
        <w:spacing w:after="0" w:line="268" w:lineRule="auto"/>
        <w:tabs>
          <w:tab w:leader="none" w:pos="217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 into a trust agreement with such Trustee(s) on behalf of the Company, and approve any amendments to any such trust agreement, including single-client, common and collective trust arrangements;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137" w:name="page138"/>
    <w:bookmarkEnd w:id="137"/>
    <w:p>
      <w:pPr>
        <w:ind w:firstLine="1948"/>
        <w:spacing w:after="0" w:line="268" w:lineRule="auto"/>
        <w:tabs>
          <w:tab w:leader="none" w:pos="2159"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enter into insurance contracts and arrangements, including contracts for participation in single-client or pooled separate accounts to facilitate the investment of plan assets; and</w:t>
      </w:r>
    </w:p>
    <w:p>
      <w:pPr>
        <w:spacing w:after="0" w:line="131" w:lineRule="exact"/>
        <w:rPr>
          <w:rFonts w:ascii="Arial" w:cs="Arial" w:eastAsia="Arial" w:hAnsi="Arial"/>
          <w:sz w:val="18"/>
          <w:szCs w:val="18"/>
          <w:color w:val="auto"/>
        </w:rPr>
      </w:pPr>
    </w:p>
    <w:p>
      <w:pPr>
        <w:ind w:right="60" w:firstLine="1948"/>
        <w:spacing w:after="0" w:line="259" w:lineRule="auto"/>
        <w:tabs>
          <w:tab w:leader="none" w:pos="218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appoint, monitor and remove one or more investment manager(s), as defined in section 3(38) of ERISA, to manage any portion of the Trust or an insurance company single-client or pooled separate account, including the exercise of any voting rights of any securities managed by the investment manager.</w:t>
      </w:r>
    </w:p>
    <w:p>
      <w:pPr>
        <w:spacing w:after="0" w:line="140" w:lineRule="exact"/>
        <w:rPr>
          <w:sz w:val="20"/>
          <w:szCs w:val="20"/>
          <w:color w:val="auto"/>
        </w:rPr>
      </w:pPr>
    </w:p>
    <w:p>
      <w:pPr>
        <w:ind w:right="100" w:firstLine="1484"/>
        <w:spacing w:after="0" w:line="256" w:lineRule="auto"/>
        <w:rPr>
          <w:sz w:val="20"/>
          <w:szCs w:val="20"/>
          <w:color w:val="auto"/>
        </w:rPr>
      </w:pPr>
      <w:r>
        <w:rPr>
          <w:rFonts w:ascii="Arial" w:cs="Arial" w:eastAsia="Arial" w:hAnsi="Arial"/>
          <w:sz w:val="18"/>
          <w:szCs w:val="18"/>
          <w:color w:val="auto"/>
        </w:rPr>
        <w:t>10.2.4. The Committee shall have complete discretion to interpret and construe the provisions of the Plan, make findings of fact, correct errors, and supply omissions. All decisions and interpretations of the Committee made pursuant to the Plan shall be final, conclusive and binding on all persons and may not be overturned unless found by a court to be arbitrary and capricious. The Committee shall have the powers necessary or desirable to carry out these responsibilities, including, but not limited to, the following:</w:t>
      </w:r>
    </w:p>
    <w:p>
      <w:pPr>
        <w:spacing w:after="0" w:line="62" w:lineRule="exact"/>
        <w:rPr>
          <w:sz w:val="20"/>
          <w:szCs w:val="20"/>
          <w:color w:val="auto"/>
        </w:rPr>
      </w:pPr>
    </w:p>
    <w:p>
      <w:pPr>
        <w:ind w:right="340" w:firstLine="1948"/>
        <w:spacing w:after="0" w:line="268" w:lineRule="auto"/>
        <w:tabs>
          <w:tab w:leader="none" w:pos="217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filing claims for benefits under the Plan;</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determination of benefits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payable under the Plan;</w:t>
      </w:r>
    </w:p>
    <w:p>
      <w:pPr>
        <w:spacing w:after="0" w:line="164" w:lineRule="exact"/>
        <w:rPr>
          <w:rFonts w:ascii="Arial" w:cs="Arial" w:eastAsia="Arial" w:hAnsi="Arial"/>
          <w:sz w:val="16"/>
          <w:szCs w:val="16"/>
          <w:color w:val="auto"/>
        </w:rPr>
      </w:pPr>
    </w:p>
    <w:p>
      <w:pPr>
        <w:ind w:left="2180" w:hanging="232"/>
        <w:spacing w:after="0"/>
        <w:tabs>
          <w:tab w:leader="none" w:pos="2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keep records related to claims for benefits filed and paid under the Plan;</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determine and enforce any limits on benefit elections hereunder;</w:t>
      </w:r>
    </w:p>
    <w:p>
      <w:pPr>
        <w:spacing w:after="0" w:line="171" w:lineRule="exact"/>
        <w:rPr>
          <w:rFonts w:ascii="Arial" w:cs="Arial" w:eastAsia="Arial" w:hAnsi="Arial"/>
          <w:sz w:val="18"/>
          <w:szCs w:val="18"/>
          <w:color w:val="auto"/>
        </w:rPr>
      </w:pPr>
    </w:p>
    <w:p>
      <w:pPr>
        <w:jc w:val="both"/>
        <w:ind w:right="360" w:firstLine="1948"/>
        <w:spacing w:after="0" w:line="256" w:lineRule="auto"/>
        <w:tabs>
          <w:tab w:leader="none" w:pos="217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payment or nonpayment of benefits under the Plan, specifically, and without limitation, to recover erroneous overpayments made by the Plan to a Participant or beneficiary, in whatever manner the Committee deems appropriate, including suspensions or recoupment of, or offsets against, future payments, including benefit payments or wages, due that Participant, dependent or beneficiary;</w:t>
      </w:r>
    </w:p>
    <w:p>
      <w:pPr>
        <w:spacing w:after="0" w:line="143" w:lineRule="exact"/>
        <w:rPr>
          <w:rFonts w:ascii="Arial" w:cs="Arial" w:eastAsia="Arial" w:hAnsi="Arial"/>
          <w:sz w:val="18"/>
          <w:szCs w:val="18"/>
          <w:color w:val="auto"/>
        </w:rPr>
      </w:pPr>
    </w:p>
    <w:p>
      <w:pPr>
        <w:ind w:right="260" w:firstLine="1948"/>
        <w:spacing w:after="0" w:line="268" w:lineRule="auto"/>
        <w:tabs>
          <w:tab w:leader="none" w:pos="215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determine questions relating to coverage and participation under the Plan and the rights of Participants or beneficiaries to the extent the determination is not the responsibility of a third party administrator, insurer or some other entity;</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propose and accept settlements and offsets of claims, overpayments and other disputes involving claims for benefits under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4" w:lineRule="exact"/>
        <w:rPr>
          <w:rFonts w:ascii="Arial" w:cs="Arial" w:eastAsia="Arial" w:hAnsi="Arial"/>
          <w:sz w:val="16"/>
          <w:szCs w:val="16"/>
          <w:color w:val="auto"/>
        </w:rPr>
      </w:pPr>
    </w:p>
    <w:p>
      <w:pPr>
        <w:ind w:right="220" w:firstLine="1948"/>
        <w:spacing w:after="0" w:line="268" w:lineRule="auto"/>
        <w:tabs>
          <w:tab w:leader="none" w:pos="218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compute the amount and kind of benefits payable to Participants and beneficiaries, to the extent such determination is not the responsibility of a third party administrator, insurer, or some other entity;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138" w:name="page139"/>
    <w:bookmarkEnd w:id="138"/>
    <w:p>
      <w:pPr>
        <w:ind w:left="1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to direct the Trustee to pay benefits and any Plan expenses properly chargeable to the Plan that are related to claims for benefits.</w:t>
      </w:r>
    </w:p>
    <w:p>
      <w:pPr>
        <w:spacing w:after="0" w:line="194" w:lineRule="exact"/>
        <w:rPr>
          <w:sz w:val="20"/>
          <w:szCs w:val="20"/>
          <w:color w:val="auto"/>
        </w:rPr>
      </w:pPr>
    </w:p>
    <w:p>
      <w:pPr>
        <w:ind w:firstLine="1484"/>
        <w:spacing w:after="0" w:line="335" w:lineRule="auto"/>
        <w:rPr>
          <w:sz w:val="20"/>
          <w:szCs w:val="20"/>
          <w:color w:val="auto"/>
        </w:rPr>
      </w:pPr>
      <w:r>
        <w:rPr>
          <w:rFonts w:ascii="Arial" w:cs="Arial" w:eastAsia="Arial" w:hAnsi="Arial"/>
          <w:sz w:val="15"/>
          <w:szCs w:val="15"/>
          <w:color w:val="auto"/>
        </w:rPr>
        <w:t>10.2.5. The Committee shall be deemed to have delegated its responsibilities for determining benefits and eligibility for benefits to a third party administrator, insurer or other fiduciary where such person has been appointed by the Committee to make such determinations. In such case, such other person shall have the duties and powers as the Committee as set forth above, including the complete discretion to interpret and construe the provisions of the Plan.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Functioning of Committee</w:t>
      </w:r>
      <w:r>
        <w:rPr>
          <w:rFonts w:ascii="Arial" w:cs="Arial" w:eastAsia="Arial" w:hAnsi="Arial"/>
          <w:sz w:val="18"/>
          <w:szCs w:val="18"/>
          <w:color w:val="auto"/>
        </w:rPr>
        <w:t>.</w:t>
      </w:r>
    </w:p>
    <w:p>
      <w:pPr>
        <w:spacing w:after="0" w:line="90" w:lineRule="exact"/>
        <w:rPr>
          <w:sz w:val="20"/>
          <w:szCs w:val="20"/>
          <w:color w:val="auto"/>
        </w:rPr>
      </w:pPr>
    </w:p>
    <w:p>
      <w:pPr>
        <w:ind w:right="320" w:firstLine="1484"/>
        <w:spacing w:after="0" w:line="332" w:lineRule="auto"/>
        <w:rPr>
          <w:sz w:val="20"/>
          <w:szCs w:val="20"/>
          <w:color w:val="auto"/>
        </w:rPr>
      </w:pPr>
      <w:r>
        <w:rPr>
          <w:rFonts w:ascii="Arial" w:cs="Arial" w:eastAsia="Arial" w:hAnsi="Arial"/>
          <w:sz w:val="16"/>
          <w:szCs w:val="16"/>
          <w:color w:val="auto"/>
        </w:rPr>
        <w:t>10.3.1. The Committee shall meet on a periodic, as-needed basis and shall enact such rules and regulations as it may deem necessary and proper to carry out its responsibilities. The Committee shall periodically report to the EVP concerning the discharge of its responsibilities.</w:t>
      </w:r>
    </w:p>
    <w:p>
      <w:pPr>
        <w:spacing w:after="0" w:line="85" w:lineRule="exact"/>
        <w:rPr>
          <w:sz w:val="20"/>
          <w:szCs w:val="20"/>
          <w:color w:val="auto"/>
        </w:rPr>
      </w:pPr>
    </w:p>
    <w:p>
      <w:pPr>
        <w:ind w:right="40" w:firstLine="1484"/>
        <w:spacing w:after="0" w:line="290" w:lineRule="auto"/>
        <w:rPr>
          <w:sz w:val="20"/>
          <w:szCs w:val="20"/>
          <w:color w:val="auto"/>
        </w:rPr>
      </w:pPr>
      <w:r>
        <w:rPr>
          <w:rFonts w:ascii="Arial" w:cs="Arial" w:eastAsia="Arial" w:hAnsi="Arial"/>
          <w:sz w:val="16"/>
          <w:szCs w:val="16"/>
          <w:color w:val="auto"/>
        </w:rPr>
        <w:t>10.3.2. The EVP shall designate one member, which may be the EVP, to be the Chairperson. The Chairperson shall be responsible for conducting Committee meetings. The Committee will keep regular records of all meetings and decisions. Any act which the Plan authorizes or requires the Committee to do may be done by a vote of those persons serving as members of the Committee at a meeting at which a quorum is present or recorded in writing without a meeting. A quorum for the transaction of business at any meeting of the Committee shall consist of a majority of the members of the Committee then in office. Actions at a meeting of the Committee at which a quorum is present shall be taken by a majority of those members in attendance. The Committee may act in writing without a meeting provided such action has the written concurrence of a majority of the members of the Committee then serving. It shall have the same effect for all purposes as if assented to by all of the members in office at that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Allocation and Delegation of Duties</w:t>
      </w:r>
      <w:r>
        <w:rPr>
          <w:rFonts w:ascii="Arial" w:cs="Arial" w:eastAsia="Arial" w:hAnsi="Arial"/>
          <w:sz w:val="18"/>
          <w:szCs w:val="18"/>
          <w:color w:val="auto"/>
        </w:rPr>
        <w:t>. The Committee shall have the authority to:</w:t>
      </w:r>
    </w:p>
    <w:p>
      <w:pPr>
        <w:spacing w:after="0" w:line="90" w:lineRule="exact"/>
        <w:rPr>
          <w:sz w:val="20"/>
          <w:szCs w:val="20"/>
          <w:color w:val="auto"/>
        </w:rPr>
      </w:pPr>
    </w:p>
    <w:p>
      <w:pPr>
        <w:ind w:firstLine="1484"/>
        <w:spacing w:after="0" w:line="254" w:lineRule="auto"/>
        <w:rPr>
          <w:sz w:val="20"/>
          <w:szCs w:val="20"/>
          <w:color w:val="auto"/>
        </w:rPr>
      </w:pPr>
      <w:r>
        <w:rPr>
          <w:rFonts w:ascii="Arial" w:cs="Arial" w:eastAsia="Arial" w:hAnsi="Arial"/>
          <w:sz w:val="18"/>
          <w:szCs w:val="18"/>
          <w:color w:val="auto"/>
        </w:rPr>
        <w:t>10.4.1. allocate, from time-to- time, by a written instrument filed in its records, all or any part of its responsibilities under the Plan to one or more of its members, including a subcommittee, as may be deemed advisable, and in the same manner to revoke such allocation of responsibilities. In the exercise of such allocated responsibilities, any action of the member or subcommittee to whom responsibilities are allocated shall have the same force and effect for all purposes hereunder as if such action had been taken by the Committee. The Committee shall not be liable for any acts or omissions of such member or subcommittee. The member or subcommittee to whom responsibilities have been allocated shall periodically report to the Committee concerning the discharge of the allocated responsibilities.</w:t>
      </w:r>
    </w:p>
    <w:p>
      <w:pPr>
        <w:spacing w:after="0" w:line="144" w:lineRule="exact"/>
        <w:rPr>
          <w:sz w:val="20"/>
          <w:szCs w:val="20"/>
          <w:color w:val="auto"/>
        </w:rPr>
      </w:pPr>
    </w:p>
    <w:p>
      <w:pPr>
        <w:jc w:val="both"/>
        <w:ind w:right="180" w:firstLine="1484"/>
        <w:spacing w:after="0" w:line="306" w:lineRule="auto"/>
        <w:rPr>
          <w:sz w:val="20"/>
          <w:szCs w:val="20"/>
          <w:color w:val="auto"/>
        </w:rPr>
      </w:pPr>
      <w:r>
        <w:rPr>
          <w:rFonts w:ascii="Arial" w:cs="Arial" w:eastAsia="Arial" w:hAnsi="Arial"/>
          <w:sz w:val="16"/>
          <w:szCs w:val="16"/>
          <w:color w:val="auto"/>
        </w:rPr>
        <w:t>10.4.2. delegate, from time-to-time, by a written instrument filed in its records, all or any part of its responsibilities under the Plan to such person or persons as the Committee may deem advisable (and may authorize such person to delegate such responsibilities to such other person or persons as the Committee shall authorize) and in the same manner to revoke any such delegation of responsibilities. Any action of the delegate in the exercise of such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39" w:name="page140"/>
    <w:bookmarkEnd w:id="13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delegated responsibilities shall have the same force and effect for all purposes hereunder as if such action had been taken by the Committee. The Committee shall not be liable for any acts or omissions of any such delegate. The delegate shall periodically report to Committee concerning the discharge of the delegated responsibilities.</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Plan Expenses</w:t>
      </w:r>
      <w:r>
        <w:rPr>
          <w:rFonts w:ascii="Arial" w:cs="Arial" w:eastAsia="Arial" w:hAnsi="Arial"/>
          <w:sz w:val="18"/>
          <w:szCs w:val="18"/>
          <w:color w:val="auto"/>
        </w:rPr>
        <w:t>. All fees and expenses incurred in connection with the operation and administration of the Plan, including, but not limited to, Committee, legal, accounting, actuarial, investment, Trustee, management, and administrative fees and expenses may be paid out of the Trust or any other Plan asset to the extent that it is legally permissible for these fees and expenses to be so paid. A Participating Company may, but is not required, to pay such fees and expenses directly. A Participating Company may also advance amounts properly payable by the Plan or Trust and then obtain reimbursement from the Plan or Trust for these advances.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Information to be Supplied by a Participating Company</w:t>
      </w:r>
      <w:r>
        <w:rPr>
          <w:rFonts w:ascii="Arial" w:cs="Arial" w:eastAsia="Arial" w:hAnsi="Arial"/>
          <w:sz w:val="18"/>
          <w:szCs w:val="18"/>
          <w:color w:val="auto"/>
        </w:rPr>
        <w:t>. Each Participating Company shall provide the Committee or its delegates with such information as they shall from time-to-time need or reasonably request in the discharge of its duties. The Committee may rely conclusively on the information provided.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90" w:lineRule="exact"/>
        <w:rPr>
          <w:sz w:val="20"/>
          <w:szCs w:val="20"/>
          <w:color w:val="auto"/>
        </w:rPr>
      </w:pPr>
    </w:p>
    <w:p>
      <w:pPr>
        <w:ind w:right="420" w:firstLine="1484"/>
        <w:spacing w:after="0" w:line="268" w:lineRule="auto"/>
        <w:rPr>
          <w:sz w:val="20"/>
          <w:szCs w:val="20"/>
          <w:color w:val="auto"/>
        </w:rPr>
      </w:pPr>
      <w:r>
        <w:rPr>
          <w:rFonts w:ascii="Arial" w:cs="Arial" w:eastAsia="Arial" w:hAnsi="Arial"/>
          <w:sz w:val="18"/>
          <w:szCs w:val="18"/>
          <w:color w:val="auto"/>
        </w:rPr>
        <w:t>10.7.1. If the Committee denies, in whole or in part, a claim for benefits by a Participant or his beneficiary, the Committee shall furnish notice of the denial to the claimant, setting forth:</w:t>
      </w:r>
    </w:p>
    <w:p>
      <w:pPr>
        <w:spacing w:after="0" w:line="51" w:lineRule="exact"/>
        <w:rPr>
          <w:sz w:val="20"/>
          <w:szCs w:val="20"/>
          <w:color w:val="auto"/>
        </w:rPr>
      </w:pPr>
    </w:p>
    <w:p>
      <w:pPr>
        <w:ind w:left="2180" w:hanging="232"/>
        <w:spacing w:after="0"/>
        <w:tabs>
          <w:tab w:leader="none" w:pos="2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specific reference to the pertinent Plan provisions on which the denial is based;</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description of any additional information necessary for the claimant to perfect the claim and an explanation of why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information is necessary; and</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if the claimant wishes to submit his claim for review.</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notice shall be forwarded to the claimant within 90 days of the Committee’s receipt of the claim; provided, however, that in special circumstances the Committee may extend the response period for up to an additional 90 days, in which event it shall notify the claimant in writing of the extension, and shall specify the reason or reasons for the extension.</w:t>
      </w:r>
    </w:p>
    <w:p>
      <w:pPr>
        <w:spacing w:after="0" w:line="140" w:lineRule="exact"/>
        <w:rPr>
          <w:sz w:val="20"/>
          <w:szCs w:val="20"/>
          <w:color w:val="auto"/>
        </w:rPr>
      </w:pPr>
    </w:p>
    <w:p>
      <w:pPr>
        <w:ind w:right="80" w:firstLine="1484"/>
        <w:spacing w:after="0" w:line="255" w:lineRule="auto"/>
        <w:rPr>
          <w:sz w:val="20"/>
          <w:szCs w:val="20"/>
          <w:color w:val="auto"/>
        </w:rPr>
      </w:pPr>
      <w:r>
        <w:rPr>
          <w:rFonts w:ascii="Arial" w:cs="Arial" w:eastAsia="Arial" w:hAnsi="Arial"/>
          <w:sz w:val="18"/>
          <w:szCs w:val="18"/>
          <w:color w:val="auto"/>
        </w:rPr>
        <w:t>10.7.2. Within 60 days of receipt of a notice of claim denial, a claimant or his duly authorized representative may petition the Committee in writing for a full and fair review of the denial. The claimant or his duly authorized representative shall have the opportunity to review pertinent documents and to submit issues and comments in writing to the Committee. The Committee shall review the denial and shall communicate its decision and the reasons therefor to the claimant in writing within 60 days of receipt of the petition; provided, however, that in special circumstances the Committee may extend the response period for up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140" w:name="page141"/>
    <w:bookmarkEnd w:id="140"/>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additional 60 days, in which event it shall notify the claimant in writing prior to the commencement of the extension. The appeals procedure set forth in this Section 10.7 shall be the exclusive means for contesting a decision denying benefits under the Plan.</w:t>
      </w:r>
    </w:p>
    <w:p>
      <w:pPr>
        <w:spacing w:after="0" w:line="132" w:lineRule="exact"/>
        <w:rPr>
          <w:sz w:val="20"/>
          <w:szCs w:val="20"/>
          <w:color w:val="auto"/>
        </w:rPr>
      </w:pPr>
    </w:p>
    <w:p>
      <w:pPr>
        <w:ind w:right="80" w:firstLine="1484"/>
        <w:spacing w:after="0" w:line="294" w:lineRule="auto"/>
        <w:rPr>
          <w:sz w:val="20"/>
          <w:szCs w:val="20"/>
          <w:color w:val="auto"/>
        </w:rPr>
      </w:pPr>
      <w:r>
        <w:rPr>
          <w:rFonts w:ascii="Arial" w:cs="Arial" w:eastAsia="Arial" w:hAnsi="Arial"/>
          <w:sz w:val="16"/>
          <w:szCs w:val="16"/>
          <w:color w:val="auto"/>
        </w:rPr>
        <w:t xml:space="preserve">10.7.3. </w:t>
      </w:r>
      <w:r>
        <w:rPr>
          <w:rFonts w:ascii="Arial" w:cs="Arial" w:eastAsia="Arial" w:hAnsi="Arial"/>
          <w:sz w:val="16"/>
          <w:szCs w:val="16"/>
          <w:u w:val="single" w:color="auto"/>
          <w:color w:val="auto"/>
        </w:rPr>
        <w:t>Exhaustion and Limitations Period</w:t>
      </w:r>
      <w:r>
        <w:rPr>
          <w:rFonts w:ascii="Arial" w:cs="Arial" w:eastAsia="Arial" w:hAnsi="Arial"/>
          <w:sz w:val="16"/>
          <w:szCs w:val="16"/>
          <w:color w:val="auto"/>
        </w:rPr>
        <w:t>. Claimants must exhaust the procedures described in Section 10.7 before taking action in any other forum regarding a claim for benefits under the Plan. Any suit or legal action initiated by a claimant under the Plan must be brought by the claimant no later than one (1) year following a final decision on the claim for benefits under these claims procedures. The one (1)-year statute of limitations on suits for benefits shall apply in any forum where a claimant initiates such suit or legal action. If a civil action is not filed within this period, the claimant’s benefit claim will be deemed permanently waived and abandoned, and the claimant will be precluded from reasserting it.</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member (or former member) of the Committee, and any other person who is an Employee or director of a Participating Company or an Affiliated Company (or a former employee or director of a Participating Company or an Affiliated Company) shall be indemnified and held harmless by the Company against and with respect to all damages, losses, obligations, liabilities, liens, deficiencies, costs and expenses, including without limitation, reasonable attorney’s fees and other costs incident to any suit, action, investigation, claim or proceedings to which he may be a party by reason of his performance of any functions and duties under the Plan, except in relation to matters as to which he shall be held liable for an act of gross negligence or willful misconduct in the performance of his duties. The foregoing right to indemnification shall be in addition to such other rights as the Committee member (or former member) or other person may enjoy as a matter of law or by reason of insurance coverage of any kind. Rights granted hereunder shall be in addition to and not in lieu of any rights to indemnification to which the Committee member (or former member) or other person may be entitled pursuant to the by-laws of the Participating Company.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141" w:name="page142"/>
    <w:bookmarkEnd w:id="141"/>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THE FUND</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Designation of Trustee</w:t>
      </w:r>
      <w:r>
        <w:rPr>
          <w:rFonts w:ascii="Arial" w:cs="Arial" w:eastAsia="Arial" w:hAnsi="Arial"/>
          <w:sz w:val="18"/>
          <w:szCs w:val="18"/>
          <w:color w:val="auto"/>
        </w:rPr>
        <w:t>. The Committee shall name and designate a Trustee and shall enter into a Trust Agreement. The Committee shall have the power to amend the Trust Agreement, remove the Trustee, and designate a successor Trustee, as provided in the Trust Agreement. All of the assets of the Plan shall be held by the Trustee for use in accordance with the Plan.</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Exclusive Benefit</w:t>
      </w:r>
      <w:r>
        <w:rPr>
          <w:rFonts w:ascii="Arial" w:cs="Arial" w:eastAsia="Arial" w:hAnsi="Arial"/>
          <w:sz w:val="18"/>
          <w:szCs w:val="18"/>
          <w:color w:val="auto"/>
        </w:rPr>
        <w:t>. Prior to the satisfaction of all liabilities under the Plan in the event of termination of the Plan, no part of the corpus or income of the Fund shall be used for or diverted to purposes other than for the exclusive benefit of Participants and their beneficiaries except as expressly provided in this Plan and in the Trust Agreement.</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assets or income of the Fund, except to the extent expressly provided in this Plan and in the Trust Agreement.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Trustee</w:t>
      </w:r>
      <w:r>
        <w:rPr>
          <w:rFonts w:ascii="Arial" w:cs="Arial" w:eastAsia="Arial" w:hAnsi="Arial"/>
          <w:sz w:val="18"/>
          <w:szCs w:val="18"/>
          <w:color w:val="auto"/>
        </w:rPr>
        <w:t>. The Trustee shall be the named fiduciary with respect to management and control of Plan assets held by it and shall have exclusive and sole responsibility for the custody and investment thereof in accordance with the Trust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90" w:lineRule="exact"/>
        <w:rPr>
          <w:sz w:val="20"/>
          <w:szCs w:val="20"/>
          <w:color w:val="auto"/>
        </w:rPr>
      </w:pPr>
    </w:p>
    <w:p>
      <w:pPr>
        <w:ind w:right="120" w:firstLine="1484"/>
        <w:spacing w:after="0" w:line="298" w:lineRule="auto"/>
        <w:rPr>
          <w:sz w:val="20"/>
          <w:szCs w:val="20"/>
          <w:color w:val="auto"/>
        </w:rPr>
      </w:pPr>
      <w:r>
        <w:rPr>
          <w:rFonts w:ascii="Arial" w:cs="Arial" w:eastAsia="Arial" w:hAnsi="Arial"/>
          <w:sz w:val="16"/>
          <w:szCs w:val="16"/>
          <w:color w:val="auto"/>
        </w:rPr>
        <w:t>11.5.1. Except as provided in Section 11.5.5, the Trustee shall invest all contributions that are paid to it and income thereon in such Investment Media as each Participant may select in accordance with this Section. The Investment Media made available to Participants shall include Investment Media solely invested in Company Stock (except to the extent that cash or a cash equivalent is necessary to provide liquidity to comply with Participant investment direction). Such investments acquired in the manner prescribed by the Plan shall be held by or for the Trustee.</w:t>
      </w:r>
    </w:p>
    <w:p>
      <w:pPr>
        <w:spacing w:after="0" w:line="113"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color w:val="auto"/>
        </w:rPr>
        <w:t>11.5.2. Except as provided in Sections 11.5.5 through 11.5.7, a Participant shall select one or more of the Investment Media in which his Accounts shall be invested, and the percentage thereof that shall be invested in each Investment Medium selected. In the event a Participant fails to make an election pursuant to this Section, amounts allocated to his Account shall be invested in such Investment Medium or Investment Media as determined by the Committee. In the event a Participant fails to make an election pursuant to this Section with respect to amounts allocated to his Account pursuant to his automatic enrollment in the Plan, such amounts allocated to his Account shall be invested in the Investment Media as determined by the Committee. A Participant may amend such selection by prior notice to the Committee, effective as of such dates determined by the Committee, by giving prior notice to the Committee. Such amendments will be subject to the other requirements which may be imposed by the Committee or the applicable Investment Medium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80" w:right="279" w:bottom="1440" w:gutter="0" w:footer="0" w:header="0"/>
        </w:sectPr>
      </w:pPr>
    </w:p>
    <w:bookmarkStart w:id="142" w:name="page143"/>
    <w:bookmarkEnd w:id="142"/>
    <w:p>
      <w:pPr>
        <w:ind w:right="280" w:firstLine="14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11.5.3. Subject to Section 11.5.7, a Participant may transfer, effective as of such dates determined by the Committee, such portion of the value of his interest in any Investment Medium to another Investment Medium, as may be permitted by the Committee.</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11.5.4. The amounts contributed by all Participants to each Investment Medium shall be commingled for investment purposes.</w:t>
      </w:r>
    </w:p>
    <w:p>
      <w:pPr>
        <w:spacing w:after="0" w:line="194" w:lineRule="exact"/>
        <w:rPr>
          <w:sz w:val="20"/>
          <w:szCs w:val="20"/>
          <w:color w:val="auto"/>
        </w:rPr>
      </w:pPr>
    </w:p>
    <w:p>
      <w:pPr>
        <w:ind w:right="280" w:firstLine="1484"/>
        <w:spacing w:after="0" w:line="268" w:lineRule="auto"/>
        <w:rPr>
          <w:sz w:val="20"/>
          <w:szCs w:val="20"/>
          <w:color w:val="auto"/>
        </w:rPr>
      </w:pPr>
      <w:r>
        <w:rPr>
          <w:rFonts w:ascii="Arial" w:cs="Arial" w:eastAsia="Arial" w:hAnsi="Arial"/>
          <w:sz w:val="18"/>
          <w:szCs w:val="18"/>
          <w:color w:val="auto"/>
        </w:rPr>
        <w:t>11.5.5. The Trustee may hold assets of the Fund and make distributions therefrom in the form of cash without liability for interest, if for administrative purposes it becomes necessary or practical to do so.</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11.5.6. The Committee may limit the right of a Participant (a) to increase or decrease his contribution to a particular Investment Medium,</w:t>
      </w:r>
    </w:p>
    <w:p>
      <w:pPr>
        <w:spacing w:after="0" w:line="38" w:lineRule="exact"/>
        <w:rPr>
          <w:sz w:val="20"/>
          <w:szCs w:val="20"/>
          <w:color w:val="auto"/>
        </w:rPr>
      </w:pPr>
    </w:p>
    <w:p>
      <w:pPr>
        <w:jc w:val="both"/>
        <w:ind w:firstLine="8"/>
        <w:spacing w:after="0" w:line="255" w:lineRule="auto"/>
        <w:tabs>
          <w:tab w:leader="none" w:pos="24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transfer amounts to or from a particular Investment Medium, or (c) to transfer amounts between particular Investment Media, if such limitation is required under the terms establishing an Investment Medium or to facilitate the merger of any other plan with and into this Plan, or the transfer or rollover of benefits into this Plan.</w:t>
      </w:r>
    </w:p>
    <w:p>
      <w:pPr>
        <w:spacing w:after="0" w:line="144" w:lineRule="exact"/>
        <w:rPr>
          <w:sz w:val="20"/>
          <w:szCs w:val="20"/>
          <w:color w:val="auto"/>
        </w:rPr>
      </w:pPr>
    </w:p>
    <w:p>
      <w:pPr>
        <w:jc w:val="both"/>
        <w:ind w:right="100" w:firstLine="1484"/>
        <w:spacing w:after="0" w:line="294" w:lineRule="auto"/>
        <w:rPr>
          <w:sz w:val="20"/>
          <w:szCs w:val="20"/>
          <w:color w:val="auto"/>
        </w:rPr>
      </w:pPr>
      <w:r>
        <w:rPr>
          <w:rFonts w:ascii="Arial" w:cs="Arial" w:eastAsia="Arial" w:hAnsi="Arial"/>
          <w:sz w:val="16"/>
          <w:szCs w:val="16"/>
          <w:color w:val="auto"/>
        </w:rPr>
        <w:t>11.5.7. Prior to the AT&amp;T Broadband Transaction, individuals who were Participants in the Plan prior to the Effective Date could elect to invest all or a portion of their Accounts in Investment Stock. Effective after the AT&amp;T Broadband Transaction, Investment Stock is no longer available for new investments, and, except as provided in this Article, Participants may invest in Company Stock instead. Subject to Sections 11.5.5 and 11.5.6, all or a portion of the value of a Participant’s interest in Investment Stock may be transferred to a different Investment Medium, including Company Stock, at the election of such Participant; however, a Participant may not transfer a portion of the value of his interest in any Investment Medium to Investment Stock.</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240" w:top="280" w:right="339" w:bottom="1440" w:gutter="0" w:footer="0" w:header="0"/>
        </w:sectPr>
      </w:pPr>
    </w:p>
    <w:bookmarkStart w:id="143" w:name="page144"/>
    <w:bookmarkEnd w:id="143"/>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AMENDMENT OR TERMINATION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Power of Amendment and Termination</w:t>
      </w:r>
      <w:r>
        <w:rPr>
          <w:rFonts w:ascii="Arial" w:cs="Arial" w:eastAsia="Arial" w:hAnsi="Arial"/>
          <w:sz w:val="18"/>
          <w:szCs w:val="18"/>
          <w:color w:val="auto"/>
        </w:rPr>
        <w:t>.</w:t>
      </w:r>
    </w:p>
    <w:p>
      <w:pPr>
        <w:spacing w:after="0" w:line="90" w:lineRule="exact"/>
        <w:rPr>
          <w:sz w:val="20"/>
          <w:szCs w:val="20"/>
          <w:color w:val="auto"/>
        </w:rPr>
      </w:pPr>
    </w:p>
    <w:p>
      <w:pPr>
        <w:ind w:firstLine="1484"/>
        <w:spacing w:after="0" w:line="306" w:lineRule="auto"/>
        <w:rPr>
          <w:sz w:val="20"/>
          <w:szCs w:val="20"/>
          <w:color w:val="auto"/>
        </w:rPr>
      </w:pPr>
      <w:r>
        <w:rPr>
          <w:rFonts w:ascii="Arial" w:cs="Arial" w:eastAsia="Arial" w:hAnsi="Arial"/>
          <w:sz w:val="16"/>
          <w:szCs w:val="16"/>
          <w:color w:val="auto"/>
        </w:rPr>
        <w:t>12.1.1. It is the intention of each Participating Company that this Plan will be permanent. However, each Participating Company reserves the right to terminate its participation in this Plan at any time by action of its board of directors or other governing body. Furthermore, the Company reserves the power to amend or terminate the Plan at any time and to any extent by action of the Board of Directors.</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12.1.2. In addition,</w:t>
      </w:r>
    </w:p>
    <w:p>
      <w:pPr>
        <w:spacing w:after="0" w:line="90" w:lineRule="exact"/>
        <w:rPr>
          <w:sz w:val="20"/>
          <w:szCs w:val="20"/>
          <w:color w:val="auto"/>
        </w:rPr>
      </w:pPr>
    </w:p>
    <w:p>
      <w:pPr>
        <w:ind w:left="2180" w:hanging="232"/>
        <w:spacing w:after="0"/>
        <w:tabs>
          <w:tab w:leader="none" w:pos="2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Compensation Committee of the Board of Directors may approve any amendment to the Plan;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EVP may approve any amendment to the Plan:</w:t>
      </w:r>
    </w:p>
    <w:p>
      <w:pPr>
        <w:spacing w:after="0" w:line="90" w:lineRule="exact"/>
        <w:rPr>
          <w:rFonts w:ascii="Arial" w:cs="Arial" w:eastAsia="Arial" w:hAnsi="Arial"/>
          <w:sz w:val="18"/>
          <w:szCs w:val="18"/>
          <w:color w:val="auto"/>
        </w:rPr>
      </w:pPr>
    </w:p>
    <w:p>
      <w:pPr>
        <w:ind w:right="160" w:firstLine="2404"/>
        <w:spacing w:after="0" w:line="268" w:lineRule="auto"/>
        <w:tabs>
          <w:tab w:leader="none" w:pos="2606"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that is required by law or necessary or appropriate to maintain the Plan as a plan meeting the requirements of Code section 401(a), retroactively if necessary or appropriate;</w:t>
      </w:r>
    </w:p>
    <w:p>
      <w:pPr>
        <w:spacing w:after="0" w:line="131" w:lineRule="exact"/>
        <w:rPr>
          <w:rFonts w:ascii="Arial" w:cs="Arial" w:eastAsia="Arial" w:hAnsi="Arial"/>
          <w:sz w:val="18"/>
          <w:szCs w:val="18"/>
          <w:color w:val="auto"/>
        </w:rPr>
      </w:pPr>
    </w:p>
    <w:p>
      <w:pPr>
        <w:ind w:left="2660" w:hanging="256"/>
        <w:spacing w:after="0"/>
        <w:tabs>
          <w:tab w:leader="none" w:pos="2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that is necessary to make clarifying changes or to correct a drafting error;</w:t>
      </w:r>
    </w:p>
    <w:p>
      <w:pPr>
        <w:spacing w:after="0" w:line="171" w:lineRule="exact"/>
        <w:rPr>
          <w:rFonts w:ascii="Arial" w:cs="Arial" w:eastAsia="Arial" w:hAnsi="Arial"/>
          <w:sz w:val="18"/>
          <w:szCs w:val="18"/>
          <w:color w:val="auto"/>
        </w:rPr>
      </w:pPr>
    </w:p>
    <w:p>
      <w:pPr>
        <w:ind w:right="40" w:firstLine="2404"/>
        <w:spacing w:after="0" w:line="259" w:lineRule="auto"/>
        <w:tabs>
          <w:tab w:leader="none" w:pos="270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to designate as a Participating Company, any organization subject to the adoption of the Plan by action of such organization’s board of directors or other governing body, provided that as a result of such designation, the number of individuals reasonably expected to become eligible to participate in the Plan does not exceed 1,000;</w:t>
      </w:r>
    </w:p>
    <w:p>
      <w:pPr>
        <w:spacing w:after="0" w:line="140" w:lineRule="exact"/>
        <w:rPr>
          <w:rFonts w:ascii="Arial" w:cs="Arial" w:eastAsia="Arial" w:hAnsi="Arial"/>
          <w:sz w:val="18"/>
          <w:szCs w:val="18"/>
          <w:color w:val="auto"/>
        </w:rPr>
      </w:pPr>
    </w:p>
    <w:p>
      <w:pPr>
        <w:ind w:right="180" w:firstLine="2404"/>
        <w:spacing w:after="0" w:line="259" w:lineRule="auto"/>
        <w:tabs>
          <w:tab w:leader="none" w:pos="269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to exclude from status as a Participating Company any subsidiary of the Company which is eligible to file a consolidated federal income tax return with the Company, provided that as a result of such exclusion, the number of individuals reasonably expected to be excluded from eligibility to participate in the Plan does not exceed 1,000; or</w:t>
      </w:r>
    </w:p>
    <w:p>
      <w:pPr>
        <w:spacing w:after="0" w:line="140" w:lineRule="exact"/>
        <w:rPr>
          <w:rFonts w:ascii="Arial" w:cs="Arial" w:eastAsia="Arial" w:hAnsi="Arial"/>
          <w:sz w:val="18"/>
          <w:szCs w:val="18"/>
          <w:color w:val="auto"/>
        </w:rPr>
      </w:pPr>
    </w:p>
    <w:p>
      <w:pPr>
        <w:ind w:left="2660" w:hanging="256"/>
        <w:spacing w:after="0"/>
        <w:tabs>
          <w:tab w:leader="none" w:pos="26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that is not expected to increase the costs of the Plan by more than $10 million annually based on a reasonable actuarial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estimate.</w:t>
      </w:r>
    </w:p>
    <w:p>
      <w:pPr>
        <w:spacing w:after="0" w:line="165" w:lineRule="exact"/>
        <w:rPr>
          <w:sz w:val="20"/>
          <w:szCs w:val="20"/>
          <w:color w:val="auto"/>
        </w:rPr>
      </w:pPr>
    </w:p>
    <w:p>
      <w:pPr>
        <w:ind w:right="180" w:firstLine="1484"/>
        <w:spacing w:after="0" w:line="306" w:lineRule="auto"/>
        <w:rPr>
          <w:sz w:val="20"/>
          <w:szCs w:val="20"/>
          <w:color w:val="auto"/>
        </w:rPr>
      </w:pPr>
      <w:r>
        <w:rPr>
          <w:rFonts w:ascii="Arial" w:cs="Arial" w:eastAsia="Arial" w:hAnsi="Arial"/>
          <w:sz w:val="16"/>
          <w:szCs w:val="16"/>
          <w:color w:val="auto"/>
        </w:rPr>
        <w:t>12.1.3 Any amendment or termination of the Plan shall become effective as of the date designated by the Board of Directors, the Compensation Committee of the Board of Directors or EVP; provided however, that an amendment to the Plan shall not be effective to the extent that it has the effect of decreasing a Participant’s accrued benefit under section 411(d)(6) of the Code. Except as expressly provided elsewhere in the Plan, prior to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80" w:right="279" w:bottom="1440" w:gutter="0" w:footer="0" w:header="0"/>
        </w:sectPr>
      </w:pPr>
    </w:p>
    <w:bookmarkStart w:id="144" w:name="page145"/>
    <w:bookmarkEnd w:id="14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satisfaction of all liabilities with respect to the benefits provided under this Plan, no amendment or termination shall cause any part of the monies contributed hereunder to revert to the Participating Companies or to be diverted to any purpose other than for the exclusive benefit of Participants and their beneficiaries. Upon termination or partial termination of the Plan, or upon complete discontinuance of contributions, the rights of all affected persons to benefits accrued to the date of such termination shall be nonforfeitable. Upon termination of the plan without establishment or maintenance of another defined contribution plan (other than an employee stock ownership plan as defined in section 4975(e)(7) of the Code or a simplified employee pension plan as defined in Section 408(k) of the Code), Accounts shall be distributed in accordance with applicable law.</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Section 12.2. </w:t>
      </w:r>
      <w:r>
        <w:rPr>
          <w:rFonts w:ascii="Arial" w:cs="Arial" w:eastAsia="Arial" w:hAnsi="Arial"/>
          <w:sz w:val="15"/>
          <w:szCs w:val="15"/>
          <w:u w:val="single" w:color="auto"/>
          <w:color w:val="auto"/>
        </w:rPr>
        <w:t>Merger</w:t>
      </w:r>
      <w:r>
        <w:rPr>
          <w:rFonts w:ascii="Arial" w:cs="Arial" w:eastAsia="Arial" w:hAnsi="Arial"/>
          <w:sz w:val="15"/>
          <w:szCs w:val="15"/>
          <w:color w:val="auto"/>
        </w:rPr>
        <w:t>. The Plan shall not be merged with or consolidated with, nor shall its assets be transferred to, any other qualified retirement plan unless each Participant would receive a benefit after such merger, consolidation, or transfer (assuming the Plan then terminated) which is of actuarial value equal to or greater than the benefit he would have received from his Account if the Plan had been terminated on the day before such merger, consolidation, or transfer.</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280" w:right="339" w:bottom="1440" w:gutter="0" w:footer="0" w:header="0"/>
        </w:sectPr>
      </w:pPr>
    </w:p>
    <w:bookmarkStart w:id="145" w:name="page146"/>
    <w:bookmarkEnd w:id="145"/>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XIII</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TOP-HEAVY PROVISIONS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General</w:t>
      </w:r>
      <w:r>
        <w:rPr>
          <w:rFonts w:ascii="Arial" w:cs="Arial" w:eastAsia="Arial" w:hAnsi="Arial"/>
          <w:sz w:val="18"/>
          <w:szCs w:val="18"/>
          <w:color w:val="auto"/>
        </w:rPr>
        <w:t>. The following provisions shall apply automatically to the Plan and shall supersede any contrary provisions for each Plan Year in which the Plan is a Top-Heavy Plan (as defined below). It is intended that this Article shall be construed in accordance with the provisions of section 416 of the Code.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supplement those set forth in Article I of the Plan:</w:t>
      </w:r>
    </w:p>
    <w:p>
      <w:pPr>
        <w:spacing w:after="0" w:line="90" w:lineRule="exact"/>
        <w:rPr>
          <w:sz w:val="20"/>
          <w:szCs w:val="20"/>
          <w:color w:val="auto"/>
        </w:rPr>
      </w:pPr>
    </w:p>
    <w:p>
      <w:pPr>
        <w:ind w:right="220" w:firstLine="1484"/>
        <w:spacing w:after="0" w:line="332" w:lineRule="auto"/>
        <w:rPr>
          <w:sz w:val="20"/>
          <w:szCs w:val="20"/>
          <w:color w:val="auto"/>
        </w:rPr>
      </w:pPr>
      <w:r>
        <w:rPr>
          <w:rFonts w:ascii="Arial" w:cs="Arial" w:eastAsia="Arial" w:hAnsi="Arial"/>
          <w:sz w:val="16"/>
          <w:szCs w:val="16"/>
          <w:color w:val="auto"/>
        </w:rPr>
        <w:t>13.2.1. “</w:t>
      </w:r>
      <w:r>
        <w:rPr>
          <w:rFonts w:ascii="Arial" w:cs="Arial" w:eastAsia="Arial" w:hAnsi="Arial"/>
          <w:sz w:val="16"/>
          <w:szCs w:val="16"/>
          <w:u w:val="single" w:color="auto"/>
          <w:color w:val="auto"/>
        </w:rPr>
        <w:t>Aggregation Group</w:t>
      </w:r>
      <w:r>
        <w:rPr>
          <w:rFonts w:ascii="Arial" w:cs="Arial" w:eastAsia="Arial" w:hAnsi="Arial"/>
          <w:sz w:val="16"/>
          <w:szCs w:val="16"/>
          <w:color w:val="auto"/>
        </w:rPr>
        <w:t>” means this plan and each other qualified retirement plan (including a frozen plan or a plan which has been terminated during the 60-month period ending on the Determination Date) of a Participating Company or an Affiliated Company:</w:t>
      </w:r>
    </w:p>
    <w:p>
      <w:pPr>
        <w:spacing w:after="0" w:line="4" w:lineRule="exact"/>
        <w:rPr>
          <w:sz w:val="20"/>
          <w:szCs w:val="20"/>
          <w:color w:val="auto"/>
        </w:rPr>
      </w:pPr>
    </w:p>
    <w:p>
      <w:pPr>
        <w:ind w:left="2180" w:hanging="232"/>
        <w:spacing w:after="0"/>
        <w:tabs>
          <w:tab w:leader="none" w:pos="21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which a Key Employee is a participant; or</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which enables any plan in which a Key Employee participates to meet the requirements of sections 401(a)(4) or 410 of the Code;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65" w:lineRule="exact"/>
        <w:rPr>
          <w:sz w:val="20"/>
          <w:szCs w:val="20"/>
          <w:color w:val="auto"/>
        </w:rPr>
      </w:pPr>
    </w:p>
    <w:p>
      <w:pPr>
        <w:ind w:right="40" w:firstLine="1948"/>
        <w:spacing w:after="0" w:line="332" w:lineRule="auto"/>
        <w:tabs>
          <w:tab w:leader="none" w:pos="217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without the inclusion of which, the plans in the Aggregation Group would be Top-Heavy Plans, but, with the inclusion of which, the plans in the Aggregation Group are not Top-Heavy Plans and, taken together, meet the requirements of sections 401(a)(4) and 410 of the Code.</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13.2.2. “</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for any Plan Year, the last day of the preceding Plan Year.</w:t>
      </w:r>
    </w:p>
    <w:p>
      <w:pPr>
        <w:spacing w:after="0" w:line="171" w:lineRule="exact"/>
        <w:rPr>
          <w:sz w:val="20"/>
          <w:szCs w:val="20"/>
          <w:color w:val="auto"/>
        </w:rPr>
      </w:pPr>
    </w:p>
    <w:p>
      <w:pPr>
        <w:ind w:right="160" w:firstLine="1484"/>
        <w:spacing w:after="0" w:line="254" w:lineRule="auto"/>
        <w:rPr>
          <w:sz w:val="20"/>
          <w:szCs w:val="20"/>
          <w:color w:val="auto"/>
        </w:rPr>
      </w:pPr>
      <w:r>
        <w:rPr>
          <w:rFonts w:ascii="Arial" w:cs="Arial" w:eastAsia="Arial" w:hAnsi="Arial"/>
          <w:sz w:val="18"/>
          <w:szCs w:val="18"/>
          <w:color w:val="auto"/>
        </w:rPr>
        <w:t>13.2.3. “</w:t>
      </w:r>
      <w:r>
        <w:rPr>
          <w:rFonts w:ascii="Arial" w:cs="Arial" w:eastAsia="Arial" w:hAnsi="Arial"/>
          <w:sz w:val="18"/>
          <w:szCs w:val="18"/>
          <w:u w:val="single" w:color="auto"/>
          <w:color w:val="auto"/>
        </w:rPr>
        <w:t>Key Employee</w:t>
      </w:r>
      <w:r>
        <w:rPr>
          <w:rFonts w:ascii="Arial" w:cs="Arial" w:eastAsia="Arial" w:hAnsi="Arial"/>
          <w:sz w:val="18"/>
          <w:szCs w:val="18"/>
          <w:color w:val="auto"/>
        </w:rPr>
        <w:t>” means any Employee or former Employee (including any deceased Employee) who at any time during the Plan Year that includes the Determination Date was an officer of a Participating Company having Compensation for a Plan Year greater than $130,000 (as adjusted under section 415(i)(1) of the Code), a 5% owner of a Participating Company, or a 1% owner of a Participating Company having Compensation in excess of $150,000. For this purpose, Compensation means compensation within the meaning of section 415(c)(3) of the Code. The determination of who is a key employee will be made in accordance with section 416(i)(1) of the Code and the applicable regulations and other guidance of general applicability issued thereunder.</w:t>
      </w:r>
    </w:p>
    <w:p>
      <w:pPr>
        <w:spacing w:after="0" w:line="144" w:lineRule="exact"/>
        <w:rPr>
          <w:sz w:val="20"/>
          <w:szCs w:val="20"/>
          <w:color w:val="auto"/>
        </w:rPr>
      </w:pPr>
    </w:p>
    <w:p>
      <w:pPr>
        <w:ind w:right="260" w:firstLine="1484"/>
        <w:spacing w:after="0" w:line="332" w:lineRule="auto"/>
        <w:rPr>
          <w:sz w:val="20"/>
          <w:szCs w:val="20"/>
          <w:color w:val="auto"/>
        </w:rPr>
      </w:pPr>
      <w:r>
        <w:rPr>
          <w:rFonts w:ascii="Arial" w:cs="Arial" w:eastAsia="Arial" w:hAnsi="Arial"/>
          <w:sz w:val="16"/>
          <w:szCs w:val="16"/>
          <w:color w:val="auto"/>
        </w:rPr>
        <w:t>13.2.4. “</w:t>
      </w:r>
      <w:r>
        <w:rPr>
          <w:rFonts w:ascii="Arial" w:cs="Arial" w:eastAsia="Arial" w:hAnsi="Arial"/>
          <w:sz w:val="16"/>
          <w:szCs w:val="16"/>
          <w:u w:val="single" w:color="auto"/>
          <w:color w:val="auto"/>
        </w:rPr>
        <w:t>Key Employee Ratio</w:t>
      </w:r>
      <w:r>
        <w:rPr>
          <w:rFonts w:ascii="Arial" w:cs="Arial" w:eastAsia="Arial" w:hAnsi="Arial"/>
          <w:sz w:val="16"/>
          <w:szCs w:val="16"/>
          <w:color w:val="auto"/>
        </w:rPr>
        <w:t>” means, for any Determination Date, the ratio of the amount described in Section 13.2.4(a) to the amount described in Section 13.2.4(b), after deducting from each such amount any portion thereof described in Section 13.2.4(c), where:</w:t>
      </w:r>
    </w:p>
    <w:p>
      <w:pPr>
        <w:spacing w:after="0" w:line="4" w:lineRule="exact"/>
        <w:rPr>
          <w:sz w:val="20"/>
          <w:szCs w:val="20"/>
          <w:color w:val="auto"/>
        </w:rPr>
      </w:pPr>
    </w:p>
    <w:p>
      <w:pPr>
        <w:jc w:val="right"/>
        <w:ind w:left="5560" w:right="5340" w:hanging="3612"/>
        <w:spacing w:after="0" w:line="576" w:lineRule="auto"/>
        <w:tabs>
          <w:tab w:leader="none" w:pos="2179"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amount described in this Paragraph is the sum of: -61-</w:t>
      </w:r>
    </w:p>
    <w:p>
      <w:pPr>
        <w:sectPr>
          <w:pgSz w:w="11900" w:h="16838" w:orient="portrait"/>
          <w:cols w:equalWidth="0" w:num="1">
            <w:col w:w="11260"/>
          </w:cols>
          <w:pgMar w:left="240" w:top="280" w:right="399" w:bottom="1440" w:gutter="0" w:footer="0" w:header="0"/>
        </w:sectPr>
      </w:pPr>
    </w:p>
    <w:bookmarkStart w:id="146" w:name="page147"/>
    <w:bookmarkEnd w:id="146"/>
    <w:p>
      <w:pPr>
        <w:ind w:left="2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 the present value of all accrued benefits of Key Employees under all qualified defined benefit plans included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Aggregation Group;</w:t>
      </w:r>
    </w:p>
    <w:p>
      <w:pPr>
        <w:spacing w:after="0" w:line="16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(2) the balances in all of the accounts of Key Employees under all qualified defined contribution plans included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Aggregation Group; and</w:t>
      </w:r>
    </w:p>
    <w:p>
      <w:pPr>
        <w:spacing w:after="0" w:line="165" w:lineRule="exact"/>
        <w:rPr>
          <w:sz w:val="20"/>
          <w:szCs w:val="20"/>
          <w:color w:val="auto"/>
        </w:rPr>
      </w:pPr>
    </w:p>
    <w:p>
      <w:pPr>
        <w:ind w:right="200" w:firstLine="2404"/>
        <w:spacing w:after="0" w:line="306" w:lineRule="auto"/>
        <w:tabs>
          <w:tab w:leader="none" w:pos="264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amounts distributed from all plans in such Aggregation Group to or on behalf of any Key Employee during the 1-year period (5-year period for distributions made for a reason other than incurring a Severance from Service Date, death or Total Disability) ending on the Determination Date, except any benefit paid on account of death to the extent it exceeds the accrued benefits or account balances immediately prior to death;</w:t>
      </w:r>
    </w:p>
    <w:p>
      <w:pPr>
        <w:spacing w:after="0" w:line="106" w:lineRule="exact"/>
        <w:rPr>
          <w:rFonts w:ascii="Arial" w:cs="Arial" w:eastAsia="Arial" w:hAnsi="Arial"/>
          <w:sz w:val="16"/>
          <w:szCs w:val="16"/>
          <w:color w:val="auto"/>
        </w:rPr>
      </w:pPr>
    </w:p>
    <w:p>
      <w:pPr>
        <w:ind w:left="2200" w:hanging="252"/>
        <w:spacing w:after="0"/>
        <w:tabs>
          <w:tab w:leader="none" w:pos="2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90" w:lineRule="exact"/>
        <w:rPr>
          <w:rFonts w:ascii="Arial" w:cs="Arial" w:eastAsia="Arial" w:hAnsi="Arial"/>
          <w:sz w:val="18"/>
          <w:szCs w:val="18"/>
          <w:color w:val="auto"/>
        </w:rPr>
      </w:pPr>
    </w:p>
    <w:p>
      <w:pPr>
        <w:ind w:left="2660" w:hanging="256"/>
        <w:spacing w:after="0"/>
        <w:tabs>
          <w:tab w:leader="none" w:pos="266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present value of all accrued benefits of all participants under all qualified defined benefit plans included in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Aggregation Group;</w:t>
      </w:r>
    </w:p>
    <w:p>
      <w:pPr>
        <w:spacing w:after="0" w:line="164" w:lineRule="exact"/>
        <w:rPr>
          <w:rFonts w:ascii="Arial" w:cs="Arial" w:eastAsia="Arial" w:hAnsi="Arial"/>
          <w:sz w:val="16"/>
          <w:szCs w:val="16"/>
          <w:color w:val="auto"/>
        </w:rPr>
      </w:pPr>
    </w:p>
    <w:p>
      <w:pPr>
        <w:ind w:left="2660" w:hanging="256"/>
        <w:spacing w:after="0"/>
        <w:tabs>
          <w:tab w:leader="none" w:pos="266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balances in all of the accounts of all participants under all qualified defined contribution plans included in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Aggregation Group; and</w:t>
      </w:r>
    </w:p>
    <w:p>
      <w:pPr>
        <w:spacing w:after="0" w:line="164" w:lineRule="exact"/>
        <w:rPr>
          <w:rFonts w:ascii="Arial" w:cs="Arial" w:eastAsia="Arial" w:hAnsi="Arial"/>
          <w:sz w:val="16"/>
          <w:szCs w:val="16"/>
          <w:color w:val="auto"/>
        </w:rPr>
      </w:pPr>
    </w:p>
    <w:p>
      <w:pPr>
        <w:ind w:firstLine="2404"/>
        <w:spacing w:after="0" w:line="259" w:lineRule="auto"/>
        <w:tabs>
          <w:tab w:leader="none" w:pos="264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amounts distributed from all plans in such Aggregation Group to or on behalf of any participant during the 1-year period (5-year period for distributions made for a reason other than incurring a Severance from Service Date, death or Total Disability) ending on the Determination Date; and</w:t>
      </w:r>
    </w:p>
    <w:p>
      <w:pPr>
        <w:spacing w:after="0" w:line="140" w:lineRule="exact"/>
        <w:rPr>
          <w:rFonts w:ascii="Arial" w:cs="Arial" w:eastAsia="Arial" w:hAnsi="Arial"/>
          <w:sz w:val="18"/>
          <w:szCs w:val="18"/>
          <w:color w:val="auto"/>
        </w:rPr>
      </w:pPr>
    </w:p>
    <w:p>
      <w:pPr>
        <w:ind w:left="2180" w:hanging="232"/>
        <w:spacing w:after="0"/>
        <w:tabs>
          <w:tab w:leader="none" w:pos="2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90" w:lineRule="exact"/>
        <w:rPr>
          <w:rFonts w:ascii="Arial" w:cs="Arial" w:eastAsia="Arial" w:hAnsi="Arial"/>
          <w:sz w:val="18"/>
          <w:szCs w:val="18"/>
          <w:color w:val="auto"/>
        </w:rPr>
      </w:pPr>
    </w:p>
    <w:p>
      <w:pPr>
        <w:ind w:right="500" w:firstLine="2404"/>
        <w:spacing w:after="0" w:line="268" w:lineRule="auto"/>
        <w:tabs>
          <w:tab w:leader="none" w:pos="264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rollover contributions (or fund to fund transfers) to the Plan by an Employee after December 31, 1983 from a plan sponsored by an employer which is not a Participating Company or an Affiliated Company;</w:t>
      </w:r>
    </w:p>
    <w:p>
      <w:pPr>
        <w:spacing w:after="0" w:line="131" w:lineRule="exact"/>
        <w:rPr>
          <w:rFonts w:ascii="Arial" w:cs="Arial" w:eastAsia="Arial" w:hAnsi="Arial"/>
          <w:sz w:val="18"/>
          <w:szCs w:val="18"/>
          <w:color w:val="auto"/>
        </w:rPr>
      </w:pPr>
    </w:p>
    <w:p>
      <w:pPr>
        <w:ind w:right="100" w:firstLine="2404"/>
        <w:spacing w:after="0" w:line="268" w:lineRule="auto"/>
        <w:tabs>
          <w:tab w:leader="none" w:pos="264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is a Non-Key Employee as to the Plan Year of reference but who was a Key Employee as to any earlier Plan Year; and</w:t>
      </w:r>
    </w:p>
    <w:p>
      <w:pPr>
        <w:spacing w:after="0" w:line="131" w:lineRule="exact"/>
        <w:rPr>
          <w:rFonts w:ascii="Arial" w:cs="Arial" w:eastAsia="Arial" w:hAnsi="Arial"/>
          <w:sz w:val="18"/>
          <w:szCs w:val="18"/>
          <w:color w:val="auto"/>
        </w:rPr>
      </w:pPr>
    </w:p>
    <w:p>
      <w:pPr>
        <w:ind w:right="400" w:firstLine="2404"/>
        <w:spacing w:after="0" w:line="268" w:lineRule="auto"/>
        <w:tabs>
          <w:tab w:leader="none" w:pos="264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has not performed any services for any Participating Company during the 1-year period ending on the Determination Date.</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present value of accrued benefits under any defined benefit plan shall be determined under the method used for accrual purposes for all plans maintained by all Participating Companies and Affiliated Companies if a single method is used by all such plans, or, otherwise, the slowest accrual method permitted under section 411(b)(1)(C) of the Code.</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purposes of Sections 13.2.4(a)(3) and (b)(3), distributions under a terminated plan which, had it not been terminated, would have been aggregated with the Plan under section 416(g)(2)(A)(i) of the Code shall also be included. The accrued benefits and accounts of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80" w:right="27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individual who has not performed services for a Participating Company during the 1-year period ending on the Determination Date shall not be taken into account</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13.2.5. “</w:t>
      </w:r>
      <w:r>
        <w:rPr>
          <w:rFonts w:ascii="Arial" w:cs="Arial" w:eastAsia="Arial" w:hAnsi="Arial"/>
          <w:sz w:val="18"/>
          <w:szCs w:val="18"/>
          <w:u w:val="single" w:color="auto"/>
          <w:color w:val="auto"/>
        </w:rPr>
        <w:t>Non-Key Employee</w:t>
      </w:r>
      <w:r>
        <w:rPr>
          <w:rFonts w:ascii="Arial" w:cs="Arial" w:eastAsia="Arial" w:hAnsi="Arial"/>
          <w:sz w:val="18"/>
          <w:szCs w:val="18"/>
          <w:color w:val="auto"/>
        </w:rPr>
        <w:t>” means, for any Plan Year:</w:t>
      </w:r>
    </w:p>
    <w:p>
      <w:pPr>
        <w:spacing w:after="0" w:line="90" w:lineRule="exact"/>
        <w:rPr>
          <w:sz w:val="20"/>
          <w:szCs w:val="20"/>
          <w:color w:val="auto"/>
        </w:rPr>
      </w:pPr>
    </w:p>
    <w:p>
      <w:pPr>
        <w:ind w:left="2180" w:hanging="232"/>
        <w:spacing w:after="0"/>
        <w:tabs>
          <w:tab w:leader="none" w:pos="2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Employee or former Employee who is not a Key Employee with respect to such Plan Year; or</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beneficiary of an individual described in Section 13.2.5(a).</w:t>
      </w:r>
    </w:p>
    <w:p>
      <w:pPr>
        <w:spacing w:after="0" w:line="171" w:lineRule="exact"/>
        <w:rPr>
          <w:sz w:val="20"/>
          <w:szCs w:val="20"/>
          <w:color w:val="auto"/>
        </w:rPr>
      </w:pPr>
    </w:p>
    <w:p>
      <w:pPr>
        <w:ind w:right="280" w:firstLine="1484"/>
        <w:spacing w:after="0" w:line="268" w:lineRule="auto"/>
        <w:rPr>
          <w:sz w:val="20"/>
          <w:szCs w:val="20"/>
          <w:color w:val="auto"/>
        </w:rPr>
      </w:pPr>
      <w:r>
        <w:rPr>
          <w:rFonts w:ascii="Arial" w:cs="Arial" w:eastAsia="Arial" w:hAnsi="Arial"/>
          <w:sz w:val="18"/>
          <w:szCs w:val="18"/>
          <w:color w:val="auto"/>
        </w:rPr>
        <w:t>13.2.6. “</w:t>
      </w:r>
      <w:r>
        <w:rPr>
          <w:rFonts w:ascii="Arial" w:cs="Arial" w:eastAsia="Arial" w:hAnsi="Arial"/>
          <w:sz w:val="18"/>
          <w:szCs w:val="18"/>
          <w:u w:val="single" w:color="auto"/>
          <w:color w:val="auto"/>
        </w:rPr>
        <w:t>Super 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ninety percent (90%).</w:t>
      </w:r>
    </w:p>
    <w:p>
      <w:pPr>
        <w:spacing w:after="0" w:line="132" w:lineRule="exact"/>
        <w:rPr>
          <w:sz w:val="20"/>
          <w:szCs w:val="20"/>
          <w:color w:val="auto"/>
        </w:rPr>
      </w:pPr>
    </w:p>
    <w:p>
      <w:pPr>
        <w:ind w:right="40" w:firstLine="1484"/>
        <w:spacing w:after="0" w:line="259" w:lineRule="auto"/>
        <w:rPr>
          <w:sz w:val="20"/>
          <w:szCs w:val="20"/>
          <w:color w:val="auto"/>
        </w:rPr>
      </w:pPr>
      <w:r>
        <w:rPr>
          <w:rFonts w:ascii="Arial" w:cs="Arial" w:eastAsia="Arial" w:hAnsi="Arial"/>
          <w:sz w:val="18"/>
          <w:szCs w:val="18"/>
          <w:color w:val="auto"/>
        </w:rPr>
        <w:t>13.2.7. “</w:t>
      </w:r>
      <w:r>
        <w:rPr>
          <w:rFonts w:ascii="Arial" w:cs="Arial" w:eastAsia="Arial" w:hAnsi="Arial"/>
          <w:sz w:val="18"/>
          <w:szCs w:val="18"/>
          <w:u w:val="single" w:color="auto"/>
          <w:color w:val="auto"/>
        </w:rPr>
        <w:t>Top-Heavy Compensation</w:t>
      </w:r>
      <w:r>
        <w:rPr>
          <w:rFonts w:ascii="Arial" w:cs="Arial" w:eastAsia="Arial" w:hAnsi="Arial"/>
          <w:sz w:val="18"/>
          <w:szCs w:val="18"/>
          <w:color w:val="auto"/>
        </w:rPr>
        <w:t>” means, for any Participant for any Plan Year, the average of his annual Compensation over the period of five consecutive Plan Years (or, if shorter, the longest period of consecutive Plan Years during which the Participant was in the employ of any Participating Company) yielding the highest average, disregarding:</w:t>
      </w:r>
    </w:p>
    <w:p>
      <w:pPr>
        <w:spacing w:after="0" w:line="59" w:lineRule="exact"/>
        <w:rPr>
          <w:sz w:val="20"/>
          <w:szCs w:val="20"/>
          <w:color w:val="auto"/>
        </w:rPr>
      </w:pPr>
    </w:p>
    <w:p>
      <w:pPr>
        <w:ind w:left="2180" w:hanging="232"/>
        <w:spacing w:after="0"/>
        <w:tabs>
          <w:tab w:leader="none" w:pos="2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Compensation for Plan Years ending prior to January 1, 1984;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Compensation for Plan Years after the close of the last Plan Year in which the Plan was a Top-Heavy Plan.</w:t>
      </w:r>
    </w:p>
    <w:p>
      <w:pPr>
        <w:spacing w:after="0" w:line="171" w:lineRule="exact"/>
        <w:rPr>
          <w:sz w:val="20"/>
          <w:szCs w:val="20"/>
          <w:color w:val="auto"/>
        </w:rPr>
      </w:pPr>
    </w:p>
    <w:p>
      <w:pPr>
        <w:ind w:right="740" w:firstLine="1484"/>
        <w:spacing w:after="0" w:line="268" w:lineRule="auto"/>
        <w:rPr>
          <w:sz w:val="20"/>
          <w:szCs w:val="20"/>
          <w:color w:val="auto"/>
        </w:rPr>
      </w:pPr>
      <w:r>
        <w:rPr>
          <w:rFonts w:ascii="Arial" w:cs="Arial" w:eastAsia="Arial" w:hAnsi="Arial"/>
          <w:sz w:val="18"/>
          <w:szCs w:val="18"/>
          <w:color w:val="auto"/>
        </w:rPr>
        <w:t>13.2.8. “</w:t>
      </w:r>
      <w:r>
        <w:rPr>
          <w:rFonts w:ascii="Arial" w:cs="Arial" w:eastAsia="Arial" w:hAnsi="Arial"/>
          <w:sz w:val="18"/>
          <w:szCs w:val="18"/>
          <w:u w:val="single" w:color="auto"/>
          <w:color w:val="auto"/>
        </w:rPr>
        <w:t>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sixty percent (60%).</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13.2.9. “</w:t>
      </w:r>
      <w:r>
        <w:rPr>
          <w:rFonts w:ascii="Arial" w:cs="Arial" w:eastAsia="Arial" w:hAnsi="Arial"/>
          <w:sz w:val="16"/>
          <w:szCs w:val="16"/>
          <w:u w:val="single" w:color="auto"/>
          <w:color w:val="auto"/>
        </w:rPr>
        <w:t>Year of Top-Heavy Service</w:t>
      </w:r>
      <w:r>
        <w:rPr>
          <w:rFonts w:ascii="Arial" w:cs="Arial" w:eastAsia="Arial" w:hAnsi="Arial"/>
          <w:sz w:val="16"/>
          <w:szCs w:val="16"/>
          <w:color w:val="auto"/>
        </w:rPr>
        <w:t>” means, for any Participant, a Plan Year in which he completes 1,000 or more Hours of Service,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excluding:</w:t>
      </w:r>
    </w:p>
    <w:p>
      <w:pPr>
        <w:spacing w:after="0" w:line="84" w:lineRule="exact"/>
        <w:rPr>
          <w:sz w:val="20"/>
          <w:szCs w:val="20"/>
          <w:color w:val="auto"/>
        </w:rPr>
      </w:pPr>
    </w:p>
    <w:p>
      <w:pPr>
        <w:ind w:left="2180" w:hanging="232"/>
        <w:spacing w:after="0"/>
        <w:tabs>
          <w:tab w:leader="none" w:pos="2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Plan Years commencing prior to January 1, 1984;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Plan Years in which the Plan is not a Top-Heavy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Minimum Contribution for Non-Key Employees</w:t>
      </w:r>
      <w:r>
        <w:rPr>
          <w:rFonts w:ascii="Arial" w:cs="Arial" w:eastAsia="Arial" w:hAnsi="Arial"/>
          <w:sz w:val="18"/>
          <w:szCs w:val="18"/>
          <w:color w:val="auto"/>
        </w:rPr>
        <w:t>.</w:t>
      </w:r>
    </w:p>
    <w:p>
      <w:pPr>
        <w:spacing w:after="0" w:line="90" w:lineRule="exact"/>
        <w:rPr>
          <w:sz w:val="20"/>
          <w:szCs w:val="20"/>
          <w:color w:val="auto"/>
        </w:rPr>
      </w:pPr>
    </w:p>
    <w:p>
      <w:pPr>
        <w:ind w:right="20" w:firstLine="1484"/>
        <w:spacing w:after="0" w:line="254" w:lineRule="auto"/>
        <w:rPr>
          <w:sz w:val="20"/>
          <w:szCs w:val="20"/>
          <w:color w:val="auto"/>
        </w:rPr>
      </w:pPr>
      <w:r>
        <w:rPr>
          <w:rFonts w:ascii="Arial" w:cs="Arial" w:eastAsia="Arial" w:hAnsi="Arial"/>
          <w:sz w:val="18"/>
          <w:szCs w:val="18"/>
          <w:color w:val="auto"/>
        </w:rPr>
        <w:t>13.3.1. In each Plan Year in which the Plan is a Top-Heavy Plan, each Eligible Employee who is a Non-Key Employee (except an Eligible Employee who is a Non-Key Employee as to the Plan Year of reference but who was a Key Employee as to any earlier Plan Year) and who is an Employee on the last day of such Plan Year will receive a total minimum Participating Company or Affiliated Company contribution (including forfeitures) under all plans described in Sections 13.2.1(a) and (b) of not less than three percent (3%) of the Eligible Employee’s Compensation for the Plan Year. Elective deferrals to such plans shall not be used to meet the minimum contribution requirements. However, employer matching contributions under the Plan shall be taken into account for purposes of satisfying the minimum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148" w:name="page149"/>
    <w:bookmarkEnd w:id="14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 requirements of section 416(c)(2) of the Code and the Plan. Employer matching contributions that are used to satisfy the minimum contribution requirements shall be treated as matching contributions for purposes of the actual contribution percentage test and other requirements of section 401(m) of the Code.</w:t>
      </w:r>
    </w:p>
    <w:p>
      <w:pPr>
        <w:spacing w:after="0" w:line="140" w:lineRule="exact"/>
        <w:rPr>
          <w:sz w:val="20"/>
          <w:szCs w:val="20"/>
          <w:color w:val="auto"/>
        </w:rPr>
      </w:pPr>
    </w:p>
    <w:p>
      <w:pPr>
        <w:ind w:right="60" w:firstLine="1484"/>
        <w:spacing w:after="0" w:line="254" w:lineRule="auto"/>
        <w:rPr>
          <w:sz w:val="20"/>
          <w:szCs w:val="20"/>
          <w:color w:val="auto"/>
        </w:rPr>
      </w:pPr>
      <w:r>
        <w:rPr>
          <w:rFonts w:ascii="Arial" w:cs="Arial" w:eastAsia="Arial" w:hAnsi="Arial"/>
          <w:sz w:val="18"/>
          <w:szCs w:val="18"/>
          <w:color w:val="auto"/>
        </w:rPr>
        <w:t>13.3.2. The percentage set forth in Section 13.3.1 shall be reduced to the percentage at which contributions, including forfeitures, are made (or are required to be made) for a Plan Year for the Key Employee for whom such percentage is the highest for that Plan Year. This percentage shall be determined for each Key Employee by dividing the contribution for such Key Employee by his Compensation for the Plan Year. All defined contribution plans required to be included in an Aggregation Group shall be treated as one plan for the purpose; however, this Section shall not apply to any plan which is required to be included in the Aggregation Group if such plan enables a defined benefit plan in the group to meet the requirements of section 401(a)(4) or section 410 of the Code.</w:t>
      </w:r>
    </w:p>
    <w:p>
      <w:pPr>
        <w:spacing w:after="0" w:line="144" w:lineRule="exact"/>
        <w:rPr>
          <w:sz w:val="20"/>
          <w:szCs w:val="20"/>
          <w:color w:val="auto"/>
        </w:rPr>
      </w:pPr>
    </w:p>
    <w:p>
      <w:pPr>
        <w:ind w:firstLine="1484"/>
        <w:spacing w:after="0" w:line="298" w:lineRule="auto"/>
        <w:rPr>
          <w:sz w:val="20"/>
          <w:szCs w:val="20"/>
          <w:color w:val="auto"/>
        </w:rPr>
      </w:pPr>
      <w:r>
        <w:rPr>
          <w:rFonts w:ascii="Arial" w:cs="Arial" w:eastAsia="Arial" w:hAnsi="Arial"/>
          <w:sz w:val="16"/>
          <w:szCs w:val="16"/>
          <w:color w:val="auto"/>
        </w:rPr>
        <w:t>13.3.3. If a Non-Key Employee described in Section 13.3.1 participates in both a defined benefit plan and a defined contribution plan described in Sections 13.2.1(a) and (b), the Participating Company is not required to provide such Employee with both the minimum benefit under the defined benefit plan and the minimum contribution. In such event, the Non-Key Employee shall not receive the minimum contribution described in this Section if he has the minimum benefit required by section 416 of the Code under the defined benefit Top-Heavy Plan.</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Social Security</w:t>
      </w:r>
      <w:r>
        <w:rPr>
          <w:rFonts w:ascii="Arial" w:cs="Arial" w:eastAsia="Arial" w:hAnsi="Arial"/>
          <w:sz w:val="18"/>
          <w:szCs w:val="18"/>
          <w:color w:val="auto"/>
        </w:rPr>
        <w:t>. The Plan, for each Plan Year in which it is a Top-Heavy Plan, must meet the requirements of this Article without regard to any Social Security or similar contributions or benefits.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00"/>
          </w:cols>
          <w:pgMar w:left="240" w:top="280" w:right="359" w:bottom="1440" w:gutter="0" w:footer="0" w:header="0"/>
        </w:sectPr>
      </w:pPr>
    </w:p>
    <w:bookmarkStart w:id="149" w:name="page150"/>
    <w:bookmarkEnd w:id="14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XIV</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GENERAL PROVISIONS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Neither the action of the Company in establishing the Plan, nor of any Participating Company in adopting the Plan, nor any provisions of the Plan, nor any action taken by the Company, any Participating Company or the Committee shall be construed as giving to any Employee the right to be retained in the employ of the Company or any Participating Company, or any right to payment except to the extent of the benefits provided in the Plan to be paid from the Fund.</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Section 14.2. </w:t>
      </w:r>
      <w:r>
        <w:rPr>
          <w:rFonts w:ascii="Arial" w:cs="Arial" w:eastAsia="Arial" w:hAnsi="Arial"/>
          <w:sz w:val="16"/>
          <w:szCs w:val="16"/>
          <w:u w:val="single" w:color="auto"/>
          <w:color w:val="auto"/>
        </w:rPr>
        <w:t>Governing Law</w:t>
      </w:r>
      <w:r>
        <w:rPr>
          <w:rFonts w:ascii="Arial" w:cs="Arial" w:eastAsia="Arial" w:hAnsi="Arial"/>
          <w:sz w:val="16"/>
          <w:szCs w:val="16"/>
          <w:color w:val="auto"/>
        </w:rPr>
        <w:t>. Except to the extent superseded by ERISA, all questions pertaining to the validity, construction, and operation of the Plan shall be determined in accordance with the laws of the Commonwealth of Pennsylvania, without regard to its conflicts of law doctrine.</w:t>
      </w:r>
    </w:p>
    <w:p>
      <w:pPr>
        <w:spacing w:after="0" w:line="85"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 xml:space="preserve">Section 14.3.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provisions determined to be void.</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principal or income of the Fund, except as and to the extent expressly provided in this Plan and in the Trust Agreement.</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14.5. </w:t>
      </w:r>
      <w:r>
        <w:rPr>
          <w:rFonts w:ascii="Arial" w:cs="Arial" w:eastAsia="Arial" w:hAnsi="Arial"/>
          <w:sz w:val="16"/>
          <w:szCs w:val="16"/>
          <w:u w:val="single" w:color="auto"/>
          <w:color w:val="auto"/>
        </w:rPr>
        <w:t>Spendthrift Clause</w:t>
      </w:r>
      <w:r>
        <w:rPr>
          <w:rFonts w:ascii="Arial" w:cs="Arial" w:eastAsia="Arial" w:hAnsi="Arial"/>
          <w:sz w:val="16"/>
          <w:szCs w:val="16"/>
          <w:color w:val="auto"/>
        </w:rPr>
        <w:t>. No benefit payable at any time under this Plan and no interest or expectancy herein shall be anticipated, assigned, or alienated by any Participant or beneficiary, or subject to attachment, garnishment, levy, execution, or other legal or equitable process, except for (1) a Federal tax levy made pursuant to section 6331 of the Code and (2) any benefit payable pursuant to a qualified domestic relations order. Any attempt to alienate or assign a benefit hereunder, whether currently or hereafter payable, shall be void. The Committee shall review any domestic relations order to determine whether it is qualified within the meaning of section 414(p) of the Code. An order shall not be qualified unless it complies with all applicable provisions of the Plan concerning mode of payment and manner of elections. Notwithstanding the preceding sentence and any restrictions on timing of distributions and withdrawals under the Plan, an order may provide for distribution at any time permitted under section 414(p)(10) of the Code.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u w:val="single" w:color="auto"/>
          <w:color w:val="auto"/>
        </w:rPr>
        <w:t>Incapacity</w:t>
      </w:r>
      <w:r>
        <w:rPr>
          <w:rFonts w:ascii="Arial" w:cs="Arial" w:eastAsia="Arial" w:hAnsi="Arial"/>
          <w:sz w:val="18"/>
          <w:szCs w:val="18"/>
          <w:color w:val="auto"/>
        </w:rPr>
        <w:t>. If the Committee deems any Participant who is entitled to receive payments hereunder incapable of receiving or disbursing the same by reason of age, illness, infirmity, or incapacity of any kind, the Committee may direct the Trustee to apply such payments directly for the comfort, support, and maintenance of such Participant, or to pay the same to any responsible person caring for the Participant who is determined by the Committee to be qualified to receive and disburse such payments for the Participant’s benefit; and the receipt of such person shall be a complete acquittance for the payment of the benefit. Payments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80" w:right="299" w:bottom="1440" w:gutter="0" w:footer="0" w:header="0"/>
        </w:sectPr>
      </w:pPr>
    </w:p>
    <w:bookmarkStart w:id="150" w:name="page151"/>
    <w:bookmarkEnd w:id="15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this Section shall be complete discharge to the extent thereof of any and all liability of the Participating Companies, the Committee, the Administrator, the Trustee, and the Fund.</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Section 14.7. </w:t>
      </w:r>
      <w:r>
        <w:rPr>
          <w:rFonts w:ascii="Arial" w:cs="Arial" w:eastAsia="Arial" w:hAnsi="Arial"/>
          <w:sz w:val="18"/>
          <w:szCs w:val="18"/>
          <w:u w:val="single" w:color="auto"/>
          <w:color w:val="auto"/>
        </w:rPr>
        <w:t>Withholding</w:t>
      </w:r>
      <w:r>
        <w:rPr>
          <w:rFonts w:ascii="Arial" w:cs="Arial" w:eastAsia="Arial" w:hAnsi="Arial"/>
          <w:sz w:val="18"/>
          <w:szCs w:val="18"/>
          <w:color w:val="auto"/>
        </w:rPr>
        <w:t>. The Committee and the Trustee shall have the right to withhold any and all state, local, and Federal taxes which may be withheld in accordance with applicable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u w:val="single" w:color="auto"/>
          <w:color w:val="auto"/>
        </w:rPr>
        <w:t>Missing Persons/Uncashed Checks</w:t>
      </w:r>
      <w:r>
        <w:rPr>
          <w:rFonts w:ascii="Arial" w:cs="Arial" w:eastAsia="Arial" w:hAnsi="Arial"/>
          <w:sz w:val="18"/>
          <w:szCs w:val="18"/>
          <w:color w:val="auto"/>
        </w:rPr>
        <w:t>.</w:t>
      </w:r>
    </w:p>
    <w:p>
      <w:pPr>
        <w:spacing w:after="0" w:line="90" w:lineRule="exact"/>
        <w:rPr>
          <w:sz w:val="20"/>
          <w:szCs w:val="20"/>
          <w:color w:val="auto"/>
        </w:rPr>
      </w:pPr>
    </w:p>
    <w:p>
      <w:pPr>
        <w:ind w:firstLine="1484"/>
        <w:spacing w:after="0" w:line="289" w:lineRule="auto"/>
        <w:rPr>
          <w:sz w:val="20"/>
          <w:szCs w:val="20"/>
          <w:color w:val="auto"/>
        </w:rPr>
      </w:pPr>
      <w:r>
        <w:rPr>
          <w:rFonts w:ascii="Arial" w:cs="Arial" w:eastAsia="Arial" w:hAnsi="Arial"/>
          <w:sz w:val="16"/>
          <w:szCs w:val="16"/>
          <w:color w:val="auto"/>
        </w:rPr>
        <w:t xml:space="preserve">14.8.1. </w:t>
      </w:r>
      <w:r>
        <w:rPr>
          <w:rFonts w:ascii="Arial" w:cs="Arial" w:eastAsia="Arial" w:hAnsi="Arial"/>
          <w:sz w:val="16"/>
          <w:szCs w:val="16"/>
          <w:u w:val="single" w:color="auto"/>
          <w:color w:val="auto"/>
        </w:rPr>
        <w:t>Missing Persons</w:t>
      </w:r>
      <w:r>
        <w:rPr>
          <w:rFonts w:ascii="Arial" w:cs="Arial" w:eastAsia="Arial" w:hAnsi="Arial"/>
          <w:sz w:val="16"/>
          <w:szCs w:val="16"/>
          <w:color w:val="auto"/>
        </w:rPr>
        <w:t>. Neither the Trustee nor any Participating Company shall be obliged to search for or ascertain the whereabouts of any individual entitled to benefits under the Plan. Any individual entitled to benefits under the Plan who does not file a timely claim for his benefits will be allowed to file a claim at any later date, and payment of his benefits will commence after that later date, except that, in the event the Participating Company is satisfied that a Participant has no spouse or that a Participant’s spouse cannot be located (as described in Section 5.11), and the Participant is in fact married or the spouse is later located, whichever is applicable, such spouse shall not be deemed an individual entitled to benefits under the Plan. In the event that a Participant or beneficiary does not claim his benefits by the applicable required beginning date in accordance with section 401(a)(9) of the Code and the regulations thereunder, the Plan shall forfeit the Account. If and when a claim for benefits is made after such forfeiture, the Account balance as of the date of forfeiture shall be subject to reinstatement.</w:t>
      </w:r>
    </w:p>
    <w:p>
      <w:pPr>
        <w:spacing w:after="0" w:line="118" w:lineRule="exact"/>
        <w:rPr>
          <w:sz w:val="20"/>
          <w:szCs w:val="20"/>
          <w:color w:val="auto"/>
        </w:rPr>
      </w:pPr>
    </w:p>
    <w:p>
      <w:pPr>
        <w:ind w:right="40" w:firstLine="1484"/>
        <w:spacing w:after="0" w:line="289" w:lineRule="auto"/>
        <w:rPr>
          <w:sz w:val="20"/>
          <w:szCs w:val="20"/>
          <w:color w:val="auto"/>
        </w:rPr>
      </w:pPr>
      <w:r>
        <w:rPr>
          <w:rFonts w:ascii="Arial" w:cs="Arial" w:eastAsia="Arial" w:hAnsi="Arial"/>
          <w:sz w:val="16"/>
          <w:szCs w:val="16"/>
          <w:color w:val="auto"/>
        </w:rPr>
        <w:t xml:space="preserve">14.8.2. </w:t>
      </w:r>
      <w:r>
        <w:rPr>
          <w:rFonts w:ascii="Arial" w:cs="Arial" w:eastAsia="Arial" w:hAnsi="Arial"/>
          <w:sz w:val="16"/>
          <w:szCs w:val="16"/>
          <w:u w:val="single" w:color="auto"/>
          <w:color w:val="auto"/>
        </w:rPr>
        <w:t>Uncashed Checks</w:t>
      </w:r>
      <w:r>
        <w:rPr>
          <w:rFonts w:ascii="Arial" w:cs="Arial" w:eastAsia="Arial" w:hAnsi="Arial"/>
          <w:sz w:val="16"/>
          <w:szCs w:val="16"/>
          <w:color w:val="auto"/>
        </w:rPr>
        <w:t>. If a Participant requests payment of his benefits or if the Participant is automatically cashed out pursuant to Section 5.6.1, and such Participant does not cash the distribution check, the Administrator will take the following actions. For distribution checks issued prior to January 1, 2002, the distribution amount will be forfeited, subject to reinstatement in accordance with Treasury Regulation 1.411(a)-4(b)(6) or any successor regulation. For distribution checks issued after January 1, 2002, the distribution amount will be reinstated under the Plan and invested in the Plan’s default investment alternative, subject to the following: (a) if the distribution was not subject to withholding because it was intended to be a direct rollover, or if the distribution was subject to withholding and the reinstatement occurs within the same Plan Year as the initial check issuance, the distribution amount will be reinstated in the same Accounts as immediately preceding the distribution; (b) if the distribution was subject to withholding and the reinstatement occurs after the close of the Plan Year in which the initial check issuance occurred, the distribution amount will be reinstated as an amount in the After-Tax Rollover Account.</w:t>
      </w:r>
    </w:p>
    <w:p>
      <w:pPr>
        <w:spacing w:after="0" w:line="118"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 xml:space="preserve">Section 14.9. </w:t>
      </w:r>
      <w:r>
        <w:rPr>
          <w:rFonts w:ascii="Arial" w:cs="Arial" w:eastAsia="Arial" w:hAnsi="Arial"/>
          <w:sz w:val="16"/>
          <w:szCs w:val="16"/>
          <w:u w:val="single" w:color="auto"/>
          <w:color w:val="auto"/>
        </w:rPr>
        <w:t>Notice</w:t>
      </w:r>
      <w:r>
        <w:rPr>
          <w:rFonts w:ascii="Arial" w:cs="Arial" w:eastAsia="Arial" w:hAnsi="Arial"/>
          <w:sz w:val="16"/>
          <w:szCs w:val="16"/>
          <w:color w:val="auto"/>
        </w:rPr>
        <w:t>. Notices required to be given by Participants pursuant to the terms of the Plan must be in writing; provided, however, that the Company may approve, in lieu of written notice, alternative methods of notice, including electronic modes of communication.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151" w:name="page152"/>
    <w:bookmarkEnd w:id="151"/>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XV</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ADDITIONAL SERVICE CREDIT FOR FORMER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EMPLOYEES OF CERTAIN ACQUIRED BUSINESSES</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Section 15.1. </w:t>
      </w:r>
      <w:r>
        <w:rPr>
          <w:rFonts w:ascii="Arial" w:cs="Arial" w:eastAsia="Arial" w:hAnsi="Arial"/>
          <w:sz w:val="16"/>
          <w:szCs w:val="16"/>
          <w:u w:val="single" w:color="auto"/>
          <w:color w:val="auto"/>
        </w:rPr>
        <w:t>Additional Service Credit</w:t>
      </w:r>
      <w:r>
        <w:rPr>
          <w:rFonts w:ascii="Arial" w:cs="Arial" w:eastAsia="Arial" w:hAnsi="Arial"/>
          <w:sz w:val="16"/>
          <w:szCs w:val="16"/>
          <w:color w:val="auto"/>
        </w:rPr>
        <w:t>. Notwithstanding any provision of the Plan to the contrary, each Employee who is described in Section 15.3 shall, for the purpose of determining his eligibility to participate in the Plan under Article II, and his vested status under Article VI, receive credit for his period of employment with a Listed Employer, as if such Listed Employer had been a Participating Company during such period of employment.</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Section 15.2. </w:t>
      </w:r>
      <w:r>
        <w:rPr>
          <w:rFonts w:ascii="Arial" w:cs="Arial" w:eastAsia="Arial" w:hAnsi="Arial"/>
          <w:sz w:val="16"/>
          <w:szCs w:val="16"/>
          <w:u w:val="single" w:color="auto"/>
          <w:color w:val="auto"/>
        </w:rPr>
        <w:t>Listed Employer</w:t>
      </w:r>
      <w:r>
        <w:rPr>
          <w:rFonts w:ascii="Arial" w:cs="Arial" w:eastAsia="Arial" w:hAnsi="Arial"/>
          <w:sz w:val="16"/>
          <w:szCs w:val="16"/>
          <w:color w:val="auto"/>
        </w:rPr>
        <w:t>. For purposes of this Article XV, a Listed Employer is an entity, with respect to which all or a portion of its stock and/or assets are purchased by an Affiliated Company, which is designated by the Board or its authorized delegate as a Listed Employer.</w:t>
      </w:r>
    </w:p>
    <w:p>
      <w:pPr>
        <w:spacing w:after="0" w:line="8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15.3. </w:t>
      </w:r>
      <w:r>
        <w:rPr>
          <w:rFonts w:ascii="Arial" w:cs="Arial" w:eastAsia="Arial" w:hAnsi="Arial"/>
          <w:sz w:val="18"/>
          <w:szCs w:val="18"/>
          <w:u w:val="single" w:color="auto"/>
          <w:color w:val="auto"/>
        </w:rPr>
        <w:t>Applicability</w:t>
      </w:r>
      <w:r>
        <w:rPr>
          <w:rFonts w:ascii="Arial" w:cs="Arial" w:eastAsia="Arial" w:hAnsi="Arial"/>
          <w:sz w:val="18"/>
          <w:szCs w:val="18"/>
          <w:color w:val="auto"/>
        </w:rPr>
        <w:t>. This Article shall apply to any individual who becomes an employee of a Participating Company directly from a Listed Employer. Notwithstanding anything herein to the contrary, this Article XV shall apply to any individual who becomes an employee of a Participating Company directly from Susquehanna Cable Co. (“Susquehanna”) or any of the Selling Subsidiaries as defined in the Asset Purchase Agreement between Susquehanna and Comcast Corporation dated October 31, 2005 (the “Susquehanna APA”), during the period beginning on February 20, 2006 and ending on the date immediately following the date on which the transaction contemplated under the Susquehanna APA becomes effective (or December 31, 2006, if such transaction is not completed by that date).</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(i) Adelphia Communications Corporation (“Adelphia”) only for the one year period following the date on which the transaction contemplated under the Asset Purchase Agreement between Adelphia and Comcast Corporation dated April 20, 2005 (the “Adelphia Transaction”) is completed and (ii) Time Warner NY Cable LLC (“Time Warner”) as of the date the transaction contemplated under the Asset Purchase Agreement between Time Warner and Adelphia dated April 20, 2005 (the “Time Warner Transaction”) is completed.</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Time Warner Houston as of January 1, 2007 pursuant to the Employment Matters Agreement by and among Texas and Kansas City Cable Partners, LLP, Time Warner Entertainment-Advance/Newhouse Partnership, TWE-A/N Texas Cable Partners General Partners LLC, TCI Texas Cable Holdings LLC, TCI Texas Cable, LLC, Comcast TCP Holdings, Inc. and Comcast TCP Holdings, LLC. Notwithstanding anything herein to the contrary, this Article XV shall not apply for the period August 1, 2006 through December 17, 2006 to any individual who becomes an employee of a Participating Company directly from thePlatform for Media, Inc.</w:t>
      </w:r>
    </w:p>
    <w:p>
      <w:pPr>
        <w:spacing w:after="0" w:line="14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u w:val="single" w:color="auto"/>
          <w:color w:val="auto"/>
        </w:rPr>
        <w:t>Limitation</w:t>
      </w:r>
      <w:r>
        <w:rPr>
          <w:rFonts w:ascii="Arial" w:cs="Arial" w:eastAsia="Arial" w:hAnsi="Arial"/>
          <w:sz w:val="18"/>
          <w:szCs w:val="18"/>
          <w:color w:val="auto"/>
        </w:rPr>
        <w:t>. Notwithstanding any provision of this Article to the contrary, the application of this Article shall not cause any Employee to become a Participant in the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79" w:right="279" w:bottom="1440" w:gutter="0" w:footer="0" w:header="0"/>
        </w:sectPr>
      </w:pPr>
    </w:p>
    <w:bookmarkStart w:id="152" w:name="page153"/>
    <w:bookmarkEnd w:id="15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the effective date of an entity being designated as a Listed Employer with which he was employed, unless he would have become a Participant at an earlier date without regard to this Article.</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240" w:top="280" w:right="69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SPORTS NETWORK (PHILADELPHIA) L.P.</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16.1. </w:t>
      </w:r>
      <w:r>
        <w:rPr>
          <w:rFonts w:ascii="Arial" w:cs="Arial" w:eastAsia="Arial" w:hAnsi="Arial"/>
          <w:sz w:val="18"/>
          <w:szCs w:val="18"/>
          <w:u w:val="single" w:color="auto"/>
          <w:color w:val="auto"/>
        </w:rPr>
        <w:t>General</w:t>
      </w:r>
      <w:r>
        <w:rPr>
          <w:rFonts w:ascii="Arial" w:cs="Arial" w:eastAsia="Arial" w:hAnsi="Arial"/>
          <w:sz w:val="18"/>
          <w:szCs w:val="18"/>
          <w:color w:val="auto"/>
        </w:rPr>
        <w:t>. Comcast Sports Network (Philadelphia) L.P., a Pennsylvania limited partnership (formerly known as Philadelphia Sports Media LP) (“CSN”) and each of its subsidiaries that are members of the controlled group of trades or businesses that includes CSN, became a Participating Company hereunder, effective July 1, 2001.</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16.2. </w:t>
      </w:r>
      <w:r>
        <w:rPr>
          <w:rFonts w:ascii="Arial" w:cs="Arial" w:eastAsia="Arial" w:hAnsi="Arial"/>
          <w:sz w:val="16"/>
          <w:szCs w:val="16"/>
          <w:u w:val="single" w:color="auto"/>
          <w:color w:val="auto"/>
        </w:rPr>
        <w:t>Eligibility and Vesting Service</w:t>
      </w:r>
      <w:r>
        <w:rPr>
          <w:rFonts w:ascii="Arial" w:cs="Arial" w:eastAsia="Arial" w:hAnsi="Arial"/>
          <w:sz w:val="16"/>
          <w:szCs w:val="16"/>
          <w:color w:val="auto"/>
        </w:rPr>
        <w:t>. For purposes of determining a Covered Employee’s eligibility to participate and his vested status under the Plan, a Covered Employee’s period of employment with CSN before July 1, 2001 shall be counted as part of his Period of Service under this Plan.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16.3.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 Notwithstanding any provision of Article II to the contrary:</w:t>
      </w:r>
    </w:p>
    <w:p>
      <w:pPr>
        <w:spacing w:after="0" w:line="90" w:lineRule="exact"/>
        <w:rPr>
          <w:sz w:val="20"/>
          <w:szCs w:val="20"/>
          <w:color w:val="auto"/>
        </w:rPr>
      </w:pPr>
    </w:p>
    <w:p>
      <w:pPr>
        <w:ind w:right="420" w:firstLine="1484"/>
        <w:spacing w:after="0" w:line="268" w:lineRule="auto"/>
        <w:rPr>
          <w:sz w:val="20"/>
          <w:szCs w:val="20"/>
          <w:color w:val="auto"/>
        </w:rPr>
      </w:pPr>
      <w:r>
        <w:rPr>
          <w:rFonts w:ascii="Arial" w:cs="Arial" w:eastAsia="Arial" w:hAnsi="Arial"/>
          <w:sz w:val="18"/>
          <w:szCs w:val="18"/>
          <w:color w:val="auto"/>
        </w:rPr>
        <w:t>16.3.1. Each Covered Employee of CSN who was eligible to participate in the Comcast-Spectacor 401(k) Plan as of June 30, 2001 was eligible to participate in the Plan as of July 1, 2001.</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16.3.2. Each other CSN Covered Employee shall be eligible to participate in accordance with the provision of Article II.</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16.4. </w:t>
      </w:r>
      <w:r>
        <w:rPr>
          <w:rFonts w:ascii="Arial" w:cs="Arial" w:eastAsia="Arial" w:hAnsi="Arial"/>
          <w:sz w:val="18"/>
          <w:szCs w:val="18"/>
          <w:u w:val="single" w:color="auto"/>
          <w:color w:val="auto"/>
        </w:rPr>
        <w:t>Separate Testing</w:t>
      </w:r>
      <w:r>
        <w:rPr>
          <w:rFonts w:ascii="Arial" w:cs="Arial" w:eastAsia="Arial" w:hAnsi="Arial"/>
          <w:sz w:val="18"/>
          <w:szCs w:val="18"/>
          <w:color w:val="auto"/>
        </w:rPr>
        <w:t>. The portion of the Plan that benefits employees of CSN and all entities which are Affiliated Companies with respect to CSN shall be treated, to the extent required by law, as a separate part of a multiple employer plan, unless and until CSN and its Affiliated Companies become members of the controlled group of employers (within the meaning of section 414(b) of section 414(c) of the Code) that includes the Company. For purposes of the Plan and this Article XVI, an individual shall be treated as an employee of CSN or its Affiliated Companies if such employee is listed as an employee of CSN or its Affiliated Companies as of the last day of a Plan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MINIMUM DISTRIBUTION REQUIREMENTS</w:t>
      </w:r>
    </w:p>
    <w:p>
      <w:pPr>
        <w:spacing w:after="0" w:line="165" w:lineRule="exact"/>
        <w:rPr>
          <w:sz w:val="20"/>
          <w:szCs w:val="20"/>
          <w:color w:val="auto"/>
        </w:rPr>
      </w:pPr>
    </w:p>
    <w:p>
      <w:pPr>
        <w:ind w:left="1040" w:hanging="179"/>
        <w:spacing w:after="0"/>
        <w:tabs>
          <w:tab w:leader="none" w:pos="10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General Rules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0" w:right="180" w:firstLine="1492"/>
        <w:spacing w:after="0" w:line="268" w:lineRule="auto"/>
        <w:tabs>
          <w:tab w:leader="none" w:pos="1711"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provisions of this Schedule A will apply for purposes of determining required minimum distributions for calendar years beginning on or after January 1, 2003.</w:t>
      </w:r>
    </w:p>
    <w:p>
      <w:pPr>
        <w:spacing w:after="0" w:line="131" w:lineRule="exact"/>
        <w:rPr>
          <w:rFonts w:ascii="Arial" w:cs="Arial" w:eastAsia="Arial" w:hAnsi="Arial"/>
          <w:sz w:val="18"/>
          <w:szCs w:val="18"/>
          <w:color w:val="auto"/>
        </w:rPr>
      </w:pPr>
    </w:p>
    <w:p>
      <w:pPr>
        <w:ind w:left="1700" w:hanging="268"/>
        <w:spacing w:after="0"/>
        <w:tabs>
          <w:tab w:leader="none" w:pos="170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Precedence</w:t>
      </w:r>
      <w:r>
        <w:rPr>
          <w:rFonts w:ascii="Arial" w:cs="Arial" w:eastAsia="Arial" w:hAnsi="Arial"/>
          <w:sz w:val="18"/>
          <w:szCs w:val="18"/>
          <w:color w:val="auto"/>
        </w:rPr>
        <w:t>. The requirements of this Schedule A will take precedence over any inconsistent provisions of the Plan.</w:t>
      </w:r>
    </w:p>
    <w:p>
      <w:pPr>
        <w:spacing w:after="0" w:line="171" w:lineRule="exact"/>
        <w:rPr>
          <w:rFonts w:ascii="Arial" w:cs="Arial" w:eastAsia="Arial" w:hAnsi="Arial"/>
          <w:sz w:val="18"/>
          <w:szCs w:val="18"/>
          <w:color w:val="auto"/>
        </w:rPr>
      </w:pPr>
    </w:p>
    <w:p>
      <w:pPr>
        <w:ind w:left="-60" w:right="240" w:firstLine="1492"/>
        <w:spacing w:after="0" w:line="268" w:lineRule="auto"/>
        <w:tabs>
          <w:tab w:leader="none" w:pos="1701"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Requirements of Treasury Regulations Incorporated</w:t>
      </w:r>
      <w:r>
        <w:rPr>
          <w:rFonts w:ascii="Arial" w:cs="Arial" w:eastAsia="Arial" w:hAnsi="Arial"/>
          <w:sz w:val="18"/>
          <w:szCs w:val="18"/>
          <w:color w:val="auto"/>
        </w:rPr>
        <w:t>. All distributions required under this Schedule A will be determined and made in accordance with the Treasury Regulations under section 401(a)(9) of the Code.</w:t>
      </w:r>
    </w:p>
    <w:p>
      <w:pPr>
        <w:spacing w:after="0" w:line="131" w:lineRule="exact"/>
        <w:rPr>
          <w:rFonts w:ascii="Arial" w:cs="Arial" w:eastAsia="Arial" w:hAnsi="Arial"/>
          <w:sz w:val="18"/>
          <w:szCs w:val="18"/>
          <w:color w:val="auto"/>
        </w:rPr>
      </w:pPr>
    </w:p>
    <w:p>
      <w:pPr>
        <w:ind w:left="-60" w:right="200" w:firstLine="1492"/>
        <w:spacing w:after="0" w:line="259" w:lineRule="auto"/>
        <w:tabs>
          <w:tab w:leader="none" w:pos="1711"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TEFRA Section 242(b)(2) Elections</w:t>
      </w:r>
      <w:r>
        <w:rPr>
          <w:rFonts w:ascii="Arial" w:cs="Arial" w:eastAsia="Arial" w:hAnsi="Arial"/>
          <w:sz w:val="18"/>
          <w:szCs w:val="18"/>
          <w:color w:val="auto"/>
        </w:rPr>
        <w:t>. Notwithstanding the other provisions of this Schedule A, distributions may be made under a designation made before January 1, 1984, in accordance with section 242(b)(2) of the Tax Equity and Fiscal Responsibility Act (TEFRA) and the provisions of the Plan that relate to section 242(b)(2) of TEFRA.</w:t>
      </w:r>
    </w:p>
    <w:p>
      <w:pPr>
        <w:spacing w:after="0" w:line="140" w:lineRule="exact"/>
        <w:rPr>
          <w:rFonts w:ascii="Arial" w:cs="Arial" w:eastAsia="Arial" w:hAnsi="Arial"/>
          <w:sz w:val="18"/>
          <w:szCs w:val="18"/>
          <w:color w:val="auto"/>
        </w:rPr>
      </w:pPr>
    </w:p>
    <w:p>
      <w:pPr>
        <w:ind w:left="1040" w:hanging="179"/>
        <w:spacing w:after="0"/>
        <w:tabs>
          <w:tab w:leader="none" w:pos="10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Time and Manner of Distribution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0" w:right="140" w:firstLine="1492"/>
        <w:spacing w:after="0" w:line="268" w:lineRule="auto"/>
        <w:tabs>
          <w:tab w:leader="none" w:pos="1711"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Participant’s entire interest will be distributed, or begin to be distributed, to the Participant no later than the Participant’s Required Beginning Date.</w:t>
      </w:r>
    </w:p>
    <w:p>
      <w:pPr>
        <w:spacing w:after="0" w:line="131" w:lineRule="exact"/>
        <w:rPr>
          <w:rFonts w:ascii="Arial" w:cs="Arial" w:eastAsia="Arial" w:hAnsi="Arial"/>
          <w:sz w:val="18"/>
          <w:szCs w:val="18"/>
          <w:color w:val="auto"/>
        </w:rPr>
      </w:pPr>
    </w:p>
    <w:p>
      <w:pPr>
        <w:ind w:left="-60" w:right="60" w:firstLine="1492"/>
        <w:spacing w:after="0" w:line="268" w:lineRule="auto"/>
        <w:tabs>
          <w:tab w:leader="none" w:pos="1701"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Death of Participant Before Distributions Begin</w:t>
      </w:r>
      <w:r>
        <w:rPr>
          <w:rFonts w:ascii="Arial" w:cs="Arial" w:eastAsia="Arial" w:hAnsi="Arial"/>
          <w:sz w:val="18"/>
          <w:szCs w:val="18"/>
          <w:color w:val="auto"/>
        </w:rPr>
        <w:t>. If the Participant dies before distributions begin, the Participant’s entire interest will be distributed, or begin to be distributed, no later than as follows:</w:t>
      </w:r>
    </w:p>
    <w:p>
      <w:pPr>
        <w:spacing w:after="0" w:line="50" w:lineRule="exact"/>
        <w:rPr>
          <w:rFonts w:ascii="Arial" w:cs="Arial" w:eastAsia="Arial" w:hAnsi="Arial"/>
          <w:sz w:val="18"/>
          <w:szCs w:val="18"/>
          <w:color w:val="auto"/>
        </w:rPr>
      </w:pPr>
    </w:p>
    <w:p>
      <w:pPr>
        <w:ind w:left="-60" w:firstLine="1948"/>
        <w:spacing w:after="0" w:line="273" w:lineRule="auto"/>
        <w:tabs>
          <w:tab w:leader="none" w:pos="2129" w:val="left"/>
        </w:tabs>
        <w:numPr>
          <w:ilvl w:val="2"/>
          <w:numId w:val="153"/>
        </w:numPr>
        <w:rPr>
          <w:rFonts w:ascii="Arial" w:cs="Arial" w:eastAsia="Arial" w:hAnsi="Arial"/>
          <w:sz w:val="18"/>
          <w:szCs w:val="18"/>
          <w:color w:val="auto"/>
        </w:rPr>
      </w:pPr>
      <w:r>
        <w:rPr>
          <w:rFonts w:ascii="Arial" w:cs="Arial" w:eastAsia="Arial" w:hAnsi="Arial"/>
          <w:sz w:val="18"/>
          <w:szCs w:val="18"/>
          <w:color w:val="auto"/>
        </w:rPr>
        <w:t xml:space="preserve">If the Participant’s surviving spouse is the Participant’s sole Designated Beneficiary, then distributions to the surviving spouse will begin by December 31 of the calendar year immediately following the calendar year in which the Participant died, or by December 31 of the calendar year in which the Participant would have attained Age 70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if later.</w:t>
      </w:r>
    </w:p>
    <w:p>
      <w:pPr>
        <w:spacing w:after="0" w:line="92" w:lineRule="exact"/>
        <w:rPr>
          <w:rFonts w:ascii="Arial" w:cs="Arial" w:eastAsia="Arial" w:hAnsi="Arial"/>
          <w:sz w:val="18"/>
          <w:szCs w:val="18"/>
          <w:color w:val="auto"/>
        </w:rPr>
      </w:pPr>
    </w:p>
    <w:p>
      <w:pPr>
        <w:ind w:left="-60" w:right="220" w:firstLine="1948"/>
        <w:spacing w:after="0" w:line="306" w:lineRule="auto"/>
        <w:tabs>
          <w:tab w:leader="none" w:pos="2129" w:val="left"/>
        </w:tabs>
        <w:numPr>
          <w:ilvl w:val="2"/>
          <w:numId w:val="153"/>
        </w:numPr>
        <w:rPr>
          <w:rFonts w:ascii="Arial" w:cs="Arial" w:eastAsia="Arial" w:hAnsi="Arial"/>
          <w:sz w:val="16"/>
          <w:szCs w:val="16"/>
          <w:color w:val="auto"/>
        </w:rPr>
      </w:pPr>
      <w:r>
        <w:rPr>
          <w:rFonts w:ascii="Arial" w:cs="Arial" w:eastAsia="Arial" w:hAnsi="Arial"/>
          <w:sz w:val="16"/>
          <w:szCs w:val="16"/>
          <w:color w:val="auto"/>
        </w:rPr>
        <w:t>If the Participant’s surviving spouse is not the Participant’s sole Designated Beneficiary, then (a) distributions to the Designated Beneficiary will begin by December 31 of the calendar year immediately following the calendar year in which the Participant died or (b) the Designated Beneficiary’s entire interest shall be distributed by December 31 of the calendar year containing the fifth anniversary of the Participant’s death.</w:t>
      </w:r>
    </w:p>
    <w:p>
      <w:pPr>
        <w:spacing w:after="0" w:line="106" w:lineRule="exact"/>
        <w:rPr>
          <w:rFonts w:ascii="Arial" w:cs="Arial" w:eastAsia="Arial" w:hAnsi="Arial"/>
          <w:sz w:val="16"/>
          <w:szCs w:val="16"/>
          <w:color w:val="auto"/>
        </w:rPr>
      </w:pPr>
    </w:p>
    <w:p>
      <w:pPr>
        <w:ind w:left="-60" w:right="60" w:firstLine="1948"/>
        <w:spacing w:after="0" w:line="332" w:lineRule="auto"/>
        <w:tabs>
          <w:tab w:leader="none" w:pos="2129" w:val="left"/>
        </w:tabs>
        <w:numPr>
          <w:ilvl w:val="2"/>
          <w:numId w:val="153"/>
        </w:numPr>
        <w:rPr>
          <w:rFonts w:ascii="Arial" w:cs="Arial" w:eastAsia="Arial" w:hAnsi="Arial"/>
          <w:sz w:val="16"/>
          <w:szCs w:val="16"/>
          <w:color w:val="auto"/>
        </w:rPr>
      </w:pPr>
      <w:r>
        <w:rPr>
          <w:rFonts w:ascii="Arial" w:cs="Arial" w:eastAsia="Arial" w:hAnsi="Arial"/>
          <w:sz w:val="16"/>
          <w:szCs w:val="16"/>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20"/>
          </w:cols>
          <w:pgMar w:left="300" w:top="280" w:right="279" w:bottom="1440" w:gutter="0" w:footer="0" w:header="0"/>
        </w:sectPr>
      </w:pPr>
    </w:p>
    <w:bookmarkStart w:id="155" w:name="page156"/>
    <w:bookmarkEnd w:id="155"/>
    <w:p>
      <w:pPr>
        <w:ind w:right="340" w:firstLine="1948"/>
        <w:spacing w:after="0" w:line="259" w:lineRule="auto"/>
        <w:tabs>
          <w:tab w:leader="none" w:pos="2189"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Participant’s surviving spouse is the Participant’s sole Designated Beneficiary and the surviving spouse dies after the Participant but before distributions to the surviving spouse begin, this Section 2(B), other than Section 2(B)(1), will apply as if the surviving spouse were the Participant.</w:t>
      </w:r>
    </w:p>
    <w:p>
      <w:pPr>
        <w:spacing w:after="0" w:line="140" w:lineRule="exact"/>
        <w:rPr>
          <w:sz w:val="20"/>
          <w:szCs w:val="20"/>
          <w:color w:val="auto"/>
        </w:rPr>
      </w:pPr>
    </w:p>
    <w:p>
      <w:pPr>
        <w:ind w:right="180" w:firstLine="913"/>
        <w:spacing w:after="0" w:line="302" w:lineRule="auto"/>
        <w:rPr>
          <w:sz w:val="20"/>
          <w:szCs w:val="20"/>
          <w:color w:val="auto"/>
        </w:rPr>
      </w:pPr>
      <w:r>
        <w:rPr>
          <w:rFonts w:ascii="Arial" w:cs="Arial" w:eastAsia="Arial" w:hAnsi="Arial"/>
          <w:sz w:val="15"/>
          <w:szCs w:val="15"/>
          <w:color w:val="auto"/>
        </w:rPr>
        <w:t>For purposes of this Section 2(B) and Section 4, unless Section 2(B)(4) applies, distributions are considered to begin on the Participant’s Required Beginning Date. If Section 2(B)(4) applies, distributions are considered to begin on the date distributions are required to begin to the surviving spouse under Section 2(B)(1).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2(B)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the date distributions are considered to begin is the date distributions actually commence.</w:t>
      </w:r>
    </w:p>
    <w:p>
      <w:pPr>
        <w:spacing w:after="0" w:line="165" w:lineRule="exact"/>
        <w:rPr>
          <w:sz w:val="20"/>
          <w:szCs w:val="20"/>
          <w:color w:val="auto"/>
        </w:rPr>
      </w:pPr>
    </w:p>
    <w:p>
      <w:pPr>
        <w:jc w:val="both"/>
        <w:ind w:right="60" w:firstLine="1492"/>
        <w:spacing w:after="0" w:line="298" w:lineRule="auto"/>
        <w:tabs>
          <w:tab w:leader="none" w:pos="1761"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Forms of Distribution</w:t>
      </w:r>
      <w:r>
        <w:rPr>
          <w:rFonts w:ascii="Arial" w:cs="Arial" w:eastAsia="Arial" w:hAnsi="Arial"/>
          <w:sz w:val="16"/>
          <w:szCs w:val="16"/>
          <w:color w:val="auto"/>
        </w:rPr>
        <w:t>. Unless the Participant’s interest is distributed in the form of an annuity purchased from an insurance company or in a single sum on or before the Required Beginning Date, as of the first Distribution Calendar Year distributions will be made in accordance with Sections 3 and 4 of this Schedule A. If the Participant’s interest is distributed in the form of an annuity purchased from an insurance company, distributions thereunder will be made in accordance with the requirements of section 401(a)(9) of the Code and the Treasury Regulations.</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Required Minimum Distributions During Participant’s Lifetime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500" w:firstLine="1492"/>
        <w:spacing w:after="0" w:line="268" w:lineRule="auto"/>
        <w:tabs>
          <w:tab w:leader="none" w:pos="1771"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Amount of Required Minimum Distribution For Each Distribution Calendar Year</w:t>
      </w:r>
      <w:r>
        <w:rPr>
          <w:rFonts w:ascii="Arial" w:cs="Arial" w:eastAsia="Arial" w:hAnsi="Arial"/>
          <w:sz w:val="18"/>
          <w:szCs w:val="18"/>
          <w:color w:val="auto"/>
        </w:rPr>
        <w:t>. During the Participant’s lifetime, the minimum amount that will be distributed for each Distribution Calendar Year is the lesser of:</w:t>
      </w:r>
    </w:p>
    <w:p>
      <w:pPr>
        <w:spacing w:after="0" w:line="50" w:lineRule="exact"/>
        <w:rPr>
          <w:rFonts w:ascii="Arial" w:cs="Arial" w:eastAsia="Arial" w:hAnsi="Arial"/>
          <w:sz w:val="18"/>
          <w:szCs w:val="18"/>
          <w:color w:val="auto"/>
        </w:rPr>
      </w:pPr>
    </w:p>
    <w:p>
      <w:pPr>
        <w:ind w:right="200" w:firstLine="1948"/>
        <w:spacing w:after="0" w:line="332" w:lineRule="auto"/>
        <w:tabs>
          <w:tab w:leader="none" w:pos="2189" w:val="left"/>
        </w:tabs>
        <w:numPr>
          <w:ilvl w:val="2"/>
          <w:numId w:val="156"/>
        </w:numPr>
        <w:rPr>
          <w:rFonts w:ascii="Arial" w:cs="Arial" w:eastAsia="Arial" w:hAnsi="Arial"/>
          <w:sz w:val="16"/>
          <w:szCs w:val="16"/>
          <w:color w:val="auto"/>
        </w:rPr>
      </w:pPr>
      <w:r>
        <w:rPr>
          <w:rFonts w:ascii="Arial" w:cs="Arial" w:eastAsia="Arial" w:hAnsi="Arial"/>
          <w:sz w:val="16"/>
          <w:szCs w:val="16"/>
          <w:color w:val="auto"/>
        </w:rPr>
        <w:t>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85" w:lineRule="exact"/>
        <w:rPr>
          <w:rFonts w:ascii="Arial" w:cs="Arial" w:eastAsia="Arial" w:hAnsi="Arial"/>
          <w:sz w:val="16"/>
          <w:szCs w:val="16"/>
          <w:color w:val="auto"/>
        </w:rPr>
      </w:pPr>
    </w:p>
    <w:p>
      <w:pPr>
        <w:ind w:firstLine="1948"/>
        <w:spacing w:after="0" w:line="306" w:lineRule="auto"/>
        <w:tabs>
          <w:tab w:leader="none" w:pos="2189" w:val="left"/>
        </w:tabs>
        <w:numPr>
          <w:ilvl w:val="2"/>
          <w:numId w:val="156"/>
        </w:numPr>
        <w:rPr>
          <w:rFonts w:ascii="Arial" w:cs="Arial" w:eastAsia="Arial" w:hAnsi="Arial"/>
          <w:sz w:val="16"/>
          <w:szCs w:val="16"/>
          <w:color w:val="auto"/>
        </w:rPr>
      </w:pPr>
      <w:r>
        <w:rPr>
          <w:rFonts w:ascii="Arial" w:cs="Arial" w:eastAsia="Arial" w:hAnsi="Arial"/>
          <w:sz w:val="16"/>
          <w:szCs w:val="16"/>
          <w:color w:val="auto"/>
        </w:rPr>
        <w:t>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106" w:lineRule="exact"/>
        <w:rPr>
          <w:rFonts w:ascii="Arial" w:cs="Arial" w:eastAsia="Arial" w:hAnsi="Arial"/>
          <w:sz w:val="16"/>
          <w:szCs w:val="16"/>
          <w:color w:val="auto"/>
        </w:rPr>
      </w:pPr>
    </w:p>
    <w:p>
      <w:pPr>
        <w:jc w:val="both"/>
        <w:ind w:right="420" w:firstLine="1492"/>
        <w:spacing w:after="0" w:line="259" w:lineRule="auto"/>
        <w:tabs>
          <w:tab w:leader="none" w:pos="1761"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Lifetime Required Minimum Distributions Continue Through Year of Participant’s Death</w:t>
      </w:r>
      <w:r>
        <w:rPr>
          <w:rFonts w:ascii="Arial" w:cs="Arial" w:eastAsia="Arial" w:hAnsi="Arial"/>
          <w:sz w:val="18"/>
          <w:szCs w:val="18"/>
          <w:color w:val="auto"/>
        </w:rPr>
        <w:t>. Required minimum distributions will be determined under this Section 3 beginning with the first Distribution Calendar Year and up to and including the Distribution Calendar Year that includes the Participant’s date of death.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80" w:right="279" w:bottom="1440" w:gutter="0" w:footer="0" w:header="0"/>
        </w:sectPr>
      </w:pPr>
    </w:p>
    <w:bookmarkStart w:id="156" w:name="page157"/>
    <w:bookmarkEnd w:id="156"/>
    <w:p>
      <w:pPr>
        <w:ind w:left="1100" w:hanging="179"/>
        <w:spacing w:after="0"/>
        <w:tabs>
          <w:tab w:leader="none" w:pos="110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Minimum Distributions After Participant’s Death</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80" w:hanging="288"/>
        <w:spacing w:after="0"/>
        <w:tabs>
          <w:tab w:leader="none" w:pos="1780"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Death On or After Date Distributions Begin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1948"/>
        <w:spacing w:after="0" w:line="256" w:lineRule="auto"/>
        <w:tabs>
          <w:tab w:leader="none" w:pos="2189" w:val="left"/>
        </w:tabs>
        <w:numPr>
          <w:ilvl w:val="2"/>
          <w:numId w:val="157"/>
        </w:numPr>
        <w:rPr>
          <w:rFonts w:ascii="Arial" w:cs="Arial" w:eastAsia="Arial" w:hAnsi="Arial"/>
          <w:sz w:val="18"/>
          <w:szCs w:val="18"/>
          <w:color w:val="auto"/>
        </w:rPr>
      </w:pPr>
      <w:r>
        <w:rPr>
          <w:rFonts w:ascii="Arial" w:cs="Arial" w:eastAsia="Arial" w:hAnsi="Arial"/>
          <w:sz w:val="18"/>
          <w:szCs w:val="18"/>
          <w:u w:val="single" w:color="auto"/>
          <w:color w:val="auto"/>
        </w:rPr>
        <w:t>Participant Survived by Designated Beneficiary</w:t>
      </w:r>
      <w:r>
        <w:rPr>
          <w:rFonts w:ascii="Arial" w:cs="Arial" w:eastAsia="Arial" w:hAnsi="Arial"/>
          <w:sz w:val="18"/>
          <w:szCs w:val="18"/>
          <w:color w:val="auto"/>
        </w:rPr>
        <w:t>. If the Participant dies on or after the date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62" w:lineRule="exact"/>
        <w:rPr>
          <w:rFonts w:ascii="Arial" w:cs="Arial" w:eastAsia="Arial" w:hAnsi="Arial"/>
          <w:sz w:val="18"/>
          <w:szCs w:val="18"/>
          <w:color w:val="auto"/>
        </w:rPr>
      </w:pPr>
    </w:p>
    <w:p>
      <w:pPr>
        <w:ind w:left="2640" w:hanging="236"/>
        <w:spacing w:after="0"/>
        <w:tabs>
          <w:tab w:leader="none" w:pos="2640" w:val="left"/>
        </w:tabs>
        <w:numPr>
          <w:ilvl w:val="3"/>
          <w:numId w:val="157"/>
        </w:numPr>
        <w:rPr>
          <w:rFonts w:ascii="Arial" w:cs="Arial" w:eastAsia="Arial" w:hAnsi="Arial"/>
          <w:sz w:val="16"/>
          <w:szCs w:val="16"/>
          <w:color w:val="auto"/>
        </w:rPr>
      </w:pPr>
      <w:r>
        <w:rPr>
          <w:rFonts w:ascii="Arial" w:cs="Arial" w:eastAsia="Arial" w:hAnsi="Arial"/>
          <w:sz w:val="16"/>
          <w:szCs w:val="16"/>
          <w:color w:val="auto"/>
        </w:rPr>
        <w:t>The Participant’s remaining Life Expectancy is calculated using the Age of the Participant in the year of death, reduced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one for each subsequent year.</w:t>
      </w:r>
    </w:p>
    <w:p>
      <w:pPr>
        <w:spacing w:after="0" w:line="164" w:lineRule="exact"/>
        <w:rPr>
          <w:rFonts w:ascii="Arial" w:cs="Arial" w:eastAsia="Arial" w:hAnsi="Arial"/>
          <w:sz w:val="16"/>
          <w:szCs w:val="16"/>
          <w:color w:val="auto"/>
        </w:rPr>
      </w:pPr>
    </w:p>
    <w:p>
      <w:pPr>
        <w:ind w:right="180" w:firstLine="2404"/>
        <w:spacing w:after="0" w:line="255" w:lineRule="auto"/>
        <w:tabs>
          <w:tab w:leader="none" w:pos="2645" w:val="left"/>
        </w:tabs>
        <w:numPr>
          <w:ilvl w:val="3"/>
          <w:numId w:val="157"/>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42" w:lineRule="exact"/>
        <w:rPr>
          <w:rFonts w:ascii="Arial" w:cs="Arial" w:eastAsia="Arial" w:hAnsi="Arial"/>
          <w:sz w:val="18"/>
          <w:szCs w:val="18"/>
          <w:color w:val="auto"/>
        </w:rPr>
      </w:pPr>
    </w:p>
    <w:p>
      <w:pPr>
        <w:ind w:right="520" w:firstLine="2404"/>
        <w:spacing w:after="0" w:line="259" w:lineRule="auto"/>
        <w:tabs>
          <w:tab w:leader="none" w:pos="2635" w:val="left"/>
        </w:tabs>
        <w:numPr>
          <w:ilvl w:val="3"/>
          <w:numId w:val="157"/>
        </w:numPr>
        <w:rPr>
          <w:rFonts w:ascii="Arial" w:cs="Arial" w:eastAsia="Arial" w:hAnsi="Arial"/>
          <w:sz w:val="18"/>
          <w:szCs w:val="18"/>
          <w:color w:val="auto"/>
        </w:rPr>
      </w:pPr>
      <w:r>
        <w:rPr>
          <w:rFonts w:ascii="Arial" w:cs="Arial" w:eastAsia="Arial" w:hAnsi="Arial"/>
          <w:sz w:val="18"/>
          <w:szCs w:val="18"/>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140" w:lineRule="exact"/>
        <w:rPr>
          <w:rFonts w:ascii="Arial" w:cs="Arial" w:eastAsia="Arial" w:hAnsi="Arial"/>
          <w:sz w:val="18"/>
          <w:szCs w:val="18"/>
          <w:color w:val="auto"/>
        </w:rPr>
      </w:pPr>
    </w:p>
    <w:p>
      <w:pPr>
        <w:ind w:right="40" w:firstLine="1948"/>
        <w:spacing w:after="0" w:line="298" w:lineRule="auto"/>
        <w:tabs>
          <w:tab w:leader="none" w:pos="2189" w:val="left"/>
        </w:tabs>
        <w:numPr>
          <w:ilvl w:val="2"/>
          <w:numId w:val="157"/>
        </w:numPr>
        <w:rPr>
          <w:rFonts w:ascii="Arial" w:cs="Arial" w:eastAsia="Arial" w:hAnsi="Arial"/>
          <w:sz w:val="16"/>
          <w:szCs w:val="16"/>
          <w:color w:val="auto"/>
        </w:rPr>
      </w:pPr>
      <w:r>
        <w:rPr>
          <w:rFonts w:ascii="Arial" w:cs="Arial" w:eastAsia="Arial" w:hAnsi="Arial"/>
          <w:sz w:val="16"/>
          <w:szCs w:val="16"/>
          <w:u w:val="single" w:color="auto"/>
          <w:color w:val="auto"/>
        </w:rPr>
        <w:t>No Designated Beneficiary</w:t>
      </w:r>
      <w:r>
        <w:rPr>
          <w:rFonts w:ascii="Arial" w:cs="Arial" w:eastAsia="Arial" w:hAnsi="Arial"/>
          <w:sz w:val="16"/>
          <w:szCs w:val="16"/>
          <w:color w:val="auto"/>
        </w:rPr>
        <w:t>. 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112" w:lineRule="exact"/>
        <w:rPr>
          <w:rFonts w:ascii="Arial" w:cs="Arial" w:eastAsia="Arial" w:hAnsi="Arial"/>
          <w:sz w:val="16"/>
          <w:szCs w:val="16"/>
          <w:color w:val="auto"/>
        </w:rPr>
      </w:pPr>
    </w:p>
    <w:p>
      <w:pPr>
        <w:ind w:left="1760" w:hanging="268"/>
        <w:spacing w:after="0"/>
        <w:tabs>
          <w:tab w:leader="none" w:pos="1760"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Death Before Date Distributions Begin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948"/>
        <w:spacing w:after="0" w:line="335" w:lineRule="auto"/>
        <w:tabs>
          <w:tab w:leader="none" w:pos="2189" w:val="left"/>
        </w:tabs>
        <w:numPr>
          <w:ilvl w:val="2"/>
          <w:numId w:val="157"/>
        </w:numPr>
        <w:rPr>
          <w:rFonts w:ascii="Arial" w:cs="Arial" w:eastAsia="Arial" w:hAnsi="Arial"/>
          <w:sz w:val="15"/>
          <w:szCs w:val="15"/>
          <w:color w:val="auto"/>
        </w:rPr>
      </w:pPr>
      <w:r>
        <w:rPr>
          <w:rFonts w:ascii="Arial" w:cs="Arial" w:eastAsia="Arial" w:hAnsi="Arial"/>
          <w:sz w:val="15"/>
          <w:szCs w:val="15"/>
          <w:u w:val="single" w:color="auto"/>
          <w:color w:val="auto"/>
        </w:rPr>
        <w:t>Participant Survived by Designated Beneficiary</w:t>
      </w:r>
      <w:r>
        <w:rPr>
          <w:rFonts w:ascii="Arial" w:cs="Arial" w:eastAsia="Arial" w:hAnsi="Arial"/>
          <w:sz w:val="15"/>
          <w:szCs w:val="15"/>
          <w:color w:val="auto"/>
        </w:rPr>
        <w:t>. If the Participant dies before the date distributions begin and there is a Designated Beneficiary,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4(A).</w:t>
      </w:r>
    </w:p>
    <w:p>
      <w:pPr>
        <w:spacing w:after="0" w:line="88" w:lineRule="exact"/>
        <w:rPr>
          <w:rFonts w:ascii="Arial" w:cs="Arial" w:eastAsia="Arial" w:hAnsi="Arial"/>
          <w:sz w:val="15"/>
          <w:szCs w:val="15"/>
          <w:color w:val="auto"/>
        </w:rPr>
      </w:pPr>
    </w:p>
    <w:p>
      <w:pPr>
        <w:ind w:right="120" w:firstLine="1948"/>
        <w:spacing w:after="0" w:line="268" w:lineRule="auto"/>
        <w:tabs>
          <w:tab w:leader="none" w:pos="2189" w:val="left"/>
        </w:tabs>
        <w:numPr>
          <w:ilvl w:val="2"/>
          <w:numId w:val="157"/>
        </w:numPr>
        <w:rPr>
          <w:rFonts w:ascii="Arial" w:cs="Arial" w:eastAsia="Arial" w:hAnsi="Arial"/>
          <w:sz w:val="18"/>
          <w:szCs w:val="18"/>
          <w:color w:val="auto"/>
        </w:rPr>
      </w:pPr>
      <w:r>
        <w:rPr>
          <w:rFonts w:ascii="Arial" w:cs="Arial" w:eastAsia="Arial" w:hAnsi="Arial"/>
          <w:sz w:val="18"/>
          <w:szCs w:val="18"/>
          <w:u w:val="single" w:color="auto"/>
          <w:color w:val="auto"/>
        </w:rPr>
        <w:t>No Designated Beneficiary</w:t>
      </w:r>
      <w:r>
        <w:rPr>
          <w:rFonts w:ascii="Arial" w:cs="Arial" w:eastAsia="Arial" w:hAnsi="Arial"/>
          <w:sz w:val="18"/>
          <w:szCs w:val="18"/>
          <w:color w:val="auto"/>
        </w:rPr>
        <w:t>. If the Participant dies before the date distributions begin and there is no Designated Beneficiary as of September 30 of the year following the year of the Participant’s death, distribution of the Participant’s entire interest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be completed by December 31 of the calendar year containing the fifth anniversary of the Participant’s death.</w:t>
      </w:r>
    </w:p>
    <w:p>
      <w:pPr>
        <w:spacing w:after="0" w:line="171" w:lineRule="exact"/>
        <w:rPr>
          <w:sz w:val="20"/>
          <w:szCs w:val="20"/>
          <w:color w:val="auto"/>
        </w:rPr>
      </w:pPr>
    </w:p>
    <w:p>
      <w:pPr>
        <w:ind w:right="60" w:firstLine="1948"/>
        <w:spacing w:after="0" w:line="306" w:lineRule="auto"/>
        <w:tabs>
          <w:tab w:leader="none" w:pos="2189" w:val="left"/>
        </w:tabs>
        <w:numPr>
          <w:ilvl w:val="2"/>
          <w:numId w:val="158"/>
        </w:numPr>
        <w:rPr>
          <w:rFonts w:ascii="Arial" w:cs="Arial" w:eastAsia="Arial" w:hAnsi="Arial"/>
          <w:sz w:val="16"/>
          <w:szCs w:val="16"/>
          <w:color w:val="auto"/>
        </w:rPr>
      </w:pPr>
      <w:r>
        <w:rPr>
          <w:rFonts w:ascii="Arial" w:cs="Arial" w:eastAsia="Arial" w:hAnsi="Arial"/>
          <w:sz w:val="16"/>
          <w:szCs w:val="16"/>
          <w:u w:val="single" w:color="auto"/>
          <w:color w:val="auto"/>
        </w:rPr>
        <w:t>Death of Surviving Spouse Before Distributions to Surviving Spouse Are Required to Begin</w:t>
      </w:r>
      <w:r>
        <w:rPr>
          <w:rFonts w:ascii="Arial" w:cs="Arial" w:eastAsia="Arial" w:hAnsi="Arial"/>
          <w:sz w:val="16"/>
          <w:szCs w:val="16"/>
          <w:color w:val="auto"/>
        </w:rPr>
        <w:t>. If the Participant dies before the date distributions begin, the Participant’s surviving spouse is the Participant’s sole Designated Beneficiary, and the surviving spouse dies before distributions are required to begin to the surviving spouse under Section 2(B)(1), this Section 4(B) will apply as if the surviving spouse were the Participant.</w:t>
      </w:r>
    </w:p>
    <w:p>
      <w:pPr>
        <w:spacing w:after="0" w:line="106" w:lineRule="exact"/>
        <w:rPr>
          <w:rFonts w:ascii="Arial" w:cs="Arial" w:eastAsia="Arial" w:hAnsi="Arial"/>
          <w:sz w:val="16"/>
          <w:szCs w:val="16"/>
          <w:color w:val="auto"/>
        </w:rPr>
      </w:pPr>
    </w:p>
    <w:p>
      <w:pPr>
        <w:ind w:left="1100" w:hanging="179"/>
        <w:spacing w:after="0"/>
        <w:tabs>
          <w:tab w:leader="none" w:pos="110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Schedule, the following definitions are used.</w:t>
      </w:r>
    </w:p>
    <w:p>
      <w:pPr>
        <w:spacing w:after="0" w:line="90" w:lineRule="exact"/>
        <w:rPr>
          <w:rFonts w:ascii="Arial" w:cs="Arial" w:eastAsia="Arial" w:hAnsi="Arial"/>
          <w:sz w:val="18"/>
          <w:szCs w:val="18"/>
          <w:color w:val="auto"/>
        </w:rPr>
      </w:pPr>
    </w:p>
    <w:p>
      <w:pPr>
        <w:ind w:right="360" w:firstLine="1492"/>
        <w:spacing w:after="0" w:line="294" w:lineRule="auto"/>
        <w:tabs>
          <w:tab w:leader="none" w:pos="1771"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Account Balance</w:t>
      </w:r>
      <w:r>
        <w:rPr>
          <w:rFonts w:ascii="Arial" w:cs="Arial" w:eastAsia="Arial" w:hAnsi="Arial"/>
          <w:sz w:val="16"/>
          <w:szCs w:val="16"/>
          <w:color w:val="auto"/>
        </w:rPr>
        <w:t>. The Account balance as of the last valuation date in the calendar year immediately preceding the Distribution 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115" w:lineRule="exact"/>
        <w:rPr>
          <w:rFonts w:ascii="Arial" w:cs="Arial" w:eastAsia="Arial" w:hAnsi="Arial"/>
          <w:sz w:val="16"/>
          <w:szCs w:val="16"/>
          <w:color w:val="auto"/>
        </w:rPr>
      </w:pPr>
    </w:p>
    <w:p>
      <w:pPr>
        <w:ind w:right="440" w:firstLine="1492"/>
        <w:spacing w:after="0" w:line="268" w:lineRule="auto"/>
        <w:tabs>
          <w:tab w:leader="none" w:pos="1761"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Designated Beneficiary</w:t>
      </w:r>
      <w:r>
        <w:rPr>
          <w:rFonts w:ascii="Arial" w:cs="Arial" w:eastAsia="Arial" w:hAnsi="Arial"/>
          <w:sz w:val="18"/>
          <w:szCs w:val="18"/>
          <w:color w:val="auto"/>
        </w:rPr>
        <w:t>. The individual who is designated as the beneficiary under the Plan and is the designated beneficiary under section 401(a)(9) of the Code and section 1.401(a)(9)-1, Q&amp;A-4, of the Treasury Regulations.</w:t>
      </w:r>
    </w:p>
    <w:p>
      <w:pPr>
        <w:spacing w:after="0" w:line="131" w:lineRule="exact"/>
        <w:rPr>
          <w:rFonts w:ascii="Arial" w:cs="Arial" w:eastAsia="Arial" w:hAnsi="Arial"/>
          <w:sz w:val="18"/>
          <w:szCs w:val="18"/>
          <w:color w:val="auto"/>
        </w:rPr>
      </w:pPr>
    </w:p>
    <w:p>
      <w:pPr>
        <w:ind w:firstLine="1492"/>
        <w:spacing w:after="0" w:line="253" w:lineRule="auto"/>
        <w:tabs>
          <w:tab w:leader="none" w:pos="1761"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Distribution Calendar Year</w:t>
      </w:r>
      <w:r>
        <w:rPr>
          <w:rFonts w:ascii="Arial" w:cs="Arial" w:eastAsia="Arial" w:hAnsi="Arial"/>
          <w:sz w:val="18"/>
          <w:szCs w:val="18"/>
          <w:color w:val="auto"/>
        </w:rPr>
        <w:t>.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2(B).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147" w:lineRule="exact"/>
        <w:rPr>
          <w:rFonts w:ascii="Arial" w:cs="Arial" w:eastAsia="Arial" w:hAnsi="Arial"/>
          <w:sz w:val="18"/>
          <w:szCs w:val="18"/>
          <w:color w:val="auto"/>
        </w:rPr>
      </w:pPr>
    </w:p>
    <w:p>
      <w:pPr>
        <w:ind w:left="1780" w:hanging="288"/>
        <w:spacing w:after="0"/>
        <w:tabs>
          <w:tab w:leader="none" w:pos="1780"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Life Expectancy</w:t>
      </w:r>
      <w:r>
        <w:rPr>
          <w:rFonts w:ascii="Arial" w:cs="Arial" w:eastAsia="Arial" w:hAnsi="Arial"/>
          <w:sz w:val="16"/>
          <w:szCs w:val="16"/>
          <w:color w:val="auto"/>
        </w:rPr>
        <w:t>. Life expectancy as computed by use of the Single Life Table in section 1.401(a)(9)-9 of the Treasury Regulations.</w:t>
      </w:r>
    </w:p>
    <w:p>
      <w:pPr>
        <w:spacing w:after="0" w:line="194" w:lineRule="exact"/>
        <w:rPr>
          <w:rFonts w:ascii="Arial" w:cs="Arial" w:eastAsia="Arial" w:hAnsi="Arial"/>
          <w:sz w:val="16"/>
          <w:szCs w:val="16"/>
          <w:color w:val="auto"/>
        </w:rPr>
      </w:pPr>
    </w:p>
    <w:p>
      <w:pPr>
        <w:ind w:right="40" w:firstLine="1492"/>
        <w:spacing w:after="0" w:line="268" w:lineRule="auto"/>
        <w:tabs>
          <w:tab w:leader="none" w:pos="1752"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date by which the distribution of a Participant’s nonforfeitable interest in his Account must commence, as specified in Article I of the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20" w:type="dxa"/>
            <w:vAlign w:val="bottom"/>
            <w:gridSpan w:val="3"/>
          </w:tcPr>
          <w:p>
            <w:pPr>
              <w:jc w:val="center"/>
              <w:ind w:right="4892"/>
              <w:spacing w:after="0"/>
              <w:rPr>
                <w:sz w:val="20"/>
                <w:szCs w:val="20"/>
                <w:color w:val="auto"/>
              </w:rPr>
            </w:pPr>
            <w:r>
              <w:rPr>
                <w:rFonts w:ascii="Arial" w:cs="Arial" w:eastAsia="Arial" w:hAnsi="Arial"/>
                <w:sz w:val="18"/>
                <w:szCs w:val="18"/>
                <w:color w:val="auto"/>
                <w:w w:val="96"/>
              </w:rPr>
              <w:t>APPENDIX A</w:t>
            </w:r>
          </w:p>
        </w:tc>
      </w:tr>
      <w:tr>
        <w:trPr>
          <w:trHeight w:val="340"/>
        </w:trPr>
        <w:tc>
          <w:tcPr>
            <w:tcW w:w="9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40" w:type="dxa"/>
            <w:vAlign w:val="bottom"/>
            <w:gridSpan w:val="2"/>
          </w:tcPr>
          <w:p>
            <w:pPr>
              <w:ind w:left="120"/>
              <w:spacing w:after="0"/>
              <w:rPr>
                <w:sz w:val="20"/>
                <w:szCs w:val="20"/>
                <w:color w:val="auto"/>
              </w:rPr>
            </w:pPr>
            <w:r>
              <w:rPr>
                <w:rFonts w:ascii="Arial" w:cs="Arial" w:eastAsia="Arial" w:hAnsi="Arial"/>
                <w:sz w:val="14"/>
                <w:szCs w:val="14"/>
                <w:b w:val="1"/>
                <w:bCs w:val="1"/>
                <w:color w:val="auto"/>
              </w:rPr>
              <w:t>Date of Cessation of</w:t>
            </w:r>
          </w:p>
        </w:tc>
      </w:tr>
      <w:tr>
        <w:trPr>
          <w:trHeight w:val="175"/>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Union Location</w:t>
            </w:r>
          </w:p>
        </w:tc>
        <w:tc>
          <w:tcPr>
            <w:tcW w:w="880" w:type="dxa"/>
            <w:vAlign w:val="bottom"/>
          </w:tcPr>
          <w:p>
            <w:pPr>
              <w:spacing w:after="0"/>
              <w:rPr>
                <w:sz w:val="20"/>
                <w:szCs w:val="20"/>
                <w:color w:val="auto"/>
              </w:rPr>
            </w:pPr>
            <w:r>
              <w:rPr>
                <w:rFonts w:ascii="Arial" w:cs="Arial" w:eastAsia="Arial" w:hAnsi="Arial"/>
                <w:sz w:val="14"/>
                <w:szCs w:val="14"/>
                <w:b w:val="1"/>
                <w:bCs w:val="1"/>
                <w:color w:val="auto"/>
              </w:rPr>
              <w:t>Union Code</w:t>
            </w:r>
          </w:p>
        </w:tc>
        <w:tc>
          <w:tcPr>
            <w:tcW w:w="2780" w:type="dxa"/>
            <w:vAlign w:val="bottom"/>
          </w:tcPr>
          <w:p>
            <w:pPr>
              <w:spacing w:after="0"/>
              <w:rPr>
                <w:sz w:val="15"/>
                <w:szCs w:val="15"/>
                <w:color w:val="auto"/>
              </w:rPr>
            </w:pPr>
          </w:p>
        </w:tc>
        <w:tc>
          <w:tcPr>
            <w:tcW w:w="3640" w:type="dxa"/>
            <w:vAlign w:val="bottom"/>
            <w:gridSpan w:val="2"/>
          </w:tcPr>
          <w:p>
            <w:pPr>
              <w:ind w:left="120"/>
              <w:spacing w:after="0"/>
              <w:rPr>
                <w:sz w:val="20"/>
                <w:szCs w:val="20"/>
                <w:color w:val="auto"/>
              </w:rPr>
            </w:pPr>
            <w:r>
              <w:rPr>
                <w:rFonts w:ascii="Arial" w:cs="Arial" w:eastAsia="Arial" w:hAnsi="Arial"/>
                <w:sz w:val="14"/>
                <w:szCs w:val="14"/>
                <w:b w:val="1"/>
                <w:bCs w:val="1"/>
                <w:color w:val="auto"/>
              </w:rPr>
              <w:t>Eligible Union Employee Status</w:t>
            </w:r>
          </w:p>
        </w:tc>
      </w:tr>
      <w:tr>
        <w:trPr>
          <w:trHeight w:val="216"/>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Modesto, CA</w:t>
            </w:r>
          </w:p>
        </w:tc>
        <w:tc>
          <w:tcPr>
            <w:tcW w:w="3160" w:type="dxa"/>
            <w:vAlign w:val="bottom"/>
          </w:tcPr>
          <w:p>
            <w:pPr>
              <w:spacing w:after="0"/>
              <w:rPr>
                <w:sz w:val="18"/>
                <w:szCs w:val="18"/>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P039</w:t>
            </w:r>
          </w:p>
        </w:tc>
        <w:tc>
          <w:tcPr>
            <w:tcW w:w="2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August 17, 2003</w:t>
            </w:r>
          </w:p>
        </w:tc>
      </w:tr>
      <w:tr>
        <w:trPr>
          <w:trHeight w:val="316"/>
        </w:trPr>
        <w:tc>
          <w:tcPr>
            <w:tcW w:w="4120" w:type="dxa"/>
            <w:vAlign w:val="bottom"/>
            <w:gridSpan w:val="2"/>
          </w:tcPr>
          <w:p>
            <w:pPr>
              <w:spacing w:after="0"/>
              <w:rPr>
                <w:sz w:val="20"/>
                <w:szCs w:val="20"/>
                <w:color w:val="auto"/>
              </w:rPr>
            </w:pPr>
            <w:r>
              <w:rPr>
                <w:rFonts w:ascii="Arial" w:cs="Arial" w:eastAsia="Arial" w:hAnsi="Arial"/>
                <w:sz w:val="18"/>
                <w:szCs w:val="18"/>
                <w:color w:val="auto"/>
              </w:rPr>
              <w:t>LA West/Bellflower</w:t>
            </w:r>
          </w:p>
        </w:tc>
        <w:tc>
          <w:tcPr>
            <w:tcW w:w="880" w:type="dxa"/>
            <w:vAlign w:val="bottom"/>
          </w:tcPr>
          <w:p>
            <w:pPr>
              <w:spacing w:after="0"/>
              <w:rPr>
                <w:sz w:val="20"/>
                <w:szCs w:val="20"/>
                <w:color w:val="auto"/>
              </w:rPr>
            </w:pPr>
            <w:r>
              <w:rPr>
                <w:rFonts w:ascii="Arial" w:cs="Arial" w:eastAsia="Arial" w:hAnsi="Arial"/>
                <w:sz w:val="18"/>
                <w:szCs w:val="18"/>
                <w:color w:val="auto"/>
              </w:rPr>
              <w:t>P032</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Sacramento, CA</w:t>
            </w:r>
          </w:p>
        </w:tc>
        <w:tc>
          <w:tcPr>
            <w:tcW w:w="880" w:type="dxa"/>
            <w:vAlign w:val="bottom"/>
          </w:tcPr>
          <w:p>
            <w:pPr>
              <w:spacing w:after="0"/>
              <w:rPr>
                <w:sz w:val="20"/>
                <w:szCs w:val="20"/>
                <w:color w:val="auto"/>
              </w:rPr>
            </w:pPr>
            <w:r>
              <w:rPr>
                <w:rFonts w:ascii="Arial" w:cs="Arial" w:eastAsia="Arial" w:hAnsi="Arial"/>
                <w:sz w:val="18"/>
                <w:szCs w:val="18"/>
                <w:color w:val="auto"/>
              </w:rPr>
              <w:t>P030</w:t>
            </w:r>
          </w:p>
        </w:tc>
        <w:tc>
          <w:tcPr>
            <w:tcW w:w="2780" w:type="dxa"/>
            <w:vAlign w:val="bottom"/>
          </w:tcPr>
          <w:p>
            <w:pPr>
              <w:spacing w:after="0"/>
              <w:rPr>
                <w:sz w:val="24"/>
                <w:szCs w:val="24"/>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August 17, 2003</w:t>
            </w: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Needham, MA</w:t>
            </w:r>
          </w:p>
        </w:tc>
        <w:tc>
          <w:tcPr>
            <w:tcW w:w="880" w:type="dxa"/>
            <w:vAlign w:val="bottom"/>
          </w:tcPr>
          <w:p>
            <w:pPr>
              <w:spacing w:after="0"/>
              <w:rPr>
                <w:sz w:val="20"/>
                <w:szCs w:val="20"/>
                <w:color w:val="auto"/>
              </w:rPr>
            </w:pPr>
            <w:r>
              <w:rPr>
                <w:rFonts w:ascii="Arial" w:cs="Arial" w:eastAsia="Arial" w:hAnsi="Arial"/>
                <w:sz w:val="18"/>
                <w:szCs w:val="18"/>
                <w:color w:val="auto"/>
              </w:rPr>
              <w:t>P028</w:t>
            </w:r>
          </w:p>
        </w:tc>
        <w:tc>
          <w:tcPr>
            <w:tcW w:w="2780" w:type="dxa"/>
            <w:vAlign w:val="bottom"/>
          </w:tcPr>
          <w:p>
            <w:pPr>
              <w:spacing w:after="0"/>
              <w:rPr>
                <w:sz w:val="24"/>
                <w:szCs w:val="24"/>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July 25, 2003</w:t>
            </w: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Minneapolis (warehouse)</w:t>
            </w:r>
          </w:p>
        </w:tc>
        <w:tc>
          <w:tcPr>
            <w:tcW w:w="880" w:type="dxa"/>
            <w:vAlign w:val="bottom"/>
          </w:tcPr>
          <w:p>
            <w:pPr>
              <w:spacing w:after="0"/>
              <w:rPr>
                <w:sz w:val="20"/>
                <w:szCs w:val="20"/>
                <w:color w:val="auto"/>
              </w:rPr>
            </w:pPr>
            <w:r>
              <w:rPr>
                <w:rFonts w:ascii="Arial" w:cs="Arial" w:eastAsia="Arial" w:hAnsi="Arial"/>
                <w:sz w:val="18"/>
                <w:szCs w:val="18"/>
                <w:color w:val="auto"/>
              </w:rPr>
              <w:t>P038</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Canonsburg (Techs)</w:t>
            </w:r>
          </w:p>
        </w:tc>
        <w:tc>
          <w:tcPr>
            <w:tcW w:w="880" w:type="dxa"/>
            <w:vAlign w:val="bottom"/>
          </w:tcPr>
          <w:p>
            <w:pPr>
              <w:spacing w:after="0"/>
              <w:rPr>
                <w:sz w:val="20"/>
                <w:szCs w:val="20"/>
                <w:color w:val="auto"/>
              </w:rPr>
            </w:pPr>
            <w:r>
              <w:rPr>
                <w:rFonts w:ascii="Arial" w:cs="Arial" w:eastAsia="Arial" w:hAnsi="Arial"/>
                <w:sz w:val="18"/>
                <w:szCs w:val="18"/>
                <w:color w:val="auto"/>
              </w:rPr>
              <w:t>P027</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Canonsburg (CSRs)</w:t>
            </w:r>
          </w:p>
        </w:tc>
        <w:tc>
          <w:tcPr>
            <w:tcW w:w="880" w:type="dxa"/>
            <w:vAlign w:val="bottom"/>
          </w:tcPr>
          <w:p>
            <w:pPr>
              <w:spacing w:after="0"/>
              <w:rPr>
                <w:sz w:val="20"/>
                <w:szCs w:val="20"/>
                <w:color w:val="auto"/>
              </w:rPr>
            </w:pPr>
            <w:r>
              <w:rPr>
                <w:rFonts w:ascii="Arial" w:cs="Arial" w:eastAsia="Arial" w:hAnsi="Arial"/>
                <w:sz w:val="18"/>
                <w:szCs w:val="18"/>
                <w:color w:val="auto"/>
              </w:rPr>
              <w:t>P040</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Coraopolis (Techs)</w:t>
            </w:r>
          </w:p>
        </w:tc>
        <w:tc>
          <w:tcPr>
            <w:tcW w:w="880" w:type="dxa"/>
            <w:vAlign w:val="bottom"/>
          </w:tcPr>
          <w:p>
            <w:pPr>
              <w:spacing w:after="0"/>
              <w:rPr>
                <w:sz w:val="20"/>
                <w:szCs w:val="20"/>
                <w:color w:val="auto"/>
              </w:rPr>
            </w:pPr>
            <w:r>
              <w:rPr>
                <w:rFonts w:ascii="Arial" w:cs="Arial" w:eastAsia="Arial" w:hAnsi="Arial"/>
                <w:sz w:val="18"/>
                <w:szCs w:val="18"/>
                <w:color w:val="auto"/>
              </w:rPr>
              <w:t>P024</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Corliss (CSRs)</w:t>
            </w:r>
          </w:p>
        </w:tc>
        <w:tc>
          <w:tcPr>
            <w:tcW w:w="880" w:type="dxa"/>
            <w:vAlign w:val="bottom"/>
          </w:tcPr>
          <w:p>
            <w:pPr>
              <w:spacing w:after="0"/>
              <w:rPr>
                <w:sz w:val="20"/>
                <w:szCs w:val="20"/>
                <w:color w:val="auto"/>
              </w:rPr>
            </w:pPr>
            <w:r>
              <w:rPr>
                <w:rFonts w:ascii="Arial" w:cs="Arial" w:eastAsia="Arial" w:hAnsi="Arial"/>
                <w:sz w:val="18"/>
                <w:szCs w:val="18"/>
                <w:color w:val="auto"/>
              </w:rPr>
              <w:t>P022</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Corliss (Techs)</w:t>
            </w:r>
          </w:p>
        </w:tc>
        <w:tc>
          <w:tcPr>
            <w:tcW w:w="880" w:type="dxa"/>
            <w:vAlign w:val="bottom"/>
          </w:tcPr>
          <w:p>
            <w:pPr>
              <w:spacing w:after="0"/>
              <w:rPr>
                <w:sz w:val="20"/>
                <w:szCs w:val="20"/>
                <w:color w:val="auto"/>
              </w:rPr>
            </w:pPr>
            <w:r>
              <w:rPr>
                <w:rFonts w:ascii="Arial" w:cs="Arial" w:eastAsia="Arial" w:hAnsi="Arial"/>
                <w:sz w:val="18"/>
                <w:szCs w:val="18"/>
                <w:color w:val="auto"/>
              </w:rPr>
              <w:t>P022</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East Hills</w:t>
            </w:r>
          </w:p>
        </w:tc>
        <w:tc>
          <w:tcPr>
            <w:tcW w:w="880" w:type="dxa"/>
            <w:vAlign w:val="bottom"/>
          </w:tcPr>
          <w:p>
            <w:pPr>
              <w:spacing w:after="0"/>
              <w:rPr>
                <w:sz w:val="20"/>
                <w:szCs w:val="20"/>
                <w:color w:val="auto"/>
              </w:rPr>
            </w:pPr>
            <w:r>
              <w:rPr>
                <w:rFonts w:ascii="Arial" w:cs="Arial" w:eastAsia="Arial" w:hAnsi="Arial"/>
                <w:sz w:val="18"/>
                <w:szCs w:val="18"/>
                <w:color w:val="auto"/>
              </w:rPr>
              <w:t>P033</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Pittsburgh (Call Center)</w:t>
            </w:r>
          </w:p>
        </w:tc>
        <w:tc>
          <w:tcPr>
            <w:tcW w:w="880" w:type="dxa"/>
            <w:vAlign w:val="bottom"/>
          </w:tcPr>
          <w:p>
            <w:pPr>
              <w:spacing w:after="0"/>
              <w:rPr>
                <w:sz w:val="20"/>
                <w:szCs w:val="20"/>
                <w:color w:val="auto"/>
              </w:rPr>
            </w:pPr>
            <w:r>
              <w:rPr>
                <w:rFonts w:ascii="Arial" w:cs="Arial" w:eastAsia="Arial" w:hAnsi="Arial"/>
                <w:sz w:val="18"/>
                <w:szCs w:val="18"/>
                <w:color w:val="auto"/>
              </w:rPr>
              <w:t>P035</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South Hills (Techs)</w:t>
            </w:r>
          </w:p>
        </w:tc>
        <w:tc>
          <w:tcPr>
            <w:tcW w:w="880" w:type="dxa"/>
            <w:vAlign w:val="bottom"/>
          </w:tcPr>
          <w:p>
            <w:pPr>
              <w:spacing w:after="0"/>
              <w:rPr>
                <w:sz w:val="20"/>
                <w:szCs w:val="20"/>
                <w:color w:val="auto"/>
              </w:rPr>
            </w:pPr>
            <w:r>
              <w:rPr>
                <w:rFonts w:ascii="Arial" w:cs="Arial" w:eastAsia="Arial" w:hAnsi="Arial"/>
                <w:sz w:val="18"/>
                <w:szCs w:val="18"/>
                <w:color w:val="auto"/>
              </w:rPr>
              <w:t>P020</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South Hills (CSRs)</w:t>
            </w:r>
          </w:p>
        </w:tc>
        <w:tc>
          <w:tcPr>
            <w:tcW w:w="880" w:type="dxa"/>
            <w:vAlign w:val="bottom"/>
          </w:tcPr>
          <w:p>
            <w:pPr>
              <w:spacing w:after="0"/>
              <w:rPr>
                <w:sz w:val="20"/>
                <w:szCs w:val="20"/>
                <w:color w:val="auto"/>
              </w:rPr>
            </w:pPr>
            <w:r>
              <w:rPr>
                <w:rFonts w:ascii="Arial" w:cs="Arial" w:eastAsia="Arial" w:hAnsi="Arial"/>
                <w:sz w:val="18"/>
                <w:szCs w:val="18"/>
                <w:color w:val="auto"/>
              </w:rPr>
              <w:t>P021</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9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tcPr>
          <w:p>
            <w:pPr>
              <w:jc w:val="right"/>
              <w:ind w:right="183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PARTICIPATING COMPANIES/LISTED EMPLOYERS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ind w:left="1000"/>
              <w:spacing w:after="0"/>
              <w:rPr>
                <w:sz w:val="20"/>
                <w:szCs w:val="20"/>
                <w:color w:val="auto"/>
              </w:rPr>
            </w:pPr>
            <w:r>
              <w:rPr>
                <w:rFonts w:ascii="Arial" w:cs="Arial" w:eastAsia="Arial" w:hAnsi="Arial"/>
                <w:sz w:val="14"/>
                <w:szCs w:val="14"/>
                <w:b w:val="1"/>
                <w:bCs w:val="1"/>
                <w:color w:val="auto"/>
              </w:rPr>
              <w:t>Participating</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9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Name of Entity</w:t>
            </w:r>
          </w:p>
        </w:tc>
        <w:tc>
          <w:tcPr>
            <w:tcW w:w="120" w:type="dxa"/>
            <w:vAlign w:val="bottom"/>
          </w:tcPr>
          <w:p>
            <w:pPr>
              <w:spacing w:after="0"/>
              <w:rPr>
                <w:sz w:val="15"/>
                <w:szCs w:val="15"/>
                <w:color w:val="auto"/>
              </w:rPr>
            </w:pPr>
          </w:p>
        </w:tc>
        <w:tc>
          <w:tcPr>
            <w:tcW w:w="21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Company</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Listed Employer</w:t>
            </w:r>
          </w:p>
        </w:tc>
        <w:tc>
          <w:tcPr>
            <w:tcW w:w="100" w:type="dxa"/>
            <w:vAlign w:val="bottom"/>
          </w:tcPr>
          <w:p>
            <w:pPr>
              <w:spacing w:after="0"/>
              <w:rPr>
                <w:sz w:val="15"/>
                <w:szCs w:val="15"/>
                <w:color w:val="auto"/>
              </w:rPr>
            </w:pPr>
          </w:p>
        </w:tc>
        <w:tc>
          <w:tcPr>
            <w:tcW w:w="26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Effective Date</w:t>
            </w:r>
          </w:p>
        </w:tc>
      </w:tr>
      <w:tr>
        <w:trPr>
          <w:trHeight w:val="201"/>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Ad Sales Acquisitions</w:t>
            </w:r>
          </w:p>
        </w:tc>
        <w:tc>
          <w:tcPr>
            <w:tcW w:w="120" w:type="dxa"/>
            <w:vAlign w:val="bottom"/>
          </w:tcPr>
          <w:p>
            <w:pPr>
              <w:spacing w:after="0"/>
              <w:rPr>
                <w:sz w:val="17"/>
                <w:szCs w:val="17"/>
                <w:color w:val="auto"/>
              </w:rPr>
            </w:pPr>
          </w:p>
        </w:tc>
        <w:tc>
          <w:tcPr>
            <w:tcW w:w="2100" w:type="dxa"/>
            <w:vAlign w:val="bottom"/>
          </w:tcPr>
          <w:p>
            <w:pPr>
              <w:spacing w:after="0" w:line="201" w:lineRule="exact"/>
              <w:rPr>
                <w:sz w:val="20"/>
                <w:szCs w:val="20"/>
                <w:color w:val="auto"/>
              </w:rPr>
            </w:pPr>
            <w:r>
              <w:rPr>
                <w:rFonts w:ascii="Arial" w:cs="Arial" w:eastAsia="Arial" w:hAnsi="Arial"/>
                <w:sz w:val="18"/>
                <w:szCs w:val="18"/>
                <w:color w:val="auto"/>
              </w:rPr>
              <w:t>YES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YES</w:t>
            </w:r>
          </w:p>
        </w:tc>
        <w:tc>
          <w:tcPr>
            <w:tcW w:w="10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December 29, 2003</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 TeleMedia</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 Charter Communications</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 Mediacom</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 Cox Communications</w:t>
            </w: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8"/>
        </w:trPr>
        <w:tc>
          <w:tcPr>
            <w:tcW w:w="2980" w:type="dxa"/>
            <w:vAlign w:val="bottom"/>
            <w:gridSpan w:val="2"/>
          </w:tcPr>
          <w:p>
            <w:pPr>
              <w:spacing w:after="0"/>
              <w:rPr>
                <w:sz w:val="20"/>
                <w:szCs w:val="20"/>
                <w:color w:val="auto"/>
              </w:rPr>
            </w:pPr>
            <w:r>
              <w:rPr>
                <w:rFonts w:ascii="Arial" w:cs="Arial" w:eastAsia="Arial" w:hAnsi="Arial"/>
                <w:sz w:val="18"/>
                <w:szCs w:val="18"/>
                <w:color w:val="auto"/>
              </w:rPr>
              <w:t>Gemstar TV Guide</w:t>
            </w:r>
          </w:p>
        </w:tc>
        <w:tc>
          <w:tcPr>
            <w:tcW w:w="1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YES</w:t>
            </w:r>
          </w:p>
        </w:tc>
        <w:tc>
          <w:tcPr>
            <w:tcW w:w="64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April 1, 2004</w:t>
            </w:r>
          </w:p>
        </w:tc>
      </w:tr>
      <w:tr>
        <w:trPr>
          <w:trHeight w:val="318"/>
        </w:trPr>
        <w:tc>
          <w:tcPr>
            <w:tcW w:w="2980" w:type="dxa"/>
            <w:vAlign w:val="bottom"/>
            <w:gridSpan w:val="2"/>
          </w:tcPr>
          <w:p>
            <w:pPr>
              <w:spacing w:after="0"/>
              <w:rPr>
                <w:sz w:val="20"/>
                <w:szCs w:val="20"/>
                <w:color w:val="auto"/>
              </w:rPr>
            </w:pPr>
            <w:r>
              <w:rPr>
                <w:rFonts w:ascii="Arial" w:cs="Arial" w:eastAsia="Arial" w:hAnsi="Arial"/>
                <w:sz w:val="18"/>
                <w:szCs w:val="18"/>
                <w:color w:val="auto"/>
                <w:w w:val="92"/>
              </w:rPr>
              <w:t>US Cable Coastal of Texas LP (Georgia</w:t>
            </w:r>
          </w:p>
        </w:tc>
        <w:tc>
          <w:tcPr>
            <w:tcW w:w="1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YES</w:t>
            </w:r>
          </w:p>
        </w:tc>
        <w:tc>
          <w:tcPr>
            <w:tcW w:w="64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May 1, 2004</w:t>
            </w: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and South Carolina properties only)</w:t>
            </w: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color w:val="auto"/>
                <w:w w:val="98"/>
              </w:rPr>
              <w:t>Tech TV, Inc. (formerly Tech TV LLC)</w:t>
            </w:r>
          </w:p>
        </w:tc>
        <w:tc>
          <w:tcPr>
            <w:tcW w:w="1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NO</w:t>
            </w:r>
          </w:p>
        </w:tc>
        <w:tc>
          <w:tcPr>
            <w:tcW w:w="64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May 10, 2004</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color w:val="auto"/>
              </w:rPr>
              <w:t>Insight Communications</w:t>
            </w:r>
          </w:p>
        </w:tc>
        <w:tc>
          <w:tcPr>
            <w:tcW w:w="1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YES</w:t>
            </w:r>
          </w:p>
        </w:tc>
        <w:tc>
          <w:tcPr>
            <w:tcW w:w="64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August 1, 2004</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color w:val="auto"/>
              </w:rPr>
              <w:t>The International Channel</w:t>
            </w:r>
          </w:p>
        </w:tc>
        <w:tc>
          <w:tcPr>
            <w:tcW w:w="1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YES</w:t>
            </w:r>
          </w:p>
        </w:tc>
        <w:tc>
          <w:tcPr>
            <w:tcW w:w="64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August 1, 2004</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color w:val="auto"/>
              </w:rPr>
              <w:t>Target TV</w:t>
            </w:r>
          </w:p>
        </w:tc>
        <w:tc>
          <w:tcPr>
            <w:tcW w:w="1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YES</w:t>
            </w:r>
          </w:p>
        </w:tc>
        <w:tc>
          <w:tcPr>
            <w:tcW w:w="64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January 1, 2005</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color w:val="auto"/>
              </w:rPr>
              <w:t>Motorola</w:t>
            </w:r>
          </w:p>
        </w:tc>
        <w:tc>
          <w:tcPr>
            <w:tcW w:w="1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NO</w:t>
            </w:r>
          </w:p>
        </w:tc>
        <w:tc>
          <w:tcPr>
            <w:tcW w:w="64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April 1, 2005</w:t>
            </w:r>
          </w:p>
        </w:tc>
      </w:tr>
      <w:tr>
        <w:trPr>
          <w:trHeight w:val="318"/>
        </w:trPr>
        <w:tc>
          <w:tcPr>
            <w:tcW w:w="2980" w:type="dxa"/>
            <w:vAlign w:val="bottom"/>
            <w:gridSpan w:val="2"/>
          </w:tcPr>
          <w:p>
            <w:pPr>
              <w:spacing w:after="0"/>
              <w:rPr>
                <w:sz w:val="20"/>
                <w:szCs w:val="20"/>
                <w:color w:val="auto"/>
              </w:rPr>
            </w:pPr>
            <w:r>
              <w:rPr>
                <w:rFonts w:ascii="Arial" w:cs="Arial" w:eastAsia="Arial" w:hAnsi="Arial"/>
                <w:sz w:val="18"/>
                <w:szCs w:val="18"/>
                <w:color w:val="auto"/>
              </w:rPr>
              <w:t>Liberate Technologies (California</w:t>
            </w:r>
          </w:p>
        </w:tc>
        <w:tc>
          <w:tcPr>
            <w:tcW w:w="1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NO</w:t>
            </w:r>
          </w:p>
        </w:tc>
        <w:tc>
          <w:tcPr>
            <w:tcW w:w="64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April 8, 2005</w:t>
            </w: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employees only)</w:t>
            </w: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18"/>
        </w:trPr>
        <w:tc>
          <w:tcPr>
            <w:tcW w:w="2980" w:type="dxa"/>
            <w:vAlign w:val="bottom"/>
            <w:gridSpan w:val="2"/>
          </w:tcPr>
          <w:p>
            <w:pPr>
              <w:spacing w:after="0"/>
              <w:rPr>
                <w:sz w:val="20"/>
                <w:szCs w:val="20"/>
                <w:color w:val="auto"/>
              </w:rPr>
            </w:pPr>
            <w:r>
              <w:rPr>
                <w:rFonts w:ascii="Arial" w:cs="Arial" w:eastAsia="Arial" w:hAnsi="Arial"/>
                <w:sz w:val="18"/>
                <w:szCs w:val="18"/>
                <w:color w:val="auto"/>
              </w:rPr>
              <w:t>Susquehanna Cable Co.</w:t>
            </w:r>
          </w:p>
        </w:tc>
        <w:tc>
          <w:tcPr>
            <w:tcW w:w="1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NO</w:t>
            </w:r>
          </w:p>
        </w:tc>
        <w:tc>
          <w:tcPr>
            <w:tcW w:w="64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5"/>
              </w:rPr>
              <w:t>The period beginning on February</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 2006 and ending on the date</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7"/>
              </w:rPr>
              <w:t>immediately following the date on</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2"/>
              </w:rPr>
              <w:t>which the transaction contemplated</w:t>
            </w: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under</w:t>
            </w:r>
          </w:p>
        </w:tc>
      </w:tr>
      <w:tr>
        <w:trPr>
          <w:trHeight w:val="36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60" w:type="dxa"/>
            <w:vAlign w:val="bottom"/>
            <w:gridSpan w:val="2"/>
          </w:tcPr>
          <w:p>
            <w:pPr>
              <w:jc w:val="right"/>
              <w:ind w:right="12"/>
              <w:spacing w:after="0"/>
              <w:rPr>
                <w:sz w:val="20"/>
                <w:szCs w:val="20"/>
                <w:color w:val="auto"/>
              </w:rPr>
            </w:pPr>
            <w:r>
              <w:rPr>
                <w:rFonts w:ascii="Arial" w:cs="Arial" w:eastAsia="Arial" w:hAnsi="Arial"/>
                <w:sz w:val="18"/>
                <w:szCs w:val="18"/>
                <w:color w:val="auto"/>
              </w:rPr>
              <w:t>-75-</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60" w:name="page161"/>
    <w:bookmarkEnd w:id="1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Participating</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5"/>
        </w:trPr>
        <w:tc>
          <w:tcPr>
            <w:tcW w:w="4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Name of Entity</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87"/>
              </w:rPr>
              <w:t>Company</w:t>
            </w:r>
          </w:p>
        </w:tc>
        <w:tc>
          <w:tcPr>
            <w:tcW w:w="120" w:type="dxa"/>
            <w:vAlign w:val="bottom"/>
          </w:tcPr>
          <w:p>
            <w:pPr>
              <w:spacing w:after="0"/>
              <w:rPr>
                <w:sz w:val="15"/>
                <w:szCs w:val="15"/>
                <w:color w:val="auto"/>
              </w:rPr>
            </w:pPr>
          </w:p>
        </w:tc>
        <w:tc>
          <w:tcPr>
            <w:tcW w:w="274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Listed Employer</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Effective Date</w:t>
            </w:r>
          </w:p>
        </w:tc>
      </w:tr>
      <w:tr>
        <w:trPr>
          <w:trHeight w:val="201"/>
        </w:trPr>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3"/>
          </w:tcPr>
          <w:p>
            <w:pPr>
              <w:spacing w:after="0" w:line="201" w:lineRule="exact"/>
              <w:rPr>
                <w:sz w:val="20"/>
                <w:szCs w:val="20"/>
                <w:color w:val="auto"/>
              </w:rPr>
            </w:pPr>
            <w:r>
              <w:rPr>
                <w:rFonts w:ascii="Arial" w:cs="Arial" w:eastAsia="Arial" w:hAnsi="Arial"/>
                <w:sz w:val="18"/>
                <w:szCs w:val="18"/>
                <w:color w:val="auto"/>
                <w:w w:val="99"/>
              </w:rPr>
              <w:t>the Susquehanna APA becomes</w:t>
            </w:r>
          </w:p>
        </w:tc>
      </w:tr>
      <w:tr>
        <w:trPr>
          <w:trHeight w:val="216"/>
        </w:trPr>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w w:val="94"/>
              </w:rPr>
              <w:t>effective (or December 31, 2006, if</w:t>
            </w:r>
          </w:p>
        </w:tc>
      </w:tr>
      <w:tr>
        <w:trPr>
          <w:trHeight w:val="216"/>
        </w:trPr>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w w:val="89"/>
              </w:rPr>
              <w:t>such transaction is not completed by</w:t>
            </w:r>
          </w:p>
        </w:tc>
      </w:tr>
      <w:tr>
        <w:trPr>
          <w:trHeight w:val="222"/>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that date.</w:t>
            </w:r>
          </w:p>
        </w:tc>
      </w:tr>
      <w:tr>
        <w:trPr>
          <w:trHeight w:val="318"/>
        </w:trPr>
        <w:tc>
          <w:tcPr>
            <w:tcW w:w="2980" w:type="dxa"/>
            <w:vAlign w:val="bottom"/>
            <w:gridSpan w:val="3"/>
          </w:tcPr>
          <w:p>
            <w:pPr>
              <w:spacing w:after="0"/>
              <w:rPr>
                <w:sz w:val="20"/>
                <w:szCs w:val="20"/>
                <w:color w:val="auto"/>
              </w:rPr>
            </w:pPr>
            <w:r>
              <w:rPr>
                <w:rFonts w:ascii="Arial" w:cs="Arial" w:eastAsia="Arial" w:hAnsi="Arial"/>
                <w:sz w:val="18"/>
                <w:szCs w:val="18"/>
                <w:color w:val="auto"/>
                <w:w w:val="96"/>
              </w:rPr>
              <w:t>Adelphia Communications Corporation</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NO</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w w:val="89"/>
              </w:rPr>
              <w:t>The period beginning on the Closing</w:t>
            </w:r>
          </w:p>
        </w:tc>
      </w:tr>
      <w:tr>
        <w:trPr>
          <w:trHeight w:val="216"/>
        </w:trPr>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w w:val="99"/>
              </w:rPr>
              <w:t>Date of the Adelphia Transaction</w:t>
            </w:r>
          </w:p>
        </w:tc>
      </w:tr>
      <w:tr>
        <w:trPr>
          <w:trHeight w:val="216"/>
        </w:trPr>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w w:val="94"/>
              </w:rPr>
              <w:t>and ending on the first anniversary</w:t>
            </w:r>
          </w:p>
        </w:tc>
      </w:tr>
      <w:tr>
        <w:trPr>
          <w:trHeight w:val="222"/>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thereof.</w:t>
            </w:r>
          </w:p>
        </w:tc>
      </w:tr>
      <w:tr>
        <w:trPr>
          <w:trHeight w:val="318"/>
        </w:trPr>
        <w:tc>
          <w:tcPr>
            <w:tcW w:w="2980" w:type="dxa"/>
            <w:vAlign w:val="bottom"/>
            <w:gridSpan w:val="3"/>
          </w:tcPr>
          <w:p>
            <w:pPr>
              <w:spacing w:after="0"/>
              <w:rPr>
                <w:sz w:val="20"/>
                <w:szCs w:val="20"/>
                <w:color w:val="auto"/>
              </w:rPr>
            </w:pPr>
            <w:r>
              <w:rPr>
                <w:rFonts w:ascii="Arial" w:cs="Arial" w:eastAsia="Arial" w:hAnsi="Arial"/>
                <w:sz w:val="18"/>
                <w:szCs w:val="18"/>
                <w:color w:val="auto"/>
              </w:rPr>
              <w:t>Time Warner NY Cable LLC</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NO</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w w:val="93"/>
              </w:rPr>
              <w:t>The date immediately following the</w:t>
            </w:r>
          </w:p>
        </w:tc>
      </w:tr>
      <w:tr>
        <w:trPr>
          <w:trHeight w:val="216"/>
        </w:trPr>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w w:val="99"/>
              </w:rPr>
              <w:t>Closing Date of the Time Warner</w:t>
            </w:r>
          </w:p>
        </w:tc>
      </w:tr>
      <w:tr>
        <w:trPr>
          <w:trHeight w:val="222"/>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Transaction</w:t>
            </w:r>
          </w:p>
        </w:tc>
      </w:tr>
      <w:tr>
        <w:trPr>
          <w:trHeight w:val="324"/>
        </w:trPr>
        <w:tc>
          <w:tcPr>
            <w:tcW w:w="2980" w:type="dxa"/>
            <w:vAlign w:val="bottom"/>
            <w:gridSpan w:val="3"/>
          </w:tcPr>
          <w:p>
            <w:pPr>
              <w:spacing w:after="0"/>
              <w:rPr>
                <w:sz w:val="20"/>
                <w:szCs w:val="20"/>
                <w:color w:val="auto"/>
              </w:rPr>
            </w:pPr>
            <w:r>
              <w:rPr>
                <w:rFonts w:ascii="Arial" w:cs="Arial" w:eastAsia="Arial" w:hAnsi="Arial"/>
                <w:sz w:val="18"/>
                <w:szCs w:val="18"/>
                <w:color w:val="auto"/>
              </w:rPr>
              <w:t>thePlatform for Media, Inc.</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YES</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December 18, 2006</w:t>
            </w:r>
          </w:p>
        </w:tc>
      </w:tr>
      <w:tr>
        <w:trPr>
          <w:trHeight w:val="324"/>
        </w:trPr>
        <w:tc>
          <w:tcPr>
            <w:tcW w:w="2980" w:type="dxa"/>
            <w:vAlign w:val="bottom"/>
            <w:gridSpan w:val="3"/>
          </w:tcPr>
          <w:p>
            <w:pPr>
              <w:spacing w:after="0"/>
              <w:rPr>
                <w:sz w:val="20"/>
                <w:szCs w:val="20"/>
                <w:color w:val="auto"/>
              </w:rPr>
            </w:pPr>
            <w:r>
              <w:rPr>
                <w:rFonts w:ascii="Arial" w:cs="Arial" w:eastAsia="Arial" w:hAnsi="Arial"/>
                <w:sz w:val="18"/>
                <w:szCs w:val="18"/>
                <w:color w:val="auto"/>
              </w:rPr>
              <w:t>Insight Media</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NO</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January 1, 2008</w:t>
            </w:r>
          </w:p>
        </w:tc>
      </w:tr>
      <w:tr>
        <w:trPr>
          <w:trHeight w:val="324"/>
        </w:trPr>
        <w:tc>
          <w:tcPr>
            <w:tcW w:w="2980" w:type="dxa"/>
            <w:vAlign w:val="bottom"/>
            <w:gridSpan w:val="3"/>
          </w:tcPr>
          <w:p>
            <w:pPr>
              <w:spacing w:after="0"/>
              <w:rPr>
                <w:sz w:val="20"/>
                <w:szCs w:val="20"/>
                <w:color w:val="auto"/>
              </w:rPr>
            </w:pPr>
            <w:r>
              <w:rPr>
                <w:rFonts w:ascii="Arial" w:cs="Arial" w:eastAsia="Arial" w:hAnsi="Arial"/>
                <w:sz w:val="18"/>
                <w:szCs w:val="18"/>
                <w:color w:val="auto"/>
              </w:rPr>
              <w:t>E! Entertainment Television, Inc.</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NO</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January 1, 2008</w:t>
            </w:r>
          </w:p>
        </w:tc>
      </w:tr>
      <w:tr>
        <w:trPr>
          <w:trHeight w:val="502"/>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40" w:type="dxa"/>
            <w:vAlign w:val="bottom"/>
            <w:gridSpan w:val="5"/>
          </w:tcPr>
          <w:p>
            <w:pPr>
              <w:ind w:left="480"/>
              <w:spacing w:after="0"/>
              <w:rPr>
                <w:sz w:val="20"/>
                <w:szCs w:val="20"/>
                <w:color w:val="auto"/>
              </w:rPr>
            </w:pPr>
            <w:r>
              <w:rPr>
                <w:rFonts w:ascii="Arial" w:cs="Arial" w:eastAsia="Arial" w:hAnsi="Arial"/>
                <w:sz w:val="18"/>
                <w:szCs w:val="18"/>
                <w:b w:val="1"/>
                <w:bCs w:val="1"/>
                <w:color w:val="auto"/>
              </w:rPr>
              <w:t>NON-PARTICIPATING COMPANIES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85"/>
        </w:trPr>
        <w:tc>
          <w:tcPr>
            <w:tcW w:w="4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2"/>
          </w:tcPr>
          <w:p>
            <w:pPr>
              <w:ind w:left="540"/>
              <w:spacing w:after="0"/>
              <w:rPr>
                <w:sz w:val="20"/>
                <w:szCs w:val="20"/>
                <w:color w:val="auto"/>
              </w:rPr>
            </w:pPr>
            <w:r>
              <w:rPr>
                <w:rFonts w:ascii="Arial" w:cs="Arial" w:eastAsia="Arial" w:hAnsi="Arial"/>
                <w:sz w:val="14"/>
                <w:szCs w:val="14"/>
                <w:b w:val="1"/>
                <w:bCs w:val="1"/>
                <w:color w:val="auto"/>
              </w:rPr>
              <w:t>Effective Date</w:t>
            </w:r>
          </w:p>
        </w:tc>
      </w:tr>
      <w:tr>
        <w:trPr>
          <w:trHeight w:val="216"/>
        </w:trPr>
        <w:tc>
          <w:tcPr>
            <w:tcW w:w="46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THOG</w:t>
            </w:r>
          </w:p>
        </w:tc>
        <w:tc>
          <w:tcPr>
            <w:tcW w:w="1920" w:type="dxa"/>
            <w:vAlign w:val="bottom"/>
          </w:tcPr>
          <w:p>
            <w:pPr>
              <w:spacing w:after="0"/>
              <w:rPr>
                <w:sz w:val="20"/>
                <w:szCs w:val="20"/>
                <w:color w:val="auto"/>
              </w:rPr>
            </w:pPr>
            <w:r>
              <w:rPr>
                <w:rFonts w:ascii="Arial" w:cs="Arial" w:eastAsia="Arial" w:hAnsi="Arial"/>
                <w:sz w:val="18"/>
                <w:szCs w:val="18"/>
                <w:color w:val="auto"/>
              </w:rPr>
              <w:t>Productions, LLC</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August 1, 2002*</w:t>
            </w:r>
          </w:p>
        </w:tc>
        <w:tc>
          <w:tcPr>
            <w:tcW w:w="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Previously excluded by action of the Board.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63"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18.1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October 29, 2008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At your request, we have read the description included in your Quarterly Report on Form 10-Q to the Securities and Exchange Commission for the quarter ended September 30, 2008 of the facts relating to the change in the date of the goodwill annual impairment test under Statement of Financial Accounting Standards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We believe, on the basis of the facts so set forth and other information furnished to us by appropriate officials of Comcast Corporation and subsidiaries (the “Company”), that the accounting change in the date of the goodwill annual impairment test described in your Form 10-Q is to an alternative accounting principle that is preferable under the circumstances.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not audited any consolidated financial statements of the Company as of any date or for any period subsequent to December 31, 2007. Therefore, we are unable to express, and we do not express, an opinion on the facts set forth in the above-mentioned Form 10-Q, on the related information furnished to us by officials of the Company, or on the financial position, results of operations, or cash flows of Comcast Corporation and its consolidated subsidiaries as of any date or for any period subsequent to December 31, 2007.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2008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2008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80"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29, 2008</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Brian L. Roberts, the Chief Executive Officer and Michael J. Angelakis, the Chief Financial Officer, each certifies that, to the best of his knowledge:</w:t>
      </w:r>
    </w:p>
    <w:p>
      <w:pPr>
        <w:spacing w:after="0" w:line="100"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1)"/>
      <w:numFmt w:val="lowerLetter"/>
      <w:start w:val="1"/>
    </w:lvl>
  </w:abstractNum>
  <w:abstractNum w:abstractNumId="5">
    <w:nsid w:val="100F59DC"/>
    <w:multiLevelType w:val="hybridMultilevel"/>
    <w:lvl w:ilvl="0">
      <w:lvlJc w:val="left"/>
      <w:lvlText w:val="(%1)"/>
      <w:numFmt w:val="lowerLetter"/>
      <w:start w:val="2"/>
    </w:lvl>
  </w:abstractNum>
  <w:abstractNum w:abstractNumId="6">
    <w:nsid w:val="7FB7E0AA"/>
    <w:multiLevelType w:val="hybridMultilevel"/>
    <w:lvl w:ilvl="0">
      <w:lvlJc w:val="left"/>
      <w:lvlText w:val="(%1)"/>
      <w:numFmt w:val="lowerLetter"/>
      <w:start w:val="4"/>
    </w:lvl>
    <w:lvl w:ilvl="1">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1)"/>
      <w:numFmt w:val="lowerLetter"/>
      <w:start w:val="1"/>
    </w:lvl>
  </w:abstractNum>
  <w:abstractNum w:abstractNumId="9">
    <w:nsid w:val="94211F2"/>
    <w:multiLevelType w:val="hybridMultilevel"/>
    <w:lvl w:ilvl="0">
      <w:lvlJc w:val="left"/>
      <w:lvlText w:val="%1"/>
      <w:numFmt w:val="decimal"/>
      <w:start w:val="3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1."/>
      <w:numFmt w:val="decimal"/>
      <w:start w:val="1"/>
    </w:lvl>
    <w:lvl w:ilvl="1">
      <w:lvlJc w:val="left"/>
      <w:lvlText w:val="(%2)"/>
      <w:numFmt w:val="lowerLetter"/>
      <w:start w:val="1"/>
    </w:lvl>
  </w:abstractNum>
  <w:abstractNum w:abstractNumId="12">
    <w:nsid w:val="4C04A8A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
    <w:nsid w:val="1716703B"/>
    <w:multiLevelType w:val="hybridMultilevel"/>
    <w:lvl w:ilvl="0">
      <w:lvlJc w:val="left"/>
      <w:lvlText w:val="(%1)"/>
      <w:numFmt w:val="lowerLetter"/>
      <w:start w:val="7"/>
    </w:lvl>
    <w:lvl w:ilvl="1">
      <w:lvlJc w:val="left"/>
      <w:lvlText w:val="(%2)"/>
      <w:numFmt w:val="lowerRoman"/>
      <w:start w:val="1"/>
    </w:lvl>
  </w:abstractNum>
  <w:abstractNum w:abstractNumId="14">
    <w:nsid w:val="14E17E33"/>
    <w:multiLevelType w:val="hybridMultilevel"/>
    <w:lvl w:ilvl="0">
      <w:lvlJc w:val="left"/>
      <w:lvlText w:val="(%1)"/>
      <w:numFmt w:val="lowerLetter"/>
      <w:start w:val="14"/>
    </w:lvl>
    <w:lvl w:ilvl="1">
      <w:lvlJc w:val="left"/>
      <w:lvlText w:val="(%2)"/>
      <w:numFmt w:val="lowerRoman"/>
      <w:start w:val="1"/>
    </w:lvl>
  </w:abstractNum>
  <w:abstractNum w:abstractNumId="15">
    <w:nsid w:val="3222E7CD"/>
    <w:multiLevelType w:val="hybridMultilevel"/>
    <w:lvl w:ilvl="0">
      <w:lvlJc w:val="left"/>
      <w:lvlText w:val="(%1)"/>
      <w:numFmt w:val="lowerLetter"/>
      <w:start w:val="20"/>
    </w:lvl>
    <w:lvl w:ilvl="1">
      <w:lvlJc w:val="left"/>
      <w:lvlText w:val="(%2)"/>
      <w:numFmt w:val="lowerRoman"/>
      <w:start w:val="1"/>
    </w:lvl>
  </w:abstractNum>
  <w:abstractNum w:abstractNumId="16">
    <w:nsid w:val="74DE0EE3"/>
    <w:multiLevelType w:val="hybridMultilevel"/>
    <w:lvl w:ilvl="0">
      <w:lvlJc w:val="left"/>
      <w:lvlText w:val="%1"/>
      <w:numFmt w:val="lowerLetter"/>
      <w:start w:val="1"/>
    </w:lvl>
    <w:lvl w:ilvl="1">
      <w:lvlJc w:val="left"/>
      <w:lvlText w:val="(%2)"/>
      <w:numFmt w:val="lowerLetter"/>
      <w:start w:val="61"/>
    </w:lvl>
  </w:abstractNum>
  <w:abstractNum w:abstractNumId="17">
    <w:nsid w:val="68EBC550"/>
    <w:multiLevelType w:val="hybridMultilevel"/>
    <w:lvl w:ilvl="0">
      <w:lvlJc w:val="left"/>
      <w:lvlText w:val="(%1)"/>
      <w:numFmt w:val="lowerLetter"/>
      <w:start w:val="27"/>
    </w:lvl>
    <w:lvl w:ilvl="1">
      <w:lvlJc w:val="left"/>
      <w:lvlText w:val="%2"/>
      <w:numFmt w:val="lowerLetter"/>
      <w:start w:val="1"/>
    </w:lvl>
  </w:abstractNum>
  <w:abstractNum w:abstractNumId="18">
    <w:nsid w:val="2DF6D648"/>
    <w:multiLevelType w:val="hybridMultilevel"/>
    <w:lvl w:ilvl="0">
      <w:lvlJc w:val="left"/>
      <w:lvlText w:val="(%1)"/>
      <w:numFmt w:val="lowerLetter"/>
      <w:start w:val="3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9">
    <w:nsid w:val="46B7D447"/>
    <w:multiLevelType w:val="hybridMultilevel"/>
    <w:lvl w:ilvl="0">
      <w:lvlJc w:val="left"/>
      <w:lvlText w:val="(%1)"/>
      <w:numFmt w:val="lowerLetter"/>
      <w:start w:val="36"/>
    </w:lvl>
  </w:abstractNum>
  <w:abstractNum w:abstractNumId="20">
    <w:nsid w:val="4A2AC315"/>
    <w:multiLevelType w:val="hybridMultilevel"/>
    <w:lvl w:ilvl="0">
      <w:lvlJc w:val="left"/>
      <w:lvlText w:val="(%1)"/>
      <w:numFmt w:val="lowerLetter"/>
      <w:start w:val="47"/>
    </w:lvl>
    <w:lvl w:ilvl="1">
      <w:lvlJc w:val="left"/>
      <w:lvlText w:val="(%2)"/>
      <w:numFmt w:val="lowerRoman"/>
      <w:start w:val="1"/>
    </w:lvl>
  </w:abstractNum>
  <w:abstractNum w:abstractNumId="21">
    <w:nsid w:val="39EE015C"/>
    <w:multiLevelType w:val="hybridMultilevel"/>
    <w:lvl w:ilvl="0">
      <w:lvlJc w:val="left"/>
      <w:lvlText w:val="(%1)"/>
      <w:numFmt w:val="lowerLetter"/>
      <w:start w:val="53"/>
    </w:lvl>
    <w:lvl w:ilvl="1">
      <w:lvlJc w:val="left"/>
      <w:lvlText w:val="(%2)"/>
      <w:numFmt w:val="lowerRoman"/>
      <w:start w:val="1"/>
    </w:lvl>
  </w:abstractNum>
  <w:abstractNum w:abstractNumId="22">
    <w:nsid w:val="57FC4FBB"/>
    <w:multiLevelType w:val="hybridMultilevel"/>
    <w:lvl w:ilvl="0">
      <w:lvlJc w:val="left"/>
      <w:lvlText w:val="(%1)"/>
      <w:numFmt w:val="lowerLetter"/>
      <w:start w:val="55"/>
    </w:lvl>
  </w:abstractNum>
  <w:abstractNum w:abstractNumId="23">
    <w:nsid w:val="CC1016F"/>
    <w:multiLevelType w:val="hybridMultilevel"/>
    <w:lvl w:ilvl="0">
      <w:lvlJc w:val="left"/>
      <w:lvlText w:val="%1."/>
      <w:numFmt w:val="decimal"/>
      <w:start w:val="3"/>
    </w:lvl>
  </w:abstractNum>
  <w:abstractNum w:abstractNumId="24">
    <w:nsid w:val="43F18422"/>
    <w:multiLevelType w:val="hybridMultilevel"/>
    <w:lvl w:ilvl="0">
      <w:lvlJc w:val="left"/>
      <w:lvlText w:val="%1"/>
      <w:numFmt w:val="decimal"/>
      <w:start w:val="1"/>
    </w:lvl>
    <w:lvl w:ilvl="1">
      <w:lvlJc w:val="left"/>
      <w:lvlText w:val="(%2)"/>
      <w:numFmt w:val="lowerLetter"/>
      <w:start w:val="1"/>
    </w:lvl>
  </w:abstractNum>
  <w:abstractNum w:abstractNumId="25">
    <w:nsid w:val="60EF0119"/>
    <w:multiLevelType w:val="hybridMultilevel"/>
    <w:lvl w:ilvl="0">
      <w:lvlJc w:val="left"/>
      <w:lvlText w:val="%1."/>
      <w:numFmt w:val="decimal"/>
      <w:start w:val="4"/>
    </w:lvl>
    <w:lvl w:ilvl="1">
      <w:lvlJc w:val="left"/>
      <w:lvlText w:val="(%2)"/>
      <w:numFmt w:val="lowerLetter"/>
      <w:start w:val="1"/>
    </w:lvl>
  </w:abstractNum>
  <w:abstractNum w:abstractNumId="26">
    <w:nsid w:val="26F324BA"/>
    <w:multiLevelType w:val="hybridMultilevel"/>
    <w:lvl w:ilvl="0">
      <w:lvlJc w:val="left"/>
      <w:lvlText w:val="(%1)"/>
      <w:numFmt w:val="lowerLetter"/>
      <w:start w:val="2"/>
    </w:lvl>
    <w:lvl w:ilvl="1">
      <w:lvlJc w:val="left"/>
      <w:lvlText w:val="(%2)"/>
      <w:numFmt w:val="lowerRoman"/>
      <w:start w:val="1"/>
    </w:lvl>
  </w:abstractNum>
  <w:abstractNum w:abstractNumId="27">
    <w:nsid w:val="7F01579B"/>
    <w:multiLevelType w:val="hybridMultilevel"/>
    <w:lvl w:ilvl="0">
      <w:lvlJc w:val="left"/>
      <w:lvlText w:val="(%1)"/>
      <w:numFmt w:val="lowerLetter"/>
      <w:start w:val="3"/>
    </w:lvl>
    <w:lvl w:ilvl="1">
      <w:lvlJc w:val="left"/>
      <w:lvlText w:val="(%2)"/>
      <w:numFmt w:val="lowerRoman"/>
      <w:start w:val="1"/>
    </w:lvl>
  </w:abstractNum>
  <w:abstractNum w:abstractNumId="28">
    <w:nsid w:val="49DA307D"/>
    <w:multiLevelType w:val="hybridMultilevel"/>
    <w:lvl w:ilvl="0">
      <w:lvlJc w:val="left"/>
      <w:lvlText w:val="%1"/>
      <w:numFmt w:val="lowerLetter"/>
      <w:start w:val="1"/>
    </w:lvl>
    <w:lvl w:ilvl="1">
      <w:lvlJc w:val="left"/>
      <w:lvlText w:val="(%2)"/>
      <w:numFmt w:val="lowerRoman"/>
      <w:start w:val="2"/>
    </w:lvl>
  </w:abstractNum>
  <w:abstractNum w:abstractNumId="29">
    <w:nsid w:val="7055A5F5"/>
    <w:multiLevelType w:val="hybridMultilevel"/>
    <w:lvl w:ilvl="0">
      <w:lvlJc w:val="left"/>
      <w:lvlText w:val="(%1)"/>
      <w:numFmt w:val="lowerLetter"/>
      <w:start w:val="7"/>
    </w:lvl>
    <w:lvl w:ilvl="1">
      <w:lvlJc w:val="left"/>
      <w:lvlText w:val="(%2)"/>
      <w:numFmt w:val="lowerRoman"/>
      <w:start w:val="1"/>
    </w:lvl>
  </w:abstractNum>
  <w:abstractNum w:abstractNumId="30">
    <w:nsid w:val="5FB8370B"/>
    <w:multiLevelType w:val="hybridMultilevel"/>
    <w:lvl w:ilvl="0">
      <w:lvlJc w:val="left"/>
      <w:lvlText w:val="%1."/>
      <w:numFmt w:val="decimal"/>
      <w:start w:val="6"/>
    </w:lvl>
  </w:abstractNum>
  <w:abstractNum w:abstractNumId="31">
    <w:nsid w:val="50801EE1"/>
    <w:multiLevelType w:val="hybridMultilevel"/>
    <w:lvl w:ilvl="0">
      <w:lvlJc w:val="left"/>
      <w:lvlText w:val="%1."/>
      <w:numFmt w:val="decimal"/>
      <w:start w:val="7"/>
    </w:lvl>
  </w:abstractNum>
  <w:abstractNum w:abstractNumId="32">
    <w:nsid w:val="488AC1A"/>
    <w:multiLevelType w:val="hybridMultilevel"/>
    <w:lvl w:ilvl="0">
      <w:lvlJc w:val="left"/>
      <w:lvlText w:val="(%1)"/>
      <w:numFmt w:val="lowerLetter"/>
      <w:start w:val="1"/>
    </w:lvl>
  </w:abstractNum>
  <w:abstractNum w:abstractNumId="33">
    <w:nsid w:val="5FB8011C"/>
    <w:multiLevelType w:val="hybridMultilevel"/>
    <w:lvl w:ilvl="0">
      <w:lvlJc w:val="left"/>
      <w:lvlText w:val="%1"/>
      <w:numFmt w:val="lowerLetter"/>
      <w:start w:val="1"/>
    </w:lvl>
    <w:lvl w:ilvl="1">
      <w:lvlJc w:val="left"/>
      <w:lvlText w:val="(%2)"/>
      <w:numFmt w:val="lowerLetter"/>
      <w:start w:val="7"/>
    </w:lvl>
  </w:abstractNum>
  <w:abstractNum w:abstractNumId="34">
    <w:nsid w:val="6AA78F7F"/>
    <w:multiLevelType w:val="hybridMultilevel"/>
    <w:lvl w:ilvl="0">
      <w:lvlJc w:val="left"/>
      <w:lvlText w:val="(%1)"/>
      <w:numFmt w:val="lowerLetter"/>
      <w:start w:val="9"/>
    </w:lvl>
    <w:lvl w:ilvl="1">
      <w:lvlJc w:val="left"/>
      <w:lvlText w:val="%2"/>
      <w:numFmt w:val="lowerLetter"/>
      <w:start w:val="1"/>
    </w:lvl>
  </w:abstractNum>
  <w:abstractNum w:abstractNumId="35">
    <w:nsid w:val="7672BD23"/>
    <w:multiLevelType w:val="hybridMultilevel"/>
    <w:lvl w:ilvl="0">
      <w:lvlJc w:val="left"/>
      <w:lvlText w:val="%1."/>
      <w:numFmt w:val="decimal"/>
      <w:start w:val="8"/>
    </w:lvl>
  </w:abstractNum>
  <w:abstractNum w:abstractNumId="36">
    <w:nsid w:val="6FC75AF8"/>
    <w:multiLevelType w:val="hybridMultilevel"/>
    <w:lvl w:ilvl="0">
      <w:lvlJc w:val="left"/>
      <w:lvlText w:val="(%1)"/>
      <w:numFmt w:val="lowerLetter"/>
      <w:start w:val="1"/>
    </w:lvl>
    <w:lvl w:ilvl="1">
      <w:lvlJc w:val="left"/>
      <w:lvlText w:val="(%2)"/>
      <w:numFmt w:val="lowerRoman"/>
      <w:start w:val="1"/>
    </w:lvl>
  </w:abstractNum>
  <w:abstractNum w:abstractNumId="37">
    <w:nsid w:val="6A5F7029"/>
    <w:multiLevelType w:val="hybridMultilevel"/>
    <w:lvl w:ilvl="0">
      <w:lvlJc w:val="left"/>
      <w:lvlText w:val="(%1)"/>
      <w:numFmt w:val="lowerLetter"/>
      <w:start w:val="2"/>
    </w:lvl>
    <w:lvl w:ilvl="1">
      <w:lvlJc w:val="left"/>
      <w:lvlText w:val="(%2)"/>
      <w:numFmt w:val="lowerRoman"/>
      <w:start w:val="1"/>
    </w:lvl>
  </w:abstractNum>
  <w:abstractNum w:abstractNumId="38">
    <w:nsid w:val="7D5E18F8"/>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39">
    <w:nsid w:val="5F3534A4"/>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40">
    <w:nsid w:val="73A1821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41">
    <w:nsid w:val="7DE67713"/>
    <w:multiLevelType w:val="hybridMultilevel"/>
    <w:lvl w:ilvl="0">
      <w:lvlJc w:val="left"/>
      <w:lvlText w:val="(%1)"/>
      <w:numFmt w:val="lowerLetter"/>
      <w:start w:val="8"/>
    </w:lvl>
    <w:lvl w:ilvl="1">
      <w:lvlJc w:val="left"/>
      <w:lvlText w:val="(%2)"/>
      <w:numFmt w:val="lowerLetter"/>
      <w:start w:val="9"/>
    </w:lvl>
    <w:lvl w:ilvl="2">
      <w:lvlJc w:val="left"/>
      <w:lvlText w:val="%3"/>
      <w:numFmt w:val="decimal"/>
      <w:start w:val="1"/>
    </w:lvl>
  </w:abstractNum>
  <w:abstractNum w:abstractNumId="42">
    <w:nsid w:val="555C55B5"/>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3"/>
    </w:lvl>
  </w:abstractNum>
  <w:abstractNum w:abstractNumId="43">
    <w:nsid w:val="3FA62AC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44">
    <w:nsid w:val="14FCE7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45">
    <w:nsid w:val="6A3DD3E8"/>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46">
    <w:nsid w:val="71C91298"/>
    <w:multiLevelType w:val="hybridMultilevel"/>
    <w:lvl w:ilvl="0">
      <w:lvlJc w:val="left"/>
      <w:lvlText w:val="%1"/>
      <w:numFmt w:val="lowerLetter"/>
      <w:start w:val="1"/>
    </w:lvl>
    <w:lvl w:ilvl="1">
      <w:lvlJc w:val="left"/>
      <w:lvlText w:val="(%2)"/>
      <w:numFmt w:val="lowerRoman"/>
      <w:start w:val="4"/>
    </w:lvl>
  </w:abstractNum>
  <w:abstractNum w:abstractNumId="47">
    <w:nsid w:val="9DAF632"/>
    <w:multiLevelType w:val="hybridMultilevel"/>
    <w:lvl w:ilvl="0">
      <w:lvlJc w:val="left"/>
      <w:lvlText w:val="(%1)"/>
      <w:numFmt w:val="lowerLetter"/>
      <w:start w:val="12"/>
    </w:lvl>
    <w:lvl w:ilvl="1">
      <w:lvlJc w:val="left"/>
      <w:lvlText w:val="%2"/>
      <w:numFmt w:val="lowerRoman"/>
      <w:start w:val="1"/>
    </w:lvl>
  </w:abstractNum>
  <w:abstractNum w:abstractNumId="48">
    <w:nsid w:val="53299938"/>
    <w:multiLevelType w:val="hybridMultilevel"/>
    <w:lvl w:ilvl="0">
      <w:lvlJc w:val="left"/>
      <w:lvlText w:val="(%1)"/>
      <w:numFmt w:val="lowerLetter"/>
      <w:start w:val="13"/>
    </w:lvl>
  </w:abstractNum>
  <w:abstractNum w:abstractNumId="49">
    <w:nsid w:val="1FBFE8E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0">
    <w:nsid w:val="5092CA79"/>
    <w:multiLevelType w:val="hybridMultilevel"/>
    <w:lvl w:ilvl="0">
      <w:lvlJc w:val="left"/>
      <w:lvlText w:val="%1."/>
      <w:numFmt w:val="decimal"/>
      <w:start w:val="10"/>
    </w:lvl>
  </w:abstractNum>
  <w:abstractNum w:abstractNumId="51">
    <w:nsid w:val="1D545C4D"/>
    <w:multiLevelType w:val="hybridMultilevel"/>
    <w:lvl w:ilvl="0">
      <w:lvlJc w:val="left"/>
      <w:lvlText w:val="%1."/>
      <w:numFmt w:val="decimal"/>
      <w:start w:val="11"/>
    </w:lvl>
  </w:abstractNum>
  <w:abstractNum w:abstractNumId="52">
    <w:nsid w:val="59ADEA3D"/>
    <w:multiLevelType w:val="hybridMultilevel"/>
    <w:lvl w:ilvl="0">
      <w:lvlJc w:val="left"/>
      <w:lvlText w:val="%1."/>
      <w:numFmt w:val="decimal"/>
      <w:start w:val="12"/>
    </w:lvl>
  </w:abstractNum>
  <w:abstractNum w:abstractNumId="53">
    <w:nsid w:val="288F1A34"/>
    <w:multiLevelType w:val="hybridMultilevel"/>
    <w:lvl w:ilvl="0">
      <w:lvlJc w:val="left"/>
      <w:lvlText w:val="(%1)"/>
      <w:numFmt w:val="lowerLetter"/>
      <w:start w:val="1"/>
    </w:lvl>
  </w:abstractNum>
  <w:abstractNum w:abstractNumId="54">
    <w:nsid w:val="2A155DBC"/>
    <w:multiLevelType w:val="hybridMultilevel"/>
    <w:lvl w:ilvl="0">
      <w:lvlJc w:val="left"/>
      <w:lvlText w:val="%1."/>
      <w:numFmt w:val="decimal"/>
      <w:start w:val="13"/>
    </w:lvl>
  </w:abstractNum>
  <w:abstractNum w:abstractNumId="55">
    <w:nsid w:val="1D9F6E5F"/>
    <w:multiLevelType w:val="hybridMultilevel"/>
    <w:lvl w:ilvl="0">
      <w:lvlJc w:val="left"/>
      <w:lvlText w:val="(%1)"/>
      <w:numFmt w:val="lowerRoman"/>
      <w:start w:val="2"/>
    </w:lvl>
  </w:abstractNum>
  <w:abstractNum w:abstractNumId="56">
    <w:nsid w:val="97E1B4E"/>
    <w:multiLevelType w:val="hybridMultilevel"/>
    <w:lvl w:ilvl="0">
      <w:lvlJc w:val="left"/>
      <w:lvlText w:val="%1."/>
      <w:numFmt w:val="decimal"/>
      <w:start w:val="14"/>
    </w:lvl>
  </w:abstractNum>
  <w:abstractNum w:abstractNumId="57">
    <w:nsid w:val="51088277"/>
    <w:multiLevelType w:val="hybridMultilevel"/>
    <w:lvl w:ilvl="0">
      <w:lvlJc w:val="left"/>
      <w:lvlText w:val="%1."/>
      <w:numFmt w:val="decimal"/>
      <w:start w:val="15"/>
    </w:lvl>
  </w:abstractNum>
  <w:abstractNum w:abstractNumId="58">
    <w:nsid w:val="1CA0C5FA"/>
    <w:multiLevelType w:val="hybridMultilevel"/>
    <w:lvl w:ilvl="0">
      <w:lvlJc w:val="left"/>
      <w:lvlText w:val="%1."/>
      <w:numFmt w:val="decimal"/>
      <w:start w:val="16"/>
    </w:lvl>
  </w:abstractNum>
  <w:abstractNum w:abstractNumId="59">
    <w:nsid w:val="53584BCB"/>
    <w:multiLevelType w:val="hybridMultilevel"/>
    <w:lvl w:ilvl="0">
      <w:lvlJc w:val="left"/>
      <w:lvlText w:val="(%1)"/>
      <w:numFmt w:val="lowerLetter"/>
      <w:start w:val="1"/>
    </w:lvl>
  </w:abstractNum>
  <w:abstractNum w:abstractNumId="60">
    <w:nsid w:val="415E286C"/>
    <w:multiLevelType w:val="hybridMultilevel"/>
    <w:lvl w:ilvl="0">
      <w:lvlJc w:val="left"/>
      <w:lvlText w:val="(%1)"/>
      <w:numFmt w:val="lowerLetter"/>
      <w:start w:val="1"/>
    </w:lvl>
  </w:abstractNum>
  <w:abstractNum w:abstractNumId="61">
    <w:nsid w:val="7C58FD05"/>
    <w:multiLevelType w:val="hybridMultilevel"/>
    <w:lvl w:ilvl="0">
      <w:lvlJc w:val="left"/>
      <w:lvlText w:val="(%1)"/>
      <w:numFmt w:val="lowerLetter"/>
      <w:start w:val="1"/>
    </w:lvl>
  </w:abstractNum>
  <w:abstractNum w:abstractNumId="62">
    <w:nsid w:val="23D86AAC"/>
    <w:multiLevelType w:val="hybridMultilevel"/>
    <w:lvl w:ilvl="0">
      <w:lvlJc w:val="left"/>
      <w:lvlText w:val="(%1)"/>
      <w:numFmt w:val="lowerLetter"/>
      <w:start w:val="1"/>
    </w:lvl>
  </w:abstractNum>
  <w:abstractNum w:abstractNumId="63">
    <w:nsid w:val="45E6D486"/>
    <w:multiLevelType w:val="hybridMultilevel"/>
    <w:lvl w:ilvl="0">
      <w:lvlJc w:val="left"/>
      <w:lvlText w:val="(%1)"/>
      <w:numFmt w:val="lowerLetter"/>
      <w:start w:val="1"/>
    </w:lvl>
  </w:abstractNum>
  <w:abstractNum w:abstractNumId="64">
    <w:nsid w:val="5C10FE21"/>
    <w:multiLevelType w:val="hybridMultilevel"/>
    <w:lvl w:ilvl="0">
      <w:lvlJc w:val="left"/>
      <w:lvlText w:val="(%1)"/>
      <w:numFmt w:val="lowerLetter"/>
      <w:start w:val="1"/>
    </w:lvl>
  </w:abstractNum>
  <w:abstractNum w:abstractNumId="65">
    <w:nsid w:val="E7FFA2B"/>
    <w:multiLevelType w:val="hybridMultilevel"/>
    <w:lvl w:ilvl="0">
      <w:lvlJc w:val="left"/>
      <w:lvlText w:val="(%1)"/>
      <w:numFmt w:val="lowerLetter"/>
      <w:start w:val="2"/>
    </w:lvl>
  </w:abstractNum>
  <w:abstractNum w:abstractNumId="66">
    <w:nsid w:val="3C5991AA"/>
    <w:multiLevelType w:val="hybridMultilevel"/>
    <w:lvl w:ilvl="0">
      <w:lvlJc w:val="left"/>
      <w:lvlText w:val="(%1)"/>
      <w:numFmt w:val="lowerLetter"/>
      <w:start w:val="1"/>
    </w:lvl>
  </w:abstractNum>
  <w:abstractNum w:abstractNumId="67">
    <w:nsid w:val="4BD8591A"/>
    <w:multiLevelType w:val="hybridMultilevel"/>
    <w:lvl w:ilvl="0">
      <w:lvlJc w:val="left"/>
      <w:lvlText w:val="(%1)"/>
      <w:numFmt w:val="lowerLetter"/>
      <w:start w:val="1"/>
    </w:lvl>
  </w:abstractNum>
  <w:abstractNum w:abstractNumId="68">
    <w:nsid w:val="78DF6A55"/>
    <w:multiLevelType w:val="hybridMultilevel"/>
    <w:lvl w:ilvl="0">
      <w:lvlJc w:val="left"/>
      <w:lvlText w:val="(%1)"/>
      <w:numFmt w:val="lowerLetter"/>
      <w:start w:val="1"/>
    </w:lvl>
  </w:abstractNum>
  <w:abstractNum w:abstractNumId="69">
    <w:nsid w:val="39B7AAA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0">
    <w:nsid w:val="2B0D8DBE"/>
    <w:multiLevelType w:val="hybridMultilevel"/>
    <w:lvl w:ilvl="0">
      <w:lvlJc w:val="left"/>
      <w:lvlText w:val="(%1)"/>
      <w:numFmt w:val="decimal"/>
      <w:start w:val="4"/>
    </w:lvl>
  </w:abstractNum>
  <w:abstractNum w:abstractNumId="71">
    <w:nsid w:val="6C80EC70"/>
    <w:multiLevelType w:val="hybridMultilevel"/>
    <w:lvl w:ilvl="0">
      <w:lvlJc w:val="left"/>
      <w:lvlText w:val="(%1)"/>
      <w:numFmt w:val="lowerLetter"/>
      <w:start w:val="1"/>
    </w:lvl>
  </w:abstractNum>
  <w:abstractNum w:abstractNumId="72">
    <w:nsid w:val="379E21B5"/>
    <w:multiLevelType w:val="hybridMultilevel"/>
    <w:lvl w:ilvl="0">
      <w:lvlJc w:val="left"/>
      <w:lvlText w:val="(%1)"/>
      <w:numFmt w:val="lowerLetter"/>
      <w:start w:val="1"/>
    </w:lvl>
  </w:abstractNum>
  <w:abstractNum w:abstractNumId="73">
    <w:nsid w:val="69E373"/>
    <w:multiLevelType w:val="hybridMultilevel"/>
    <w:lvl w:ilvl="0">
      <w:lvlJc w:val="left"/>
      <w:lvlText w:val="(%1)"/>
      <w:numFmt w:val="lowerLetter"/>
      <w:start w:val="1"/>
    </w:lvl>
  </w:abstractNum>
  <w:abstractNum w:abstractNumId="74">
    <w:nsid w:val="2C2717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5">
    <w:nsid w:val="4C9B0904"/>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1"/>
    </w:lvl>
  </w:abstractNum>
  <w:abstractNum w:abstractNumId="76">
    <w:nsid w:val="6AA7B7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7">
    <w:nsid w:val="1DF029D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2"/>
    </w:lvl>
  </w:abstractNum>
  <w:abstractNum w:abstractNumId="78">
    <w:nsid w:val="5675FF3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9">
    <w:nsid w:val="3DD15094"/>
    <w:multiLevelType w:val="hybridMultilevel"/>
    <w:lvl w:ilvl="0">
      <w:lvlJc w:val="left"/>
      <w:lvlText w:val="(%1)"/>
      <w:numFmt w:val="lowerLetter"/>
      <w:start w:val="5"/>
    </w:lvl>
  </w:abstractNum>
  <w:abstractNum w:abstractNumId="80">
    <w:nsid w:val="3DB012B3"/>
    <w:multiLevelType w:val="hybridMultilevel"/>
    <w:lvl w:ilvl="0">
      <w:lvlJc w:val="left"/>
      <w:lvlText w:val="(%1)"/>
      <w:numFmt w:val="lowerRoman"/>
      <w:start w:val="1"/>
    </w:lvl>
  </w:abstractNum>
  <w:abstractNum w:abstractNumId="81">
    <w:nsid w:val="2708C9AF"/>
    <w:multiLevelType w:val="hybridMultilevel"/>
    <w:lvl w:ilvl="0">
      <w:lvlJc w:val="left"/>
      <w:lvlText w:val="(%1)"/>
      <w:numFmt w:val="lowerLetter"/>
      <w:start w:val="1"/>
    </w:lvl>
    <w:lvl w:ilvl="1">
      <w:lvlJc w:val="left"/>
      <w:lvlText w:val="(%2)"/>
      <w:numFmt w:val="lowerRoman"/>
      <w:start w:val="1"/>
    </w:lvl>
  </w:abstractNum>
  <w:abstractNum w:abstractNumId="82">
    <w:nsid w:val="5B25ACE2"/>
    <w:multiLevelType w:val="hybridMultilevel"/>
    <w:lvl w:ilvl="0">
      <w:lvlJc w:val="left"/>
      <w:lvlText w:val="(%1)"/>
      <w:numFmt w:val="lowerRoman"/>
      <w:start w:val="4"/>
    </w:lvl>
  </w:abstractNum>
  <w:abstractNum w:abstractNumId="83">
    <w:nsid w:val="175DFCF0"/>
    <w:multiLevelType w:val="hybridMultilevel"/>
    <w:lvl w:ilvl="0">
      <w:lvlJc w:val="left"/>
      <w:lvlText w:val="(%1)"/>
      <w:numFmt w:val="lowerLetter"/>
      <w:start w:val="1"/>
    </w:lvl>
  </w:abstractNum>
  <w:abstractNum w:abstractNumId="84">
    <w:nsid w:val="4F97E3E4"/>
    <w:multiLevelType w:val="hybridMultilevel"/>
    <w:lvl w:ilvl="0">
      <w:lvlJc w:val="left"/>
      <w:lvlText w:val="(%1)"/>
      <w:numFmt w:val="lowerLetter"/>
      <w:start w:val="1"/>
    </w:lvl>
    <w:lvl w:ilvl="1">
      <w:lvlJc w:val="left"/>
      <w:lvlText w:val="(%2)"/>
      <w:numFmt w:val="lowerRoman"/>
      <w:start w:val="1"/>
    </w:lvl>
  </w:abstractNum>
  <w:abstractNum w:abstractNumId="85">
    <w:nsid w:val="53B0A9E"/>
    <w:multiLevelType w:val="hybridMultilevel"/>
    <w:lvl w:ilvl="0">
      <w:lvlJc w:val="left"/>
      <w:lvlText w:val="(%1)"/>
      <w:numFmt w:val="lowerLetter"/>
      <w:start w:val="2"/>
    </w:lvl>
  </w:abstractNum>
  <w:abstractNum w:abstractNumId="86">
    <w:nsid w:val="34FD6B4F"/>
    <w:multiLevelType w:val="hybridMultilevel"/>
    <w:lvl w:ilvl="0">
      <w:lvlJc w:val="left"/>
      <w:lvlText w:val="(%1)"/>
      <w:numFmt w:val="lowerLetter"/>
      <w:start w:val="1"/>
    </w:lvl>
  </w:abstractNum>
  <w:abstractNum w:abstractNumId="87">
    <w:nsid w:val="5915FF32"/>
    <w:multiLevelType w:val="hybridMultilevel"/>
    <w:lvl w:ilvl="0">
      <w:lvlJc w:val="left"/>
      <w:lvlText w:val="(%1)"/>
      <w:numFmt w:val="decimal"/>
      <w:start w:val="1"/>
    </w:lvl>
  </w:abstractNum>
  <w:abstractNum w:abstractNumId="88">
    <w:nsid w:val="56438D15"/>
    <w:multiLevelType w:val="hybridMultilevel"/>
    <w:lvl w:ilvl="0">
      <w:lvlJc w:val="left"/>
      <w:lvlText w:val="(%1)"/>
      <w:numFmt w:val="decimal"/>
      <w:start w:val="1"/>
    </w:lvl>
  </w:abstractNum>
  <w:abstractNum w:abstractNumId="89">
    <w:nsid w:val="519E3149"/>
    <w:multiLevelType w:val="hybridMultilevel"/>
    <w:lvl w:ilvl="0">
      <w:lvlJc w:val="left"/>
      <w:lvlText w:val="(%1)"/>
      <w:numFmt w:val="lowerLetter"/>
      <w:start w:val="1"/>
    </w:lvl>
    <w:lvl w:ilvl="1">
      <w:lvlJc w:val="left"/>
      <w:lvlText w:val="(%2)"/>
      <w:numFmt w:val="decimal"/>
      <w:start w:val="1"/>
    </w:lvl>
  </w:abstractNum>
  <w:abstractNum w:abstractNumId="90">
    <w:nsid w:val="2C6E4AFD"/>
    <w:multiLevelType w:val="hybridMultilevel"/>
    <w:lvl w:ilvl="0">
      <w:lvlJc w:val="left"/>
      <w:lvlText w:val="(%1)"/>
      <w:numFmt w:val="lowerLetter"/>
      <w:start w:val="1"/>
    </w:lvl>
    <w:lvl w:ilvl="1">
      <w:lvlJc w:val="left"/>
      <w:lvlText w:val="(%2)"/>
      <w:numFmt w:val="decimal"/>
      <w:start w:val="1"/>
    </w:lvl>
  </w:abstractNum>
  <w:abstractNum w:abstractNumId="91">
    <w:nsid w:val="17A1B582"/>
    <w:multiLevelType w:val="hybridMultilevel"/>
    <w:lvl w:ilvl="0">
      <w:lvlJc w:val="left"/>
      <w:lvlText w:val="(%1)"/>
      <w:numFmt w:val="lowerLetter"/>
      <w:start w:val="1"/>
    </w:lvl>
  </w:abstractNum>
  <w:abstractNum w:abstractNumId="92">
    <w:nsid w:val="4DF72E4E"/>
    <w:multiLevelType w:val="hybridMultilevel"/>
    <w:lvl w:ilvl="0">
      <w:lvlJc w:val="left"/>
      <w:lvlText w:val="(%1)"/>
      <w:numFmt w:val="lowerLetter"/>
      <w:start w:val="3"/>
    </w:lvl>
  </w:abstractNum>
  <w:abstractNum w:abstractNumId="93">
    <w:nsid w:val="5046B5A9"/>
    <w:multiLevelType w:val="hybridMultilevel"/>
    <w:lvl w:ilvl="0">
      <w:lvlJc w:val="left"/>
      <w:lvlText w:val="(%1)"/>
      <w:numFmt w:val="lowerLetter"/>
      <w:start w:val="1"/>
    </w:lvl>
    <w:lvl w:ilvl="1">
      <w:lvlJc w:val="left"/>
      <w:lvlText w:val="(%2)"/>
      <w:numFmt w:val="decimal"/>
      <w:start w:val="1"/>
    </w:lvl>
  </w:abstractNum>
  <w:abstractNum w:abstractNumId="94">
    <w:nsid w:val="5D888A08"/>
    <w:multiLevelType w:val="hybridMultilevel"/>
    <w:lvl w:ilvl="0">
      <w:lvlJc w:val="left"/>
      <w:lvlText w:val="(%1)"/>
      <w:numFmt w:val="decimal"/>
      <w:start w:val="2"/>
    </w:lvl>
  </w:abstractNum>
  <w:abstractNum w:abstractNumId="95">
    <w:nsid w:val="2A082C70"/>
    <w:multiLevelType w:val="hybridMultilevel"/>
    <w:lvl w:ilvl="0">
      <w:lvlJc w:val="left"/>
      <w:lvlText w:val="(%1)"/>
      <w:numFmt w:val="lowerLetter"/>
      <w:start w:val="1"/>
    </w:lvl>
  </w:abstractNum>
  <w:abstractNum w:abstractNumId="96">
    <w:nsid w:val="5EC6AFD4"/>
    <w:multiLevelType w:val="hybridMultilevel"/>
    <w:lvl w:ilvl="0">
      <w:lvlJc w:val="left"/>
      <w:lvlText w:val="(%1)"/>
      <w:numFmt w:val="lowerLetter"/>
      <w:start w:val="1"/>
    </w:lvl>
    <w:lvl w:ilvl="1">
      <w:lvlJc w:val="left"/>
      <w:lvlText w:val="(%2)"/>
      <w:numFmt w:val="decimal"/>
      <w:start w:val="1"/>
    </w:lvl>
  </w:abstractNum>
  <w:abstractNum w:abstractNumId="97">
    <w:nsid w:val="19E21BB2"/>
    <w:multiLevelType w:val="hybridMultilevel"/>
    <w:lvl w:ilvl="0">
      <w:lvlJc w:val="left"/>
      <w:lvlText w:val="(%1)"/>
      <w:numFmt w:val="decimal"/>
      <w:start w:val="1"/>
    </w:lvl>
  </w:abstractNum>
  <w:abstractNum w:abstractNumId="98">
    <w:nsid w:val="75E0858A"/>
    <w:multiLevelType w:val="hybridMultilevel"/>
    <w:lvl w:ilvl="0">
      <w:lvlJc w:val="left"/>
      <w:lvlText w:val="(%1)"/>
      <w:numFmt w:val="lowerLetter"/>
      <w:start w:val="1"/>
    </w:lvl>
  </w:abstractNum>
  <w:abstractNum w:abstractNumId="99">
    <w:nsid w:val="57A61A29"/>
    <w:multiLevelType w:val="hybridMultilevel"/>
    <w:lvl w:ilvl="0">
      <w:lvlJc w:val="left"/>
      <w:lvlText w:val="(%1)"/>
      <w:numFmt w:val="lowerLetter"/>
      <w:start w:val="2"/>
    </w:lvl>
  </w:abstractNum>
  <w:abstractNum w:abstractNumId="100">
    <w:nsid w:val="5399C654"/>
    <w:multiLevelType w:val="hybridMultilevel"/>
    <w:lvl w:ilvl="0">
      <w:lvlJc w:val="left"/>
      <w:lvlText w:val="(%1)"/>
      <w:numFmt w:val="lowerLetter"/>
      <w:start w:val="1"/>
    </w:lvl>
  </w:abstractNum>
  <w:abstractNum w:abstractNumId="101">
    <w:nsid w:val="20EE1348"/>
    <w:multiLevelType w:val="hybridMultilevel"/>
    <w:lvl w:ilvl="0">
      <w:lvlJc w:val="left"/>
      <w:lvlText w:val="(%1)"/>
      <w:numFmt w:val="lowerLetter"/>
      <w:start w:val="2"/>
    </w:lvl>
  </w:abstractNum>
  <w:abstractNum w:abstractNumId="102">
    <w:nsid w:val="4427069A"/>
    <w:multiLevelType w:val="hybridMultilevel"/>
    <w:lvl w:ilvl="0">
      <w:lvlJc w:val="left"/>
      <w:lvlText w:val="(%1)"/>
      <w:numFmt w:val="lowerLetter"/>
      <w:start w:val="2"/>
    </w:lvl>
  </w:abstractNum>
  <w:abstractNum w:abstractNumId="103">
    <w:nsid w:val="B37E80A"/>
    <w:multiLevelType w:val="hybridMultilevel"/>
    <w:lvl w:ilvl="0">
      <w:lvlJc w:val="left"/>
      <w:lvlText w:val="(%1)"/>
      <w:numFmt w:val="lowerLetter"/>
      <w:start w:val="1"/>
    </w:lvl>
  </w:abstractNum>
  <w:abstractNum w:abstractNumId="104">
    <w:nsid w:val="2157F6BC"/>
    <w:multiLevelType w:val="hybridMultilevel"/>
    <w:lvl w:ilvl="0">
      <w:lvlJc w:val="left"/>
      <w:lvlText w:val="(%1)"/>
      <w:numFmt w:val="lowerLetter"/>
      <w:start w:val="1"/>
    </w:lvl>
  </w:abstractNum>
  <w:abstractNum w:abstractNumId="105">
    <w:nsid w:val="704E1DD5"/>
    <w:multiLevelType w:val="hybridMultilevel"/>
    <w:lvl w:ilvl="0">
      <w:lvlJc w:val="left"/>
      <w:lvlText w:val="(%1)"/>
      <w:numFmt w:val="lowerLetter"/>
      <w:start w:val="4"/>
    </w:lvl>
  </w:abstractNum>
  <w:abstractNum w:abstractNumId="106">
    <w:nsid w:val="57D2F10E"/>
    <w:multiLevelType w:val="hybridMultilevel"/>
    <w:lvl w:ilvl="0">
      <w:lvlJc w:val="left"/>
      <w:lvlText w:val="(%1)"/>
      <w:numFmt w:val="lowerLetter"/>
      <w:start w:val="1"/>
    </w:lvl>
    <w:lvl w:ilvl="1">
      <w:lvlJc w:val="left"/>
      <w:lvlText w:val="(%2)"/>
      <w:numFmt w:val="decimal"/>
      <w:start w:val="1"/>
    </w:lvl>
  </w:abstractNum>
  <w:abstractNum w:abstractNumId="107">
    <w:nsid w:val="BFFAE18"/>
    <w:multiLevelType w:val="hybridMultilevel"/>
    <w:lvl w:ilvl="0">
      <w:lvlJc w:val="left"/>
      <w:lvlText w:val="(%1)"/>
      <w:numFmt w:val="lowerLetter"/>
      <w:start w:val="2"/>
    </w:lvl>
    <w:lvl w:ilvl="1">
      <w:lvlJc w:val="left"/>
      <w:lvlText w:val="(%2)"/>
      <w:numFmt w:val="decimal"/>
      <w:start w:val="1"/>
    </w:lvl>
  </w:abstractNum>
  <w:abstractNum w:abstractNumId="108">
    <w:nsid w:val="E3E47A8"/>
    <w:multiLevelType w:val="hybridMultilevel"/>
    <w:lvl w:ilvl="0">
      <w:lvlJc w:val="left"/>
      <w:lvlText w:val="(%1)"/>
      <w:numFmt w:val="lowerLetter"/>
      <w:start w:val="2"/>
    </w:lvl>
  </w:abstractNum>
  <w:abstractNum w:abstractNumId="109">
    <w:nsid w:val="2E48F044"/>
    <w:multiLevelType w:val="hybridMultilevel"/>
    <w:lvl w:ilvl="0">
      <w:lvlJc w:val="left"/>
      <w:lvlText w:val="(%1)"/>
      <w:numFmt w:val="lowerLetter"/>
      <w:start w:val="2"/>
    </w:lvl>
  </w:abstractNum>
  <w:abstractNum w:abstractNumId="110">
    <w:nsid w:val="49D0FEAC"/>
    <w:multiLevelType w:val="hybridMultilevel"/>
    <w:lvl w:ilvl="0">
      <w:lvlJc w:val="left"/>
      <w:lvlText w:val="(%1)"/>
      <w:numFmt w:val="lowerLetter"/>
      <w:start w:val="2"/>
    </w:lvl>
    <w:lvl w:ilvl="1">
      <w:lvlJc w:val="left"/>
      <w:lvlText w:val="(%2)"/>
      <w:numFmt w:val="decimal"/>
      <w:start w:val="2"/>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lowerLetter"/>
      <w:start w:val="22"/>
    </w:lvl>
    <w:lvl w:ilvl="1">
      <w:lvlJc w:val="left"/>
      <w:lvlText w:val="(%2)"/>
      <w:numFmt w:val="lowerLetter"/>
      <w:start w:val="3"/>
    </w:lvl>
  </w:abstractNum>
  <w:abstractNum w:abstractNumId="113">
    <w:nsid w:val="24F6AB8E"/>
    <w:multiLevelType w:val="hybridMultilevel"/>
    <w:lvl w:ilvl="0">
      <w:lvlJc w:val="left"/>
      <w:lvlText w:val="(%1)"/>
      <w:numFmt w:val="lowerLetter"/>
      <w:start w:val="1"/>
    </w:lvl>
    <w:lvl w:ilvl="1">
      <w:lvlJc w:val="left"/>
      <w:lvlText w:val="(%2)"/>
      <w:numFmt w:val="decimal"/>
      <w:start w:val="1"/>
    </w:lvl>
  </w:abstractNum>
  <w:abstractNum w:abstractNumId="114">
    <w:nsid w:val="634C574C"/>
    <w:multiLevelType w:val="hybridMultilevel"/>
    <w:lvl w:ilvl="0">
      <w:lvlJc w:val="left"/>
      <w:lvlText w:val="(%1)"/>
      <w:numFmt w:val="lowerLetter"/>
      <w:start w:val="2"/>
    </w:lvl>
  </w:abstractNum>
  <w:abstractNum w:abstractNumId="115">
    <w:nsid w:val="24E99DD7"/>
    <w:multiLevelType w:val="hybridMultilevel"/>
    <w:lvl w:ilvl="0">
      <w:lvlJc w:val="left"/>
      <w:lvlText w:val="(%1)"/>
      <w:numFmt w:val="lowerLetter"/>
      <w:start w:val="2"/>
    </w:lvl>
    <w:lvl w:ilvl="1">
      <w:lvlJc w:val="left"/>
      <w:lvlText w:val="(%2)"/>
      <w:numFmt w:val="decimal"/>
      <w:start w:val="1"/>
    </w:lvl>
  </w:abstractNum>
  <w:abstractNum w:abstractNumId="116">
    <w:nsid w:val="2A31B62D"/>
    <w:multiLevelType w:val="hybridMultilevel"/>
    <w:lvl w:ilvl="0">
      <w:lvlJc w:val="left"/>
      <w:lvlText w:val="(%1)"/>
      <w:numFmt w:val="lowerLetter"/>
      <w:start w:val="1"/>
    </w:lvl>
    <w:lvl w:ilvl="1">
      <w:lvlJc w:val="left"/>
      <w:lvlText w:val="(%2)"/>
      <w:numFmt w:val="lowerRoman"/>
      <w:start w:val="1"/>
    </w:lvl>
  </w:abstractNum>
  <w:abstractNum w:abstractNumId="117">
    <w:nsid w:val="1849C29B"/>
    <w:multiLevelType w:val="hybridMultilevel"/>
    <w:lvl w:ilvl="0">
      <w:lvlJc w:val="left"/>
      <w:lvlText w:val="%1"/>
      <w:numFmt w:val="lowerLetter"/>
      <w:start w:val="1"/>
    </w:lvl>
    <w:lvl w:ilvl="1">
      <w:lvlJc w:val="left"/>
      <w:lvlText w:val="(%2)"/>
      <w:numFmt w:val="decimal"/>
      <w:start w:val="2"/>
    </w:lvl>
  </w:abstractNum>
  <w:abstractNum w:abstractNumId="118">
    <w:nsid w:val="7DFF9D09"/>
    <w:multiLevelType w:val="hybridMultilevel"/>
    <w:lvl w:ilvl="0">
      <w:lvlJc w:val="left"/>
      <w:lvlText w:val="(%1)"/>
      <w:numFmt w:val="lowerLetter"/>
      <w:start w:val="2"/>
    </w:lvl>
    <w:lvl w:ilvl="1">
      <w:lvlJc w:val="left"/>
      <w:lvlText w:val="(%2)"/>
      <w:numFmt w:val="decimal"/>
      <w:start w:val="1"/>
    </w:lvl>
  </w:abstractNum>
  <w:abstractNum w:abstractNumId="119">
    <w:nsid w:val="754342"/>
    <w:multiLevelType w:val="hybridMultilevel"/>
    <w:lvl w:ilvl="0">
      <w:lvlJc w:val="left"/>
      <w:lvlText w:val="(%1)"/>
      <w:numFmt w:val="lowerLetter"/>
      <w:start w:val="1"/>
    </w:lvl>
  </w:abstractNum>
  <w:abstractNum w:abstractNumId="120">
    <w:nsid w:val="69E7F3E5"/>
    <w:multiLevelType w:val="hybridMultilevel"/>
    <w:lvl w:ilvl="0">
      <w:lvlJc w:val="left"/>
      <w:lvlText w:val="(%1)"/>
      <w:numFmt w:val="lowerLetter"/>
      <w:start w:val="4"/>
    </w:lvl>
  </w:abstractNum>
  <w:abstractNum w:abstractNumId="121">
    <w:nsid w:val="2A6DE806"/>
    <w:multiLevelType w:val="hybridMultilevel"/>
    <w:lvl w:ilvl="0">
      <w:lvlJc w:val="left"/>
      <w:lvlText w:val="%1"/>
      <w:numFmt w:val="decimal"/>
      <w:start w:val="1"/>
    </w:lvl>
    <w:lvl w:ilvl="1">
      <w:lvlJc w:val="left"/>
      <w:lvlText w:val="(%2)"/>
      <w:numFmt w:val="lowerLetter"/>
      <w:start w:val="1"/>
    </w:lvl>
  </w:abstractNum>
  <w:abstractNum w:abstractNumId="122">
    <w:nsid w:val="1816F8C4"/>
    <w:multiLevelType w:val="hybridMultilevel"/>
    <w:lvl w:ilvl="0">
      <w:lvlJc w:val="left"/>
      <w:lvlText w:val="(%1)"/>
      <w:numFmt w:val="decimal"/>
      <w:start w:val="2"/>
    </w:lvl>
    <w:lvl w:ilvl="1">
      <w:lvlJc w:val="left"/>
      <w:lvlText w:val="(%2)"/>
      <w:numFmt w:val="lowerLetter"/>
      <w:start w:val="3"/>
    </w:lvl>
  </w:abstractNum>
  <w:abstractNum w:abstractNumId="123">
    <w:nsid w:val="37DF2233"/>
    <w:multiLevelType w:val="hybridMultilevel"/>
    <w:lvl w:ilvl="0">
      <w:lvlJc w:val="left"/>
      <w:lvlText w:val="(%1)"/>
      <w:numFmt w:val="decimal"/>
      <w:start w:val="2"/>
    </w:lvl>
  </w:abstractNum>
  <w:abstractNum w:abstractNumId="124">
    <w:nsid w:val="7AB49DAF"/>
    <w:multiLevelType w:val="hybridMultilevel"/>
    <w:lvl w:ilvl="0">
      <w:lvlJc w:val="left"/>
      <w:lvlText w:val="(%1)"/>
      <w:numFmt w:val="lowerLetter"/>
      <w:start w:val="1"/>
    </w:lvl>
  </w:abstractNum>
  <w:abstractNum w:abstractNumId="125">
    <w:nsid w:val="759F82CD"/>
    <w:multiLevelType w:val="hybridMultilevel"/>
    <w:lvl w:ilvl="0">
      <w:lvlJc w:val="left"/>
      <w:lvlText w:val="(%1)"/>
      <w:numFmt w:val="lowerLetter"/>
      <w:start w:val="1"/>
    </w:lvl>
    <w:lvl w:ilvl="1">
      <w:lvlJc w:val="left"/>
      <w:lvlText w:val="(%2)"/>
      <w:numFmt w:val="decimal"/>
      <w:start w:val="2"/>
    </w:lvl>
  </w:abstractNum>
  <w:abstractNum w:abstractNumId="126">
    <w:nsid w:val="61E74EA3"/>
    <w:multiLevelType w:val="hybridMultilevel"/>
    <w:lvl w:ilvl="0">
      <w:lvlJc w:val="left"/>
      <w:lvlText w:val="(%1)"/>
      <w:numFmt w:val="lowerLetter"/>
      <w:start w:val="1"/>
    </w:lvl>
  </w:abstractNum>
  <w:abstractNum w:abstractNumId="127">
    <w:nsid w:val="597B4D84"/>
    <w:multiLevelType w:val="hybridMultilevel"/>
    <w:lvl w:ilvl="0">
      <w:lvlJc w:val="left"/>
      <w:lvlText w:val="(%1)"/>
      <w:numFmt w:val="lowerLetter"/>
      <w:start w:val="3"/>
    </w:lvl>
  </w:abstractNum>
  <w:abstractNum w:abstractNumId="128">
    <w:nsid w:val="F819E7F"/>
    <w:multiLevelType w:val="hybridMultilevel"/>
    <w:lvl w:ilvl="0">
      <w:lvlJc w:val="left"/>
      <w:lvlText w:val="(%1)"/>
      <w:numFmt w:val="lowerLetter"/>
      <w:start w:val="1"/>
    </w:lvl>
  </w:abstractNum>
  <w:abstractNum w:abstractNumId="129">
    <w:nsid w:val="57C7D42D"/>
    <w:multiLevelType w:val="hybridMultilevel"/>
    <w:lvl w:ilvl="0">
      <w:lvlJc w:val="left"/>
      <w:lvlText w:val="(%1)"/>
      <w:numFmt w:val="lowerLetter"/>
      <w:start w:val="1"/>
    </w:lvl>
  </w:abstractNum>
  <w:abstractNum w:abstractNumId="130">
    <w:nsid w:val="312167AD"/>
    <w:multiLevelType w:val="hybridMultilevel"/>
    <w:lvl w:ilvl="0">
      <w:lvlJc w:val="left"/>
      <w:lvlText w:val="(%1)"/>
      <w:numFmt w:val="lowerLetter"/>
      <w:start w:val="1"/>
    </w:lvl>
  </w:abstractNum>
  <w:abstractNum w:abstractNumId="131">
    <w:nsid w:val="631B64D4"/>
    <w:multiLevelType w:val="hybridMultilevel"/>
    <w:lvl w:ilvl="0">
      <w:lvlJc w:val="left"/>
      <w:lvlText w:val="(%1)"/>
      <w:numFmt w:val="lowerLetter"/>
      <w:start w:val="1"/>
    </w:lvl>
  </w:abstractNum>
  <w:abstractNum w:abstractNumId="132">
    <w:nsid w:val="78B5E776"/>
    <w:multiLevelType w:val="hybridMultilevel"/>
    <w:lvl w:ilvl="0">
      <w:lvlJc w:val="left"/>
      <w:lvlText w:val="(%1)"/>
      <w:numFmt w:val="lowerLetter"/>
      <w:start w:val="1"/>
    </w:lvl>
    <w:lvl w:ilvl="1">
      <w:lvlJc w:val="left"/>
      <w:lvlText w:val="(%2)"/>
      <w:numFmt w:val="decimal"/>
      <w:start w:val="1"/>
    </w:lvl>
  </w:abstractNum>
  <w:abstractNum w:abstractNumId="133">
    <w:nsid w:val="75486E47"/>
    <w:multiLevelType w:val="hybridMultilevel"/>
    <w:lvl w:ilvl="0">
      <w:lvlJc w:val="left"/>
      <w:lvlText w:val="%1"/>
      <w:numFmt w:val="lowerLetter"/>
      <w:start w:val="1"/>
    </w:lvl>
    <w:lvl w:ilvl="1">
      <w:lvlJc w:val="left"/>
      <w:lvlText w:val="(%2)"/>
      <w:numFmt w:val="decimal"/>
      <w:start w:val="2"/>
    </w:lvl>
  </w:abstractNum>
  <w:abstractNum w:abstractNumId="134">
    <w:nsid w:val="6E534CDE"/>
    <w:multiLevelType w:val="hybridMultilevel"/>
    <w:lvl w:ilvl="0">
      <w:lvlJc w:val="left"/>
      <w:lvlText w:val="(%1)"/>
      <w:numFmt w:val="lowerLetter"/>
      <w:start w:val="2"/>
    </w:lvl>
    <w:lvl w:ilvl="1">
      <w:lvlJc w:val="left"/>
      <w:lvlText w:val="%2"/>
      <w:numFmt w:val="decimal"/>
      <w:start w:val="1"/>
    </w:lvl>
  </w:abstractNum>
  <w:abstractNum w:abstractNumId="135">
    <w:nsid w:val="1A0DDE32"/>
    <w:multiLevelType w:val="hybridMultilevel"/>
    <w:lvl w:ilvl="0">
      <w:lvlJc w:val="left"/>
      <w:lvlText w:val="(%1)"/>
      <w:numFmt w:val="lowerLetter"/>
      <w:start w:val="1"/>
    </w:lvl>
  </w:abstractNum>
  <w:abstractNum w:abstractNumId="136">
    <w:nsid w:val="65968C1C"/>
    <w:multiLevelType w:val="hybridMultilevel"/>
    <w:lvl w:ilvl="0">
      <w:lvlJc w:val="left"/>
      <w:lvlText w:val="(%1)"/>
      <w:numFmt w:val="lowerLetter"/>
      <w:start w:val="1"/>
    </w:lvl>
  </w:abstractNum>
  <w:abstractNum w:abstractNumId="137">
    <w:nsid w:val="46263DEC"/>
    <w:multiLevelType w:val="hybridMultilevel"/>
    <w:lvl w:ilvl="0">
      <w:lvlJc w:val="left"/>
      <w:lvlText w:val="(%1)"/>
      <w:numFmt w:val="lowerLetter"/>
      <w:start w:val="5"/>
    </w:lvl>
  </w:abstractNum>
  <w:abstractNum w:abstractNumId="138">
    <w:nsid w:val="260D8C4A"/>
    <w:multiLevelType w:val="hybridMultilevel"/>
    <w:lvl w:ilvl="0">
      <w:lvlJc w:val="left"/>
      <w:lvlText w:val="(%1)"/>
      <w:numFmt w:val="lowerLetter"/>
      <w:start w:val="1"/>
    </w:lvl>
  </w:abstractNum>
  <w:abstractNum w:abstractNumId="139">
    <w:nsid w:val="73D4D3C4"/>
    <w:multiLevelType w:val="hybridMultilevel"/>
    <w:lvl w:ilvl="0">
      <w:lvlJc w:val="left"/>
      <w:lvlText w:val="(%1)"/>
      <w:numFmt w:val="lowerLetter"/>
      <w:start w:val="6"/>
    </w:lvl>
  </w:abstractNum>
  <w:abstractNum w:abstractNumId="140">
    <w:nsid w:val="746F2E30"/>
    <w:multiLevelType w:val="hybridMultilevel"/>
    <w:lvl w:ilvl="0">
      <w:lvlJc w:val="left"/>
      <w:lvlText w:val="(%1)"/>
      <w:numFmt w:val="lowerLetter"/>
      <w:start w:val="1"/>
    </w:lvl>
  </w:abstractNum>
  <w:abstractNum w:abstractNumId="141">
    <w:nsid w:val="6FDE8AF6"/>
    <w:multiLevelType w:val="hybridMultilevel"/>
    <w:lvl w:ilvl="0">
      <w:lvlJc w:val="left"/>
      <w:lvlText w:val="(%1)"/>
      <w:numFmt w:val="lowerLetter"/>
      <w:start w:val="1"/>
    </w:lvl>
  </w:abstractNum>
  <w:abstractNum w:abstractNumId="142">
    <w:nsid w:val="3FC32E20"/>
    <w:multiLevelType w:val="hybridMultilevel"/>
    <w:lvl w:ilvl="0">
      <w:lvlJc w:val="left"/>
      <w:lvlText w:val="(%1)"/>
      <w:numFmt w:val="lowerLetter"/>
      <w:start w:val="2"/>
    </w:lvl>
  </w:abstractNum>
  <w:abstractNum w:abstractNumId="143">
    <w:nsid w:val="49C0E823"/>
    <w:multiLevelType w:val="hybridMultilevel"/>
    <w:lvl w:ilvl="0">
      <w:lvlJc w:val="left"/>
      <w:lvlText w:val="(%1)"/>
      <w:numFmt w:val="lowerLetter"/>
      <w:start w:val="1"/>
    </w:lvl>
    <w:lvl w:ilvl="1">
      <w:lvlJc w:val="left"/>
      <w:lvlText w:val="(%2)"/>
      <w:numFmt w:val="lowerRoman"/>
      <w:start w:val="1"/>
    </w:lvl>
  </w:abstractNum>
  <w:abstractNum w:abstractNumId="144">
    <w:nsid w:val="14D53685"/>
    <w:multiLevelType w:val="hybridMultilevel"/>
    <w:lvl w:ilvl="0">
      <w:lvlJc w:val="left"/>
      <w:lvlText w:val="(%1)"/>
      <w:numFmt w:val="lowerLetter"/>
      <w:start w:val="1"/>
    </w:lvl>
  </w:abstractNum>
  <w:abstractNum w:abstractNumId="145">
    <w:nsid w:val="230F856C"/>
    <w:multiLevelType w:val="hybridMultilevel"/>
    <w:lvl w:ilvl="0">
      <w:lvlJc w:val="left"/>
      <w:lvlText w:val="(%1)"/>
      <w:numFmt w:val="lowerLetter"/>
      <w:start w:val="3"/>
    </w:lvl>
  </w:abstractNum>
  <w:abstractNum w:abstractNumId="146">
    <w:nsid w:val="6EAA85FB"/>
    <w:multiLevelType w:val="hybridMultilevel"/>
    <w:lvl w:ilvl="0">
      <w:lvlJc w:val="left"/>
      <w:lvlText w:val="(%1)"/>
      <w:numFmt w:val="lowerLetter"/>
      <w:start w:val="1"/>
    </w:lvl>
  </w:abstractNum>
  <w:abstractNum w:abstractNumId="147">
    <w:nsid w:val="3F06ECB2"/>
    <w:multiLevelType w:val="hybridMultilevel"/>
    <w:lvl w:ilvl="0">
      <w:lvlJc w:val="left"/>
      <w:lvlText w:val="%1"/>
      <w:numFmt w:val="lowerLetter"/>
      <w:start w:val="1"/>
    </w:lvl>
    <w:lvl w:ilvl="1">
      <w:lvlJc w:val="left"/>
      <w:lvlText w:val="(%2)"/>
      <w:numFmt w:val="decimal"/>
      <w:start w:val="3"/>
    </w:lvl>
  </w:abstractNum>
  <w:abstractNum w:abstractNumId="148">
    <w:nsid w:val="3B594807"/>
    <w:multiLevelType w:val="hybridMultilevel"/>
    <w:lvl w:ilvl="0">
      <w:lvlJc w:val="left"/>
      <w:lvlText w:val="(%1)"/>
      <w:numFmt w:val="lowerLetter"/>
      <w:start w:val="2"/>
    </w:lvl>
    <w:lvl w:ilvl="1">
      <w:lvlJc w:val="left"/>
      <w:lvlText w:val="(%2)"/>
      <w:numFmt w:val="decimal"/>
      <w:start w:val="1"/>
    </w:lvl>
  </w:abstractNum>
  <w:abstractNum w:abstractNumId="149">
    <w:nsid w:val="6CAA2304"/>
    <w:multiLevelType w:val="hybridMultilevel"/>
    <w:lvl w:ilvl="0">
      <w:lvlJc w:val="left"/>
      <w:lvlText w:val="(%1)"/>
      <w:numFmt w:val="lowerLetter"/>
      <w:start w:val="1"/>
    </w:lvl>
  </w:abstractNum>
  <w:abstractNum w:abstractNumId="150">
    <w:nsid w:val="3F7C2FF4"/>
    <w:multiLevelType w:val="hybridMultilevel"/>
    <w:lvl w:ilvl="0">
      <w:lvlJc w:val="left"/>
      <w:lvlText w:val="(%1)"/>
      <w:numFmt w:val="lowerLetter"/>
      <w:start w:val="1"/>
    </w:lvl>
  </w:abstractNum>
  <w:abstractNum w:abstractNumId="151">
    <w:nsid w:val="25413BEC"/>
    <w:multiLevelType w:val="hybridMultilevel"/>
    <w:lvl w:ilvl="0">
      <w:lvlJc w:val="left"/>
      <w:lvlText w:val="(%1)"/>
      <w:numFmt w:val="lowerLetter"/>
      <w:start w:val="1"/>
    </w:lvl>
  </w:abstractNum>
  <w:abstractNum w:abstractNumId="152">
    <w:nsid w:val="17180B0B"/>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53">
    <w:nsid w:val="579328B9"/>
    <w:multiLevelType w:val="hybridMultilevel"/>
    <w:lvl w:ilvl="0">
      <w:lvlJc w:val="left"/>
      <w:lvlText w:val="(%1)"/>
      <w:numFmt w:val="decimal"/>
      <w:start w:val="4"/>
    </w:lvl>
  </w:abstractNum>
  <w:abstractNum w:abstractNumId="154">
    <w:nsid w:val="5D205E20"/>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55">
    <w:nsid w:val="11CCA8BA"/>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156">
    <w:nsid w:val="4D32AB86"/>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57">
    <w:nsid w:val="3F07ACC3"/>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158">
    <w:nsid w:val="6B47F63E"/>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lvl w:ilvl="1">
      <w:lvlJc w:val="left"/>
      <w:lvlText w:val="%2)"/>
      <w:numFmt w:val="lowerLetter"/>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2019-12-15T06:40:06Z</dcterms:created>
  <dcterms:modified xsi:type="dcterms:W3CDTF">2019-12-15T06:40:06Z</dcterms:modified>
</cp:coreProperties>
</file>