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3" w:lineRule="exact"/>
        <w:rPr>
          <w:sz w:val="24"/>
          <w:szCs w:val="24"/>
          <w:color w:val="auto"/>
        </w:rPr>
      </w:pPr>
    </w:p>
    <w:p>
      <w:pPr>
        <w:ind w:left="3900" w:right="3900" w:hanging="3660"/>
        <w:spacing w:after="0" w:line="311" w:lineRule="auto"/>
        <w:tabs>
          <w:tab w:leader="none" w:pos="588"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80" w:hanging="327"/>
        <w:spacing w:after="0"/>
        <w:tabs>
          <w:tab w:leader="none" w:pos="580" w:val="left"/>
        </w:tabs>
        <w:numPr>
          <w:ilvl w:val="0"/>
          <w:numId w:val="2"/>
        </w:numPr>
        <w:rPr>
          <w:rFonts w:ascii="Arial" w:cs="Arial" w:eastAsia="Arial" w:hAnsi="Arial"/>
          <w:sz w:val="29"/>
          <w:szCs w:val="29"/>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5" w:lineRule="exact"/>
        <w:rPr>
          <w:sz w:val="24"/>
          <w:szCs w:val="24"/>
          <w:color w:val="auto"/>
        </w:rPr>
      </w:pPr>
    </w:p>
    <w:p>
      <w:pPr>
        <w:ind w:left="346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99060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219075</wp:posOffset>
            </wp:positionV>
            <wp:extent cx="182689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Exact Name of Registrant; State of</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Incorporation; Address and Telephone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w w:val="95"/>
              </w:rPr>
              <w:t>Commission File Number</w:t>
            </w:r>
          </w:p>
        </w:tc>
        <w:tc>
          <w:tcPr>
            <w:tcW w:w="5320" w:type="dxa"/>
            <w:vAlign w:val="bottom"/>
            <w:tcBorders>
              <w:bottom w:val="single" w:sz="8" w:color="auto"/>
            </w:tcBorders>
          </w:tcPr>
          <w:p>
            <w:pPr>
              <w:jc w:val="center"/>
              <w:ind w:left="46"/>
              <w:spacing w:after="0"/>
              <w:rPr>
                <w:sz w:val="20"/>
                <w:szCs w:val="20"/>
                <w:color w:val="auto"/>
              </w:rPr>
            </w:pPr>
            <w:r>
              <w:rPr>
                <w:rFonts w:ascii="Arial" w:cs="Arial" w:eastAsia="Arial" w:hAnsi="Arial"/>
                <w:sz w:val="16"/>
                <w:szCs w:val="16"/>
                <w:color w:val="auto"/>
                <w:w w:val="94"/>
              </w:rPr>
              <w:t>Number of Principal Executive Offices</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90"/>
        </w:trPr>
        <w:tc>
          <w:tcPr>
            <w:tcW w:w="30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001-32871</w:t>
            </w:r>
          </w:p>
        </w:tc>
        <w:tc>
          <w:tcPr>
            <w:tcW w:w="5320" w:type="dxa"/>
            <w:vAlign w:val="bottom"/>
            <w:vMerge w:val="restart"/>
          </w:tcPr>
          <w:p>
            <w:pPr>
              <w:jc w:val="center"/>
              <w:ind w:left="46"/>
              <w:spacing w:after="0"/>
              <w:rPr>
                <w:sz w:val="20"/>
                <w:szCs w:val="20"/>
                <w:color w:val="auto"/>
              </w:rPr>
            </w:pPr>
            <w:r>
              <w:rPr>
                <w:rFonts w:ascii="Arial" w:cs="Arial" w:eastAsia="Arial" w:hAnsi="Arial"/>
                <w:sz w:val="29"/>
                <w:szCs w:val="29"/>
                <w:b w:val="1"/>
                <w:bCs w:val="1"/>
                <w:color w:val="auto"/>
                <w:w w:val="99"/>
              </w:rPr>
              <w:t>COMCAST CORPORATION</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27-0000798</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5320" w:type="dxa"/>
            <w:vAlign w:val="bottom"/>
            <w:vMerge w:val="continue"/>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5320" w:type="dxa"/>
            <w:vAlign w:val="bottom"/>
          </w:tcPr>
          <w:p>
            <w:pPr>
              <w:jc w:val="center"/>
              <w:ind w:left="66"/>
              <w:spacing w:after="0"/>
              <w:rPr>
                <w:sz w:val="20"/>
                <w:szCs w:val="20"/>
                <w:color w:val="auto"/>
              </w:rPr>
            </w:pPr>
            <w:r>
              <w:rPr>
                <w:rFonts w:ascii="Arial" w:cs="Arial" w:eastAsia="Arial" w:hAnsi="Arial"/>
                <w:sz w:val="14"/>
                <w:szCs w:val="14"/>
                <w:b w:val="1"/>
                <w:bCs w:val="1"/>
                <w:color w:val="auto"/>
              </w:rPr>
              <w:t>PENNSYLVANIA</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2"/>
              </w:rPr>
              <w:t>One Comcast Center</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3"/>
              </w:rPr>
              <w:t>Philadelphia, PA 19103-2838</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5320" w:type="dxa"/>
            <w:vAlign w:val="bottom"/>
          </w:tcPr>
          <w:p>
            <w:pPr>
              <w:jc w:val="center"/>
              <w:ind w:left="46"/>
              <w:spacing w:after="0"/>
              <w:rPr>
                <w:sz w:val="20"/>
                <w:szCs w:val="20"/>
                <w:color w:val="auto"/>
              </w:rPr>
            </w:pPr>
            <w:r>
              <w:rPr>
                <w:rFonts w:ascii="Arial" w:cs="Arial" w:eastAsia="Arial" w:hAnsi="Arial"/>
                <w:sz w:val="14"/>
                <w:szCs w:val="14"/>
                <w:b w:val="1"/>
                <w:bCs w:val="1"/>
                <w:color w:val="auto"/>
                <w:w w:val="93"/>
              </w:rPr>
              <w:t>(215) 286-1700</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0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001-36438</w:t>
            </w:r>
          </w:p>
        </w:tc>
        <w:tc>
          <w:tcPr>
            <w:tcW w:w="5320" w:type="dxa"/>
            <w:vAlign w:val="bottom"/>
            <w:vMerge w:val="restart"/>
          </w:tcPr>
          <w:p>
            <w:pPr>
              <w:jc w:val="center"/>
              <w:ind w:left="66"/>
              <w:spacing w:after="0"/>
              <w:rPr>
                <w:sz w:val="20"/>
                <w:szCs w:val="20"/>
                <w:color w:val="auto"/>
              </w:rPr>
            </w:pPr>
            <w:r>
              <w:rPr>
                <w:rFonts w:ascii="Arial" w:cs="Arial" w:eastAsia="Arial" w:hAnsi="Arial"/>
                <w:sz w:val="29"/>
                <w:szCs w:val="29"/>
                <w:b w:val="1"/>
                <w:bCs w:val="1"/>
                <w:color w:val="auto"/>
              </w:rPr>
              <w:t>NBCUNIVERSAL MEDIA, LLC</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14-1682529</w:t>
            </w: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5320" w:type="dxa"/>
            <w:vAlign w:val="bottom"/>
            <w:vMerge w:val="continue"/>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DELAWARE</w:t>
      </w:r>
    </w:p>
    <w:p>
      <w:pPr>
        <w:jc w:val="center"/>
        <w:ind w:right="-119"/>
        <w:spacing w:after="0" w:line="226" w:lineRule="auto"/>
        <w:rPr>
          <w:sz w:val="20"/>
          <w:szCs w:val="20"/>
          <w:color w:val="auto"/>
        </w:rPr>
      </w:pPr>
      <w:r>
        <w:rPr>
          <w:rFonts w:ascii="Arial" w:cs="Arial" w:eastAsia="Arial" w:hAnsi="Arial"/>
          <w:sz w:val="14"/>
          <w:szCs w:val="14"/>
          <w:b w:val="1"/>
          <w:bCs w:val="1"/>
          <w:color w:val="auto"/>
        </w:rPr>
        <w:t>30 Rockefeller Plaza</w:t>
      </w:r>
    </w:p>
    <w:p>
      <w:pPr>
        <w:jc w:val="center"/>
        <w:ind w:right="-119"/>
        <w:spacing w:after="0" w:line="222" w:lineRule="auto"/>
        <w:rPr>
          <w:sz w:val="20"/>
          <w:szCs w:val="20"/>
          <w:color w:val="auto"/>
        </w:rPr>
      </w:pPr>
      <w:r>
        <w:rPr>
          <w:rFonts w:ascii="Arial" w:cs="Arial" w:eastAsia="Arial" w:hAnsi="Arial"/>
          <w:sz w:val="14"/>
          <w:szCs w:val="14"/>
          <w:b w:val="1"/>
          <w:bCs w:val="1"/>
          <w:color w:val="auto"/>
        </w:rPr>
        <w:t>New York, NY 10112-0015</w:t>
      </w:r>
    </w:p>
    <w:p>
      <w:pPr>
        <w:jc w:val="center"/>
        <w:ind w:right="-119"/>
        <w:spacing w:after="0"/>
        <w:rPr>
          <w:sz w:val="20"/>
          <w:szCs w:val="20"/>
          <w:color w:val="auto"/>
        </w:rPr>
      </w:pPr>
      <w:r>
        <w:rPr>
          <w:rFonts w:ascii="Arial" w:cs="Arial" w:eastAsia="Arial" w:hAnsi="Arial"/>
          <w:sz w:val="14"/>
          <w:szCs w:val="14"/>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13335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34"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2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85090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period that the registrant was required to submit and post such files).</w:t>
      </w:r>
    </w:p>
    <w:p>
      <w:pPr>
        <w:spacing w:after="0" w:line="12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Comcast Corporation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x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2"/>
          <w:szCs w:val="12"/>
          <w:color w:val="auto"/>
        </w:rPr>
        <w:t>c</w:t>
      </w:r>
    </w:p>
    <w:p>
      <w:pPr>
        <w:spacing w:after="0" w:line="64" w:lineRule="exact"/>
        <w:rPr>
          <w:sz w:val="24"/>
          <w:szCs w:val="24"/>
          <w:color w:val="auto"/>
        </w:rPr>
      </w:pPr>
    </w:p>
    <w:p>
      <w:pPr>
        <w:sectPr>
          <w:pgSz w:w="11900" w:h="16838" w:orient="portrait"/>
          <w:cols w:equalWidth="0" w:num="7">
            <w:col w:w="1280" w:space="700"/>
            <w:col w:w="1300" w:space="360"/>
            <w:col w:w="1140" w:space="340"/>
            <w:col w:w="1400" w:space="440"/>
            <w:col w:w="1760" w:space="420"/>
            <w:col w:w="1740" w:space="400"/>
            <w:col w:w="140"/>
          </w:cols>
          <w:pgMar w:left="240" w:top="229" w:right="2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NBCUniversal Media, LLC</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x  Smaller reporting company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w:t>
      </w:r>
    </w:p>
    <w:p>
      <w:pPr>
        <w:spacing w:after="0" w:line="145" w:lineRule="exact"/>
        <w:rPr>
          <w:sz w:val="24"/>
          <w:szCs w:val="24"/>
          <w:color w:val="auto"/>
        </w:rPr>
      </w:pPr>
    </w:p>
    <w:p>
      <w:pPr>
        <w:sectPr>
          <w:pgSz w:w="11900" w:h="16838" w:orient="portrait"/>
          <w:cols w:equalWidth="0" w:num="7">
            <w:col w:w="1640" w:space="340"/>
            <w:col w:w="1300" w:space="360"/>
            <w:col w:w="1140" w:space="340"/>
            <w:col w:w="1400" w:space="440"/>
            <w:col w:w="1760" w:space="420"/>
            <w:col w:w="1740" w:space="400"/>
            <w:col w:w="140"/>
          </w:cols>
          <w:pgMar w:left="240" w:top="229" w:right="2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If an emerging growth company, indicate by check mark whether the registrant has elected not to use the extended transition period for complying with any new or revised financial accounting standards provided pursuant to Section 13(a) of the Exchange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ind w:left="3600"/>
              <w:spacing w:after="0"/>
              <w:rPr>
                <w:sz w:val="20"/>
                <w:szCs w:val="20"/>
                <w:color w:val="auto"/>
              </w:rPr>
            </w:pPr>
            <w:r>
              <w:rPr>
                <w:rFonts w:ascii="Arial" w:cs="Arial" w:eastAsia="Arial" w:hAnsi="Arial"/>
                <w:sz w:val="14"/>
                <w:szCs w:val="14"/>
                <w:color w:val="auto"/>
              </w:rPr>
              <w:t>Comcast Corporation</w:t>
            </w: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600"/>
              <w:spacing w:after="0"/>
              <w:rPr>
                <w:sz w:val="20"/>
                <w:szCs w:val="20"/>
                <w:color w:val="auto"/>
              </w:rPr>
            </w:pPr>
            <w:r>
              <w:rPr>
                <w:rFonts w:ascii="Arial" w:cs="Arial" w:eastAsia="Arial" w:hAnsi="Arial"/>
                <w:sz w:val="14"/>
                <w:szCs w:val="14"/>
                <w:color w:val="auto"/>
              </w:rPr>
              <w:t>NBCUniversal Media, LLC</w:t>
            </w: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300" w:type="dxa"/>
            <w:vAlign w:val="bottom"/>
          </w:tcPr>
          <w:p>
            <w:pPr>
              <w:spacing w:after="0"/>
              <w:rPr>
                <w:sz w:val="20"/>
                <w:szCs w:val="20"/>
                <w:color w:val="auto"/>
              </w:rPr>
            </w:pPr>
            <w:r>
              <w:rPr>
                <w:rFonts w:ascii="Arial" w:cs="Arial" w:eastAsia="Arial" w:hAnsi="Arial"/>
                <w:sz w:val="14"/>
                <w:szCs w:val="14"/>
                <w:color w:val="auto"/>
                <w:w w:val="99"/>
              </w:rPr>
              <w:t>Indicate by check mark whether the registrant is a shell company (as defined in Rule 12b-2 of the Act).</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tcPr>
          <w:p>
            <w:pPr>
              <w:ind w:left="3240"/>
              <w:spacing w:after="0"/>
              <w:rPr>
                <w:sz w:val="20"/>
                <w:szCs w:val="20"/>
                <w:color w:val="auto"/>
              </w:rPr>
            </w:pPr>
            <w:r>
              <w:rPr>
                <w:rFonts w:ascii="Arial" w:cs="Arial" w:eastAsia="Arial" w:hAnsi="Arial"/>
                <w:sz w:val="14"/>
                <w:szCs w:val="14"/>
                <w:color w:val="auto"/>
              </w:rPr>
              <w:t>Comcast Corporation</w:t>
            </w:r>
          </w:p>
        </w:tc>
        <w:tc>
          <w:tcPr>
            <w:tcW w:w="600" w:type="dxa"/>
            <w:vAlign w:val="bottom"/>
            <w:vMerge w:val="restart"/>
          </w:tcPr>
          <w:p>
            <w:pPr>
              <w:ind w:left="340"/>
              <w:spacing w:after="0"/>
              <w:rPr>
                <w:sz w:val="20"/>
                <w:szCs w:val="20"/>
                <w:color w:val="auto"/>
              </w:rPr>
            </w:pPr>
            <w:r>
              <w:rPr>
                <w:rFonts w:ascii="Arial" w:cs="Arial" w:eastAsia="Arial" w:hAnsi="Arial"/>
                <w:sz w:val="14"/>
                <w:szCs w:val="14"/>
                <w:color w:val="auto"/>
                <w:w w:val="99"/>
              </w:rPr>
              <w:t>Yes</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c</w:t>
            </w: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rPr>
              <w:t>No</w:t>
            </w:r>
          </w:p>
        </w:tc>
        <w:tc>
          <w:tcPr>
            <w:tcW w:w="140" w:type="dxa"/>
            <w:vAlign w:val="bottom"/>
            <w:vMerge w:val="restart"/>
          </w:tcPr>
          <w:p>
            <w:pPr>
              <w:ind w:left="8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240"/>
              <w:spacing w:after="0"/>
              <w:rPr>
                <w:sz w:val="20"/>
                <w:szCs w:val="20"/>
                <w:color w:val="auto"/>
              </w:rPr>
            </w:pPr>
            <w:r>
              <w:rPr>
                <w:rFonts w:ascii="Arial" w:cs="Arial" w:eastAsia="Arial" w:hAnsi="Arial"/>
                <w:sz w:val="14"/>
                <w:szCs w:val="14"/>
                <w:color w:val="auto"/>
              </w:rPr>
              <w:t>NBCUniversal Media, LLC</w:t>
            </w:r>
          </w:p>
        </w:tc>
        <w:tc>
          <w:tcPr>
            <w:tcW w:w="600" w:type="dxa"/>
            <w:vAlign w:val="bottom"/>
            <w:vMerge w:val="restart"/>
          </w:tcPr>
          <w:p>
            <w:pPr>
              <w:ind w:left="340"/>
              <w:spacing w:after="0"/>
              <w:rPr>
                <w:sz w:val="20"/>
                <w:szCs w:val="20"/>
                <w:color w:val="auto"/>
              </w:rPr>
            </w:pPr>
            <w:r>
              <w:rPr>
                <w:rFonts w:ascii="Arial" w:cs="Arial" w:eastAsia="Arial" w:hAnsi="Arial"/>
                <w:sz w:val="14"/>
                <w:szCs w:val="14"/>
                <w:color w:val="auto"/>
                <w:w w:val="99"/>
              </w:rPr>
              <w:t>Yes</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c</w:t>
            </w: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rPr>
              <w:t>No</w:t>
            </w:r>
          </w:p>
        </w:tc>
        <w:tc>
          <w:tcPr>
            <w:tcW w:w="140" w:type="dxa"/>
            <w:vAlign w:val="bottom"/>
            <w:vMerge w:val="restart"/>
          </w:tcPr>
          <w:p>
            <w:pPr>
              <w:ind w:left="8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practical date:</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As of March 31, 2018, there were 4,607,671,892 shares of Comcast Corporation Class A common stock and 9,444,375 shares of Comcast Corporation Class B common stock outstanding.</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5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jc w:val="right"/>
              <w:ind w:right="17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9340" w:type="dxa"/>
            <w:vAlign w:val="bottom"/>
            <w:gridSpan w:val="21"/>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31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Comcast Corporation Financial Statements</w:t>
              </w:r>
            </w:hyperlink>
          </w:p>
        </w:tc>
        <w:tc>
          <w:tcPr>
            <w:tcW w:w="4760" w:type="dxa"/>
            <w:vAlign w:val="bottom"/>
            <w:gridSpan w:val="10"/>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 of Income (Unaudited)</w:t>
              </w:r>
            </w:hyperlink>
          </w:p>
        </w:tc>
        <w:tc>
          <w:tcPr>
            <w:tcW w:w="3600" w:type="dxa"/>
            <w:vAlign w:val="bottom"/>
            <w:gridSpan w:val="8"/>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Comprehensive Income (Unaudited)</w:t>
              </w:r>
            </w:hyperlink>
          </w:p>
        </w:tc>
        <w:tc>
          <w:tcPr>
            <w:tcW w:w="2040" w:type="dxa"/>
            <w:vAlign w:val="bottom"/>
          </w:tcPr>
          <w:p>
            <w:pPr>
              <w:jc w:val="right"/>
              <w:spacing w:after="0"/>
              <w:rPr>
                <w:rFonts w:ascii="Arial" w:cs="Arial" w:eastAsia="Arial" w:hAnsi="Arial"/>
                <w:sz w:val="18"/>
                <w:szCs w:val="18"/>
                <w:color w:val="2C2C2C"/>
              </w:rPr>
            </w:pPr>
            <w:hyperlink w:anchor="page5">
              <w:r>
                <w:rPr>
                  <w:rFonts w:ascii="Arial" w:cs="Arial" w:eastAsia="Arial" w:hAnsi="Arial"/>
                  <w:sz w:val="18"/>
                  <w:szCs w:val="18"/>
                  <w:color w:val="2C2C2C"/>
                </w:rPr>
                <w:t>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Cash Flows (Unaudited)</w:t>
              </w:r>
            </w:hyperlink>
          </w:p>
        </w:tc>
        <w:tc>
          <w:tcPr>
            <w:tcW w:w="860" w:type="dxa"/>
            <w:vAlign w:val="bottom"/>
            <w:tcBorders>
              <w:top w:val="single" w:sz="8" w:color="0000EE"/>
            </w:tcBorders>
            <w:gridSpan w:val="3"/>
          </w:tcPr>
          <w:p>
            <w:pPr>
              <w:spacing w:after="0"/>
              <w:rPr>
                <w:sz w:val="21"/>
                <w:szCs w:val="21"/>
                <w:color w:val="auto"/>
              </w:rPr>
            </w:pPr>
          </w:p>
        </w:tc>
        <w:tc>
          <w:tcPr>
            <w:tcW w:w="2440" w:type="dxa"/>
            <w:vAlign w:val="bottom"/>
            <w:gridSpan w:val="2"/>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6">
              <w:r>
                <w:rPr>
                  <w:rFonts w:ascii="Arial" w:cs="Arial" w:eastAsia="Arial" w:hAnsi="Arial"/>
                  <w:sz w:val="18"/>
                  <w:szCs w:val="18"/>
                  <w:color w:val="2C2C2C"/>
                </w:rPr>
                <w:t>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Balance Sheet (Unaudited)</w:t>
              </w:r>
            </w:hyperlink>
          </w:p>
        </w:tc>
        <w:tc>
          <w:tcPr>
            <w:tcW w:w="4080" w:type="dxa"/>
            <w:vAlign w:val="bottom"/>
            <w:gridSpan w:val="9"/>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7">
              <w:r>
                <w:rPr>
                  <w:rFonts w:ascii="Arial" w:cs="Arial" w:eastAsia="Arial" w:hAnsi="Arial"/>
                  <w:sz w:val="18"/>
                  <w:szCs w:val="18"/>
                  <w:color w:val="2C2C2C"/>
                </w:rPr>
                <w:t>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6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 of Changes in Equity (Unaudited)</w:t>
              </w:r>
            </w:hyperlink>
          </w:p>
        </w:tc>
        <w:tc>
          <w:tcPr>
            <w:tcW w:w="20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40" w:type="dxa"/>
            <w:vAlign w:val="bottom"/>
            <w:tcBorders>
              <w:top w:val="single" w:sz="8" w:color="0000EE"/>
            </w:tcBorders>
            <w:gridSpan w:val="16"/>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Notes to Condensed Consolidated Financial Statements (Unaudited)</w:t>
              </w:r>
            </w:hyperlink>
          </w:p>
        </w:tc>
        <w:tc>
          <w:tcPr>
            <w:tcW w:w="2820" w:type="dxa"/>
            <w:vAlign w:val="bottom"/>
            <w:gridSpan w:val="3"/>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1400" w:type="dxa"/>
            <w:vAlign w:val="bottom"/>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3500" w:type="dxa"/>
            <w:vAlign w:val="bottom"/>
            <w:gridSpan w:val="6"/>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Controls and Procedures</w:t>
              </w:r>
            </w:hyperlink>
          </w:p>
        </w:tc>
        <w:tc>
          <w:tcPr>
            <w:tcW w:w="6080" w:type="dxa"/>
            <w:vAlign w:val="bottom"/>
            <w:gridSpan w:val="12"/>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340" w:type="dxa"/>
            <w:vAlign w:val="bottom"/>
            <w:gridSpan w:val="21"/>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Legal Proceedings</w:t>
              </w:r>
            </w:hyperlink>
          </w:p>
        </w:tc>
        <w:tc>
          <w:tcPr>
            <w:tcW w:w="6520" w:type="dxa"/>
            <w:vAlign w:val="bottom"/>
            <w:gridSpan w:val="14"/>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1A.</w:t>
            </w:r>
          </w:p>
        </w:tc>
        <w:tc>
          <w:tcPr>
            <w:tcW w:w="786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20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786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20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Other Information</w:t>
              </w:r>
            </w:hyperlink>
          </w:p>
        </w:tc>
        <w:tc>
          <w:tcPr>
            <w:tcW w:w="3020" w:type="dxa"/>
            <w:vAlign w:val="bottom"/>
            <w:tcBorders>
              <w:top w:val="single" w:sz="8" w:color="0000EE"/>
            </w:tcBorders>
            <w:gridSpan w:val="8"/>
          </w:tcPr>
          <w:p>
            <w:pPr>
              <w:spacing w:after="0"/>
              <w:rPr>
                <w:sz w:val="21"/>
                <w:szCs w:val="21"/>
                <w:color w:val="auto"/>
              </w:rPr>
            </w:pPr>
          </w:p>
        </w:tc>
        <w:tc>
          <w:tcPr>
            <w:tcW w:w="3520" w:type="dxa"/>
            <w:vAlign w:val="bottom"/>
            <w:gridSpan w:val="7"/>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6.</w:t>
            </w:r>
          </w:p>
        </w:tc>
        <w:tc>
          <w:tcPr>
            <w:tcW w:w="786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20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44">
              <w:r>
                <w:rPr>
                  <w:rFonts w:ascii="Arial" w:cs="Arial" w:eastAsia="Arial" w:hAnsi="Arial"/>
                  <w:sz w:val="18"/>
                  <w:szCs w:val="18"/>
                  <w:b w:val="1"/>
                  <w:bCs w:val="1"/>
                  <w:color w:val="0000EE"/>
                  <w:w w:val="96"/>
                </w:rPr>
                <w:t>SIGNATURES</w:t>
              </w:r>
            </w:hyperlink>
          </w:p>
        </w:tc>
        <w:tc>
          <w:tcPr>
            <w:tcW w:w="32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340" w:type="dxa"/>
            <w:vAlign w:val="bottom"/>
            <w:gridSpan w:val="2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NBCUniversal Media, LLC Financial Statements</w:t>
              </w:r>
            </w:hyperlink>
          </w:p>
        </w:tc>
        <w:tc>
          <w:tcPr>
            <w:tcW w:w="20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11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NBCUniversal, LLC as “NBCUniversal Holdings;” and NBCUniversal Enterprise, Inc. as “NBCUniversal Enterprise.”</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is for the three months ended March 31, 2018. This Quarterly Report on Form 10-Q modifies and supersedes documents filed before it.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You should carefully review the information contained in this Quarterly Report on Form 10-Q and particularly consider any risk factors set forth in this Quarterly Report on Form 10-Q and in other reports or documents that we file from time to time with the SEC. In this Quarterly Report on Form 10-Q,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w:t>
      </w:r>
    </w:p>
    <w:p>
      <w:pPr>
        <w:sectPr>
          <w:pgSz w:w="11900" w:h="16838" w:orient="portrait"/>
          <w:cols w:equalWidth="0" w:num="1">
            <w:col w:w="11420"/>
          </w:cols>
          <w:pgMar w:left="240" w:top="418"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t>the risks outlined below and in other reports we file with the SEC. Actual events or our actual results could differ materially from our forward-looking statements as a result of any such factors, which could adversely affect our businesses, results of operations or financial condition. We undertake no obligation to update any forward-looking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17"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online distribution platforms for viewing content could adversely affect our businesses and challenge existing business models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regulation by federal, state, local and foreign authorities, which impose additional costs and restrictions on our businesses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video business</w:t>
      </w:r>
    </w:p>
    <w:p>
      <w:pPr>
        <w:spacing w:after="0" w:line="8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depend on using and protecting certain intellectual property rights and on not infringing the intellectual property rights of others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acquisitions and other strategic initiatives present many risks, and we may not realize the financial and strategic goals that we had contemplated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3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96"/>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22,791</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20,587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7,429</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6,061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6,514</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5,939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1,604</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1,577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2,011</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1,915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588</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553</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18,146</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16,045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4,645</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4,542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(777)</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126</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3,994</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3,917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(818)</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3,176</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2,655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 and redeemable subsidiary preferred stock</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82</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3,118</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2,573</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0.67</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0.54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0.66</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0.53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0.19</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0.1575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w w:val="96"/>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3,176</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2,655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 of deferred taxes of $— and $(61)</w:t>
            </w:r>
          </w:p>
        </w:tc>
        <w:tc>
          <w:tcPr>
            <w:tcW w:w="36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 of deferred taxes of $(9) and $(4)</w:t>
            </w:r>
          </w:p>
        </w:tc>
        <w:tc>
          <w:tcPr>
            <w:tcW w:w="36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Amounts reclassified to net income:</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Realized (gains) losses on cash flow hedges, net of deferred taxes of $6 and $—</w:t>
            </w:r>
          </w:p>
        </w:tc>
        <w:tc>
          <w:tcPr>
            <w:tcW w:w="36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Employee benefit obligations, net of deferred taxes of $2 and $(37)</w:t>
            </w:r>
          </w:p>
        </w:tc>
        <w:tc>
          <w:tcPr>
            <w:tcW w:w="36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Currency translation adjustments, net of deferred taxes of $(47) and $(41)</w:t>
            </w:r>
          </w:p>
        </w:tc>
        <w:tc>
          <w:tcPr>
            <w:tcW w:w="36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157</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157</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3,333</w:t>
            </w:r>
          </w:p>
        </w:tc>
        <w:tc>
          <w:tcPr>
            <w:tcW w:w="6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2,986</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 and redeemable subsidiary preferred stock</w:t>
            </w:r>
          </w:p>
        </w:tc>
        <w:tc>
          <w:tcPr>
            <w:tcW w:w="36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36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87</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3,271</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2,817</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39"/>
        </w:trPr>
        <w:tc>
          <w:tcPr>
            <w:tcW w:w="8240" w:type="dxa"/>
            <w:vAlign w:val="bottom"/>
          </w:tcPr>
          <w:p>
            <w:pPr>
              <w:ind w:left="566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96"/>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3,176</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2,655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2,599</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2,468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199</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Noncash interest expense (income), 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(74)</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389</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85</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522</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200</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(1,130)</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5,474</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5,625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(1,973)</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(419)</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and construction of real estate properties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(89)</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sales of investments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(220)</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387</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(2,292)</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(3,753)</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(repayments of) short-term borrowings, net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(902)</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4,043</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3,500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(1,265)</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(1,729)</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(738)</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(79)</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94</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(576)</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(1,141)</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2,606</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731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3,571</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3,415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6,177</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4,146</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39"/>
        </w:trPr>
        <w:tc>
          <w:tcPr>
            <w:tcW w:w="8240" w:type="dxa"/>
            <w:vAlign w:val="bottom"/>
          </w:tcPr>
          <w:p>
            <w:pPr>
              <w:ind w:left="56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471"/>
              <w:spacing w:after="0"/>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share data)</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6,030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3,428</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8,759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8,834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1,354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1,613</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2,610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2,468</w:t>
            </w:r>
          </w:p>
        </w:tc>
      </w:tr>
      <w:tr>
        <w:trPr>
          <w:trHeight w:val="27"/>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18,753</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16,343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7,402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7,087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7,095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6,931</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$50,393 and $49,916</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39,068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38,470</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59,365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59,364</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37,147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36,780</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intangible assets, net of accumulated amortization of $12,465 and $11,950</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18,339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18,133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3,707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4,354</w:t>
            </w:r>
          </w:p>
        </w:tc>
      </w:tr>
      <w:tr>
        <w:trPr>
          <w:trHeight w:val="27"/>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rPr>
              <w:t>190,876</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187,462</w:t>
            </w:r>
          </w:p>
        </w:tc>
      </w:tr>
      <w:tr>
        <w:trPr>
          <w:trHeight w:val="34"/>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7,349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6,908</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1,659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1,644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1,578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1,687</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5,554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6,620</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3,039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5,134</w:t>
            </w:r>
          </w:p>
        </w:tc>
      </w:tr>
      <w:tr>
        <w:trPr>
          <w:trHeight w:val="27"/>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19,179</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21,993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63,678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59,422</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24,702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24,259</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11,253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10,972</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1,354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1,357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Preferred stock—authorized, 20,000,000 shares; issued, zero</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8200" w:type="dxa"/>
            <w:vAlign w:val="bottom"/>
          </w:tcPr>
          <w:p>
            <w:pPr>
              <w:ind w:left="380"/>
              <w:spacing w:after="0"/>
              <w:rPr>
                <w:sz w:val="20"/>
                <w:szCs w:val="20"/>
                <w:color w:val="auto"/>
              </w:rPr>
            </w:pPr>
            <w:r>
              <w:rPr>
                <w:rFonts w:ascii="Arial" w:cs="Arial" w:eastAsia="Arial" w:hAnsi="Arial"/>
                <w:sz w:val="18"/>
                <w:szCs w:val="18"/>
                <w:color w:val="auto"/>
                <w:w w:val="94"/>
              </w:rPr>
              <w:t>Class A common stock, $0.01 par value—authorized, 7,500,000,000 shares; issued, 5,480,462,920 and</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8200" w:type="dxa"/>
            <w:vAlign w:val="bottom"/>
          </w:tcPr>
          <w:p>
            <w:pPr>
              <w:ind w:left="540"/>
              <w:spacing w:after="0"/>
              <w:rPr>
                <w:sz w:val="20"/>
                <w:szCs w:val="20"/>
                <w:color w:val="auto"/>
              </w:rPr>
            </w:pPr>
            <w:r>
              <w:rPr>
                <w:rFonts w:ascii="Arial" w:cs="Arial" w:eastAsia="Arial" w:hAnsi="Arial"/>
                <w:sz w:val="18"/>
                <w:szCs w:val="18"/>
                <w:color w:val="auto"/>
              </w:rPr>
              <w:t>5,507,854,670; outstanding, 4,607,671,892 and 4,635,063,642</w:t>
            </w:r>
          </w:p>
        </w:tc>
        <w:tc>
          <w:tcPr>
            <w:tcW w:w="30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w w:val="90"/>
              </w:rPr>
              <w:t>Class B common stock, $0.01 par value—authorized, 75,000,000 shares; issued and outstanding, 9,444,375</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37,375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37,497</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38,961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38,202</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Treasury stock, 872,791,028 Class A common shares</w:t>
            </w:r>
          </w:p>
        </w:tc>
        <w:tc>
          <w:tcPr>
            <w:tcW w:w="300" w:type="dxa"/>
            <w:vAlign w:val="bottom"/>
          </w:tcPr>
          <w:p>
            <w:pPr>
              <w:spacing w:after="0"/>
              <w:rPr>
                <w:sz w:val="23"/>
                <w:szCs w:val="23"/>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(7,517)</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608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379</w:t>
            </w:r>
          </w:p>
        </w:tc>
      </w:tr>
      <w:tr>
        <w:trPr>
          <w:trHeight w:val="27"/>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Comcast Corporation shareholders’ equity</w:t>
            </w:r>
          </w:p>
        </w:tc>
        <w:tc>
          <w:tcPr>
            <w:tcW w:w="30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69,482</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68,616</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1,228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843</w:t>
            </w:r>
          </w:p>
        </w:tc>
      </w:tr>
      <w:tr>
        <w:trPr>
          <w:trHeight w:val="27"/>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30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70,710</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69,459</w:t>
            </w:r>
          </w:p>
        </w:tc>
      </w:tr>
      <w:tr>
        <w:trPr>
          <w:trHeight w:val="27"/>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rPr>
              <w:t>190,876</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187,462</w:t>
            </w:r>
          </w:p>
        </w:tc>
      </w:tr>
      <w:tr>
        <w:trPr>
          <w:trHeight w:val="34"/>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82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Borders>
              <w:right w:val="single" w:sz="8" w:color="auto"/>
            </w:tcBorders>
          </w:tcPr>
          <w:p>
            <w:pPr>
              <w:jc w:val="center"/>
              <w:ind w:right="97"/>
              <w:spacing w:after="0"/>
              <w:rPr>
                <w:sz w:val="20"/>
                <w:szCs w:val="20"/>
                <w:color w:val="auto"/>
              </w:rPr>
            </w:pPr>
            <w:r>
              <w:rPr>
                <w:rFonts w:ascii="Arial" w:cs="Arial" w:eastAsia="Arial" w:hAnsi="Arial"/>
                <w:sz w:val="14"/>
                <w:szCs w:val="14"/>
                <w:color w:val="auto"/>
                <w:w w:val="88"/>
              </w:rPr>
              <w:t>Redeemable</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right w:val="single" w:sz="8" w:color="auto"/>
            </w:tcBorders>
          </w:tcPr>
          <w:p>
            <w:pPr>
              <w:jc w:val="center"/>
              <w:ind w:right="117"/>
              <w:spacing w:after="0" w:line="149" w:lineRule="exact"/>
              <w:rPr>
                <w:sz w:val="20"/>
                <w:szCs w:val="20"/>
                <w:color w:val="auto"/>
              </w:rPr>
            </w:pPr>
            <w:r>
              <w:rPr>
                <w:rFonts w:ascii="Arial" w:cs="Arial" w:eastAsia="Arial" w:hAnsi="Arial"/>
                <w:sz w:val="14"/>
                <w:szCs w:val="14"/>
                <w:color w:val="auto"/>
                <w:w w:val="98"/>
              </w:rPr>
              <w:t>Noncontrolling</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right w:val="single" w:sz="8" w:color="auto"/>
            </w:tcBorders>
          </w:tcPr>
          <w:p>
            <w:pPr>
              <w:jc w:val="center"/>
              <w:ind w:right="97"/>
              <w:spacing w:after="0" w:line="149" w:lineRule="exact"/>
              <w:rPr>
                <w:sz w:val="20"/>
                <w:szCs w:val="20"/>
                <w:color w:val="auto"/>
              </w:rPr>
            </w:pPr>
            <w:r>
              <w:rPr>
                <w:rFonts w:ascii="Arial" w:cs="Arial" w:eastAsia="Arial" w:hAnsi="Arial"/>
                <w:sz w:val="14"/>
                <w:szCs w:val="14"/>
                <w:color w:val="auto"/>
                <w:w w:val="91"/>
              </w:rPr>
              <w:t>Interests and</w:t>
            </w:r>
          </w:p>
        </w:tc>
        <w:tc>
          <w:tcPr>
            <w:tcW w:w="160" w:type="dxa"/>
            <w:vAlign w:val="bottom"/>
          </w:tcPr>
          <w:p>
            <w:pPr>
              <w:spacing w:after="0"/>
              <w:rPr>
                <w:sz w:val="12"/>
                <w:szCs w:val="12"/>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93"/>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Borders>
              <w:right w:val="single" w:sz="8" w:color="auto"/>
            </w:tcBorders>
          </w:tcPr>
          <w:p>
            <w:pPr>
              <w:jc w:val="center"/>
              <w:ind w:right="97"/>
              <w:spacing w:after="0" w:line="121" w:lineRule="exact"/>
              <w:rPr>
                <w:sz w:val="20"/>
                <w:szCs w:val="20"/>
                <w:color w:val="auto"/>
              </w:rPr>
            </w:pPr>
            <w:r>
              <w:rPr>
                <w:rFonts w:ascii="Arial" w:cs="Arial" w:eastAsia="Arial" w:hAnsi="Arial"/>
                <w:sz w:val="13"/>
                <w:szCs w:val="13"/>
                <w:color w:val="auto"/>
                <w:w w:val="94"/>
              </w:rPr>
              <w:t>Redeemable</w:t>
            </w: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54"/>
              <w:spacing w:after="0" w:line="121" w:lineRule="exact"/>
              <w:rPr>
                <w:sz w:val="20"/>
                <w:szCs w:val="20"/>
                <w:color w:val="auto"/>
              </w:rPr>
            </w:pPr>
            <w:r>
              <w:rPr>
                <w:rFonts w:ascii="Arial" w:cs="Arial" w:eastAsia="Arial" w:hAnsi="Arial"/>
                <w:sz w:val="13"/>
                <w:szCs w:val="13"/>
                <w:color w:val="auto"/>
              </w:rPr>
              <w:t>Additional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40"/>
              <w:spacing w:after="0" w:line="121" w:lineRule="exact"/>
              <w:rPr>
                <w:sz w:val="20"/>
                <w:szCs w:val="20"/>
                <w:color w:val="auto"/>
              </w:rPr>
            </w:pPr>
            <w:r>
              <w:rPr>
                <w:rFonts w:ascii="Arial" w:cs="Arial" w:eastAsia="Arial" w:hAnsi="Arial"/>
                <w:sz w:val="13"/>
                <w:szCs w:val="13"/>
                <w:color w:val="auto"/>
              </w:rPr>
              <w:t>Treasury</w:t>
            </w:r>
          </w:p>
        </w:tc>
        <w:tc>
          <w:tcPr>
            <w:tcW w:w="160" w:type="dxa"/>
            <w:vAlign w:val="bottom"/>
          </w:tcPr>
          <w:p>
            <w:pPr>
              <w:spacing w:after="0"/>
              <w:rPr>
                <w:sz w:val="10"/>
                <w:szCs w:val="10"/>
                <w:color w:val="auto"/>
              </w:rPr>
            </w:pPr>
          </w:p>
        </w:tc>
        <w:tc>
          <w:tcPr>
            <w:tcW w:w="106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98"/>
              </w:rPr>
              <w:t>Other</w:t>
            </w:r>
          </w:p>
        </w:tc>
        <w:tc>
          <w:tcPr>
            <w:tcW w:w="180" w:type="dxa"/>
            <w:vAlign w:val="bottom"/>
          </w:tcPr>
          <w:p>
            <w:pPr>
              <w:spacing w:after="0"/>
              <w:rPr>
                <w:sz w:val="10"/>
                <w:szCs w:val="10"/>
                <w:color w:val="auto"/>
              </w:rPr>
            </w:pPr>
          </w:p>
        </w:tc>
        <w:tc>
          <w:tcPr>
            <w:tcW w:w="760" w:type="dxa"/>
            <w:vAlign w:val="bottom"/>
          </w:tcPr>
          <w:p>
            <w:pPr>
              <w:jc w:val="center"/>
              <w:ind w:right="14"/>
              <w:spacing w:after="0" w:line="121" w:lineRule="exact"/>
              <w:rPr>
                <w:sz w:val="20"/>
                <w:szCs w:val="20"/>
                <w:color w:val="auto"/>
              </w:rPr>
            </w:pPr>
            <w:r>
              <w:rPr>
                <w:rFonts w:ascii="Arial" w:cs="Arial" w:eastAsia="Arial" w:hAnsi="Arial"/>
                <w:sz w:val="13"/>
                <w:szCs w:val="13"/>
                <w:color w:val="auto"/>
              </w:rPr>
              <w:t>Non-</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Borders>
              <w:right w:val="single" w:sz="8" w:color="auto"/>
            </w:tcBorders>
          </w:tcPr>
          <w:p>
            <w:pPr>
              <w:jc w:val="center"/>
              <w:ind w:right="97"/>
              <w:spacing w:after="0" w:line="157" w:lineRule="exact"/>
              <w:rPr>
                <w:sz w:val="20"/>
                <w:szCs w:val="20"/>
                <w:color w:val="auto"/>
              </w:rPr>
            </w:pPr>
            <w:r>
              <w:rPr>
                <w:rFonts w:ascii="Arial" w:cs="Arial" w:eastAsia="Arial" w:hAnsi="Arial"/>
                <w:sz w:val="14"/>
                <w:szCs w:val="14"/>
                <w:color w:val="auto"/>
                <w:w w:val="94"/>
              </w:rPr>
              <w:t>Subsidiary</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54"/>
              <w:spacing w:after="0" w:line="157"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3"/>
                <w:szCs w:val="13"/>
                <w:color w:val="auto"/>
              </w:rPr>
            </w:pPr>
          </w:p>
        </w:tc>
        <w:tc>
          <w:tcPr>
            <w:tcW w:w="740" w:type="dxa"/>
            <w:vAlign w:val="bottom"/>
          </w:tcPr>
          <w:p>
            <w:pPr>
              <w:jc w:val="right"/>
              <w:ind w:right="93"/>
              <w:spacing w:after="0" w:line="157" w:lineRule="exact"/>
              <w:rPr>
                <w:sz w:val="20"/>
                <w:szCs w:val="20"/>
                <w:color w:val="auto"/>
              </w:rPr>
            </w:pPr>
            <w:r>
              <w:rPr>
                <w:rFonts w:ascii="Arial" w:cs="Arial" w:eastAsia="Arial" w:hAnsi="Arial"/>
                <w:sz w:val="14"/>
                <w:szCs w:val="14"/>
                <w:color w:val="auto"/>
                <w:w w:val="96"/>
              </w:rPr>
              <w:t>Retained</w:t>
            </w:r>
          </w:p>
        </w:tc>
        <w:tc>
          <w:tcPr>
            <w:tcW w:w="160" w:type="dxa"/>
            <w:vAlign w:val="bottom"/>
          </w:tcPr>
          <w:p>
            <w:pPr>
              <w:spacing w:after="0"/>
              <w:rPr>
                <w:sz w:val="13"/>
                <w:szCs w:val="13"/>
                <w:color w:val="auto"/>
              </w:rPr>
            </w:pPr>
          </w:p>
        </w:tc>
        <w:tc>
          <w:tcPr>
            <w:tcW w:w="740" w:type="dxa"/>
            <w:vAlign w:val="bottom"/>
          </w:tcPr>
          <w:p>
            <w:pPr>
              <w:ind w:left="60"/>
              <w:spacing w:after="0" w:line="157" w:lineRule="exact"/>
              <w:rPr>
                <w:sz w:val="20"/>
                <w:szCs w:val="20"/>
                <w:color w:val="auto"/>
              </w:rPr>
            </w:pPr>
            <w:r>
              <w:rPr>
                <w:rFonts w:ascii="Arial" w:cs="Arial" w:eastAsia="Arial" w:hAnsi="Arial"/>
                <w:sz w:val="14"/>
                <w:szCs w:val="14"/>
                <w:color w:val="auto"/>
              </w:rPr>
              <w:t>Stock at</w:t>
            </w:r>
          </w:p>
        </w:tc>
        <w:tc>
          <w:tcPr>
            <w:tcW w:w="160" w:type="dxa"/>
            <w:vAlign w:val="bottom"/>
          </w:tcPr>
          <w:p>
            <w:pPr>
              <w:spacing w:after="0"/>
              <w:rPr>
                <w:sz w:val="13"/>
                <w:szCs w:val="13"/>
                <w:color w:val="auto"/>
              </w:rPr>
            </w:pPr>
          </w:p>
        </w:tc>
        <w:tc>
          <w:tcPr>
            <w:tcW w:w="1060" w:type="dxa"/>
            <w:vAlign w:val="bottom"/>
          </w:tcPr>
          <w:p>
            <w:pPr>
              <w:jc w:val="center"/>
              <w:spacing w:after="0" w:line="157" w:lineRule="exact"/>
              <w:rPr>
                <w:sz w:val="20"/>
                <w:szCs w:val="20"/>
                <w:color w:val="auto"/>
              </w:rPr>
            </w:pPr>
            <w:r>
              <w:rPr>
                <w:rFonts w:ascii="Arial" w:cs="Arial" w:eastAsia="Arial" w:hAnsi="Arial"/>
                <w:sz w:val="14"/>
                <w:szCs w:val="14"/>
                <w:color w:val="auto"/>
                <w:w w:val="91"/>
              </w:rPr>
              <w:t>Comprehensive</w:t>
            </w:r>
          </w:p>
        </w:tc>
        <w:tc>
          <w:tcPr>
            <w:tcW w:w="180" w:type="dxa"/>
            <w:vAlign w:val="bottom"/>
          </w:tcPr>
          <w:p>
            <w:pPr>
              <w:spacing w:after="0"/>
              <w:rPr>
                <w:sz w:val="13"/>
                <w:szCs w:val="13"/>
                <w:color w:val="auto"/>
              </w:rPr>
            </w:pPr>
          </w:p>
        </w:tc>
        <w:tc>
          <w:tcPr>
            <w:tcW w:w="760" w:type="dxa"/>
            <w:vAlign w:val="bottom"/>
          </w:tcPr>
          <w:p>
            <w:pPr>
              <w:jc w:val="center"/>
              <w:ind w:right="34"/>
              <w:spacing w:after="0" w:line="157" w:lineRule="exact"/>
              <w:rPr>
                <w:sz w:val="20"/>
                <w:szCs w:val="20"/>
                <w:color w:val="auto"/>
              </w:rPr>
            </w:pPr>
            <w:r>
              <w:rPr>
                <w:rFonts w:ascii="Arial" w:cs="Arial" w:eastAsia="Arial" w:hAnsi="Arial"/>
                <w:sz w:val="14"/>
                <w:szCs w:val="14"/>
                <w:color w:val="auto"/>
              </w:rPr>
              <w:t>controlling</w:t>
            </w:r>
          </w:p>
        </w:tc>
        <w:tc>
          <w:tcPr>
            <w:tcW w:w="200" w:type="dxa"/>
            <w:vAlign w:val="bottom"/>
          </w:tcPr>
          <w:p>
            <w:pPr>
              <w:spacing w:after="0"/>
              <w:rPr>
                <w:sz w:val="13"/>
                <w:szCs w:val="13"/>
                <w:color w:val="auto"/>
              </w:rPr>
            </w:pPr>
          </w:p>
        </w:tc>
        <w:tc>
          <w:tcPr>
            <w:tcW w:w="720" w:type="dxa"/>
            <w:vAlign w:val="bottom"/>
          </w:tcPr>
          <w:p>
            <w:pPr>
              <w:jc w:val="right"/>
              <w:ind w:right="212"/>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8"/>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center"/>
              <w:ind w:right="97"/>
              <w:spacing w:after="0"/>
              <w:rPr>
                <w:sz w:val="20"/>
                <w:szCs w:val="20"/>
                <w:color w:val="auto"/>
              </w:rPr>
            </w:pPr>
            <w:r>
              <w:rPr>
                <w:rFonts w:ascii="Arial" w:cs="Arial" w:eastAsia="Arial" w:hAnsi="Arial"/>
                <w:sz w:val="14"/>
                <w:szCs w:val="14"/>
                <w:color w:val="auto"/>
                <w:w w:val="92"/>
              </w:rPr>
              <w:t>Preferred Stock</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A</w:t>
            </w: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B</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97"/>
              </w:rPr>
              <w:t>Earnings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Cost</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4"/>
              </w:rPr>
              <w:t>Income (Loss)</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89"/>
              </w:rPr>
              <w:t>Interests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1,446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38,230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23,065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2,231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56,163</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3"/>
              </w:rPr>
              <w:t>Repurchases of common stock under</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w w:val="94"/>
              </w:rPr>
              <w:t>repurchase program and employee</w:t>
            </w: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9"/>
              </w:rPr>
              <w:t>Contributions from (distributions to)</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280" w:type="dxa"/>
            <w:vAlign w:val="bottom"/>
          </w:tcPr>
          <w:p>
            <w:pPr>
              <w:spacing w:after="0"/>
              <w:rPr>
                <w:sz w:val="20"/>
                <w:szCs w:val="20"/>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2,573</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2017</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1,456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38,115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24,059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b w:val="1"/>
                <w:bCs w:val="1"/>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2,589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57,644</w:t>
            </w:r>
          </w:p>
        </w:tc>
        <w:tc>
          <w:tcPr>
            <w:tcW w:w="0" w:type="dxa"/>
            <w:vAlign w:val="bottom"/>
          </w:tcPr>
          <w:p>
            <w:pPr>
              <w:spacing w:after="0"/>
              <w:rPr>
                <w:sz w:val="1"/>
                <w:szCs w:val="1"/>
                <w:color w:val="auto"/>
              </w:rPr>
            </w:pPr>
          </w:p>
        </w:tc>
      </w:tr>
      <w:tr>
        <w:trPr>
          <w:trHeight w:val="34"/>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1,357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37,497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38,202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69,459</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rPr>
              <w:t>Cumulative effects of adoption of</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accounting standards</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3"/>
              </w:rPr>
              <w:t>Repurchases of common stock under</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w w:val="94"/>
              </w:rPr>
              <w:t>repurchase program and employee</w:t>
            </w: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(1,432)</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9"/>
              </w:rPr>
              <w:t>Contributions from (distributions to)</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280" w:type="dxa"/>
            <w:vAlign w:val="bottom"/>
          </w:tcPr>
          <w:p>
            <w:pPr>
              <w:spacing w:after="0"/>
              <w:rPr>
                <w:sz w:val="20"/>
                <w:szCs w:val="20"/>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3,118</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1,354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37,375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38,961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b w:val="1"/>
                <w:bCs w:val="1"/>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1,228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70,710</w:t>
            </w:r>
          </w:p>
        </w:tc>
        <w:tc>
          <w:tcPr>
            <w:tcW w:w="0" w:type="dxa"/>
            <w:vAlign w:val="bottom"/>
          </w:tcPr>
          <w:p>
            <w:pPr>
              <w:spacing w:after="0"/>
              <w:rPr>
                <w:sz w:val="1"/>
                <w:szCs w:val="1"/>
                <w:color w:val="auto"/>
              </w:rPr>
            </w:pPr>
          </w:p>
        </w:tc>
      </w:tr>
      <w:tr>
        <w:trPr>
          <w:trHeight w:val="34"/>
        </w:trPr>
        <w:tc>
          <w:tcPr>
            <w:tcW w:w="4300" w:type="dxa"/>
            <w:vAlign w:val="bottom"/>
            <w:tcBorders>
              <w:bottom w:val="single" w:sz="8" w:color="auto"/>
              <w:right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300" w:type="dxa"/>
            <w:vAlign w:val="bottom"/>
            <w:gridSpan w:val="3"/>
          </w:tcPr>
          <w:p>
            <w:pPr>
              <w:spacing w:after="0"/>
              <w:rPr>
                <w:sz w:val="20"/>
                <w:szCs w:val="20"/>
                <w:color w:val="auto"/>
              </w:rPr>
            </w:pPr>
            <w:r>
              <w:rPr>
                <w:rFonts w:ascii="Arial" w:cs="Arial" w:eastAsia="Arial" w:hAnsi="Arial"/>
                <w:sz w:val="14"/>
                <w:szCs w:val="14"/>
                <w:color w:val="auto"/>
                <w:w w:val="92"/>
              </w:rPr>
              <w:t>See accompanying notes to condensed consolidated financial statements.</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2017 Annual Report on Form 10-K and the footnotes within this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Reclassifications have been made to our condensed consolidated financial statements for the prior year period to conform to classifications used in 2018. See Note 7 for a discussion of the effects of the adoption of new accounting pronouncements and tax reform on our condensed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3" w:lineRule="exact"/>
        <w:rPr>
          <w:sz w:val="20"/>
          <w:szCs w:val="20"/>
          <w:color w:val="auto"/>
        </w:rPr>
      </w:pPr>
    </w:p>
    <w:p>
      <w:pPr>
        <w:jc w:val="both"/>
        <w:ind w:left="66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voice, and security and automation services (“cable services”) to residential customers under the XFINITY brand; we also provide these and other services to business customers and sell advertising.</w:t>
      </w:r>
    </w:p>
    <w:p>
      <w:pPr>
        <w:spacing w:after="0" w:line="27"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27" w:lineRule="exact"/>
        <w:rPr>
          <w:rFonts w:ascii="Arial" w:cs="Arial" w:eastAsia="Arial" w:hAnsi="Arial"/>
          <w:sz w:val="18"/>
          <w:szCs w:val="18"/>
          <w:color w:val="auto"/>
        </w:rPr>
      </w:pPr>
    </w:p>
    <w:p>
      <w:pPr>
        <w:ind w:left="660" w:hanging="328"/>
        <w:spacing w:after="0" w:line="32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 broadcast</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the NBC Universo national cable network, our broadcast television studio production operations, and various digital properties.</w:t>
      </w:r>
    </w:p>
    <w:p>
      <w:pPr>
        <w:spacing w:after="0" w:line="1" w:lineRule="exact"/>
        <w:rPr>
          <w:rFonts w:ascii="Arial" w:cs="Arial" w:eastAsia="Arial" w:hAnsi="Arial"/>
          <w:sz w:val="16"/>
          <w:szCs w:val="16"/>
          <w:color w:val="auto"/>
        </w:rPr>
      </w:pPr>
    </w:p>
    <w:p>
      <w:pPr>
        <w:ind w:left="660" w:hanging="328"/>
        <w:spacing w:after="0" w:line="30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DreamWorks Animation and Focus Features names.</w:t>
      </w:r>
    </w:p>
    <w:p>
      <w:pPr>
        <w:spacing w:after="0" w:line="1" w:lineRule="exact"/>
        <w:rPr>
          <w:rFonts w:ascii="Arial" w:cs="Arial" w:eastAsia="Arial" w:hAnsi="Arial"/>
          <w:sz w:val="17"/>
          <w:szCs w:val="17"/>
          <w:color w:val="auto"/>
        </w:rPr>
      </w:pPr>
    </w:p>
    <w:p>
      <w:pPr>
        <w:ind w:left="660" w:right="20" w:hanging="328"/>
        <w:spacing w:after="0" w:line="30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Theme Parks: </w:t>
      </w:r>
      <w:r>
        <w:rPr>
          <w:rFonts w:ascii="Arial" w:cs="Arial" w:eastAsia="Arial" w:hAnsi="Arial"/>
          <w:sz w:val="17"/>
          <w:szCs w:val="17"/>
          <w:color w:val="auto"/>
        </w:rPr>
        <w:t>Consists primarily of our Universal theme parks in Orlando, Florida; Hollywood, California; and Osaka, Japan. In addition, along</w:t>
      </w:r>
      <w:r>
        <w:rPr>
          <w:rFonts w:ascii="Arial" w:cs="Arial" w:eastAsia="Arial" w:hAnsi="Arial"/>
          <w:sz w:val="17"/>
          <w:szCs w:val="17"/>
          <w:b w:val="1"/>
          <w:bCs w:val="1"/>
          <w:color w:val="auto"/>
        </w:rPr>
        <w:t xml:space="preserve"> </w:t>
      </w:r>
      <w:r>
        <w:rPr>
          <w:rFonts w:ascii="Arial" w:cs="Arial" w:eastAsia="Arial" w:hAnsi="Arial"/>
          <w:sz w:val="17"/>
          <w:szCs w:val="17"/>
          <w:color w:val="auto"/>
        </w:rPr>
        <w:t>with a consortium of Chinese state-owned companies, we are developing a Universal theme park and resort in Beijing, China.</w:t>
      </w:r>
    </w:p>
    <w:p>
      <w:pPr>
        <w:spacing w:after="0" w:line="308" w:lineRule="auto"/>
        <w:rPr>
          <w:sz w:val="20"/>
          <w:szCs w:val="20"/>
          <w:color w:val="auto"/>
        </w:rPr>
      </w:pPr>
      <w:r>
        <w:rPr>
          <w:rFonts w:ascii="Arial" w:cs="Arial" w:eastAsia="Arial" w:hAnsi="Arial"/>
          <w:sz w:val="17"/>
          <w:szCs w:val="17"/>
          <w:color w:val="auto"/>
        </w:rPr>
        <w:t>We use Adjusted EBITDA to evaluate the profitability of our operating segments and the components of net income attributable to Comcast Corporation excluded from Adjusted EBITDA are not separately evaluated. Our financial data by business segment is presented in the tables below.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right"/>
              <w:ind w:right="773"/>
              <w:spacing w:after="0"/>
              <w:rPr>
                <w:sz w:val="20"/>
                <w:szCs w:val="20"/>
                <w:color w:val="auto"/>
              </w:rPr>
            </w:pPr>
            <w:r>
              <w:rPr>
                <w:rFonts w:ascii="Arial" w:cs="Arial" w:eastAsia="Arial" w:hAnsi="Arial"/>
                <w:sz w:val="14"/>
                <w:szCs w:val="14"/>
                <w:color w:val="auto"/>
              </w:rPr>
              <w:t>Three Months Ended March 31, 2018</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3"/>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(e)</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13,518</w:t>
            </w:r>
          </w:p>
        </w:tc>
        <w:tc>
          <w:tcPr>
            <w:tcW w:w="5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269</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3,194</w:t>
            </w:r>
          </w:p>
        </w:tc>
        <w:tc>
          <w:tcPr>
            <w:tcW w:w="5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1,268</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0"/>
        </w:trPr>
        <w:tc>
          <w:tcPr>
            <w:tcW w:w="4920" w:type="dxa"/>
            <w:vAlign w:val="bottom"/>
          </w:tcPr>
          <w:p>
            <w:pPr>
              <w:ind w:left="38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3,497</w:t>
            </w:r>
          </w:p>
        </w:tc>
        <w:tc>
          <w:tcPr>
            <w:tcW w:w="5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72</w:t>
            </w: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1,647</w:t>
            </w:r>
          </w:p>
        </w:tc>
        <w:tc>
          <w:tcPr>
            <w:tcW w:w="5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1,281</w:t>
            </w:r>
          </w:p>
        </w:tc>
        <w:tc>
          <w:tcPr>
            <w:tcW w:w="5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(a)(c)</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9,530</w:t>
            </w:r>
          </w:p>
        </w:tc>
        <w:tc>
          <w:tcPr>
            <w:tcW w:w="5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2,285</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130</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(a)(c)</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22,791</w:t>
            </w:r>
          </w:p>
        </w:tc>
        <w:tc>
          <w:tcPr>
            <w:tcW w:w="5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7,244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2,599</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1,973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419</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94"/>
        </w:trPr>
        <w:tc>
          <w:tcPr>
            <w:tcW w:w="4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right"/>
              <w:ind w:right="773"/>
              <w:spacing w:after="0"/>
              <w:rPr>
                <w:sz w:val="20"/>
                <w:szCs w:val="20"/>
                <w:color w:val="auto"/>
              </w:rPr>
            </w:pPr>
            <w:r>
              <w:rPr>
                <w:rFonts w:ascii="Arial" w:cs="Arial" w:eastAsia="Arial" w:hAnsi="Arial"/>
                <w:sz w:val="14"/>
                <w:szCs w:val="14"/>
                <w:color w:val="auto"/>
              </w:rPr>
              <w:t>Three Months Ended March 31, 2017</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3"/>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(e)</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13,050</w:t>
            </w:r>
          </w:p>
        </w:tc>
        <w:tc>
          <w:tcPr>
            <w:tcW w:w="5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5,174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322</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2,640</w:t>
            </w:r>
          </w:p>
        </w:tc>
        <w:tc>
          <w:tcPr>
            <w:tcW w:w="5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1,115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2,208</w:t>
            </w:r>
          </w:p>
        </w:tc>
        <w:tc>
          <w:tcPr>
            <w:tcW w:w="5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1,967</w:t>
            </w:r>
          </w:p>
        </w:tc>
        <w:tc>
          <w:tcPr>
            <w:tcW w:w="5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1,118</w:t>
            </w:r>
          </w:p>
        </w:tc>
        <w:tc>
          <w:tcPr>
            <w:tcW w:w="5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31</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7,853</w:t>
            </w:r>
          </w:p>
        </w:tc>
        <w:tc>
          <w:tcPr>
            <w:tcW w:w="5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55</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20,587</w:t>
            </w:r>
          </w:p>
        </w:tc>
        <w:tc>
          <w:tcPr>
            <w:tcW w:w="5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7,010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2,468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2,078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385</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jc w:val="both"/>
        <w:ind w:left="340" w:hanging="332"/>
        <w:spacing w:after="0" w:line="257"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2018 PyeongChang Olympics were reported in our Cable Networks and Broadcast Television segments. The revenue and operating costs and expenses associated with our broadcast of the 2018 Super Bowl were reported in our Broadcast Television segment. Included in Eliminations are transactions relating to these events that our Broadcast Television and Cable Networks segments enter into with our other segments.</w:t>
      </w:r>
    </w:p>
    <w:p>
      <w:pPr>
        <w:spacing w:after="0" w:line="36"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25" w:lineRule="exact"/>
        <w:rPr>
          <w:rFonts w:ascii="Arial" w:cs="Arial" w:eastAsia="Arial" w:hAnsi="Arial"/>
          <w:sz w:val="14"/>
          <w:szCs w:val="14"/>
          <w:color w:val="auto"/>
        </w:rPr>
      </w:pPr>
    </w:p>
    <w:p>
      <w:pPr>
        <w:ind w:left="980" w:hanging="81"/>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advertising to our Cable Communications segment</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 for segment reporting, this revenue is recognized as the programming rights asset for the licensed content is amortized based on third party revenue</w:t>
      </w:r>
    </w:p>
    <w:p>
      <w:pPr>
        <w:spacing w:after="0" w:line="25"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Corporate and Other activities include costs associated with overhead and personnel, revenue and expenses associated with other business development initiatives, including our wireless phone service, and the operations of Comcast Spectacor, which owns the Philadelphia Flyers and the Wells Fargo Center arena in Philadelphia, Pennsylvania and operates arena management-related businesses.</w:t>
      </w:r>
    </w:p>
    <w:p>
      <w:pPr>
        <w:spacing w:after="0" w:line="36" w:lineRule="exact"/>
        <w:rPr>
          <w:rFonts w:ascii="Arial" w:cs="Arial" w:eastAsia="Arial" w:hAnsi="Arial"/>
          <w:sz w:val="14"/>
          <w:szCs w:val="14"/>
          <w:color w:val="auto"/>
        </w:rPr>
      </w:pPr>
    </w:p>
    <w:p>
      <w:pPr>
        <w:jc w:val="both"/>
        <w:ind w:left="340" w:hanging="332"/>
        <w:spacing w:after="0" w:line="249"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Comcast Corporation before net income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ectPr>
          <w:pgSz w:w="11900" w:h="16838" w:orient="portrait"/>
          <w:cols w:equalWidth="0" w:num="1">
            <w:col w:w="11420"/>
          </w:cols>
          <w:pgMar w:left="240" w:top="121" w:right="239" w:bottom="1440" w:gutter="0" w:footer="0" w:header="0"/>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Our reconciliation of the aggregate amount of Adjusted EBITDA for our reportable segments to consolidated income before income taxes is presented in the table below.</w:t>
      </w: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40" w:type="dxa"/>
            <w:vAlign w:val="bottom"/>
          </w:tcPr>
          <w:p>
            <w:pPr>
              <w:spacing w:after="0"/>
              <w:rPr>
                <w:sz w:val="14"/>
                <w:szCs w:val="14"/>
                <w:color w:val="auto"/>
              </w:rPr>
            </w:pPr>
          </w:p>
        </w:tc>
      </w:tr>
      <w:tr>
        <w:trPr>
          <w:trHeight w:val="188"/>
        </w:trPr>
        <w:tc>
          <w:tcPr>
            <w:tcW w:w="7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6"/>
                <w:szCs w:val="16"/>
                <w:color w:val="auto"/>
              </w:rPr>
            </w:pPr>
          </w:p>
        </w:tc>
      </w:tr>
      <w:tr>
        <w:trPr>
          <w:trHeight w:val="264"/>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89"/>
              </w:rPr>
              <w:t>2017</w:t>
            </w:r>
          </w:p>
        </w:tc>
      </w:tr>
      <w:tr>
        <w:trPr>
          <w:trHeight w:val="258"/>
        </w:trPr>
        <w:tc>
          <w:tcPr>
            <w:tcW w:w="77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7,244</w:t>
            </w:r>
          </w:p>
        </w:tc>
        <w:tc>
          <w:tcPr>
            <w:tcW w:w="6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7,010</w:t>
            </w:r>
          </w:p>
        </w:tc>
      </w:tr>
      <w:tr>
        <w:trPr>
          <w:trHeight w:val="270"/>
        </w:trPr>
        <w:tc>
          <w:tcPr>
            <w:tcW w:w="77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(2,011)</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(1,915)</w:t>
            </w:r>
          </w:p>
        </w:tc>
      </w:tr>
      <w:tr>
        <w:trPr>
          <w:trHeight w:val="270"/>
        </w:trPr>
        <w:tc>
          <w:tcPr>
            <w:tcW w:w="77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(588)</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(553)</w:t>
            </w:r>
          </w:p>
        </w:tc>
      </w:tr>
      <w:tr>
        <w:trPr>
          <w:trHeight w:val="270"/>
        </w:trPr>
        <w:tc>
          <w:tcPr>
            <w:tcW w:w="77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(777)</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(755)</w:t>
            </w:r>
          </w:p>
        </w:tc>
      </w:tr>
      <w:tr>
        <w:trPr>
          <w:trHeight w:val="276"/>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126</w:t>
            </w: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w:t>
            </w:r>
          </w:p>
        </w:tc>
      </w:tr>
      <w:tr>
        <w:trPr>
          <w:trHeight w:val="277"/>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3,994</w:t>
            </w:r>
          </w:p>
        </w:tc>
        <w:tc>
          <w:tcPr>
            <w:tcW w:w="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3,917</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96"/>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8240" w:type="dxa"/>
            <w:vAlign w:val="bottom"/>
          </w:tcPr>
          <w:p>
            <w:pPr>
              <w:ind w:left="180"/>
              <w:spacing w:after="0"/>
              <w:rPr>
                <w:sz w:val="20"/>
                <w:szCs w:val="20"/>
                <w:color w:val="auto"/>
              </w:rPr>
            </w:pPr>
            <w:r>
              <w:rPr>
                <w:rFonts w:ascii="Arial" w:cs="Arial" w:eastAsia="Arial" w:hAnsi="Arial"/>
                <w:sz w:val="18"/>
                <w:szCs w:val="18"/>
                <w:color w:val="auto"/>
              </w:rPr>
              <w:t>Video</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5,659</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5,706</w:t>
            </w:r>
          </w:p>
        </w:tc>
      </w:tr>
      <w:tr>
        <w:trPr>
          <w:trHeight w:val="270"/>
        </w:trPr>
        <w:tc>
          <w:tcPr>
            <w:tcW w:w="824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4,157</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3,842</w:t>
            </w:r>
          </w:p>
        </w:tc>
      </w:tr>
      <w:tr>
        <w:trPr>
          <w:trHeight w:val="270"/>
        </w:trPr>
        <w:tc>
          <w:tcPr>
            <w:tcW w:w="8240" w:type="dxa"/>
            <w:vAlign w:val="bottom"/>
          </w:tcPr>
          <w:p>
            <w:pPr>
              <w:ind w:left="180"/>
              <w:spacing w:after="0"/>
              <w:rPr>
                <w:sz w:val="20"/>
                <w:szCs w:val="20"/>
                <w:color w:val="auto"/>
              </w:rPr>
            </w:pPr>
            <w:r>
              <w:rPr>
                <w:rFonts w:ascii="Arial" w:cs="Arial" w:eastAsia="Arial" w:hAnsi="Arial"/>
                <w:sz w:val="18"/>
                <w:szCs w:val="18"/>
                <w:color w:val="auto"/>
              </w:rPr>
              <w:t>Voice</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1,006</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1,034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1,726</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1,543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582</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554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388</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371</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35"/>
        </w:trPr>
        <w:tc>
          <w:tcPr>
            <w:tcW w:w="8240" w:type="dxa"/>
            <w:vAlign w:val="bottom"/>
          </w:tcPr>
          <w:p>
            <w:pPr>
              <w:ind w:left="40"/>
              <w:spacing w:after="0"/>
              <w:rPr>
                <w:sz w:val="20"/>
                <w:szCs w:val="20"/>
                <w:color w:val="auto"/>
              </w:rPr>
            </w:pPr>
            <w:r>
              <w:rPr>
                <w:rFonts w:ascii="Arial" w:cs="Arial" w:eastAsia="Arial" w:hAnsi="Arial"/>
                <w:sz w:val="18"/>
                <w:szCs w:val="18"/>
                <w:color w:val="auto"/>
              </w:rPr>
              <w:t>Total Cable Communications</w:t>
            </w:r>
            <w:r>
              <w:rPr>
                <w:rFonts w:ascii="Arial" w:cs="Arial" w:eastAsia="Arial" w:hAnsi="Arial"/>
                <w:sz w:val="25"/>
                <w:szCs w:val="25"/>
                <w:color w:val="auto"/>
                <w:vertAlign w:val="superscript"/>
              </w:rPr>
              <w:t>(a)</w:t>
            </w:r>
          </w:p>
        </w:tc>
        <w:tc>
          <w:tcPr>
            <w:tcW w:w="3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13,518</w:t>
            </w:r>
          </w:p>
        </w:tc>
        <w:tc>
          <w:tcPr>
            <w:tcW w:w="68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13,050</w:t>
            </w:r>
          </w:p>
        </w:tc>
      </w:tr>
      <w:tr>
        <w:trPr>
          <w:trHeight w:val="334"/>
        </w:trPr>
        <w:tc>
          <w:tcPr>
            <w:tcW w:w="82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1,887</w:t>
            </w:r>
          </w:p>
        </w:tc>
        <w:tc>
          <w:tcPr>
            <w:tcW w:w="68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1,562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988</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826</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319</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252</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3,194</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2,640</w:t>
            </w:r>
          </w:p>
        </w:tc>
      </w:tr>
      <w:tr>
        <w:trPr>
          <w:trHeight w:val="432"/>
        </w:trPr>
        <w:tc>
          <w:tcPr>
            <w:tcW w:w="824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2,365</w:t>
            </w:r>
          </w:p>
        </w:tc>
        <w:tc>
          <w:tcPr>
            <w:tcW w:w="68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1,279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522</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610</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3,497</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2,208</w:t>
            </w:r>
          </w:p>
        </w:tc>
      </w:tr>
      <w:tr>
        <w:trPr>
          <w:trHeight w:val="432"/>
        </w:trPr>
        <w:tc>
          <w:tcPr>
            <w:tcW w:w="824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3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423</w:t>
            </w:r>
          </w:p>
        </w:tc>
        <w:tc>
          <w:tcPr>
            <w:tcW w:w="68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733</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734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248</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286</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243</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1,647</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1,967</w:t>
            </w:r>
          </w:p>
        </w:tc>
      </w:tr>
      <w:tr>
        <w:trPr>
          <w:trHeight w:val="432"/>
        </w:trPr>
        <w:tc>
          <w:tcPr>
            <w:tcW w:w="824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3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1,281</w:t>
            </w:r>
          </w:p>
        </w:tc>
        <w:tc>
          <w:tcPr>
            <w:tcW w:w="68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1,118</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97"/>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(103)</w:t>
            </w: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NBCUniversal</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9,530</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7,853</w:t>
            </w:r>
          </w:p>
        </w:tc>
      </w:tr>
      <w:tr>
        <w:trPr>
          <w:trHeight w:val="432"/>
        </w:trPr>
        <w:tc>
          <w:tcPr>
            <w:tcW w:w="82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391</w:t>
            </w:r>
          </w:p>
        </w:tc>
        <w:tc>
          <w:tcPr>
            <w:tcW w:w="68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208</w:t>
            </w:r>
          </w:p>
        </w:tc>
      </w:tr>
      <w:tr>
        <w:trPr>
          <w:trHeight w:val="297"/>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(648)</w:t>
            </w: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22,791</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20,587</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For the three months ended March 31, 2018 and 2017, 2.8% and 2.9%, respectively, of Cable Communications segment revenue was derived from franchise and other regulatory fees.</w:t>
      </w:r>
    </w:p>
    <w:p>
      <w:pPr>
        <w:spacing w:after="0" w:line="80" w:lineRule="exact"/>
        <w:rPr>
          <w:rFonts w:ascii="Arial" w:cs="Arial" w:eastAsia="Arial" w:hAnsi="Arial"/>
          <w:sz w:val="13"/>
          <w:szCs w:val="13"/>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ectPr>
          <w:pgSz w:w="11900" w:h="16838" w:orient="portrait"/>
          <w:cols w:equalWidth="0" w:num="1">
            <w:col w:w="11420"/>
          </w:cols>
          <w:pgMar w:left="240" w:top="121"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primarily in the United States, but also in select international markets primarily in Europe and Asia. The table below summarizes revenue by geographic location.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196"/>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96"/>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20,885</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18,832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3"/>
                <w:szCs w:val="23"/>
                <w:color w:val="auto"/>
              </w:rPr>
            </w:pP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1,906</w:t>
            </w:r>
          </w:p>
        </w:tc>
        <w:tc>
          <w:tcPr>
            <w:tcW w:w="7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1,755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9"/>
              <w:spacing w:after="0"/>
              <w:rPr>
                <w:sz w:val="20"/>
                <w:szCs w:val="20"/>
                <w:color w:val="auto"/>
              </w:rPr>
            </w:pPr>
            <w:r>
              <w:rPr>
                <w:rFonts w:ascii="Arial" w:cs="Arial" w:eastAsia="Arial" w:hAnsi="Arial"/>
                <w:sz w:val="18"/>
                <w:szCs w:val="18"/>
                <w:b w:val="1"/>
                <w:bCs w:val="1"/>
                <w:color w:val="auto"/>
              </w:rPr>
              <w:t>22,791</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20,587</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Communications segment generates revenue from residential customers subscribing to our video, high-speed Internet, voice, and security and automation services, which we market individually and as bundled services at a discounted rate in the United States. Revenue from residential customers that purchase bundled services at a discounted rate is allocated between the separate services based on the respective stand-alone selling prices. The stand-alone selling prices are determined based on the current prices at which we separately sell the cable services. Significant judgment is used to determine performance obligations that should be accounted for separately and the allocation of revenue when services are combined in a bundle. Revenue related to our security and automation services is reported in other revenue.</w:t>
      </w:r>
    </w:p>
    <w:p>
      <w:pPr>
        <w:spacing w:after="0" w:line="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 revenue from residential cable services as the services are provided on a monthly basis. Subscription rates and related charges vary according to the services and features customers receive. Customers are typically billed in advance and pay on a monthly basis. Installation fees are deferred and recognized as revenue over the period of benefit to the customer, which is less than a year for residential customers. While a portion of our residential customers are subject to contracts for their cable services, which are typically 2 years in length, based on our evaluation of the terms of these contracts, we recognize revenue for these cable services on a basis that is consistent with our customers that are not subject to contracts. Our cable services generally involve customer premise equipment, such as set-top boxes, cable modems and wireless gateways. The timing and pattern of recognition for customer premise equipment revenue are consistent with those of our residential cable services. Sales commissions related to our residential customers are expensed as incurred, as the related period of benefit is less than a year.</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our cable franchise agreements, we are generally required to pay the cable franchising authority an amount based on our gross video revenue. We generally pass these and other similar fees through to our cable services customers and classify these fees in the respective cable service revenue, with the corresponding costs included in other operating and administrative expenses.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Communications segment generates revenue from business customers subscribing to a variety of products and services. Our small business services offerings primarily include high-speed Internet services, as well as voice and video services, similar to those that we provide to our residential customers, and also include cloud-based solutions that provide file sharing, online backup and web conferencing, among other features. We also offer Ethernet network services that connect multiple locations and provide higher downstream and upstream speed options to medium-sized customers and larger enterprises, as well as advanced voice services. In addition, we provide cellular backhaul services to mobile network operators to help these customers manage their network bandwidth.</w:t>
      </w:r>
    </w:p>
    <w:p>
      <w:pPr>
        <w:spacing w:after="0" w:line="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Recently, we have expanded our enterprise service offerings to include a software-defined networking product and our managed solutions business to offer enterprise customers support related to Wi-Fi networks, router management, network security, business continuity risks and other services. We primarily offer our enterprise service offerings to Fortune 1000 companies and other large enterprises with multiple locations both within and outside of our cable distribution footprint where we have agreements with other companies to use their networks to provide coverage.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revenue from business services as the services are provided on a monthly basis. Substantially all of our business customers are initially under contracts, with terms typically ranging from 2 years for small and medium-sized businesses to up to 5 years for larger enterprises. At any given time, the amount of future revenue to be earned related to fixed pricing under existing agreements is equal to approximately half of our annual business services revenue, of which the substantial majority will be recognized within 2 years. Customers with contracts may only discontinue service in accordance with the terms of their contracts. We receive payments from business customers based on a billing schedule established in our contracts, which is typically on a monthly basis. Installation revenue related to our business services customers and sales commissions are generally deferred and recognized over the respective contract terms.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Cable Communications segment generates revenue from the sale of advertising and from our advanced advertising businesses. As part of our distribution agreements with cable networks, we generally receive an allocation of scheduled advertising time on cable networks that we sell to local, regional and national advertisers. In most cases, the available advertising units are sold by our sales force. We also represent the advertising sales efforts of other multichannel video providers in some markets. Since we are acting as the principal in these arrangements, we record the advertising that is sold in advertising revenue and the fees paid to multichannel video providers in other operating and administrative expenses. In some cases, we work with representation firms as an extension of our sales force to sell a portion of the advertising units allocated to us and record the revenue net of agency commissions. In addition, we generate revenue from the sale of advertising online and on our On Demand service. 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and conditions are agreed upon. Advertising revenue is recognized in the period in which advertisements are aired or viewed. Payment terms vary by contract, although terms generally require payment within 30 to 60 days from when advertisements are aired or viewed. Our advanced advertising businesses provide technology, tools, marketplace solutions and data-driven insights to various customers in the media industry to more effectively engage with their targeted audiences. Revenue earned from our advanced advertising businesses is recognized when services are provided.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generates distribution revenue from the distribution of our cable network programming to traditional and virtual multichannel video providers. Our Broadcast Television segment generates distribution revenue from the fees received under retransmission consent agreements and associated fees received from NBC-affiliated local broadcast television stations.</w:t>
      </w:r>
    </w:p>
    <w:p>
      <w:pPr>
        <w:spacing w:after="0" w:line="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Distribution revenue is recognized as programming is provided on a monthly basis, generally under multiyear agreements. Monthly fees received under distribution agreements with multichannel video providers are generally based on the number of subscribers. Payment terms and conditions vary by contract type, although terms generally include payment within 30 to 60 days.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Cable Networks and Broadcast Television segments generate advertising revenue from the sale of advertising on our cable and broadcast networks, our owned local broadcast television stations and various digital properties.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are agreed upon. Advertising revenue is recognized, net of agency commissions, in the period in which advertisements are aired or viewed and payment occurs thereafter, generally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Theatrical</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Filmed Entertainment segment theatrical revenue is generated from the worldwide theatrical release of our produced and acquired films for exhibition in movie theaters and is affected by the timing, nature and number of films released in movie theaters and their acceptance by audiences. Theatrical revenue is also affected by the number of exhibition screens, ticket prices, the percentage of ticket sale retention by the exhibitors and the popularity of competing films at the time our films are released. We recognize theatrical revenue as the films are viewed and exhibited in theaters and payment generally occurs within 60 days after exhibition.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Licensing</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Cable Networks, Broadcast Television and Filmed Entertainment segments generate revenue from the licensing of our owned film and television content in the United States and internationally to cable, broadcast and premium networks and subscription video on demand services. Our content licensing agreements generally include fixed pricing and span multiple years. For example, following a film’s theatrical release, our Filmed Entertainment segment may license the exhibition rights of a film to different customers over multiple successive distribution windows.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revenue when the content is delivered and available for use by the licensee. When the term of an existing agreement is renewed or extended, we recognize revenue at the later of when the content is available or when the renewal or extension period begins. Payment terms and conditions vary by contract type, although payments are generally collected over the license term. The amount of future revenue to be earned related to fixed pricing under existing agreements primarily relates to our Filmed Entertainment segment, which at any given time equals approximately 1 to 2 years of our annual Filmed Entertainment content licensing revenue. The substantial majority of this revenue will be recognized within 2 years. This amount may fluctuate from period to period depending on the timing of the release and the availability of content under existing agreements and may not represent the total content licensing revenue expected to be recognized as it does not include revenue from future agreements or from variable pricing or optional purchases under existing agreements.</w:t>
      </w:r>
    </w:p>
    <w:p>
      <w:pPr>
        <w:spacing w:after="0" w:line="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our content licensing agreements that also include variable pricing, such as pricing based on the number of subscribers to a subscription video on demand service, we generally recognize revenue for variable pricing as the content is delivered and available and as the variable amounts become known.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Entertainment</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Filmed Entertainment segment generates revenue from the sale of our produced and acquired films on standard-definition digital video discs and Blu-ray discs (together, “DVDs”) and through digital distribution services. Our Cable Networks and Broadcast Television networks also generate revenue from the sale of owned programming on DVDs and through digital distribution services, which is reported in other revenue. We recognize revenue from DVD sales, net of estimated returns and customer incentives, on the date that DVDs are delivered to and made available for sale by retailers. Payment terms generally include payment within 60 to 90 days from delivery to the retailer.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Theme Parks segment generates revenue primarily from ticket sales and guest spending at our Universal theme parks in Orlando, Florida; Hollywood, California; and Osaka, Japan. Guest spending includes in-park spending on food, beverages and merchandise. We recognize revenue from theme park ticket sales when the tickets are used, generally within a year from the date of purchase. For annual passes, we generally recognize revenue on a straight-line basis over the period the pass is available to be used. We recognize revenue from guest spending at the point of sale.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summarize our accounts receivable and other balances that are not separately presented in our condensed consolidated balance sheet that relate to the recognition of revenue and collection of the related cash, as well as deferred costs associated with our contracts with customers.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jc w:val="center"/>
              <w:ind w:right="297"/>
              <w:spacing w:after="0"/>
              <w:rPr>
                <w:sz w:val="20"/>
                <w:szCs w:val="20"/>
                <w:color w:val="auto"/>
              </w:rPr>
            </w:pPr>
            <w:r>
              <w:rPr>
                <w:rFonts w:ascii="Arial" w:cs="Arial" w:eastAsia="Arial" w:hAnsi="Arial"/>
                <w:sz w:val="14"/>
                <w:szCs w:val="14"/>
                <w:color w:val="auto"/>
                <w:w w:val="96"/>
              </w:rPr>
              <w:t>March 31,</w:t>
            </w:r>
          </w:p>
        </w:tc>
        <w:tc>
          <w:tcPr>
            <w:tcW w:w="36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color w:val="auto"/>
                <w:w w:val="90"/>
              </w:rPr>
              <w:t>December 31,</w:t>
            </w:r>
          </w:p>
        </w:tc>
      </w:tr>
      <w:tr>
        <w:trPr>
          <w:trHeight w:val="188"/>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w w:val="89"/>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2017</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9,052</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9,122</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1380" w:type="dxa"/>
            <w:vAlign w:val="bottom"/>
          </w:tcPr>
          <w:p>
            <w:pPr>
              <w:spacing w:after="0"/>
              <w:rPr>
                <w:sz w:val="23"/>
                <w:szCs w:val="23"/>
                <w:color w:val="auto"/>
              </w:rPr>
            </w:pP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293</w:t>
            </w:r>
          </w:p>
        </w:tc>
        <w:tc>
          <w:tcPr>
            <w:tcW w:w="36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288</w:t>
            </w:r>
          </w:p>
        </w:tc>
      </w:tr>
      <w:tr>
        <w:trPr>
          <w:trHeight w:val="27"/>
        </w:trPr>
        <w:tc>
          <w:tcPr>
            <w:tcW w:w="7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2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b w:val="1"/>
                <w:bCs w:val="1"/>
                <w:color w:val="auto"/>
              </w:rPr>
              <w:t>8,759</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b w:val="1"/>
                <w:bCs w:val="1"/>
                <w:color w:val="auto"/>
              </w:rPr>
              <w:t>8,834</w:t>
            </w:r>
          </w:p>
        </w:tc>
      </w:tr>
      <w:tr>
        <w:trPr>
          <w:trHeight w:val="34"/>
        </w:trPr>
        <w:tc>
          <w:tcPr>
            <w:tcW w:w="7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67"/>
        </w:trPr>
        <w:tc>
          <w:tcPr>
            <w:tcW w:w="7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jc w:val="center"/>
              <w:ind w:right="297"/>
              <w:spacing w:after="0"/>
              <w:rPr>
                <w:sz w:val="20"/>
                <w:szCs w:val="20"/>
                <w:color w:val="auto"/>
              </w:rPr>
            </w:pPr>
            <w:r>
              <w:rPr>
                <w:rFonts w:ascii="Arial" w:cs="Arial" w:eastAsia="Arial" w:hAnsi="Arial"/>
                <w:sz w:val="14"/>
                <w:szCs w:val="14"/>
                <w:color w:val="auto"/>
                <w:w w:val="96"/>
              </w:rPr>
              <w:t>March 31,</w:t>
            </w:r>
          </w:p>
        </w:tc>
        <w:tc>
          <w:tcPr>
            <w:tcW w:w="360" w:type="dxa"/>
            <w:vAlign w:val="bottom"/>
          </w:tcPr>
          <w:p>
            <w:pPr>
              <w:spacing w:after="0"/>
              <w:rPr>
                <w:sz w:val="24"/>
                <w:szCs w:val="2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color w:val="auto"/>
                <w:w w:val="90"/>
              </w:rPr>
              <w:t>December 31,</w:t>
            </w:r>
          </w:p>
        </w:tc>
      </w:tr>
      <w:tr>
        <w:trPr>
          <w:trHeight w:val="188"/>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w w:val="89"/>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2017</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Noncurrent receivables (included in other noncurrent assets, net)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1,180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1,184</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Contract acquisition and fulfillment costs (included in other noncurrent assets, net)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929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922</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536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497</w:t>
            </w:r>
          </w:p>
        </w:tc>
      </w:tr>
      <w:tr>
        <w:trPr>
          <w:trHeight w:val="27"/>
        </w:trPr>
        <w:tc>
          <w:tcPr>
            <w:tcW w:w="7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Cable Communications segment, we manage credit risk by screening applicants through the use of internal customer information, identification verification tools and credit bureau data, as well as offering customers the opportunity to establish automatic monthly payments. If a customer’s account is delinquent, various measures are used to collect outstanding amounts, including termination of the customer’s cable services.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Earnings Per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6"/>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4"/>
              </w:rPr>
              <w:t>Comcast</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130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Per Share</w:t>
            </w:r>
          </w:p>
        </w:tc>
      </w:tr>
      <w:tr>
        <w:trPr>
          <w:trHeight w:val="18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2"/>
              </w:rPr>
              <w:t>Corporation</w:t>
            </w: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Amount</w:t>
            </w:r>
          </w:p>
        </w:tc>
      </w:tr>
      <w:tr>
        <w:trPr>
          <w:trHeight w:val="228"/>
        </w:trPr>
        <w:tc>
          <w:tcPr>
            <w:tcW w:w="3340" w:type="dxa"/>
            <w:vAlign w:val="bottom"/>
          </w:tcPr>
          <w:p>
            <w:pPr>
              <w:ind w:left="4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color w:val="auto"/>
              </w:rPr>
              <w:t>3,118</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4,633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0.67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color w:val="auto"/>
              </w:rPr>
              <w:t>2,573</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4,747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0.54</w:t>
            </w: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6"/>
        </w:trPr>
        <w:tc>
          <w:tcPr>
            <w:tcW w:w="334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334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340" w:type="dxa"/>
            <w:vAlign w:val="bottom"/>
          </w:tcPr>
          <w:p>
            <w:pPr>
              <w:ind w:left="2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b w:val="1"/>
                <w:bCs w:val="1"/>
                <w:color w:val="auto"/>
              </w:rPr>
              <w:t>3,118</w:t>
            </w:r>
          </w:p>
        </w:tc>
        <w:tc>
          <w:tcPr>
            <w:tcW w:w="1160" w:type="dxa"/>
            <w:vAlign w:val="bottom"/>
          </w:tcPr>
          <w:p>
            <w:pPr>
              <w:jc w:val="right"/>
              <w:ind w:right="57"/>
              <w:spacing w:after="0"/>
              <w:rPr>
                <w:sz w:val="20"/>
                <w:szCs w:val="20"/>
                <w:color w:val="auto"/>
              </w:rPr>
            </w:pPr>
            <w:r>
              <w:rPr>
                <w:rFonts w:ascii="Arial" w:cs="Arial" w:eastAsia="Arial" w:hAnsi="Arial"/>
                <w:sz w:val="18"/>
                <w:szCs w:val="18"/>
                <w:b w:val="1"/>
                <w:bCs w:val="1"/>
                <w:color w:val="auto"/>
              </w:rPr>
              <w:t>4,705</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b w:val="1"/>
                <w:bCs w:val="1"/>
                <w:color w:val="auto"/>
              </w:rPr>
              <w:t>0.66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b w:val="1"/>
                <w:bCs w:val="1"/>
                <w:color w:val="auto"/>
              </w:rPr>
              <w:t>2,573</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4,832</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b w:val="1"/>
                <w:bCs w:val="1"/>
                <w:color w:val="auto"/>
              </w:rPr>
              <w:t>0.53</w:t>
            </w:r>
          </w:p>
        </w:tc>
      </w:tr>
      <w:tr>
        <w:trPr>
          <w:trHeight w:val="34"/>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The amount of potential common shares related to our share-based compensation plans that were excluded from diluted EPS because their effect would have been antidilutive was not material for the three months ended March 31, 2018 and 2017.</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Long-Term Debt</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2018, our debt had a carrying value of $66.7 billion and an estimated fair value of $70.7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p>
        </w:tc>
        <w:tc>
          <w:tcPr>
            <w:tcW w:w="5640" w:type="dxa"/>
            <w:vAlign w:val="bottom"/>
          </w:tcPr>
          <w:p>
            <w:pPr>
              <w:jc w:val="right"/>
              <w:ind w:right="3030"/>
              <w:spacing w:after="0"/>
              <w:rPr>
                <w:sz w:val="20"/>
                <w:szCs w:val="20"/>
                <w:color w:val="auto"/>
              </w:rPr>
            </w:pPr>
            <w:r>
              <w:rPr>
                <w:rFonts w:ascii="Arial" w:cs="Arial" w:eastAsia="Arial" w:hAnsi="Arial"/>
                <w:sz w:val="18"/>
                <w:szCs w:val="18"/>
                <w:b w:val="1"/>
                <w:bCs w:val="1"/>
                <w:color w:val="auto"/>
              </w:rPr>
              <w:t>Debt Borrowings</w:t>
            </w:r>
          </w:p>
        </w:tc>
        <w:tc>
          <w:tcPr>
            <w:tcW w:w="1860" w:type="dxa"/>
            <w:vAlign w:val="bottom"/>
          </w:tcPr>
          <w:p>
            <w:pPr>
              <w:spacing w:after="0"/>
              <w:rPr>
                <w:sz w:val="20"/>
                <w:szCs w:val="20"/>
                <w:color w:val="auto"/>
              </w:rPr>
            </w:pPr>
          </w:p>
        </w:tc>
      </w:tr>
      <w:tr>
        <w:trPr>
          <w:trHeight w:val="170"/>
        </w:trPr>
        <w:tc>
          <w:tcPr>
            <w:tcW w:w="39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60" w:type="dxa"/>
            <w:vAlign w:val="bottom"/>
          </w:tcPr>
          <w:p>
            <w:pPr>
              <w:jc w:val="center"/>
              <w:ind w:right="256"/>
              <w:spacing w:after="0"/>
              <w:rPr>
                <w:sz w:val="20"/>
                <w:szCs w:val="20"/>
                <w:color w:val="auto"/>
              </w:rPr>
            </w:pPr>
            <w:r>
              <w:rPr>
                <w:rFonts w:ascii="Arial" w:cs="Arial" w:eastAsia="Arial" w:hAnsi="Arial"/>
                <w:sz w:val="14"/>
                <w:szCs w:val="14"/>
                <w:color w:val="auto"/>
                <w:w w:val="89"/>
              </w:rPr>
              <w:t>Three months ended</w:t>
            </w:r>
          </w:p>
        </w:tc>
      </w:tr>
      <w:tr>
        <w:trPr>
          <w:trHeight w:val="188"/>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6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color w:val="auto"/>
                <w:w w:val="94"/>
              </w:rPr>
              <w:t>March 31, 2018</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Comcast 3.90% senior notes due 2038</w:t>
            </w:r>
          </w:p>
        </w:tc>
        <w:tc>
          <w:tcPr>
            <w:tcW w:w="5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1,200</w:t>
            </w: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color w:val="auto"/>
              </w:rPr>
              <w:t>Comcast 3.55% senior notes due 2028</w:t>
            </w:r>
          </w:p>
        </w:tc>
        <w:tc>
          <w:tcPr>
            <w:tcW w:w="5640" w:type="dxa"/>
            <w:vAlign w:val="bottom"/>
          </w:tcPr>
          <w:p>
            <w:pPr>
              <w:spacing w:after="0"/>
              <w:rPr>
                <w:sz w:val="23"/>
                <w:szCs w:val="23"/>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1,000</w:t>
            </w: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color w:val="auto"/>
              </w:rPr>
              <w:t>Comcast 4.00% senior notes due 2048</w:t>
            </w:r>
          </w:p>
        </w:tc>
        <w:tc>
          <w:tcPr>
            <w:tcW w:w="5640" w:type="dxa"/>
            <w:vAlign w:val="bottom"/>
          </w:tcPr>
          <w:p>
            <w:pPr>
              <w:spacing w:after="0"/>
              <w:rPr>
                <w:sz w:val="23"/>
                <w:szCs w:val="23"/>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1,000</w:t>
            </w: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color w:val="auto"/>
              </w:rPr>
              <w:t>Comcast 4.25% senior notes due 2053</w:t>
            </w:r>
          </w:p>
        </w:tc>
        <w:tc>
          <w:tcPr>
            <w:tcW w:w="5640" w:type="dxa"/>
            <w:vAlign w:val="bottom"/>
          </w:tcPr>
          <w:p>
            <w:pPr>
              <w:spacing w:after="0"/>
              <w:rPr>
                <w:sz w:val="23"/>
                <w:szCs w:val="23"/>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800</w:t>
            </w: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color w:val="auto"/>
              </w:rPr>
              <w:t>Other</w:t>
            </w:r>
          </w:p>
        </w:tc>
        <w:tc>
          <w:tcPr>
            <w:tcW w:w="5640" w:type="dxa"/>
            <w:vAlign w:val="bottom"/>
          </w:tcPr>
          <w:p>
            <w:pPr>
              <w:spacing w:after="0"/>
              <w:rPr>
                <w:sz w:val="23"/>
                <w:szCs w:val="23"/>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43</w:t>
            </w:r>
          </w:p>
        </w:tc>
      </w:tr>
      <w:tr>
        <w:trPr>
          <w:trHeight w:val="27"/>
        </w:trPr>
        <w:tc>
          <w:tcPr>
            <w:tcW w:w="392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56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860" w:type="dxa"/>
            <w:vAlign w:val="bottom"/>
          </w:tcPr>
          <w:p>
            <w:pPr>
              <w:jc w:val="right"/>
              <w:ind w:right="16"/>
              <w:spacing w:after="0"/>
              <w:rPr>
                <w:sz w:val="20"/>
                <w:szCs w:val="20"/>
                <w:color w:val="auto"/>
              </w:rPr>
            </w:pPr>
            <w:r>
              <w:rPr>
                <w:rFonts w:ascii="Arial" w:cs="Arial" w:eastAsia="Arial" w:hAnsi="Arial"/>
                <w:sz w:val="18"/>
                <w:szCs w:val="18"/>
                <w:b w:val="1"/>
                <w:bCs w:val="1"/>
                <w:color w:val="auto"/>
              </w:rPr>
              <w:t>4,043</w:t>
            </w:r>
          </w:p>
        </w:tc>
      </w:tr>
      <w:tr>
        <w:trPr>
          <w:trHeight w:val="34"/>
        </w:trPr>
        <w:tc>
          <w:tcPr>
            <w:tcW w:w="392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500"/>
        </w:trPr>
        <w:tc>
          <w:tcPr>
            <w:tcW w:w="3920" w:type="dxa"/>
            <w:vAlign w:val="bottom"/>
          </w:tcPr>
          <w:p>
            <w:pPr>
              <w:spacing w:after="0"/>
              <w:rPr>
                <w:sz w:val="24"/>
                <w:szCs w:val="24"/>
                <w:color w:val="auto"/>
              </w:rPr>
            </w:pPr>
          </w:p>
        </w:tc>
        <w:tc>
          <w:tcPr>
            <w:tcW w:w="5640" w:type="dxa"/>
            <w:vAlign w:val="bottom"/>
          </w:tcPr>
          <w:p>
            <w:pPr>
              <w:jc w:val="right"/>
              <w:ind w:right="2990"/>
              <w:spacing w:after="0"/>
              <w:rPr>
                <w:sz w:val="20"/>
                <w:szCs w:val="20"/>
                <w:color w:val="auto"/>
              </w:rPr>
            </w:pPr>
            <w:r>
              <w:rPr>
                <w:rFonts w:ascii="Arial" w:cs="Arial" w:eastAsia="Arial" w:hAnsi="Arial"/>
                <w:sz w:val="18"/>
                <w:szCs w:val="18"/>
                <w:b w:val="1"/>
                <w:bCs w:val="1"/>
                <w:color w:val="auto"/>
              </w:rPr>
              <w:t>Debt Repayments</w:t>
            </w:r>
          </w:p>
        </w:tc>
        <w:tc>
          <w:tcPr>
            <w:tcW w:w="1860" w:type="dxa"/>
            <w:vAlign w:val="bottom"/>
          </w:tcPr>
          <w:p>
            <w:pPr>
              <w:spacing w:after="0"/>
              <w:rPr>
                <w:sz w:val="24"/>
                <w:szCs w:val="24"/>
                <w:color w:val="auto"/>
              </w:rPr>
            </w:pPr>
          </w:p>
        </w:tc>
      </w:tr>
      <w:tr>
        <w:trPr>
          <w:trHeight w:val="170"/>
        </w:trPr>
        <w:tc>
          <w:tcPr>
            <w:tcW w:w="39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60" w:type="dxa"/>
            <w:vAlign w:val="bottom"/>
          </w:tcPr>
          <w:p>
            <w:pPr>
              <w:jc w:val="center"/>
              <w:ind w:right="256"/>
              <w:spacing w:after="0"/>
              <w:rPr>
                <w:sz w:val="20"/>
                <w:szCs w:val="20"/>
                <w:color w:val="auto"/>
              </w:rPr>
            </w:pPr>
            <w:r>
              <w:rPr>
                <w:rFonts w:ascii="Arial" w:cs="Arial" w:eastAsia="Arial" w:hAnsi="Arial"/>
                <w:sz w:val="14"/>
                <w:szCs w:val="14"/>
                <w:color w:val="auto"/>
                <w:w w:val="89"/>
              </w:rPr>
              <w:t>Three months ended</w:t>
            </w:r>
          </w:p>
        </w:tc>
      </w:tr>
      <w:tr>
        <w:trPr>
          <w:trHeight w:val="188"/>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6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color w:val="auto"/>
                <w:w w:val="94"/>
              </w:rPr>
              <w:t>March 31, 2018</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Comcast 5.875% senior notes due 2018</w:t>
            </w:r>
          </w:p>
        </w:tc>
        <w:tc>
          <w:tcPr>
            <w:tcW w:w="5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900</w:t>
            </w: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color w:val="auto"/>
              </w:rPr>
              <w:t>Other</w:t>
            </w:r>
          </w:p>
        </w:tc>
        <w:tc>
          <w:tcPr>
            <w:tcW w:w="5640" w:type="dxa"/>
            <w:vAlign w:val="bottom"/>
          </w:tcPr>
          <w:p>
            <w:pPr>
              <w:spacing w:after="0"/>
              <w:rPr>
                <w:sz w:val="23"/>
                <w:szCs w:val="23"/>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365</w:t>
            </w:r>
          </w:p>
        </w:tc>
      </w:tr>
      <w:tr>
        <w:trPr>
          <w:trHeight w:val="27"/>
        </w:trPr>
        <w:tc>
          <w:tcPr>
            <w:tcW w:w="392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56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860" w:type="dxa"/>
            <w:vAlign w:val="bottom"/>
          </w:tcPr>
          <w:p>
            <w:pPr>
              <w:jc w:val="right"/>
              <w:ind w:right="16"/>
              <w:spacing w:after="0"/>
              <w:rPr>
                <w:sz w:val="20"/>
                <w:szCs w:val="20"/>
                <w:color w:val="auto"/>
              </w:rPr>
            </w:pPr>
            <w:r>
              <w:rPr>
                <w:rFonts w:ascii="Arial" w:cs="Arial" w:eastAsia="Arial" w:hAnsi="Arial"/>
                <w:sz w:val="18"/>
                <w:szCs w:val="18"/>
                <w:b w:val="1"/>
                <w:bCs w:val="1"/>
                <w:color w:val="auto"/>
              </w:rPr>
              <w:t>1,265</w:t>
            </w:r>
          </w:p>
        </w:tc>
      </w:tr>
      <w:tr>
        <w:trPr>
          <w:trHeight w:val="34"/>
        </w:trPr>
        <w:tc>
          <w:tcPr>
            <w:tcW w:w="392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2018, NBCUniversal Enterprise repaid at maturity $700 million aggregate principal amount of senior floating rate notes due 2018 and $1.1 billion aggregate principal amount of 1.662% senior notes due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31, 2018, amounts available under our consolidated revolving credit facilities, net of amounts outstanding under our commercial paper programs and outstanding letters of credit, totaled $8.3 billion, which included $1.5 billion available under NBCUniversal Enterprise’s revolving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Comcast and NBCUniversal Enterprise had no commercial paper outstanding.</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We own a 30% interest in Universal Beijing Resort and the construction will be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$4 billion). The debt financing is secured by the assets of Universal Beijing Resort and the equity interests of the investors.</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w:t>
      </w:r>
    </w:p>
    <w:p>
      <w:pPr>
        <w:spacing w:after="0" w:line="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March 31, 2018, our condensed consolidated balance sheet included assets, primarily including property and equipment, and liabilities of Universal Beijing Resort totaling $1.2 billion and $523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Offer</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25, 2018, we announced a pre-conditional all-cash firm offer for the entire issued and to be issued share capital of Sky plc. Pursuant to the offer, Sky shareholders will be entitled to receive £12.50 in cash for each Sky share (implying a value of approximately £22 billion, or $31 billion using the exchange rate at the time of the offer), plus any final dividend in respect of Sky’s fiscal year ending June 30, 2018 up to an amount of £0.218 per Sky share which is declared and paid prior to the offer going wholly unconditional. The acquisition is subject to the satisfaction (or waiver, where applicable) of certain conditions, including receipt of antitrust and regulatory approvals and securing acceptances carrying more than 50% of the voting rights then normally exercisable at a general meeting of Sky. In connection with the offer, we have entered into an unsecured bridge credit agreement in an aggregate principal amount of up to £16 billion and an unsecured term loan credit agreement in an aggregate principal amount of up to £7 billion ($22 billion and $10 billion, respectively, using the exchange rate at the time of the offer), which will be guaranteed by Comcast Cable Communications, LLC and NBCUniversal.</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Recent Accounting Pronouncements and Tax Reform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core principle of the new standard is that a company should recognize revenue to depict the transfer of promised goods or services to customers in an amount that reflects the consideration to which the company expects to be entitled in exchange for those goods or services.</w:t>
      </w:r>
    </w:p>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adopted the updated guidance on January 1, 2018 on a full retrospective basis, which required us to reflect the impact of the updated guidance for all periods presented. Upon adoption, we also implemented changes in our presentation of certain revenues and expenses, primarily in our Cable Communications segment.</w:t>
      </w:r>
    </w:p>
    <w:p>
      <w:pPr>
        <w:spacing w:after="0" w:line="33"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adoption of the new standard did not have a material impact on our consolidated results of operations or financial position for any period presented. The updated guidance also requires additional disclosures regarding the nature, timing and uncertainty of our revenue transactions (see Note 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the effects on our condensed consolidated statement of income and balance sheet for the prior year periods presented.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54"/>
              <w:spacing w:after="0"/>
              <w:rPr>
                <w:sz w:val="20"/>
                <w:szCs w:val="20"/>
                <w:color w:val="auto"/>
              </w:rPr>
            </w:pPr>
            <w:r>
              <w:rPr>
                <w:rFonts w:ascii="Arial" w:cs="Arial" w:eastAsia="Arial" w:hAnsi="Arial"/>
                <w:sz w:val="14"/>
                <w:szCs w:val="14"/>
                <w:color w:val="auto"/>
                <w:w w:val="93"/>
              </w:rPr>
              <w:t>Three Months Ended</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37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March 31, 2017</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10"/>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Previously Reported</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Effects of Adoption</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As Adjusted</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20,463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124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20,587</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15,933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112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16,045</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4,530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4,542</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w w:val="96"/>
              </w:rPr>
              <w:t>Net income attributable to Comcast Corporation</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2,566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2,573</w:t>
            </w:r>
          </w:p>
        </w:tc>
      </w:tr>
      <w:tr>
        <w:trPr>
          <w:trHeight w:val="27"/>
        </w:trPr>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439"/>
        </w:trPr>
        <w:tc>
          <w:tcPr>
            <w:tcW w:w="3740" w:type="dxa"/>
            <w:vAlign w:val="bottom"/>
          </w:tcPr>
          <w:p>
            <w:pPr>
              <w:spacing w:after="0"/>
              <w:rPr>
                <w:sz w:val="24"/>
                <w:szCs w:val="24"/>
                <w:color w:val="auto"/>
              </w:rPr>
            </w:pPr>
          </w:p>
        </w:tc>
        <w:tc>
          <w:tcPr>
            <w:tcW w:w="4680" w:type="dxa"/>
            <w:vAlign w:val="bottom"/>
            <w:gridSpan w:val="3"/>
          </w:tcPr>
          <w:p>
            <w:pPr>
              <w:jc w:val="right"/>
              <w:ind w:right="892"/>
              <w:spacing w:after="0"/>
              <w:rPr>
                <w:sz w:val="20"/>
                <w:szCs w:val="20"/>
                <w:color w:val="auto"/>
              </w:rPr>
            </w:pPr>
            <w:r>
              <w:rPr>
                <w:rFonts w:ascii="Arial" w:cs="Arial" w:eastAsia="Arial" w:hAnsi="Arial"/>
                <w:sz w:val="18"/>
                <w:szCs w:val="18"/>
                <w:b w:val="1"/>
                <w:bCs w:val="1"/>
                <w:color w:val="auto"/>
              </w:rPr>
              <w:t>Condensed Consolidated Balance Sheet</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3"/>
        </w:trPr>
        <w:tc>
          <w:tcPr>
            <w:tcW w:w="37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As of December 31, 2017</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10"/>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Previously Reported</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Effects of Adoption</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As Adjusted</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16,060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283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16,343</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7,076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7,087</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18,779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18,133</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865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4,354</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186,949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513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187,462</w:t>
            </w:r>
          </w:p>
        </w:tc>
      </w:tr>
      <w:tr>
        <w:trPr>
          <w:trHeight w:val="540"/>
        </w:trPr>
        <w:tc>
          <w:tcPr>
            <w:tcW w:w="37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21,561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21,993</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24,256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24,259</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10,972</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69,449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69,459</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186,949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513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187,462</w:t>
            </w:r>
          </w:p>
        </w:tc>
      </w:tr>
      <w:tr>
        <w:trPr>
          <w:trHeight w:val="27"/>
        </w:trPr>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Communications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implemented for the Cable Communications segment is presented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Presentation of Revenue and Related Costs</w:t>
      </w:r>
    </w:p>
    <w:p>
      <w:pPr>
        <w:spacing w:after="0" w:line="68" w:lineRule="exact"/>
        <w:rPr>
          <w:sz w:val="20"/>
          <w:szCs w:val="20"/>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Revenue from our residential video services decreased with corresponding increases to high-speed Internet and voice revenue due to a change in the allocation of revenue among our cable services included in a bundle that our residential customers purchase at a discount.</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from franchise and other regulatory fees, which was previously presented in other revenue, is now presented with the corresponding cable services. This resulted in increases to video, voice and business services revenue.</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customer late fees are now presented in other revenue. These fees were previously presented as a reduction to other operating costs and expenses.</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costs, including costs related to the fulfillment of contracts with customers, are now presented as other assets and the related costs are recognized over time in operating costs and expenses, which are comprised of total costs and expenses, excluding depreciation and amortization expense and other operating gains. These amounts were previously presented as intangible assets, and the expenses were previously presented in amortization expense. The payments related to these assets are now presented in net cash provided by operating activities rather than in cash paid for intangible assets in our consolidated statement of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the Timing of Recognition of Revenue and Related Costs</w:t>
      </w:r>
    </w:p>
    <w:p>
      <w:pPr>
        <w:spacing w:after="0" w:line="122" w:lineRule="exact"/>
        <w:rPr>
          <w:sz w:val="20"/>
          <w:szCs w:val="20"/>
          <w:color w:val="auto"/>
        </w:rPr>
      </w:pPr>
    </w:p>
    <w:p>
      <w:pPr>
        <w:jc w:val="both"/>
        <w:ind w:left="660" w:hanging="328"/>
        <w:spacing w:after="0" w:line="272"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Installation revenue and commission expense are now recognized as revenue and operating costs and expenses, respectively, over a period of time rather than recognized immediately as they were previously. We recorded a deferred revenue liability related to upfront installation fees that are not distinct services, which required us to allocate the installation fees to the respective service. The installation fees are generally recognized as revenue over the period that the fee would influence a customer to renew their service. This period is less than a year for residential customers and the term of the related contract for business services customers. Incremental costs to obtain a contract with a customer, such as commissions for our business customers, are now deferred and recognized over the contract term. Sales commissions related to our residential customers are expensed as incurred as the related period of benefit is less than a year.</w:t>
      </w:r>
    </w:p>
    <w:p>
      <w:pPr>
        <w:sectPr>
          <w:pgSz w:w="11900" w:h="16838" w:orient="portrait"/>
          <w:cols w:equalWidth="0" w:num="1">
            <w:col w:w="11420"/>
          </w:cols>
          <w:pgMar w:left="240" w:top="121"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presents the effects these changes had on our Cable Communications segment revenue, operating costs and expenses, and depreciation and amortization expense as a result of the updated guidance for the prior year period. Previously reported amounts are based on amounts previously presented in the segment information footnote.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54"/>
              <w:spacing w:after="0"/>
              <w:rPr>
                <w:sz w:val="20"/>
                <w:szCs w:val="20"/>
                <w:color w:val="auto"/>
              </w:rPr>
            </w:pPr>
            <w:r>
              <w:rPr>
                <w:rFonts w:ascii="Arial" w:cs="Arial" w:eastAsia="Arial" w:hAnsi="Arial"/>
                <w:sz w:val="14"/>
                <w:szCs w:val="14"/>
                <w:color w:val="auto"/>
                <w:w w:val="91"/>
              </w:rPr>
              <w:t>Three months ended</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March 31, 2017</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Previously Reported</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Effects of Adoption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As Adjusted</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8"/>
                <w:szCs w:val="18"/>
                <w:color w:val="auto"/>
              </w:rPr>
              <w:t>Video</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5,774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5,706</w:t>
            </w:r>
          </w:p>
        </w:tc>
      </w:tr>
      <w:tr>
        <w:trPr>
          <w:trHeight w:val="270"/>
        </w:trPr>
        <w:tc>
          <w:tcPr>
            <w:tcW w:w="698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3,606</w:t>
            </w:r>
          </w:p>
        </w:tc>
        <w:tc>
          <w:tcPr>
            <w:tcW w:w="160" w:type="dxa"/>
            <w:vAlign w:val="bottom"/>
          </w:tcPr>
          <w:p>
            <w:pPr>
              <w:spacing w:after="0"/>
              <w:rPr>
                <w:sz w:val="23"/>
                <w:szCs w:val="23"/>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236</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3,842</w:t>
            </w:r>
          </w:p>
        </w:tc>
      </w:tr>
      <w:tr>
        <w:trPr>
          <w:trHeight w:val="270"/>
        </w:trPr>
        <w:tc>
          <w:tcPr>
            <w:tcW w:w="6980" w:type="dxa"/>
            <w:vAlign w:val="bottom"/>
          </w:tcPr>
          <w:p>
            <w:pPr>
              <w:ind w:left="180"/>
              <w:spacing w:after="0"/>
              <w:rPr>
                <w:sz w:val="20"/>
                <w:szCs w:val="20"/>
                <w:color w:val="auto"/>
              </w:rPr>
            </w:pPr>
            <w:r>
              <w:rPr>
                <w:rFonts w:ascii="Arial" w:cs="Arial" w:eastAsia="Arial" w:hAnsi="Arial"/>
                <w:sz w:val="18"/>
                <w:szCs w:val="18"/>
                <w:color w:val="auto"/>
              </w:rPr>
              <w:t>Voice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863</w:t>
            </w:r>
          </w:p>
        </w:tc>
        <w:tc>
          <w:tcPr>
            <w:tcW w:w="160" w:type="dxa"/>
            <w:vAlign w:val="bottom"/>
          </w:tcPr>
          <w:p>
            <w:pPr>
              <w:spacing w:after="0"/>
              <w:rPr>
                <w:sz w:val="23"/>
                <w:szCs w:val="23"/>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1,034</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1,490</w:t>
            </w:r>
          </w:p>
        </w:tc>
        <w:tc>
          <w:tcPr>
            <w:tcW w:w="160" w:type="dxa"/>
            <w:vAlign w:val="bottom"/>
          </w:tcPr>
          <w:p>
            <w:pPr>
              <w:spacing w:after="0"/>
              <w:rPr>
                <w:sz w:val="23"/>
                <w:szCs w:val="23"/>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1,543</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23"/>
                <w:szCs w:val="23"/>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554</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371</w:t>
            </w:r>
          </w:p>
        </w:tc>
      </w:tr>
      <w:tr>
        <w:trPr>
          <w:trHeight w:val="27"/>
        </w:trPr>
        <w:tc>
          <w:tcPr>
            <w:tcW w:w="6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Cable Communications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12,912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13,050</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7,714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162</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7,876</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1,980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1,946</w:t>
            </w:r>
          </w:p>
        </w:tc>
      </w:tr>
      <w:tr>
        <w:trPr>
          <w:trHeight w:val="27"/>
        </w:trPr>
        <w:tc>
          <w:tcPr>
            <w:tcW w:w="6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NBCUniversal Segments</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adoption of the updated guidance impacted the timing of recognition for some of our revenue contracts, primarily for content licensing agreements. As a result of the adoption of the updated guidance, when the term of existing content licensing agreements is renewed or extended, revenue is not recognized until the date when the renewal or extension period begins. Under the prior guidance, revenue for the content licensing renewal period was recognized on the date that the renewal was agreed to contractually. This change resulted in delayed revenue recognition for content licensing renewals or extensions in our Cable Networks, Broadcast Television and Filmed Entertainment segments. This change also impacted the timing of the related amortization of our film and television costs and participations and residuals expenses. The adoption of the updated guidance did not have a material impact on the results of operations or financial position for the NBCUniversal segments.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the changes in fair value be recognized in net income. On January 1, 2018, we adopted the updated guidance prospectively along with a related clarifying update and as a result, we recorded an immaterial cumulative effect adjustment to retained earnings, accumulated other comprehensive income (loss) and investments. See Note 9 for further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22, 2017, new federal tax reform legislation was enacted in the United States (“2017 Tax Act”), resulting in significant changes from previous tax law. The new legislation reduced the federal corporate income tax rate to 21% from 35% effective January 1, 2018. In the fourth quarter of 2017, we recorded a net income tax benefit of approximately $12.7 billion on the date of enactment of the new legislation, primarily relating to a reduction of our net deferred tax liabilities as a result of the rate change. This amount also includes the reversal of our net deferred tax liabilities related to cumulative undistributed foreign earnings and deferred tax assets for related foreign tax credits, partially offset by the one-time deemed repatriation tax on undistributed foreign earnings and profits.</w:t>
      </w:r>
    </w:p>
    <w:p>
      <w:pPr>
        <w:spacing w:after="0" w:line="4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adjustments to deferred tax assets and liabilities, and the liability related to the transition tax are provisional amounts based on information available as of March 31, 2018. These amounts are subject to change as we obtain information necessary to complete the calculations. We did not recognize any changes to the provisional amounts for the three months ended March 31, 2018. We will update the provisional amounts as we refine our estimates of cumulative temporary differences, including those related to the immediate deduction for qualified property, and our interpretations of the application of the new legislation. We expect to complete our analysis of the provisional items during the second half of 2018.</w:t>
      </w:r>
    </w:p>
    <w:p>
      <w:pPr>
        <w:spacing w:after="0" w:line="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the FASB issued guidance that permits companies to reclassify disproportionate tax effects recorded in accumulated other comprehensive income as a result of the 2017 Tax Act to retained earnings. We adopted the guidance as of January 1, 2018 and as a result we recorded an immaterial cumulative effect adjustment to retained earnings and accumulated other comprehensive income (loss).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the Bipartisan Budget Act of 2018 was enacted. As part of this legislation, various tax provisions that had expired on December 31, 2016 were retroactively extended to December 31, 2017, including the statute permitting the immediate deduction for certain film and television production costs. The legislation resulted in an income tax benefit of $128 million for the three months ended March 31, 2018.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2016, the FASB updated the accounting guidance related to restricted cash. The new standard requires that the statement of cash flows present the change during the period in the total of cash, cash equivalents, and amounts generally described as restricted cash or restricted cash equivalents, and a reconciliation of such total to amounts on the balance sheet. We adopted the updated guidance on January 1, 2018 and as required applied the retrospective transition method. The adoption did not have a material impact for any period presented.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Film and Television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453"/>
              <w:spacing w:after="0"/>
              <w:rPr>
                <w:sz w:val="20"/>
                <w:szCs w:val="20"/>
                <w:color w:val="auto"/>
              </w:rPr>
            </w:pPr>
            <w:r>
              <w:rPr>
                <w:rFonts w:ascii="Arial" w:cs="Arial" w:eastAsia="Arial" w:hAnsi="Arial"/>
                <w:sz w:val="14"/>
                <w:szCs w:val="14"/>
                <w:color w:val="auto"/>
              </w:rPr>
              <w:t>March 31,</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2017</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1,590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1,734</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1,287</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1,149</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2,931</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2,933</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7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2,361</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2,260</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845</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818</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3,206</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3,078</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2,619</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2,689</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8,756</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8,700</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1,354</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1,613</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2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3"/>
              <w:spacing w:after="0"/>
              <w:rPr>
                <w:sz w:val="20"/>
                <w:szCs w:val="20"/>
                <w:color w:val="auto"/>
              </w:rPr>
            </w:pPr>
            <w:r>
              <w:rPr>
                <w:rFonts w:ascii="Arial" w:cs="Arial" w:eastAsia="Arial" w:hAnsi="Arial"/>
                <w:sz w:val="18"/>
                <w:szCs w:val="18"/>
                <w:b w:val="1"/>
                <w:bCs w:val="1"/>
                <w:color w:val="auto"/>
              </w:rPr>
              <w:t>7,402</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7,087</w:t>
            </w:r>
          </w:p>
        </w:tc>
      </w:tr>
      <w:tr>
        <w:trPr>
          <w:trHeight w:val="34"/>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Investments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00" w:type="dxa"/>
            <w:vAlign w:val="bottom"/>
          </w:tcPr>
          <w:p>
            <w:pPr>
              <w:jc w:val="right"/>
              <w:ind w:right="454"/>
              <w:spacing w:after="0"/>
              <w:rPr>
                <w:sz w:val="20"/>
                <w:szCs w:val="20"/>
                <w:color w:val="auto"/>
              </w:rPr>
            </w:pPr>
            <w:r>
              <w:rPr>
                <w:rFonts w:ascii="Arial" w:cs="Arial" w:eastAsia="Arial" w:hAnsi="Arial"/>
                <w:sz w:val="14"/>
                <w:szCs w:val="14"/>
                <w:color w:val="auto"/>
              </w:rPr>
              <w:t>March 31,</w:t>
            </w:r>
          </w:p>
        </w:tc>
        <w:tc>
          <w:tcPr>
            <w:tcW w:w="360" w:type="dxa"/>
            <w:vAlign w:val="bottom"/>
          </w:tcPr>
          <w:p>
            <w:pPr>
              <w:spacing w:after="0"/>
              <w:rPr>
                <w:sz w:val="14"/>
                <w:szCs w:val="14"/>
                <w:color w:val="auto"/>
              </w:rPr>
            </w:pPr>
          </w:p>
        </w:tc>
        <w:tc>
          <w:tcPr>
            <w:tcW w:w="1260" w:type="dxa"/>
            <w:vAlign w:val="bottom"/>
          </w:tcPr>
          <w:p>
            <w:pPr>
              <w:jc w:val="right"/>
              <w:ind w:right="274"/>
              <w:spacing w:after="0"/>
              <w:rPr>
                <w:sz w:val="20"/>
                <w:szCs w:val="20"/>
                <w:color w:val="auto"/>
              </w:rPr>
            </w:pPr>
            <w:r>
              <w:rPr>
                <w:rFonts w:ascii="Arial" w:cs="Arial" w:eastAsia="Arial" w:hAnsi="Arial"/>
                <w:sz w:val="14"/>
                <w:szCs w:val="14"/>
                <w:color w:val="auto"/>
              </w:rPr>
              <w:t>December 31,</w:t>
            </w:r>
          </w:p>
        </w:tc>
      </w:tr>
      <w:tr>
        <w:trPr>
          <w:trHeight w:val="18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4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3,615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3,546</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4500" w:type="dxa"/>
            <w:vAlign w:val="bottom"/>
          </w:tcPr>
          <w:p>
            <w:pPr>
              <w:spacing w:after="0"/>
              <w:rPr>
                <w:sz w:val="23"/>
                <w:szCs w:val="23"/>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471</w:t>
            </w:r>
          </w:p>
        </w:tc>
        <w:tc>
          <w:tcPr>
            <w:tcW w:w="36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433</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4500" w:type="dxa"/>
            <w:vAlign w:val="bottom"/>
          </w:tcPr>
          <w:p>
            <w:pPr>
              <w:spacing w:after="0"/>
              <w:rPr>
                <w:sz w:val="23"/>
                <w:szCs w:val="23"/>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1,235</w:t>
            </w:r>
          </w:p>
        </w:tc>
        <w:tc>
          <w:tcPr>
            <w:tcW w:w="36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1,186</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4500" w:type="dxa"/>
            <w:vAlign w:val="bottom"/>
          </w:tcPr>
          <w:p>
            <w:pPr>
              <w:spacing w:after="0"/>
              <w:rPr>
                <w:sz w:val="23"/>
                <w:szCs w:val="23"/>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1,789</w:t>
            </w:r>
          </w:p>
        </w:tc>
        <w:tc>
          <w:tcPr>
            <w:tcW w:w="36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1,785</w:t>
            </w:r>
          </w:p>
        </w:tc>
      </w:tr>
      <w:tr>
        <w:trPr>
          <w:trHeight w:val="27"/>
        </w:trPr>
        <w:tc>
          <w:tcPr>
            <w:tcW w:w="40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4500" w:type="dxa"/>
            <w:vAlign w:val="bottom"/>
          </w:tcPr>
          <w:p>
            <w:pPr>
              <w:spacing w:after="0"/>
              <w:rPr>
                <w:sz w:val="20"/>
                <w:szCs w:val="20"/>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7,110</w:t>
            </w:r>
          </w:p>
        </w:tc>
        <w:tc>
          <w:tcPr>
            <w:tcW w:w="36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6,950</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4500" w:type="dxa"/>
            <w:vAlign w:val="bottom"/>
          </w:tcPr>
          <w:p>
            <w:pPr>
              <w:spacing w:after="0"/>
              <w:rPr>
                <w:sz w:val="23"/>
                <w:szCs w:val="23"/>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
        </w:trPr>
        <w:tc>
          <w:tcPr>
            <w:tcW w:w="40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Noncurrent investments</w:t>
            </w:r>
          </w:p>
        </w:tc>
        <w:tc>
          <w:tcPr>
            <w:tcW w:w="45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4"/>
              <w:spacing w:after="0"/>
              <w:rPr>
                <w:sz w:val="20"/>
                <w:szCs w:val="20"/>
                <w:color w:val="auto"/>
              </w:rPr>
            </w:pPr>
            <w:r>
              <w:rPr>
                <w:rFonts w:ascii="Arial" w:cs="Arial" w:eastAsia="Arial" w:hAnsi="Arial"/>
                <w:sz w:val="18"/>
                <w:szCs w:val="18"/>
                <w:b w:val="1"/>
                <w:bCs w:val="1"/>
                <w:color w:val="auto"/>
              </w:rPr>
              <w:t>7,095</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6,931</w:t>
            </w:r>
          </w:p>
        </w:tc>
      </w:tr>
      <w:tr>
        <w:trPr>
          <w:trHeight w:val="34"/>
        </w:trPr>
        <w:tc>
          <w:tcPr>
            <w:tcW w:w="40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648"/>
        </w:trPr>
        <w:tc>
          <w:tcPr>
            <w:tcW w:w="4000" w:type="dxa"/>
            <w:vAlign w:val="bottom"/>
          </w:tcPr>
          <w:p>
            <w:pPr>
              <w:spacing w:after="0"/>
              <w:rPr>
                <w:sz w:val="24"/>
                <w:szCs w:val="24"/>
                <w:color w:val="auto"/>
              </w:rPr>
            </w:pPr>
          </w:p>
        </w:tc>
        <w:tc>
          <w:tcPr>
            <w:tcW w:w="4500" w:type="dxa"/>
            <w:vAlign w:val="bottom"/>
          </w:tcPr>
          <w:p>
            <w:pPr>
              <w:jc w:val="right"/>
              <w:ind w:right="2610"/>
              <w:spacing w:after="0"/>
              <w:rPr>
                <w:sz w:val="20"/>
                <w:szCs w:val="20"/>
                <w:color w:val="auto"/>
              </w:rPr>
            </w:pPr>
            <w:r>
              <w:rPr>
                <w:rFonts w:ascii="Arial" w:cs="Arial" w:eastAsia="Arial" w:hAnsi="Arial"/>
                <w:sz w:val="18"/>
                <w:szCs w:val="18"/>
                <w:color w:val="auto"/>
              </w:rPr>
              <w:t>16</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8"/>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89"/>
              </w:rPr>
              <w:t>2017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36</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360" w:type="dxa"/>
            <w:vAlign w:val="bottom"/>
          </w:tcPr>
          <w:p>
            <w:pPr>
              <w:spacing w:after="0"/>
              <w:rPr>
                <w:sz w:val="23"/>
                <w:szCs w:val="23"/>
                <w:color w:val="auto"/>
              </w:rPr>
            </w:pP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60" w:type="dxa"/>
            <w:vAlign w:val="bottom"/>
          </w:tcPr>
          <w:p>
            <w:pPr>
              <w:spacing w:after="0"/>
              <w:rPr>
                <w:sz w:val="23"/>
                <w:szCs w:val="23"/>
                <w:color w:val="auto"/>
              </w:rPr>
            </w:pP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147</w:t>
            </w:r>
          </w:p>
        </w:tc>
        <w:tc>
          <w:tcPr>
            <w:tcW w:w="64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99</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Investment and other income (loss), net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8"/>
              <w:spacing w:after="0"/>
              <w:rPr>
                <w:sz w:val="20"/>
                <w:szCs w:val="20"/>
                <w:color w:val="auto"/>
              </w:rPr>
            </w:pPr>
            <w:r>
              <w:rPr>
                <w:rFonts w:ascii="Arial" w:cs="Arial" w:eastAsia="Arial" w:hAnsi="Arial"/>
                <w:sz w:val="18"/>
                <w:szCs w:val="18"/>
                <w:b w:val="1"/>
                <w:bCs w:val="1"/>
                <w:color w:val="auto"/>
              </w:rPr>
              <w:t>126</w:t>
            </w:r>
          </w:p>
        </w:tc>
        <w:tc>
          <w:tcPr>
            <w:tcW w:w="6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130</w:t>
            </w:r>
          </w:p>
        </w:tc>
      </w:tr>
      <w:tr>
        <w:trPr>
          <w:trHeight w:val="34"/>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January 1, 2018, in connection with our adoption of the updated accounting guidance related to the recognition and measurement of financial assets and financial liabilities (see Note 7), we updated the presentation and accounting policies for our investments previously classified as fair value and cost method investments. The investment categories presented in the table above are based on the new guidance and updated policies, where applicable, are presented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we amended our agreement with Atairos, which primarily increases our commitment to fund Atairos from up to $4 billion to up to $5 billion in the aggregate at any one time, subject to certain offsets.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both March 31, 2018 and December 31, 2017, we had an investment in Atairos of $2.4 billion. For the three months ended March 31, 2018 and 2017, we made cash capital contributions to Atairos totaling $31 million and $457 million, respectively. Atairos follows investment company accounting and records its investments at their fair values each reporting period with the net gains or losses reflected in its statement of income. We recognize our share of these gains and losses in equity in net income (losses) of investees, net. For the three months ended March 31, 2018 and 2017, our share of Atairos income was $35 million and $57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2018 and December 31, 2017, we had an investment in Hulu of $231 million and $249 million, respectively. For the three months ended March 31, 2018, we made cash capital contributions totaling $114 million to Hulu. For the three months ended March 31, 2018 and 2017, we recognized our proportionate share of Hulu’s losses of $131 million and $54 million, respectively, in equity in net income (losses) of investees, net.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In March 2018, we sold our investment in The Weather Channel cable network and recognized a pretax gain of $64 million in other income (loss), net.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net. The fair values of our marketable equity securities are based on Level 1 inputs that use quoted market prices.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2017, we acquired an interest in Snap Inc. for $500 million as part of its initial public offering, which we have classified as a marketable equity security. Snap is a camera company whose primary product is Snapchat, a camera app that was created to help people communicate through short videos and images. As of March 31, 2018 and December 31, 2017, we had an investment in Snap of $467 million and $430 million, respectively. For the three months ended March 31, 2018, we recognized unrealized gains of $37 million in realized and unrealized gains (losses) on equity securities, net related to our investment in Snap.</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apply this measurement alternative to a majority of our nonmarketable equity securities. When an observable event occurs, we estimate the fair values of our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net.</w:t>
      </w:r>
    </w:p>
    <w:p>
      <w:pPr>
        <w:sectPr>
          <w:pgSz w:w="11900" w:h="16838" w:orient="portrait"/>
          <w:cols w:equalWidth="0" w:num="1">
            <w:col w:w="11420"/>
          </w:cols>
          <w:pgMar w:left="240" w:top="121"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hold two series of preferred stock of Verizon Americas, Inc., formerly known as AirTouch Communications, Inc. (“AirTouch”), a subsidiary of Verizon Communications Inc., which are redeemable in April 2020. As of both March 31, 2018 and December 31, 2017, we had an investment in AirTouch of $1.6 billion. We account for our investment in AirTouch as a held to maturity investment using the cost method. As of March 31, 2018, the estimated fair value of the AirTouch preferred stock and the estimated fair value of the associated liability related to the redeemable subsidiary preferred shares issued by one of our consolidated subsidiaries were each $1.7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2018, we granted 12.1 million RSUs and 41.0 million stock options related to our annual management awards. The weighted-average fair values associated with these grants were $35.94 per RSU and $7.15 per stock option.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96"/>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83</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3"/>
                <w:szCs w:val="23"/>
                <w:color w:val="auto"/>
              </w:rPr>
            </w:pP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40</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8"/>
              <w:spacing w:after="0"/>
              <w:rPr>
                <w:sz w:val="20"/>
                <w:szCs w:val="20"/>
                <w:color w:val="auto"/>
              </w:rPr>
            </w:pPr>
            <w:r>
              <w:rPr>
                <w:rFonts w:ascii="Arial" w:cs="Arial" w:eastAsia="Arial" w:hAnsi="Arial"/>
                <w:sz w:val="18"/>
                <w:szCs w:val="18"/>
                <w:b w:val="1"/>
                <w:bCs w:val="1"/>
                <w:color w:val="auto"/>
              </w:rPr>
              <w:t>139</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124</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2018, we had unrecognized pretax compensation expense of $1.1 billion and $607 million related to nonvested RSUs and nonvested stock options, respectively.</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w w:val="94"/>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96"/>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Interest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99"/>
              <w:spacing w:after="0"/>
              <w:rPr>
                <w:sz w:val="20"/>
                <w:szCs w:val="20"/>
                <w:color w:val="auto"/>
              </w:rPr>
            </w:pPr>
            <w:r>
              <w:rPr>
                <w:rFonts w:ascii="Arial" w:cs="Arial" w:eastAsia="Arial" w:hAnsi="Arial"/>
                <w:sz w:val="18"/>
                <w:szCs w:val="18"/>
                <w:color w:val="auto"/>
              </w:rPr>
              <w:t>854</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895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99"/>
              <w:spacing w:after="0"/>
              <w:rPr>
                <w:sz w:val="20"/>
                <w:szCs w:val="20"/>
                <w:color w:val="auto"/>
              </w:rPr>
            </w:pPr>
            <w:r>
              <w:rPr>
                <w:rFonts w:ascii="Arial" w:cs="Arial" w:eastAsia="Arial" w:hAnsi="Arial"/>
                <w:sz w:val="18"/>
                <w:szCs w:val="18"/>
                <w:color w:val="auto"/>
              </w:rPr>
              <w:t>162</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132</w:t>
            </w:r>
          </w:p>
        </w:tc>
      </w:tr>
      <w:tr>
        <w:trPr>
          <w:trHeight w:val="27"/>
        </w:trPr>
        <w:tc>
          <w:tcPr>
            <w:tcW w:w="8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2018:</w:t>
      </w:r>
    </w:p>
    <w:p>
      <w:pPr>
        <w:spacing w:after="0" w:line="7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acquired $1.5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recorded a liability of $877 million for a quarterly cash dividend of $0.19 per common share to be paid in April 2018</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received noncash contributions from noncontrolling interests totaling $316 million related to Universal Beijing Resort (see Note 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center"/>
              <w:ind w:right="296"/>
              <w:spacing w:after="0"/>
              <w:rPr>
                <w:sz w:val="20"/>
                <w:szCs w:val="20"/>
                <w:color w:val="auto"/>
              </w:rPr>
            </w:pPr>
            <w:r>
              <w:rPr>
                <w:rFonts w:ascii="Arial" w:cs="Arial" w:eastAsia="Arial" w:hAnsi="Arial"/>
                <w:sz w:val="14"/>
                <w:szCs w:val="14"/>
                <w:color w:val="auto"/>
                <w:w w:val="96"/>
              </w:rPr>
              <w:t>March 31,</w:t>
            </w:r>
          </w:p>
        </w:tc>
        <w:tc>
          <w:tcPr>
            <w:tcW w:w="36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color w:val="auto"/>
                <w:w w:val="90"/>
              </w:rPr>
              <w:t>December 31,</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color w:val="auto"/>
                <w:w w:val="89"/>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2017</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6,030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3,428</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44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60</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44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83</w:t>
            </w:r>
          </w:p>
        </w:tc>
      </w:tr>
      <w:tr>
        <w:trPr>
          <w:trHeight w:val="27"/>
        </w:trPr>
        <w:tc>
          <w:tcPr>
            <w:tcW w:w="8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4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6"/>
              <w:spacing w:after="0"/>
              <w:rPr>
                <w:sz w:val="20"/>
                <w:szCs w:val="20"/>
                <w:color w:val="auto"/>
              </w:rPr>
            </w:pPr>
            <w:r>
              <w:rPr>
                <w:rFonts w:ascii="Arial" w:cs="Arial" w:eastAsia="Arial" w:hAnsi="Arial"/>
                <w:sz w:val="18"/>
                <w:szCs w:val="18"/>
                <w:b w:val="1"/>
                <w:bCs w:val="1"/>
                <w:color w:val="auto"/>
              </w:rPr>
              <w:t>6,177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3,571</w:t>
            </w:r>
          </w:p>
        </w:tc>
      </w:tr>
      <w:tr>
        <w:trPr>
          <w:trHeight w:val="34"/>
        </w:trPr>
        <w:tc>
          <w:tcPr>
            <w:tcW w:w="8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05"/>
        </w:trPr>
        <w:tc>
          <w:tcPr>
            <w:tcW w:w="806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6"/>
        </w:trPr>
        <w:tc>
          <w:tcPr>
            <w:tcW w:w="8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jc w:val="center"/>
              <w:ind w:right="296"/>
              <w:spacing w:after="0"/>
              <w:rPr>
                <w:sz w:val="20"/>
                <w:szCs w:val="20"/>
                <w:color w:val="auto"/>
              </w:rPr>
            </w:pPr>
            <w:r>
              <w:rPr>
                <w:rFonts w:ascii="Arial" w:cs="Arial" w:eastAsia="Arial" w:hAnsi="Arial"/>
                <w:sz w:val="14"/>
                <w:szCs w:val="14"/>
                <w:color w:val="auto"/>
                <w:w w:val="96"/>
              </w:rPr>
              <w:t>March 31,</w:t>
            </w:r>
          </w:p>
        </w:tc>
        <w:tc>
          <w:tcPr>
            <w:tcW w:w="360" w:type="dxa"/>
            <w:vAlign w:val="bottom"/>
          </w:tcPr>
          <w:p>
            <w:pPr>
              <w:spacing w:after="0"/>
              <w:rPr>
                <w:sz w:val="24"/>
                <w:szCs w:val="24"/>
                <w:color w:val="auto"/>
              </w:rPr>
            </w:pPr>
          </w:p>
        </w:tc>
        <w:tc>
          <w:tcPr>
            <w:tcW w:w="1260" w:type="dxa"/>
            <w:vAlign w:val="bottom"/>
          </w:tcPr>
          <w:p>
            <w:pPr>
              <w:jc w:val="center"/>
              <w:ind w:right="156"/>
              <w:spacing w:after="0"/>
              <w:rPr>
                <w:sz w:val="20"/>
                <w:szCs w:val="20"/>
                <w:color w:val="auto"/>
              </w:rPr>
            </w:pPr>
            <w:r>
              <w:rPr>
                <w:rFonts w:ascii="Arial" w:cs="Arial" w:eastAsia="Arial" w:hAnsi="Arial"/>
                <w:sz w:val="14"/>
                <w:szCs w:val="14"/>
                <w:color w:val="auto"/>
                <w:w w:val="93"/>
              </w:rPr>
              <w:t>March 31,</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color w:val="auto"/>
                <w:w w:val="89"/>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2017</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104</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44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44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310</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282</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44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4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6"/>
              <w:spacing w:after="0"/>
              <w:rPr>
                <w:sz w:val="20"/>
                <w:szCs w:val="20"/>
                <w:color w:val="auto"/>
              </w:rPr>
            </w:pPr>
            <w:r>
              <w:rPr>
                <w:rFonts w:ascii="Arial" w:cs="Arial" w:eastAsia="Arial" w:hAnsi="Arial"/>
                <w:sz w:val="18"/>
                <w:szCs w:val="18"/>
                <w:b w:val="1"/>
                <w:bCs w:val="1"/>
                <w:color w:val="auto"/>
              </w:rPr>
              <w:t>608</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342</w:t>
            </w:r>
          </w:p>
        </w:tc>
      </w:tr>
      <w:tr>
        <w:trPr>
          <w:trHeight w:val="34"/>
        </w:trPr>
        <w:tc>
          <w:tcPr>
            <w:tcW w:w="8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2018, the fair value of the NBCUniversal Enterprise redeemable subsidiary preferred stock was $753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In addition, 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Condensed Consolidating Financial Information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securities, including the Comcast revolving credit facility.</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Parent and CCCL Parent also fully and unconditionally guarantee NBCUniversal Enterprise’s $4.8 billion aggregate principal amount of senior notes, $1.5 billion revolving credit facility and commercial paper program. NBCUniversal Media Parent does not guarantee the NBCUniversal Enterprise senior notes, revolving credit facility or commercial paper program.</w:t>
      </w:r>
    </w:p>
    <w:p>
      <w:pPr>
        <w:spacing w:after="0" w:line="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Comcast Parent provides an unconditional guarantee of the Universal Studios Japan ¥430 billion term loans with a final maturity of March 2022. Comcast Parent also provides an unconditional subordinated guarantee of the $185 million principal amount currently outstanding of Comcast Holdings’ ZONES due October 2029. Neither CCCL Parent nor NBCUniversal Media Parent guarantee the Comcast Holdings’ ZONES due October 2029. None of Comcast Parent, CCCL Parent nor NBCUniversal Media Parent guarantee the $62 million principal amount currently outstanding of Comcast Holdings’ ZONES due November 2029.</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53"/>
              <w:spacing w:after="0"/>
              <w:rPr>
                <w:sz w:val="20"/>
                <w:szCs w:val="20"/>
                <w:color w:val="auto"/>
              </w:rPr>
            </w:pPr>
            <w:r>
              <w:rPr>
                <w:rFonts w:ascii="Arial" w:cs="Arial" w:eastAsia="Arial" w:hAnsi="Arial"/>
                <w:sz w:val="14"/>
                <w:szCs w:val="14"/>
                <w:color w:val="auto"/>
                <w:w w:val="99"/>
              </w:rPr>
              <w:t>Elimination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and</w:t>
            </w:r>
          </w:p>
        </w:tc>
        <w:tc>
          <w:tcPr>
            <w:tcW w:w="160" w:type="dxa"/>
            <w:vAlign w:val="bottom"/>
          </w:tcPr>
          <w:p>
            <w:pPr>
              <w:spacing w:after="0"/>
              <w:rPr>
                <w:sz w:val="12"/>
                <w:szCs w:val="12"/>
                <w:color w:val="auto"/>
              </w:rPr>
            </w:pPr>
          </w:p>
        </w:tc>
        <w:tc>
          <w:tcPr>
            <w:tcW w:w="100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8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7"/>
              </w:rPr>
              <w:t>NBCUniversal</w:t>
            </w:r>
          </w:p>
        </w:tc>
        <w:tc>
          <w:tcPr>
            <w:tcW w:w="160" w:type="dxa"/>
            <w:vAlign w:val="bottom"/>
          </w:tcPr>
          <w:p>
            <w:pPr>
              <w:spacing w:after="0"/>
              <w:rPr>
                <w:sz w:val="12"/>
                <w:szCs w:val="12"/>
                <w:color w:val="auto"/>
              </w:rPr>
            </w:pPr>
          </w:p>
        </w:tc>
        <w:tc>
          <w:tcPr>
            <w:tcW w:w="96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4"/>
              </w:rPr>
              <w:t>Consolidation</w:t>
            </w:r>
          </w:p>
        </w:tc>
        <w:tc>
          <w:tcPr>
            <w:tcW w:w="160" w:type="dxa"/>
            <w:vAlign w:val="bottom"/>
          </w:tcPr>
          <w:p>
            <w:pPr>
              <w:spacing w:after="0"/>
              <w:rPr>
                <w:sz w:val="12"/>
                <w:szCs w:val="12"/>
                <w:color w:val="auto"/>
              </w:rPr>
            </w:pPr>
          </w:p>
        </w:tc>
        <w:tc>
          <w:tcPr>
            <w:tcW w:w="100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Comcast</w:t>
            </w:r>
          </w:p>
        </w:tc>
      </w:tr>
      <w:tr>
        <w:trPr>
          <w:trHeight w:val="188"/>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1"/>
              </w:rPr>
              <w:t>Subsidiaries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3"/>
              </w:rPr>
              <w:t>Adjustments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2"/>
              </w:rPr>
              <w:t>Corporation</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22,791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22,791</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Management fee revenue</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22,791</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22,791</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7,429</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7,429</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6,260</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6,514</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1,604</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1,604</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2,011</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588</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Total cost and expenses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17,880</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18,146</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4,911</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4,645</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Investment and other income (loss), net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3,520</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3,319</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1,942</w:t>
            </w: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1,588</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(13,069)</w:t>
            </w:r>
          </w:p>
        </w:tc>
        <w:tc>
          <w:tcPr>
            <w:tcW w:w="16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126</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3,011</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3,316</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1,518</w:t>
            </w:r>
          </w:p>
        </w:tc>
        <w:tc>
          <w:tcPr>
            <w:tcW w:w="16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6,439</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(13,069)</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3,994</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3,118</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3,316</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5,510</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(13,069)</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3,176</w:t>
            </w:r>
          </w:p>
        </w:tc>
      </w:tr>
      <w:tr>
        <w:trPr>
          <w:trHeight w:val="256"/>
        </w:trPr>
        <w:tc>
          <w:tcPr>
            <w:tcW w:w="3280" w:type="dxa"/>
            <w:vAlign w:val="bottom"/>
          </w:tcPr>
          <w:p>
            <w:pPr>
              <w:ind w:left="20"/>
              <w:spacing w:after="0"/>
              <w:rPr>
                <w:sz w:val="20"/>
                <w:szCs w:val="20"/>
                <w:color w:val="auto"/>
              </w:rPr>
            </w:pPr>
            <w:r>
              <w:rPr>
                <w:rFonts w:ascii="Arial" w:cs="Arial" w:eastAsia="Arial" w:hAnsi="Arial"/>
                <w:sz w:val="18"/>
                <w:szCs w:val="18"/>
                <w:color w:val="auto"/>
              </w:rPr>
              <w:t>Less: Net income attributable to</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8"/>
                <w:szCs w:val="18"/>
                <w:color w:val="auto"/>
                <w:w w:val="95"/>
              </w:rPr>
              <w:t>noncontrolling interests and redeemable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2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58</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w w:val="90"/>
              </w:rPr>
              <w:t>Net income (loss) attributable to Comcast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3,118</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3,316</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2,788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1,513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5,452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(13,069)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3,118</w:t>
            </w: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w w:val="90"/>
              </w:rPr>
              <w:t>Comprehensive income (loss) attributable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to Comcast Corporation</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3,271</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3,369</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2,789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1,696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5,791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(13,645)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3,271</w:t>
            </w: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621"/>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20</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53"/>
              <w:spacing w:after="0"/>
              <w:rPr>
                <w:sz w:val="20"/>
                <w:szCs w:val="20"/>
                <w:color w:val="auto"/>
              </w:rPr>
            </w:pPr>
            <w:r>
              <w:rPr>
                <w:rFonts w:ascii="Arial" w:cs="Arial" w:eastAsia="Arial" w:hAnsi="Arial"/>
                <w:sz w:val="14"/>
                <w:szCs w:val="14"/>
                <w:color w:val="auto"/>
                <w:w w:val="99"/>
              </w:rPr>
              <w:t>Elimination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and</w:t>
            </w:r>
          </w:p>
        </w:tc>
        <w:tc>
          <w:tcPr>
            <w:tcW w:w="160" w:type="dxa"/>
            <w:vAlign w:val="bottom"/>
          </w:tcPr>
          <w:p>
            <w:pPr>
              <w:spacing w:after="0"/>
              <w:rPr>
                <w:sz w:val="12"/>
                <w:szCs w:val="12"/>
                <w:color w:val="auto"/>
              </w:rPr>
            </w:pPr>
          </w:p>
        </w:tc>
        <w:tc>
          <w:tcPr>
            <w:tcW w:w="100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8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7"/>
              </w:rPr>
              <w:t>NBCUniversal</w:t>
            </w:r>
          </w:p>
        </w:tc>
        <w:tc>
          <w:tcPr>
            <w:tcW w:w="160" w:type="dxa"/>
            <w:vAlign w:val="bottom"/>
          </w:tcPr>
          <w:p>
            <w:pPr>
              <w:spacing w:after="0"/>
              <w:rPr>
                <w:sz w:val="12"/>
                <w:szCs w:val="12"/>
                <w:color w:val="auto"/>
              </w:rPr>
            </w:pPr>
          </w:p>
        </w:tc>
        <w:tc>
          <w:tcPr>
            <w:tcW w:w="96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4"/>
              </w:rPr>
              <w:t>Consolidation</w:t>
            </w:r>
          </w:p>
        </w:tc>
        <w:tc>
          <w:tcPr>
            <w:tcW w:w="160" w:type="dxa"/>
            <w:vAlign w:val="bottom"/>
          </w:tcPr>
          <w:p>
            <w:pPr>
              <w:spacing w:after="0"/>
              <w:rPr>
                <w:sz w:val="12"/>
                <w:szCs w:val="12"/>
                <w:color w:val="auto"/>
              </w:rPr>
            </w:pPr>
          </w:p>
        </w:tc>
        <w:tc>
          <w:tcPr>
            <w:tcW w:w="100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Comcast</w:t>
            </w:r>
          </w:p>
        </w:tc>
      </w:tr>
      <w:tr>
        <w:trPr>
          <w:trHeight w:val="188"/>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1"/>
              </w:rPr>
              <w:t>Subsidiaries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3"/>
              </w:rPr>
              <w:t>Adjustments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2"/>
              </w:rPr>
              <w:t>Corporation</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20,587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20,587</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Management fee revenue</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20,587</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20,587</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6,061</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6,061</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5,738</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5,939</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1,577</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1,577</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1,908</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1,915</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553</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15,835</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16,045</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4,752</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4,542</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Investment and other income (loss), net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2,847</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2,686</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1,623</w:t>
            </w: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1,279</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(10,632)</w:t>
            </w:r>
          </w:p>
        </w:tc>
        <w:tc>
          <w:tcPr>
            <w:tcW w:w="16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130</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2,426</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2,683</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1,205</w:t>
            </w:r>
          </w:p>
        </w:tc>
        <w:tc>
          <w:tcPr>
            <w:tcW w:w="16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5,968</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(10,632)</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3,917</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(1,418)</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2,573</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2,674</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4,550</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(10,632)</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2,655</w:t>
            </w:r>
          </w:p>
        </w:tc>
      </w:tr>
      <w:tr>
        <w:trPr>
          <w:trHeight w:val="256"/>
        </w:trPr>
        <w:tc>
          <w:tcPr>
            <w:tcW w:w="3280" w:type="dxa"/>
            <w:vAlign w:val="bottom"/>
          </w:tcPr>
          <w:p>
            <w:pPr>
              <w:ind w:left="20"/>
              <w:spacing w:after="0"/>
              <w:rPr>
                <w:sz w:val="20"/>
                <w:szCs w:val="20"/>
                <w:color w:val="auto"/>
              </w:rPr>
            </w:pPr>
            <w:r>
              <w:rPr>
                <w:rFonts w:ascii="Arial" w:cs="Arial" w:eastAsia="Arial" w:hAnsi="Arial"/>
                <w:sz w:val="18"/>
                <w:szCs w:val="18"/>
                <w:color w:val="auto"/>
              </w:rPr>
              <w:t>Less: Net income attributable to</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8"/>
                <w:szCs w:val="18"/>
                <w:color w:val="auto"/>
                <w:w w:val="95"/>
              </w:rPr>
              <w:t>noncontrolling interests and redeemable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2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82</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w w:val="90"/>
              </w:rPr>
              <w:t>Net income (loss) attributable to Comcast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2,573</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2,674</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2,288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1,202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4,468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(10,632)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2,573</w:t>
            </w: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w w:val="90"/>
              </w:rPr>
              <w:t>Comprehensive income (loss) attributable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to Comcast Corporation</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2,817</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2,724</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2,289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1,408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4,712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(11,133)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2,817</w:t>
            </w: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621"/>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21</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5,474</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(897)</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387</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588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(2,292)</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(902)</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3,973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4,043</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(1,729)</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94</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4"/>
              </w:rPr>
              <w:t>Increase (decrease) in cash, cash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w w:val="95"/>
              </w:rPr>
              <w:t>equivalents and restricted cash</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2,592</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2,606</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 beginning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3,075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3,571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4"/>
              </w:rPr>
              <w:t>restricted cash, end 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510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5,667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6,177</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6,586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5,625</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1,385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(1,678)</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(2,077)</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(2,078)</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(1,049)</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1,361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(5,413)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(3,753)</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(1,893)</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3,500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3,500</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4"/>
              </w:rPr>
              <w:t>Increase (decrease) in cash, cash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w w:val="95"/>
              </w:rPr>
              <w:t>equivalents and restricted cash</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731</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 beginning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2,933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3,415</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4"/>
              </w:rPr>
              <w:t>restricted cash, end 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270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3,876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4,146</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8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6,030</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8,759</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1,354</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2,610</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18,168</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18,753</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7,402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7,402</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7,095</w:t>
            </w:r>
          </w:p>
        </w:tc>
      </w:tr>
      <w:tr>
        <w:trPr>
          <w:trHeight w:val="256"/>
        </w:trPr>
        <w:tc>
          <w:tcPr>
            <w:tcW w:w="2720" w:type="dxa"/>
            <w:vAlign w:val="bottom"/>
          </w:tcPr>
          <w:p>
            <w:pPr>
              <w:ind w:left="40"/>
              <w:spacing w:after="0"/>
              <w:rPr>
                <w:sz w:val="20"/>
                <w:szCs w:val="20"/>
                <w:color w:val="auto"/>
              </w:rPr>
            </w:pPr>
            <w:r>
              <w:rPr>
                <w:rFonts w:ascii="Arial" w:cs="Arial" w:eastAsia="Arial" w:hAnsi="Arial"/>
                <w:sz w:val="18"/>
                <w:szCs w:val="18"/>
                <w:color w:val="auto"/>
              </w:rPr>
              <w:t>Investments in and amounts due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720" w:type="dxa"/>
            <w:vAlign w:val="bottom"/>
          </w:tcPr>
          <w:p>
            <w:pPr>
              <w:ind w:left="200"/>
              <w:spacing w:after="0"/>
              <w:rPr>
                <w:sz w:val="20"/>
                <w:szCs w:val="20"/>
                <w:color w:val="auto"/>
              </w:rPr>
            </w:pPr>
            <w:r>
              <w:rPr>
                <w:rFonts w:ascii="Arial" w:cs="Arial" w:eastAsia="Arial" w:hAnsi="Arial"/>
                <w:sz w:val="18"/>
                <w:szCs w:val="18"/>
                <w:color w:val="auto"/>
                <w:w w:val="93"/>
              </w:rPr>
              <w:t>from subsidiaries eliminated upon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consolidation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120,165</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146,308</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142,199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51,648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114,646</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(574,966)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38,446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39,068</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59,365</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37,147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37,147</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18,327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18,339</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3,707</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121,382</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146,594</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142,309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52,965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302,841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(575,215)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190,876</w:t>
            </w:r>
          </w:p>
        </w:tc>
      </w:tr>
      <w:tr>
        <w:trPr>
          <w:trHeight w:val="34"/>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720" w:type="dxa"/>
            <w:vAlign w:val="bottom"/>
          </w:tcPr>
          <w:p>
            <w:pPr>
              <w:ind w:left="180"/>
              <w:spacing w:after="0"/>
              <w:rPr>
                <w:sz w:val="20"/>
                <w:szCs w:val="20"/>
                <w:color w:val="auto"/>
              </w:rPr>
            </w:pPr>
            <w:r>
              <w:rPr>
                <w:rFonts w:ascii="Arial" w:cs="Arial" w:eastAsia="Arial" w:hAnsi="Arial"/>
                <w:sz w:val="18"/>
                <w:szCs w:val="18"/>
                <w:color w:val="auto"/>
              </w:rPr>
              <w:t>Accounts payable and accrued</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7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7,349</w:t>
            </w:r>
          </w:p>
        </w:tc>
      </w:tr>
      <w:tr>
        <w:trPr>
          <w:trHeight w:val="256"/>
        </w:trPr>
        <w:tc>
          <w:tcPr>
            <w:tcW w:w="27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1,659</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1,659</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1,578</w:t>
            </w:r>
          </w:p>
        </w:tc>
      </w:tr>
      <w:tr>
        <w:trPr>
          <w:trHeight w:val="256"/>
        </w:trPr>
        <w:tc>
          <w:tcPr>
            <w:tcW w:w="27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3,065</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5,554</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w w:val="96"/>
              </w:rPr>
              <w:t>Current portion of long-term debt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3,039</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15,645</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19,179</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w w:val="93"/>
              </w:rPr>
              <w:t>Long-term debt, less current portion</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46,424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7,265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63,678</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24,605</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24,702</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1,182</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11,253</w:t>
            </w:r>
          </w:p>
        </w:tc>
      </w:tr>
      <w:tr>
        <w:trPr>
          <w:trHeight w:val="256"/>
        </w:trPr>
        <w:tc>
          <w:tcPr>
            <w:tcW w:w="2720" w:type="dxa"/>
            <w:vAlign w:val="bottom"/>
          </w:tcPr>
          <w:p>
            <w:pPr>
              <w:ind w:left="40"/>
              <w:spacing w:after="0"/>
              <w:rPr>
                <w:sz w:val="20"/>
                <w:szCs w:val="20"/>
                <w:color w:val="auto"/>
              </w:rPr>
            </w:pPr>
            <w:r>
              <w:rPr>
                <w:rFonts w:ascii="Arial" w:cs="Arial" w:eastAsia="Arial" w:hAnsi="Arial"/>
                <w:sz w:val="18"/>
                <w:szCs w:val="18"/>
                <w:color w:val="auto"/>
                <w:w w:val="91"/>
              </w:rPr>
              <w:t>Redeemable noncontrolling interests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720" w:type="dxa"/>
            <w:vAlign w:val="bottom"/>
          </w:tcPr>
          <w:p>
            <w:pPr>
              <w:ind w:left="200"/>
              <w:spacing w:after="0"/>
              <w:rPr>
                <w:sz w:val="20"/>
                <w:szCs w:val="20"/>
                <w:color w:val="auto"/>
              </w:rPr>
            </w:pPr>
            <w:r>
              <w:rPr>
                <w:rFonts w:ascii="Arial" w:cs="Arial" w:eastAsia="Arial" w:hAnsi="Arial"/>
                <w:sz w:val="18"/>
                <w:szCs w:val="18"/>
                <w:color w:val="auto"/>
              </w:rPr>
              <w:t>and redeemable subsidiary</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1,354</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69,427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146,057</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139,994</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43,624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245,291</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(574,966)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69,427</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7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69,482</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146,057</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139,994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43,624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245,291</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(574,966)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69,482</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1,228</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69,482</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146,057</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139,994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43,624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246,519</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(574,966)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70,710</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121,382</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146,594</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142,309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52,965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302,841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(575,215)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190,876</w:t>
            </w:r>
          </w:p>
        </w:tc>
      </w:tr>
      <w:tr>
        <w:trPr>
          <w:trHeight w:val="34"/>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4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3,428</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8,834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8,834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1,613</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2,468</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15,755</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16,343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7,087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7,087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6,931</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8"/>
              </w:rPr>
              <w:t>Investments in and amounts due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117,164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142,519</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139,528</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50,102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113,332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(562,645)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37,919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38,470</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36,780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36,780</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18,133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3,437</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4,354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118,368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143,248</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139,643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51,404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297,758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(562,959)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187,462</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w w:val="98"/>
              </w:rPr>
              <w:t>Accounts payable and accrued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6,908</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1,644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1,687</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3,981</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6,620</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w w:val="92"/>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5,134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16,524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21,993</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Long-term debt, less current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42,428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7,003</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59,422</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24,250</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24,259</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10,972</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Redeemable noncontrolling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1,357</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1,357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68,561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142,731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137,210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42,128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240,576</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(562,645)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68,561</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68,616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142,731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137,210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42,128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240,576</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(562,645)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68,616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843</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68,616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142,731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137,210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42,128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241,419</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(562,645)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69,459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118,368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143,248</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139,643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51,404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297,758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(562,959)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187,462</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1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109"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940"/>
        <w:spacing w:after="0" w:line="274"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Cable Networks, Broadcast Television, Filmed Entertainment and Theme Parks (collectively, the “NBCUniversal segments”).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adopted the updated guidance related to revenue recognition on January 1, 2018 on a full retrospective basis, which required us to reflect the impact of the updated guidance for all periods presented (see Note 7 to Comcast’s condensed consolidated financial statements and Note 6 to NBCUniversal’s condensed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Comcast Cable is one of the nation’s largest providers of video, high-speed Internet, voice, and security and automation services (“cable services”) to residential customers under the XFINITY brand; we also provide these and other services to business customers and sell advertising. As of March 31, 2018, our cable systems had 29.6 million total customer relationships, including 27.4 million residential and 2.2 million business customer relationships, and passed more than 57 million homes and businesses. Our Cable Communications segment generates revenue primarily from residential and business customers that subscribe to our cable services, which we market individually and as bundled services, and from the sale of advertising. During the three months ended March 31, 2018, our Cable Communications segment generated 59% of our consolidated revenue and 75% of our consolidated Adjusted EBITDA.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r>
        <w:rPr>
          <w:rFonts w:ascii="Arial" w:cs="Arial" w:eastAsia="Arial" w:hAnsi="Arial"/>
          <w:sz w:val="18"/>
          <w:szCs w:val="18"/>
          <w:i w:val="1"/>
          <w:iCs w:val="1"/>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our cable television studio production operations; and our various digital properties. Our Cable Networks segment generates revenue primarily from the distribution of our cable network programming to traditional and virtual multichannel video providers; from the sale of advertising on our cable networks and digital properties; from the licensing of our owned programming, including programming from our cable television studio production operations, to cable and broadcast networks and subscription video on demand services; and from the sale of our owned programming on standard-definition digital video discs and Blu-ray discs (together, “DVDs”) and through digital distribution services such as iTunes.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our various digital properties. Our Broadcast Television segment generates revenue primarily from the sale of advertising on our broadcast networks, owned local broadcast television stations and digital properties; from the licensing of our owned programming by our broadcast television studio production operations to various distribution platforms, including to cable and broadcast networks as well as to subscription video on demand services; from the fees received under retransmission consent agreements and associated fees received from NBC-affiliated local broadcast television stations; and from the sale of our owned programming on DVDs and through digital distribution services.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Filmed Entertainment segment primarily produces, acquires, markets and distributes filmed entertainment worldwide. Our films are produced primarily under the Universal Pictures, Illumination, DreamWorks Animation and Focus Features names. Our Filmed Entertainment segment generates revenue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Our Filmed Entertainment segment also generates revenue from Fandango, our movie ticketing and entertainment business, the sale of consumer products, the production and licensing of live stage plays, and the distribution of filmed entertainment produced by third parties.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75"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theme park in Beijing, China. Our Theme Parks segment generates revenue primarily from ticket sales and guest spending at our Universal theme parks.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pursuing business development initiatives, such as our wireless phone service that we launched in the second quarter of 2017 using our virtual network operator rights to provide the service over Verizon’s wireless network and our existing network of in-home and outdoor Wi-Fi hotspots. We offer the wireless phone service only as part of our bundled service offerings to residential customers that subscribe to our high-speed Internet service within our cable distribution footprint and may in the future also offer wireless phone service to our small business customers on similar terms. The wireless phone service has success-based working capital requirements, primarily associated with the procurement of handsets, which customers are able to pay for upfront or finance interest-free over 24 months, and other equipment.</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other business interests consist of the operations of Comcast Spectacor, which owns the Philadelphia Flyers and the Wells Fargo Center arena in Philadelphia, Pennsylvania and operates arena management-related businesses.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our high-speed Internet services more valuable to consumers. In addition, the increasing number of entertainment choices available has intensified audience fragmentation, which has and likely will continue to adversely affect the audience ratings of our cable networks and broadcast television programming.</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additional information on the competition our businesses face, see our 2017 Annual Report on Form 10-K and refer to Item 1: Business and Item 1A: Risk Factors. Within the Business section, refer to the “Competition” discussion, and within the Risk Factors section, refer to the risk factors entitled “Our businesses currently face a wide range of competition, and our businesses and results of operations could be adversely affected if we do not compete effectively” and “Changes in consumer behavior driven by online distribution platforms for viewing content could adversely affect our businesses and challenge existing business models.”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residential customers receiving our cable services in college and vacation markets. This generally results in fewer net customer relationship additions in the second quarter of each year.</w:t>
      </w:r>
    </w:p>
    <w:p>
      <w:pPr>
        <w:spacing w:after="0" w:line="1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Revenue in our Cable Communications, Cable Networks and Broadcast Television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which typically results in higher advertising revenue in the second and fourth quarters of each year. Our revenue and operating costs and expenses (comprised of total costs and expenses, excluding depreciation and amortization expense and other operating gains) are cyclical as a result of our periodic broadcasts of major sporting events, such as the Olympic Games, which affect our Cable Networks and Broadcast Television segments, and the Super Bowl, which affects our Broadcast Television segment. In particular, our advertising revenue increases due to increased demand for advertising time and our distribution revenue increases in the period of these broadcasts. Our operating costs and expenses also increase as a result of our production costs for these broadcasts and the amortization of the related rights fees.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in our Filmed Entertainment segment fluctuates due to the timing, nature and number of films released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Content licensing revenue in our Cable Networks, Broadcast Television and Filmed Entertainment segments also fluctuates due to the timing of when our content is made available to licensees.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7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 our Theme Parks segment fluctuates with changes in theme park attendance that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holiday season.</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3"/>
          </w:tcPr>
          <w:p>
            <w:pPr>
              <w:jc w:val="right"/>
              <w:ind w:right="811"/>
              <w:spacing w:after="0"/>
              <w:rPr>
                <w:sz w:val="20"/>
                <w:szCs w:val="20"/>
                <w:color w:val="auto"/>
              </w:rPr>
            </w:pPr>
            <w:r>
              <w:rPr>
                <w:rFonts w:ascii="Arial" w:cs="Arial" w:eastAsia="Arial" w:hAnsi="Arial"/>
                <w:sz w:val="14"/>
                <w:szCs w:val="14"/>
                <w:color w:val="auto"/>
              </w:rPr>
              <w:t>Three Months Ended</w:t>
            </w:r>
          </w:p>
        </w:tc>
        <w:tc>
          <w:tcPr>
            <w:tcW w:w="1260" w:type="dxa"/>
            <w:vAlign w:val="bottom"/>
          </w:tcPr>
          <w:p>
            <w:pPr>
              <w:jc w:val="right"/>
              <w:ind w:right="332"/>
              <w:spacing w:after="0"/>
              <w:rPr>
                <w:sz w:val="20"/>
                <w:szCs w:val="20"/>
                <w:color w:val="auto"/>
              </w:rPr>
            </w:pPr>
            <w:r>
              <w:rPr>
                <w:rFonts w:ascii="Arial" w:cs="Arial" w:eastAsia="Arial" w:hAnsi="Arial"/>
                <w:sz w:val="14"/>
                <w:szCs w:val="14"/>
                <w:color w:val="auto"/>
              </w:rPr>
              <w:t>Increase/</w:t>
            </w:r>
          </w:p>
        </w:tc>
      </w:tr>
      <w:tr>
        <w:trPr>
          <w:trHeight w:val="188"/>
        </w:trPr>
        <w:tc>
          <w:tcPr>
            <w:tcW w:w="7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(Decrease)</w:t>
            </w:r>
          </w:p>
        </w:tc>
      </w:tr>
      <w:tr>
        <w:trPr>
          <w:trHeight w:val="264"/>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2018</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2017</w:t>
            </w:r>
          </w:p>
        </w:tc>
        <w:tc>
          <w:tcPr>
            <w:tcW w:w="1260" w:type="dxa"/>
            <w:vAlign w:val="bottom"/>
            <w:tcBorders>
              <w:bottom w:val="single" w:sz="8" w:color="auto"/>
            </w:tcBorders>
          </w:tcPr>
          <w:p>
            <w:pPr>
              <w:spacing w:after="0"/>
              <w:rPr>
                <w:sz w:val="22"/>
                <w:szCs w:val="22"/>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22,791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20,587</w:t>
            </w:r>
          </w:p>
        </w:tc>
        <w:tc>
          <w:tcPr>
            <w:tcW w:w="126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24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7,429</w:t>
            </w:r>
          </w:p>
        </w:tc>
        <w:tc>
          <w:tcPr>
            <w:tcW w:w="42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6,061</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22.6</w:t>
            </w:r>
          </w:p>
        </w:tc>
      </w:tr>
      <w:tr>
        <w:trPr>
          <w:trHeight w:val="270"/>
        </w:trPr>
        <w:tc>
          <w:tcPr>
            <w:tcW w:w="724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6,514</w:t>
            </w:r>
          </w:p>
        </w:tc>
        <w:tc>
          <w:tcPr>
            <w:tcW w:w="42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5,939</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9.7</w:t>
            </w:r>
          </w:p>
        </w:tc>
      </w:tr>
      <w:tr>
        <w:trPr>
          <w:trHeight w:val="270"/>
        </w:trPr>
        <w:tc>
          <w:tcPr>
            <w:tcW w:w="72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1,604</w:t>
            </w:r>
          </w:p>
        </w:tc>
        <w:tc>
          <w:tcPr>
            <w:tcW w:w="42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1,577</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1.7</w:t>
            </w:r>
          </w:p>
        </w:tc>
      </w:tr>
      <w:tr>
        <w:trPr>
          <w:trHeight w:val="270"/>
        </w:trPr>
        <w:tc>
          <w:tcPr>
            <w:tcW w:w="72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2,011</w:t>
            </w:r>
          </w:p>
        </w:tc>
        <w:tc>
          <w:tcPr>
            <w:tcW w:w="42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1,915</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5.0</w:t>
            </w:r>
          </w:p>
        </w:tc>
      </w:tr>
      <w:tr>
        <w:trPr>
          <w:trHeight w:val="270"/>
        </w:trPr>
        <w:tc>
          <w:tcPr>
            <w:tcW w:w="72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588</w:t>
            </w:r>
          </w:p>
        </w:tc>
        <w:tc>
          <w:tcPr>
            <w:tcW w:w="42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553</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6.1</w:t>
            </w:r>
          </w:p>
        </w:tc>
      </w:tr>
      <w:tr>
        <w:trPr>
          <w:trHeight w:val="27"/>
        </w:trPr>
        <w:tc>
          <w:tcPr>
            <w:tcW w:w="7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20"/>
                <w:szCs w:val="20"/>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4,645</w:t>
            </w:r>
          </w:p>
        </w:tc>
        <w:tc>
          <w:tcPr>
            <w:tcW w:w="42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4,542</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2.3</w:t>
            </w: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(777)</w:t>
            </w:r>
          </w:p>
        </w:tc>
        <w:tc>
          <w:tcPr>
            <w:tcW w:w="420" w:type="dxa"/>
            <w:vAlign w:val="bottom"/>
          </w:tcPr>
          <w:p>
            <w:pPr>
              <w:spacing w:after="0"/>
              <w:rPr>
                <w:sz w:val="23"/>
                <w:szCs w:val="23"/>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(755)</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2.9</w:t>
            </w: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126</w:t>
            </w:r>
          </w:p>
        </w:tc>
        <w:tc>
          <w:tcPr>
            <w:tcW w:w="42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130</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(3.0)</w:t>
            </w:r>
          </w:p>
        </w:tc>
      </w:tr>
      <w:tr>
        <w:trPr>
          <w:trHeight w:val="27"/>
        </w:trPr>
        <w:tc>
          <w:tcPr>
            <w:tcW w:w="7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0"/>
                <w:szCs w:val="20"/>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3,994</w:t>
            </w:r>
          </w:p>
        </w:tc>
        <w:tc>
          <w:tcPr>
            <w:tcW w:w="42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3,917</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2.0</w:t>
            </w: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(818)</w:t>
            </w:r>
          </w:p>
        </w:tc>
        <w:tc>
          <w:tcPr>
            <w:tcW w:w="420" w:type="dxa"/>
            <w:vAlign w:val="bottom"/>
          </w:tcPr>
          <w:p>
            <w:pPr>
              <w:spacing w:after="0"/>
              <w:rPr>
                <w:sz w:val="23"/>
                <w:szCs w:val="23"/>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(1,262)</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(35.1)</w:t>
            </w:r>
          </w:p>
        </w:tc>
      </w:tr>
      <w:tr>
        <w:trPr>
          <w:trHeight w:val="27"/>
        </w:trPr>
        <w:tc>
          <w:tcPr>
            <w:tcW w:w="7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3,176</w:t>
            </w:r>
          </w:p>
        </w:tc>
        <w:tc>
          <w:tcPr>
            <w:tcW w:w="42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2,655</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19.6</w:t>
            </w: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color w:val="auto"/>
                <w:w w:val="90"/>
              </w:rPr>
              <w:t>Less: Net income attributable to noncontrolling interests and redeemable subsidiary preferred stock</w:t>
            </w:r>
          </w:p>
        </w:tc>
        <w:tc>
          <w:tcPr>
            <w:tcW w:w="3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82</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(28.5)</w:t>
            </w:r>
          </w:p>
        </w:tc>
      </w:tr>
      <w:tr>
        <w:trPr>
          <w:trHeight w:val="27"/>
        </w:trPr>
        <w:tc>
          <w:tcPr>
            <w:tcW w:w="7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73"/>
              <w:spacing w:after="0"/>
              <w:rPr>
                <w:sz w:val="20"/>
                <w:szCs w:val="20"/>
                <w:color w:val="auto"/>
              </w:rPr>
            </w:pPr>
            <w:r>
              <w:rPr>
                <w:rFonts w:ascii="Arial" w:cs="Arial" w:eastAsia="Arial" w:hAnsi="Arial"/>
                <w:sz w:val="18"/>
                <w:szCs w:val="18"/>
                <w:b w:val="1"/>
                <w:bCs w:val="1"/>
                <w:color w:val="auto"/>
              </w:rPr>
              <w:t>3,118</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2,573</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21.2 %</w:t>
            </w:r>
          </w:p>
        </w:tc>
      </w:tr>
      <w:tr>
        <w:trPr>
          <w:trHeight w:val="34"/>
        </w:trPr>
        <w:tc>
          <w:tcPr>
            <w:tcW w:w="7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6"/>
        </w:trPr>
        <w:tc>
          <w:tcPr>
            <w:tcW w:w="7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271"/>
        </w:trPr>
        <w:tc>
          <w:tcPr>
            <w:tcW w:w="724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5"/>
                <w:szCs w:val="25"/>
                <w:color w:val="auto"/>
                <w:vertAlign w:val="superscript"/>
              </w:rPr>
              <w:t>(a)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7,244</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7,010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3.3 %</w:t>
            </w:r>
          </w:p>
        </w:tc>
      </w:tr>
      <w:tr>
        <w:trPr>
          <w:trHeight w:val="218"/>
        </w:trPr>
        <w:tc>
          <w:tcPr>
            <w:tcW w:w="7240" w:type="dxa"/>
            <w:vAlign w:val="bottom"/>
          </w:tcPr>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61" w:lineRule="exact"/>
        <w:rPr>
          <w:sz w:val="20"/>
          <w:szCs w:val="20"/>
          <w:color w:val="auto"/>
        </w:rPr>
      </w:pPr>
    </w:p>
    <w:p>
      <w:pPr>
        <w:ind w:left="260" w:right="20" w:hanging="252"/>
        <w:spacing w:after="0" w:line="273"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Adjusted EBITDA is a non-GAAP performance measure. Refer to the “Non-GAAP Financial Measure” section on page 36 for additional information, including our definition and our use of Adjusted EBITDA, and for a reconciliation from net income attributable to Comcast Corporation to Adjusted EBITDA.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Communications, Cable Networks, Broadcast Television and Theme Parks segments accounted for the increase in consolidated revenue for the three months ended March 31, 2018. Consolidated revenue for the three months ended March 31, 2018 included revenue associated with our broadcasts of the 2018 PyeongChang Olympics and the 2018 Super Bowl in February 2018.</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business development initiatives and other businesses is discussed separately below under the heading “Corporate and Other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Cable Communications, Cable Networks, Broadcast Television and Theme Parks segments accounted for the increase in consolidated operating costs and expenses for the three months ended March 31, 2018.</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costs and expenses for our segments are discussed separately below under the heading “Segment Operating Results.” Operating costs and expenses for our corporate operations, businesses development initiatives and other businesses are discussed separately below under the heading “Corporate and Other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3"/>
          </w:tcPr>
          <w:p>
            <w:pPr>
              <w:jc w:val="right"/>
              <w:ind w:right="874"/>
              <w:spacing w:after="0"/>
              <w:rPr>
                <w:sz w:val="20"/>
                <w:szCs w:val="20"/>
                <w:color w:val="auto"/>
              </w:rPr>
            </w:pPr>
            <w:r>
              <w:rPr>
                <w:rFonts w:ascii="Arial" w:cs="Arial" w:eastAsia="Arial" w:hAnsi="Arial"/>
                <w:sz w:val="14"/>
                <w:szCs w:val="14"/>
                <w:color w:val="auto"/>
              </w:rPr>
              <w:t>Three Months Ended</w:t>
            </w:r>
          </w:p>
        </w:tc>
        <w:tc>
          <w:tcPr>
            <w:tcW w:w="1320" w:type="dxa"/>
            <w:vAlign w:val="bottom"/>
          </w:tcPr>
          <w:p>
            <w:pPr>
              <w:jc w:val="right"/>
              <w:ind w:right="316"/>
              <w:spacing w:after="0"/>
              <w:rPr>
                <w:sz w:val="20"/>
                <w:szCs w:val="20"/>
                <w:color w:val="auto"/>
              </w:rPr>
            </w:pPr>
            <w:r>
              <w:rPr>
                <w:rFonts w:ascii="Arial" w:cs="Arial" w:eastAsia="Arial" w:hAnsi="Arial"/>
                <w:sz w:val="14"/>
                <w:szCs w:val="14"/>
                <w:color w:val="auto"/>
              </w:rPr>
              <w:t>Increase/</w:t>
            </w:r>
          </w:p>
        </w:tc>
      </w:tr>
      <w:tr>
        <w:trPr>
          <w:trHeight w:val="188"/>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March 31</w:t>
            </w:r>
          </w:p>
        </w:tc>
        <w:tc>
          <w:tcPr>
            <w:tcW w:w="1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(Decrease)</w:t>
            </w:r>
          </w:p>
        </w:tc>
      </w:tr>
      <w:tr>
        <w:trPr>
          <w:trHeight w:val="264"/>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2017</w:t>
            </w:r>
          </w:p>
        </w:tc>
        <w:tc>
          <w:tcPr>
            <w:tcW w:w="1320" w:type="dxa"/>
            <w:vAlign w:val="bottom"/>
            <w:tcBorders>
              <w:bottom w:val="single" w:sz="8" w:color="auto"/>
            </w:tcBorders>
          </w:tcPr>
          <w:p>
            <w:pPr>
              <w:spacing w:after="0"/>
              <w:rPr>
                <w:sz w:val="22"/>
                <w:szCs w:val="22"/>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2,053</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4"/>
              <w:spacing w:after="0"/>
              <w:rPr>
                <w:sz w:val="20"/>
                <w:szCs w:val="20"/>
                <w:color w:val="auto"/>
              </w:rPr>
            </w:pPr>
            <w:r>
              <w:rPr>
                <w:rFonts w:ascii="Arial" w:cs="Arial" w:eastAsia="Arial" w:hAnsi="Arial"/>
                <w:sz w:val="18"/>
                <w:szCs w:val="18"/>
                <w:color w:val="auto"/>
              </w:rPr>
              <w:t>1,946</w:t>
            </w: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716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300" w:type="dxa"/>
            <w:vAlign w:val="bottom"/>
          </w:tcPr>
          <w:p>
            <w:pPr>
              <w:spacing w:after="0"/>
              <w:rPr>
                <w:sz w:val="23"/>
                <w:szCs w:val="23"/>
                <w:color w:val="auto"/>
              </w:rPr>
            </w:pP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510</w:t>
            </w:r>
          </w:p>
        </w:tc>
        <w:tc>
          <w:tcPr>
            <w:tcW w:w="480" w:type="dxa"/>
            <w:vAlign w:val="bottom"/>
          </w:tcPr>
          <w:p>
            <w:pPr>
              <w:spacing w:after="0"/>
              <w:rPr>
                <w:sz w:val="23"/>
                <w:szCs w:val="23"/>
                <w:color w:val="auto"/>
              </w:rPr>
            </w:pPr>
          </w:p>
        </w:tc>
        <w:tc>
          <w:tcPr>
            <w:tcW w:w="1140" w:type="dxa"/>
            <w:vAlign w:val="bottom"/>
          </w:tcPr>
          <w:p>
            <w:pPr>
              <w:jc w:val="right"/>
              <w:ind w:right="234"/>
              <w:spacing w:after="0"/>
              <w:rPr>
                <w:sz w:val="20"/>
                <w:szCs w:val="20"/>
                <w:color w:val="auto"/>
              </w:rPr>
            </w:pPr>
            <w:r>
              <w:rPr>
                <w:rFonts w:ascii="Arial" w:cs="Arial" w:eastAsia="Arial" w:hAnsi="Arial"/>
                <w:sz w:val="18"/>
                <w:szCs w:val="18"/>
                <w:color w:val="auto"/>
              </w:rPr>
              <w:t>508</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0.3</w:t>
            </w:r>
          </w:p>
        </w:tc>
      </w:tr>
      <w:tr>
        <w:trPr>
          <w:trHeight w:val="270"/>
        </w:trPr>
        <w:tc>
          <w:tcPr>
            <w:tcW w:w="716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3"/>
                <w:szCs w:val="23"/>
                <w:color w:val="auto"/>
              </w:rPr>
            </w:pP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23"/>
                <w:szCs w:val="23"/>
                <w:color w:val="auto"/>
              </w:rPr>
            </w:pPr>
          </w:p>
        </w:tc>
        <w:tc>
          <w:tcPr>
            <w:tcW w:w="1140" w:type="dxa"/>
            <w:vAlign w:val="bottom"/>
          </w:tcPr>
          <w:p>
            <w:pPr>
              <w:jc w:val="right"/>
              <w:ind w:right="234"/>
              <w:spacing w:after="0"/>
              <w:rPr>
                <w:sz w:val="20"/>
                <w:szCs w:val="20"/>
                <w:color w:val="auto"/>
              </w:rPr>
            </w:pPr>
            <w:r>
              <w:rPr>
                <w:rFonts w:ascii="Arial" w:cs="Arial" w:eastAsia="Arial" w:hAnsi="Arial"/>
                <w:sz w:val="18"/>
                <w:szCs w:val="18"/>
                <w:color w:val="auto"/>
              </w:rPr>
              <w:t>14</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151.5</w:t>
            </w:r>
          </w:p>
        </w:tc>
      </w:tr>
      <w:tr>
        <w:trPr>
          <w:trHeight w:val="27"/>
        </w:trPr>
        <w:tc>
          <w:tcPr>
            <w:tcW w:w="7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98"/>
              <w:spacing w:after="0"/>
              <w:rPr>
                <w:sz w:val="20"/>
                <w:szCs w:val="20"/>
                <w:color w:val="auto"/>
              </w:rPr>
            </w:pPr>
            <w:r>
              <w:rPr>
                <w:rFonts w:ascii="Arial" w:cs="Arial" w:eastAsia="Arial" w:hAnsi="Arial"/>
                <w:sz w:val="18"/>
                <w:szCs w:val="18"/>
                <w:b w:val="1"/>
                <w:bCs w:val="1"/>
                <w:color w:val="auto"/>
              </w:rPr>
              <w:t>2,599</w:t>
            </w:r>
          </w:p>
        </w:tc>
        <w:tc>
          <w:tcPr>
            <w:tcW w:w="4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34"/>
              <w:spacing w:after="0"/>
              <w:rPr>
                <w:sz w:val="20"/>
                <w:szCs w:val="20"/>
                <w:color w:val="auto"/>
              </w:rPr>
            </w:pPr>
            <w:r>
              <w:rPr>
                <w:rFonts w:ascii="Arial" w:cs="Arial" w:eastAsia="Arial" w:hAnsi="Arial"/>
                <w:sz w:val="18"/>
                <w:szCs w:val="18"/>
                <w:b w:val="1"/>
                <w:bCs w:val="1"/>
                <w:color w:val="auto"/>
              </w:rPr>
              <w:t>2,468</w:t>
            </w: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4"/>
        </w:trPr>
        <w:tc>
          <w:tcPr>
            <w:tcW w:w="7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75"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depreciation and amortization expense increased for the three months ended March 31, 2018 primarily due to increases in both capital expenditures and expenditures for software in our Cable Communications segment in recent years. We continue to invest in our network capacity and in customer premise equipment, primarily for our X1 platform, cloud DVR technology and wireless gateways. Certain of these assets have relatively short estimated useful lives, which is also a contributor to the increase in depreciation expense for the three months ended March 31, 2018 in our Cable Communications segment.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We use Adjusted EBITDA as the measure of profit or loss for our operating segments. See Note 2 to both Comcast and NBCUniversal’s condensed consolidated financial statements for our definition of Adjusted EBITDA and a reconciliation from the aggregate amount of Adjusted EBITDA for our reportable business segments to consolidated income before income taxes.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be consistent with our current management reporting presentation, certain 2017 operating results were reclassified within the Cable Communications segment.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tcPr>
          <w:p>
            <w:pPr>
              <w:jc w:val="right"/>
              <w:ind w:right="173"/>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r>
      <w:tr>
        <w:trPr>
          <w:trHeight w:val="188"/>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89"/>
              </w:rPr>
              <w:t>2017</w:t>
            </w:r>
          </w:p>
        </w:tc>
        <w:tc>
          <w:tcPr>
            <w:tcW w:w="5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253"/>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040" w:type="dxa"/>
            <w:vAlign w:val="bottom"/>
          </w:tcPr>
          <w:p>
            <w:pPr>
              <w:ind w:left="720"/>
              <w:spacing w:after="0"/>
              <w:rPr>
                <w:sz w:val="20"/>
                <w:szCs w:val="20"/>
                <w:color w:val="auto"/>
              </w:rPr>
            </w:pPr>
            <w:r>
              <w:rPr>
                <w:rFonts w:ascii="Arial" w:cs="Arial" w:eastAsia="Arial" w:hAnsi="Arial"/>
                <w:sz w:val="18"/>
                <w:szCs w:val="18"/>
                <w:color w:val="auto"/>
              </w:rPr>
              <w:t>Video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5,659</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5,706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13"/>
              <w:spacing w:after="0"/>
              <w:rPr>
                <w:sz w:val="20"/>
                <w:szCs w:val="20"/>
                <w:color w:val="auto"/>
              </w:rPr>
            </w:pPr>
            <w:r>
              <w:rPr>
                <w:rFonts w:ascii="Arial" w:cs="Arial" w:eastAsia="Arial" w:hAnsi="Arial"/>
                <w:sz w:val="18"/>
                <w:szCs w:val="18"/>
                <w:color w:val="auto"/>
              </w:rPr>
              <w:t>(47)</w:t>
            </w: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5040" w:type="dxa"/>
            <w:vAlign w:val="bottom"/>
          </w:tcPr>
          <w:p>
            <w:pPr>
              <w:ind w:left="720"/>
              <w:spacing w:after="0"/>
              <w:rPr>
                <w:sz w:val="20"/>
                <w:szCs w:val="20"/>
                <w:color w:val="auto"/>
              </w:rPr>
            </w:pPr>
            <w:r>
              <w:rPr>
                <w:rFonts w:ascii="Arial" w:cs="Arial" w:eastAsia="Arial" w:hAnsi="Arial"/>
                <w:sz w:val="18"/>
                <w:szCs w:val="18"/>
                <w:color w:val="auto"/>
              </w:rPr>
              <w:t>High-speed Internet</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4,157</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3,842</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315</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8.2</w:t>
            </w:r>
          </w:p>
        </w:tc>
      </w:tr>
      <w:tr>
        <w:trPr>
          <w:trHeight w:val="270"/>
        </w:trPr>
        <w:tc>
          <w:tcPr>
            <w:tcW w:w="5040" w:type="dxa"/>
            <w:vAlign w:val="bottom"/>
          </w:tcPr>
          <w:p>
            <w:pPr>
              <w:ind w:left="720"/>
              <w:spacing w:after="0"/>
              <w:rPr>
                <w:sz w:val="20"/>
                <w:szCs w:val="20"/>
                <w:color w:val="auto"/>
              </w:rPr>
            </w:pPr>
            <w:r>
              <w:rPr>
                <w:rFonts w:ascii="Arial" w:cs="Arial" w:eastAsia="Arial" w:hAnsi="Arial"/>
                <w:sz w:val="18"/>
                <w:szCs w:val="18"/>
                <w:color w:val="auto"/>
              </w:rPr>
              <w:t>Voice</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1,006</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1,034</w:t>
            </w:r>
          </w:p>
        </w:tc>
        <w:tc>
          <w:tcPr>
            <w:tcW w:w="500" w:type="dxa"/>
            <w:vAlign w:val="bottom"/>
          </w:tcPr>
          <w:p>
            <w:pPr>
              <w:spacing w:after="0"/>
              <w:rPr>
                <w:sz w:val="23"/>
                <w:szCs w:val="23"/>
                <w:color w:val="auto"/>
              </w:rPr>
            </w:pPr>
          </w:p>
        </w:tc>
        <w:tc>
          <w:tcPr>
            <w:tcW w:w="1700" w:type="dxa"/>
            <w:vAlign w:val="bottom"/>
          </w:tcPr>
          <w:p>
            <w:pPr>
              <w:jc w:val="right"/>
              <w:ind w:right="613"/>
              <w:spacing w:after="0"/>
              <w:rPr>
                <w:sz w:val="20"/>
                <w:szCs w:val="20"/>
                <w:color w:val="auto"/>
              </w:rPr>
            </w:pPr>
            <w:r>
              <w:rPr>
                <w:rFonts w:ascii="Arial" w:cs="Arial" w:eastAsia="Arial" w:hAnsi="Arial"/>
                <w:sz w:val="18"/>
                <w:szCs w:val="18"/>
                <w:color w:val="auto"/>
              </w:rPr>
              <w:t>(28)</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(2.7)</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1,726</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1,543</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183</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11.9</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582</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554</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28</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4.9</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388</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371</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17</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4.5</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13,518</w:t>
            </w:r>
          </w:p>
        </w:tc>
        <w:tc>
          <w:tcPr>
            <w:tcW w:w="6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13,050</w:t>
            </w:r>
          </w:p>
        </w:tc>
        <w:tc>
          <w:tcPr>
            <w:tcW w:w="500" w:type="dxa"/>
            <w:vAlign w:val="bottom"/>
          </w:tcPr>
          <w:p>
            <w:pPr>
              <w:spacing w:after="0"/>
              <w:rPr>
                <w:sz w:val="20"/>
                <w:szCs w:val="20"/>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b w:val="1"/>
                <w:bCs w:val="1"/>
                <w:color w:val="auto"/>
              </w:rPr>
              <w:t>468</w:t>
            </w:r>
          </w:p>
        </w:tc>
        <w:tc>
          <w:tcPr>
            <w:tcW w:w="1060" w:type="dxa"/>
            <w:vAlign w:val="bottom"/>
          </w:tcPr>
          <w:p>
            <w:pPr>
              <w:jc w:val="right"/>
              <w:ind w:right="171"/>
              <w:spacing w:after="0"/>
              <w:rPr>
                <w:sz w:val="20"/>
                <w:szCs w:val="20"/>
                <w:color w:val="auto"/>
              </w:rPr>
            </w:pPr>
            <w:r>
              <w:rPr>
                <w:rFonts w:ascii="Arial" w:cs="Arial" w:eastAsia="Arial" w:hAnsi="Arial"/>
                <w:sz w:val="18"/>
                <w:szCs w:val="18"/>
                <w:b w:val="1"/>
                <w:bCs w:val="1"/>
                <w:color w:val="auto"/>
              </w:rPr>
              <w:t>3.6</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3,326</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3,228</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98</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3.0</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1,603</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1,530</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73</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4.8</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607</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619</w:t>
            </w:r>
          </w:p>
        </w:tc>
        <w:tc>
          <w:tcPr>
            <w:tcW w:w="500" w:type="dxa"/>
            <w:vAlign w:val="bottom"/>
          </w:tcPr>
          <w:p>
            <w:pPr>
              <w:spacing w:after="0"/>
              <w:rPr>
                <w:sz w:val="23"/>
                <w:szCs w:val="23"/>
                <w:color w:val="auto"/>
              </w:rPr>
            </w:pPr>
          </w:p>
        </w:tc>
        <w:tc>
          <w:tcPr>
            <w:tcW w:w="1700" w:type="dxa"/>
            <w:vAlign w:val="bottom"/>
          </w:tcPr>
          <w:p>
            <w:pPr>
              <w:jc w:val="right"/>
              <w:ind w:right="613"/>
              <w:spacing w:after="0"/>
              <w:rPr>
                <w:sz w:val="20"/>
                <w:szCs w:val="20"/>
                <w:color w:val="auto"/>
              </w:rPr>
            </w:pPr>
            <w:r>
              <w:rPr>
                <w:rFonts w:ascii="Arial" w:cs="Arial" w:eastAsia="Arial" w:hAnsi="Arial"/>
                <w:sz w:val="18"/>
                <w:szCs w:val="18"/>
                <w:color w:val="auto"/>
              </w:rPr>
              <w:t>(12)</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(1.9)</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940</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895</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45</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5.1</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399</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399</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0.2</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1,228</w:t>
            </w:r>
          </w:p>
        </w:tc>
        <w:tc>
          <w:tcPr>
            <w:tcW w:w="6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1,205</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23</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1.9</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8,103</w:t>
            </w:r>
          </w:p>
        </w:tc>
        <w:tc>
          <w:tcPr>
            <w:tcW w:w="6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7,876</w:t>
            </w:r>
          </w:p>
        </w:tc>
        <w:tc>
          <w:tcPr>
            <w:tcW w:w="500" w:type="dxa"/>
            <w:vAlign w:val="bottom"/>
          </w:tcPr>
          <w:p>
            <w:pPr>
              <w:spacing w:after="0"/>
              <w:rPr>
                <w:sz w:val="20"/>
                <w:szCs w:val="20"/>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227</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2.9</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5,415</w:t>
            </w:r>
          </w:p>
        </w:tc>
        <w:tc>
          <w:tcPr>
            <w:tcW w:w="6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5,174</w:t>
            </w: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673"/>
              <w:spacing w:after="0"/>
              <w:rPr>
                <w:sz w:val="20"/>
                <w:szCs w:val="20"/>
                <w:color w:val="auto"/>
              </w:rPr>
            </w:pPr>
            <w:r>
              <w:rPr>
                <w:rFonts w:ascii="Arial" w:cs="Arial" w:eastAsia="Arial" w:hAnsi="Arial"/>
                <w:sz w:val="18"/>
                <w:szCs w:val="18"/>
                <w:b w:val="1"/>
                <w:bCs w:val="1"/>
                <w:color w:val="auto"/>
              </w:rPr>
              <w:t>241</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4.7 %</w:t>
            </w:r>
          </w:p>
        </w:tc>
      </w:tr>
      <w:tr>
        <w:trPr>
          <w:trHeight w:val="34"/>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621"/>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633"/>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00" w:type="dxa"/>
            <w:vAlign w:val="bottom"/>
          </w:tcPr>
          <w:p>
            <w:pPr>
              <w:spacing w:after="0"/>
              <w:rPr>
                <w:sz w:val="16"/>
                <w:szCs w:val="16"/>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 Customers</w:t>
            </w:r>
          </w:p>
        </w:tc>
        <w:tc>
          <w:tcPr>
            <w:tcW w:w="1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2"/>
          </w:tcPr>
          <w:p>
            <w:pPr>
              <w:jc w:val="center"/>
              <w:ind w:right="131"/>
              <w:spacing w:after="0"/>
              <w:rPr>
                <w:sz w:val="20"/>
                <w:szCs w:val="20"/>
                <w:color w:val="auto"/>
              </w:rPr>
            </w:pPr>
            <w:r>
              <w:rPr>
                <w:rFonts w:ascii="Arial" w:cs="Arial" w:eastAsia="Arial" w:hAnsi="Arial"/>
                <w:sz w:val="14"/>
                <w:szCs w:val="14"/>
                <w:color w:val="auto"/>
                <w:w w:val="95"/>
              </w:rPr>
              <w:t>Net Additional Customers</w:t>
            </w:r>
          </w:p>
        </w:tc>
      </w:tr>
      <w:tr>
        <w:trPr>
          <w:trHeight w:val="156"/>
        </w:trPr>
        <w:tc>
          <w:tcPr>
            <w:tcW w:w="55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700" w:type="dxa"/>
            <w:vAlign w:val="bottom"/>
            <w:gridSpan w:val="2"/>
          </w:tcPr>
          <w:p>
            <w:pPr>
              <w:jc w:val="center"/>
              <w:ind w:right="131"/>
              <w:spacing w:after="0" w:line="157" w:lineRule="exact"/>
              <w:rPr>
                <w:sz w:val="20"/>
                <w:szCs w:val="20"/>
                <w:color w:val="auto"/>
              </w:rPr>
            </w:pPr>
            <w:r>
              <w:rPr>
                <w:rFonts w:ascii="Arial" w:cs="Arial" w:eastAsia="Arial" w:hAnsi="Arial"/>
                <w:sz w:val="14"/>
                <w:szCs w:val="14"/>
                <w:color w:val="auto"/>
                <w:w w:val="91"/>
              </w:rPr>
              <w:t>Three Months Ended</w:t>
            </w:r>
          </w:p>
        </w:tc>
      </w:tr>
      <w:tr>
        <w:trPr>
          <w:trHeight w:val="188"/>
        </w:trPr>
        <w:tc>
          <w:tcPr>
            <w:tcW w:w="5500" w:type="dxa"/>
            <w:vAlign w:val="bottom"/>
          </w:tcPr>
          <w:p>
            <w:pPr>
              <w:spacing w:after="0"/>
              <w:rPr>
                <w:sz w:val="16"/>
                <w:szCs w:val="16"/>
                <w:color w:val="auto"/>
              </w:rPr>
            </w:pPr>
          </w:p>
        </w:tc>
        <w:tc>
          <w:tcPr>
            <w:tcW w:w="20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March 31</w:t>
            </w:r>
          </w:p>
        </w:tc>
        <w:tc>
          <w:tcPr>
            <w:tcW w:w="1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734"/>
              <w:spacing w:after="0"/>
              <w:rPr>
                <w:sz w:val="20"/>
                <w:szCs w:val="20"/>
                <w:color w:val="auto"/>
              </w:rPr>
            </w:pPr>
            <w:r>
              <w:rPr>
                <w:rFonts w:ascii="Arial" w:cs="Arial" w:eastAsia="Arial" w:hAnsi="Arial"/>
                <w:sz w:val="14"/>
                <w:szCs w:val="14"/>
                <w:color w:val="auto"/>
                <w:w w:val="95"/>
              </w:rPr>
              <w:t>March 31</w:t>
            </w:r>
          </w:p>
        </w:tc>
        <w:tc>
          <w:tcPr>
            <w:tcW w:w="1040" w:type="dxa"/>
            <w:vAlign w:val="bottom"/>
            <w:tcBorders>
              <w:bottom w:val="single" w:sz="8" w:color="auto"/>
            </w:tcBorders>
          </w:tcPr>
          <w:p>
            <w:pPr>
              <w:spacing w:after="0"/>
              <w:rPr>
                <w:sz w:val="16"/>
                <w:szCs w:val="16"/>
                <w:color w:val="auto"/>
              </w:rPr>
            </w:pPr>
          </w:p>
        </w:tc>
      </w:tr>
      <w:tr>
        <w:trPr>
          <w:trHeight w:val="19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customer amounts)</w:t>
            </w:r>
          </w:p>
        </w:tc>
        <w:tc>
          <w:tcPr>
            <w:tcW w:w="202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color w:val="auto"/>
              </w:rPr>
              <w:t>2018</w:t>
            </w:r>
          </w:p>
        </w:tc>
        <w:tc>
          <w:tcPr>
            <w:tcW w:w="12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color w:val="auto"/>
              </w:rPr>
              <w:t>2017</w:t>
            </w:r>
          </w:p>
        </w:tc>
        <w:tc>
          <w:tcPr>
            <w:tcW w:w="1660" w:type="dxa"/>
            <w:vAlign w:val="bottom"/>
            <w:tcBorders>
              <w:bottom w:val="single" w:sz="8" w:color="auto"/>
            </w:tcBorders>
          </w:tcPr>
          <w:p>
            <w:pPr>
              <w:jc w:val="right"/>
              <w:ind w:right="934"/>
              <w:spacing w:after="0"/>
              <w:rPr>
                <w:sz w:val="20"/>
                <w:szCs w:val="20"/>
                <w:color w:val="auto"/>
              </w:rPr>
            </w:pPr>
            <w:r>
              <w:rPr>
                <w:rFonts w:ascii="Arial" w:cs="Arial" w:eastAsia="Arial" w:hAnsi="Arial"/>
                <w:sz w:val="14"/>
                <w:szCs w:val="14"/>
                <w:color w:val="auto"/>
              </w:rPr>
              <w:t>2018</w:t>
            </w: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2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Residential customer relationships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27,412</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26,797</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244</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263</w:t>
            </w: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Business services customer relationships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2,208</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2,078</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29</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29,620</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28,875</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273</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297</w:t>
            </w:r>
          </w:p>
        </w:tc>
      </w:tr>
      <w:tr>
        <w:trPr>
          <w:trHeight w:val="27"/>
        </w:trPr>
        <w:tc>
          <w:tcPr>
            <w:tcW w:w="55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Residential customer relationships mix</w:t>
            </w:r>
          </w:p>
        </w:tc>
        <w:tc>
          <w:tcPr>
            <w:tcW w:w="2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Single product customers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8,421</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7,861</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225</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Double product customers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9,117</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8,938</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61</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141</w:t>
            </w: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Triple and quad product customers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9,874</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9,998</w:t>
            </w: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(42)</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55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Video</w:t>
            </w:r>
          </w:p>
        </w:tc>
        <w:tc>
          <w:tcPr>
            <w:tcW w:w="2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21,210</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21,520</w:t>
            </w: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(93)</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1,051</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1,030</w:t>
            </w: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(3)</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Total video customers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22,261</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22,549</w:t>
            </w: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(96)</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55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High-speed Internet</w:t>
            </w:r>
          </w:p>
        </w:tc>
        <w:tc>
          <w:tcPr>
            <w:tcW w:w="2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24,214</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23,224</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351</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397</w:t>
            </w: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2,034</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1,907</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29</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Total high-speed Internet customers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26,249</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25,131</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379</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429</w:t>
            </w:r>
          </w:p>
        </w:tc>
      </w:tr>
      <w:tr>
        <w:trPr>
          <w:trHeight w:val="27"/>
        </w:trPr>
        <w:tc>
          <w:tcPr>
            <w:tcW w:w="55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Voice</w:t>
            </w:r>
          </w:p>
        </w:tc>
        <w:tc>
          <w:tcPr>
            <w:tcW w:w="2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10,245</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10,520</w:t>
            </w: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(70)</w:t>
            </w: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1,253</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1,162</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16</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Total voice customers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11,498</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11,681</w:t>
            </w: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(54)</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5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Security and automation</w:t>
            </w:r>
          </w:p>
        </w:tc>
        <w:tc>
          <w:tcPr>
            <w:tcW w:w="2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Security and automation customers</w:t>
            </w:r>
          </w:p>
        </w:tc>
        <w:tc>
          <w:tcPr>
            <w:tcW w:w="2020" w:type="dxa"/>
            <w:vAlign w:val="bottom"/>
          </w:tcPr>
          <w:p>
            <w:pPr>
              <w:jc w:val="right"/>
              <w:ind w:right="573"/>
              <w:spacing w:after="0"/>
              <w:rPr>
                <w:sz w:val="20"/>
                <w:szCs w:val="20"/>
                <w:color w:val="auto"/>
              </w:rPr>
            </w:pPr>
            <w:r>
              <w:rPr>
                <w:rFonts w:ascii="Arial" w:cs="Arial" w:eastAsia="Arial" w:hAnsi="Arial"/>
                <w:sz w:val="18"/>
                <w:szCs w:val="18"/>
                <w:color w:val="auto"/>
              </w:rPr>
              <w:t>1,176</w:t>
            </w: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957</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46</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Customer metrics are presented based on actual amounts. Minor differences may exist due to rounding. Customer relationships represent the number of residential and business customers that subscribe to at least one of our cable services. Single product, double product, and triple and quad product customers represent residential customers that subscribe to one, two, or three and four of our cable services, respectively. For multiple dwelling units (“MDUs”), including buildings located on college campuses, whose residents have the ability to receive additional cable services, such as additional programming choices or our high-definition video (“HD”) or digital video recorder (“DVR”) advanced services, we count and report customers based on the number of potential billable relationships within each MDU. For MDUs whose residents are not able to receive additional cable services, the MDU is counted as a single customer. Residential video and high-speed Internet customers as of March 31, 2018 included prepaid customers totaling approximately 6,000 and 98,000, respectively.</w:t>
      </w:r>
    </w:p>
    <w:p>
      <w:pPr>
        <w:spacing w:after="0" w:line="13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Average monthly total revenue per customer relationship for the three months ended March 31, 2018 and 2017 was $152.83 and $151.43, respectively. This measure is impacted by rate adjustments and changes in the types and levels of services received by our residential and business services customers, as well as changes in advertising revenue. While revenue from our residential video, high-speed Internet and voice services are also impacted by changes in the allocation of revenue among services sold in a bundle, the allocation does not impact average monthly total revenue per customer relationship.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Video revenue decreased 0.8% for the three months ended March 31, 2018 compared to the same period in 2017. The decrease was primarily due to a decrease in the number of residential customers, partially offset by changes in average video rates. We have experienced, and expect that we will continue to experience, declines in the number of residential video customers due to competitive pressures, and we expect that our video revenue will continue to decline. Competition is intense, both from traditional multichannel video providers and from new technologies and distribution platforms for viewing content. We are responding to this competition through our X1 platform and sales and marketing programs, such as promotions, bundled service offerings and service offerings targeted at specific market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High-speed Internet revenue increased 8.2% for the three months ended March 31, 2018 compared to the same period in 2017. An increase in the number of residential customers receiving our high-speed Internet services accounted for an increase in revenue of 4.4% for the three months ended March 31, 2018. The remaining increase in revenue was primarily due to changes in average high-speed Internet rates. Our customer base continues to grow as consumers choose our high-speed Internet services and seek higher-speed offerings.</w:t>
      </w:r>
    </w:p>
    <w:p>
      <w:pPr>
        <w:sectPr>
          <w:pgSz w:w="11900" w:h="16838" w:orient="portrait"/>
          <w:cols w:equalWidth="0" w:num="1">
            <w:col w:w="11420"/>
          </w:cols>
          <w:pgMar w:left="240" w:top="175"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75"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Voice revenue decreased 2.7% for the three months ended March 31, 2018 compared to the same period in 2017, primarily due to a decrease in the number of residential voice customers. We expect that the number of residential voice customers and voice revenue will continue to decline.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 services revenue increased 11.9% for the three months ended March 31, 2018 compared to the same period in 2017. The increase was primarily due to an increase in the number of customers receiving our small and medium-sized business services offerings. We believe the increase in the number of business customers is primarily the result of our efforts to gain market share from competitors by offering competitive services and pricing, although the rate of growth in the number of our small business customers may slow as the business matures.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revenue increased 4.9% for the three months ended March 31, 2018 compared to the same period in 2017 primarily due to an increase in political advertising revenue. Excluding political advertising revenue, advertising revenue increased 1.4% for the three months ended March 31, 2018 compared to the same period in 2017. This increase was primarily due to an increase in revenue from our advanced advertising businesses, which was partially offset by a decrease in core linear advertising.</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both the three months ended March 31, 2018 and 2017, 4% of our Cable Communications segment advertising revenue was generated from our NBCUniversal segments. These amounts are eliminated in our condensed consolidated financial statements but are included in the amounts presented above.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increased 4.5% for the three months ended March 31, 2018 compared to the same period in 2017 primarily due to increases in revenue from our security and automation services and the licensing of our X1 platform to other multichannel video providers.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Programming expenses increased for the three months ended March 31, 2018 compared to the same period in 2017 primarily due to increases in programming license fees, including retransmission consent fees and sports programming costs.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Technical and product support expenses increased for the three months ended March 31, 2018 compared to the same period in 2017 primarily due to expenses related to the continued development, deployment and support of our X1 platform, cloud DVR technology and wireless gateways, and continued growth in business services and security and automation services.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service expenses decreased for the three months ended March 31, 2018 compared to the same period in 2017 primarily due to lower personnel costs as a result of reduced call volumes.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marketing and promotion expenses increased for the three months ended March 31, 2018 compared to the same period in 2017 primarily due to an increase in spending associated with attracting new customers and encouraging existing customers to add additional or higher-tier services, including advertising expenses associated with the 2018 PyeongChang Olympics.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Franchise and other regulatory fees remained flat for the three months ended March 31, 2018 compared to the same period in 2017.</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costs and expenses increased for the three months ended March 31, 2018 compared to the same period in 2017 primarily due to an increase in costs to support our advertising sales business, as well as an increase in other administrative costs.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Margin</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Cable Communications segment operating margin is Adjusted EBITDA as a percentage of revenue. The most significant operating costs and expenses for our Cable Communications segment are the programming expenses we incur to provide content to our video customers, which increased 3.0% for the three months ended March 31, 2018. We will continue to focus on growing our revenue, particularly in residential high-speed Internet and business services, and on overall operating cost management.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Our Cable Communications segment operating margin for the three months ended March 31, 2018 and 2017 was 40.1% and 39.6%, respectively.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75"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tcPr>
          <w:p>
            <w:pPr>
              <w:jc w:val="right"/>
              <w:ind w:right="154"/>
              <w:spacing w:after="0"/>
              <w:rPr>
                <w:sz w:val="20"/>
                <w:szCs w:val="20"/>
                <w:color w:val="auto"/>
              </w:rPr>
            </w:pPr>
            <w:r>
              <w:rPr>
                <w:rFonts w:ascii="Arial" w:cs="Arial" w:eastAsia="Arial" w:hAnsi="Arial"/>
                <w:sz w:val="14"/>
                <w:szCs w:val="14"/>
                <w:color w:val="auto"/>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w w:val="96"/>
              </w:rPr>
              <w:t>2017</w:t>
            </w:r>
          </w:p>
        </w:tc>
        <w:tc>
          <w:tcPr>
            <w:tcW w:w="5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3,194</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2,640</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554</w:t>
            </w:r>
          </w:p>
        </w:tc>
        <w:tc>
          <w:tcPr>
            <w:tcW w:w="104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3,497</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2,208</w:t>
            </w:r>
          </w:p>
        </w:tc>
        <w:tc>
          <w:tcPr>
            <w:tcW w:w="5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1,289</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58.3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1,647</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1,967</w:t>
            </w:r>
          </w:p>
        </w:tc>
        <w:tc>
          <w:tcPr>
            <w:tcW w:w="54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(320)</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1,281</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1,118</w:t>
            </w:r>
          </w:p>
        </w:tc>
        <w:tc>
          <w:tcPr>
            <w:tcW w:w="5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163</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14.5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(89)</w:t>
            </w:r>
          </w:p>
        </w:tc>
        <w:tc>
          <w:tcPr>
            <w:tcW w:w="6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(80)</w:t>
            </w:r>
          </w:p>
        </w:tc>
        <w:tc>
          <w:tcPr>
            <w:tcW w:w="54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(9)</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9,530</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b w:val="1"/>
                <w:bCs w:val="1"/>
                <w:color w:val="auto"/>
              </w:rPr>
              <w:t>7,853</w:t>
            </w:r>
          </w:p>
        </w:tc>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1,677</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21.3 %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1,268</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1,115</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153</w:t>
            </w:r>
          </w:p>
        </w:tc>
        <w:tc>
          <w:tcPr>
            <w:tcW w:w="104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507</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185</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57.5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203</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371</w:t>
            </w:r>
          </w:p>
        </w:tc>
        <w:tc>
          <w:tcPr>
            <w:tcW w:w="54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(168)</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(45.2)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495</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397</w:t>
            </w:r>
          </w:p>
        </w:tc>
        <w:tc>
          <w:tcPr>
            <w:tcW w:w="5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98</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24.6</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(188)</w:t>
            </w:r>
          </w:p>
        </w:tc>
        <w:tc>
          <w:tcPr>
            <w:tcW w:w="6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(186)</w:t>
            </w:r>
          </w:p>
        </w:tc>
        <w:tc>
          <w:tcPr>
            <w:tcW w:w="54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2,285</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266</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13.1 %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20" w:type="dxa"/>
            <w:vAlign w:val="bottom"/>
          </w:tcPr>
          <w:p>
            <w:pPr>
              <w:jc w:val="right"/>
              <w:ind w:right="15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3"/>
                <w:szCs w:val="13"/>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2017</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1,887</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1,562</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325</w:t>
            </w: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988</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826</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162</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19.6</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319</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252</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67</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26.3</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3,194</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2,640</w:t>
            </w:r>
          </w:p>
        </w:tc>
        <w:tc>
          <w:tcPr>
            <w:tcW w:w="56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554</w:t>
            </w: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21.0</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1,441</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1,083</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358</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33.1</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362</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41</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12.7</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123</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121</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1.9</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1,926</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1,525</w:t>
            </w:r>
          </w:p>
        </w:tc>
        <w:tc>
          <w:tcPr>
            <w:tcW w:w="56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401</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26.3</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1,268</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1,115</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153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13.7%</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Cable Networks revenue increased for the three months ended March 31, 2018 compared to the same period in 2017 primarily due to increases in distribution revenue and advertising revenue. The increase in distribution revenue was primarily due to $236 million of revenue associated with our broadcast of the 2018 PyeongChang Olympics. The increase in distribution revenue was also due to increases in the contractual rates charged under distribution agreements and the timing of contract renewals, which were partially offset by a decline in the number of subscribers at our cable networks. The increase in advertising revenue was primarily due to $142 million of revenue associated with our broadcast of the 2018 PyeongChang Olympics. The increase in advertising revenue was also due to higher prices for advertising units sold, which was partially offset by the impact of continued declines in audience ratings at our networks. Excluding $378 million of revenue associated with our broadcast of the 2018 PyeongChang Olympics, Cable Networks segment revenue increased 6.6% for the three months ended March 31, 2018.</w:t>
      </w:r>
    </w:p>
    <w:p>
      <w:pPr>
        <w:spacing w:after="0" w:line="1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both the three months ended March 31, 2018 and 2017, 15% of our Cable Networks segment revenue was generated from our Cable Communications segment. These amounts are eliminated in our condensed consolidated financial statements but are included in the amounts presented above.</w:t>
      </w:r>
    </w:p>
    <w:p>
      <w:pPr>
        <w:sectPr>
          <w:pgSz w:w="11900" w:h="16838" w:orient="portrait"/>
          <w:cols w:equalWidth="0" w:num="1">
            <w:col w:w="11420"/>
          </w:cols>
          <w:pgMar w:left="240" w:top="17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75"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increased for the three months ended March 31, 2018 compared to the same period in 2017 primarily due to programming and production costs associated with our broadcast of the 2018 PyeongChang Olympics.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jc w:val="right"/>
              <w:ind w:right="15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2017</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2,365</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1,279</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1,086</w:t>
            </w:r>
          </w:p>
        </w:tc>
        <w:tc>
          <w:tcPr>
            <w:tcW w:w="1020" w:type="dxa"/>
            <w:vAlign w:val="bottom"/>
          </w:tcPr>
          <w:p>
            <w:pPr>
              <w:jc w:val="right"/>
              <w:spacing w:after="0"/>
              <w:rPr>
                <w:sz w:val="20"/>
                <w:szCs w:val="20"/>
                <w:color w:val="auto"/>
              </w:rPr>
            </w:pPr>
            <w:r>
              <w:rPr>
                <w:rFonts w:ascii="Arial" w:cs="Arial" w:eastAsia="Arial" w:hAnsi="Arial"/>
                <w:sz w:val="18"/>
                <w:szCs w:val="18"/>
                <w:color w:val="auto"/>
              </w:rPr>
              <w:t>84.9%</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522</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503</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19</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3.8</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610</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426</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184</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42.9</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3,497</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2,208</w:t>
            </w:r>
          </w:p>
        </w:tc>
        <w:tc>
          <w:tcPr>
            <w:tcW w:w="56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1,289</w:t>
            </w: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58.3</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2,476</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1,432</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1,044</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72.9</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381</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336</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45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13.2</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133</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118</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12.5</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2,990</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1,886</w:t>
            </w:r>
          </w:p>
        </w:tc>
        <w:tc>
          <w:tcPr>
            <w:tcW w:w="56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1,104</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58.5</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507</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322</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185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57.5%</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Broadcast Television revenue increased for the three months ended March 31, 2018 compared to the same period in 2017 primarily due to increases in advertising revenue and distribution and other revenue. The increase in advertising revenue was primarily due to $1.1 billion of revenue associated with our broadcasts of the 2018 PyeongChang Olympics and the 2018 Super Bowl. The increase in advertising revenue was also due to higher prices for advertising units sold, which was partially offset by the impact of continued declines in audience ratings. The increase in distribution and other revenue was primarily due to $112 million of revenue associated with our broadcast of the 2018 PyeongChang Olympics. The increase in distribution and other revenue was also due to increases in fees recognized under our retransmission consent agreements. Excluding $1.2 billion of revenue associated with our broadcasts of the 2018 PyeongChang Olympics and the 2018 Super Bowl, revenue increased 4.3% for the three months ended March 31,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increased for the three months ended March 31, 2018 compared to the same period in 2017 primarily due to higher programming and production costs associated with our broadcasts of the 2018 PyeongChang Olympics and the 2018 Super Bowl.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7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tcPr>
          <w:p>
            <w:pPr>
              <w:jc w:val="right"/>
              <w:ind w:right="154"/>
              <w:spacing w:after="0"/>
              <w:rPr>
                <w:sz w:val="20"/>
                <w:szCs w:val="20"/>
                <w:color w:val="auto"/>
              </w:rPr>
            </w:pPr>
            <w:r>
              <w:rPr>
                <w:rFonts w:ascii="Arial" w:cs="Arial" w:eastAsia="Arial" w:hAnsi="Arial"/>
                <w:sz w:val="14"/>
                <w:szCs w:val="14"/>
                <w:color w:val="auto"/>
              </w:rPr>
              <w:t>Increase/</w:t>
            </w:r>
          </w:p>
        </w:tc>
        <w:tc>
          <w:tcPr>
            <w:tcW w:w="1080" w:type="dxa"/>
            <w:vAlign w:val="bottom"/>
          </w:tcPr>
          <w:p>
            <w:pPr>
              <w:spacing w:after="0"/>
              <w:rPr>
                <w:sz w:val="14"/>
                <w:szCs w:val="14"/>
                <w:color w:val="auto"/>
              </w:rPr>
            </w:pPr>
          </w:p>
        </w:tc>
      </w:tr>
      <w:tr>
        <w:trPr>
          <w:trHeight w:val="188"/>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(Decrease)</w:t>
            </w:r>
          </w:p>
        </w:tc>
        <w:tc>
          <w:tcPr>
            <w:tcW w:w="108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89"/>
              </w:rPr>
              <w:t>2017</w:t>
            </w:r>
          </w:p>
        </w:tc>
        <w:tc>
          <w:tcPr>
            <w:tcW w:w="5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423</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651</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94"/>
              <w:spacing w:after="0"/>
              <w:rPr>
                <w:sz w:val="20"/>
                <w:szCs w:val="20"/>
                <w:color w:val="auto"/>
              </w:rPr>
            </w:pPr>
            <w:r>
              <w:rPr>
                <w:rFonts w:ascii="Arial" w:cs="Arial" w:eastAsia="Arial" w:hAnsi="Arial"/>
                <w:sz w:val="18"/>
                <w:szCs w:val="18"/>
                <w:color w:val="auto"/>
              </w:rPr>
              <w:t>(228)</w:t>
            </w: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20" w:type="dxa"/>
            <w:vAlign w:val="bottom"/>
          </w:tcPr>
          <w:p>
            <w:pPr>
              <w:spacing w:after="0"/>
              <w:rPr>
                <w:sz w:val="23"/>
                <w:szCs w:val="23"/>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733</w:t>
            </w:r>
          </w:p>
        </w:tc>
        <w:tc>
          <w:tcPr>
            <w:tcW w:w="66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734</w:t>
            </w:r>
          </w:p>
        </w:tc>
        <w:tc>
          <w:tcPr>
            <w:tcW w:w="580" w:type="dxa"/>
            <w:vAlign w:val="bottom"/>
          </w:tcPr>
          <w:p>
            <w:pPr>
              <w:spacing w:after="0"/>
              <w:rPr>
                <w:sz w:val="23"/>
                <w:szCs w:val="23"/>
                <w:color w:val="auto"/>
              </w:rPr>
            </w:pPr>
          </w:p>
        </w:tc>
        <w:tc>
          <w:tcPr>
            <w:tcW w:w="1680" w:type="dxa"/>
            <w:vAlign w:val="bottom"/>
          </w:tcPr>
          <w:p>
            <w:pPr>
              <w:jc w:val="right"/>
              <w:ind w:right="494"/>
              <w:spacing w:after="0"/>
              <w:rPr>
                <w:sz w:val="20"/>
                <w:szCs w:val="20"/>
                <w:color w:val="auto"/>
              </w:rPr>
            </w:pPr>
            <w:r>
              <w:rPr>
                <w:rFonts w:ascii="Arial" w:cs="Arial" w:eastAsia="Arial" w:hAnsi="Arial"/>
                <w:sz w:val="18"/>
                <w:szCs w:val="18"/>
                <w:color w:val="auto"/>
              </w:rPr>
              <w:t>(1)</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(0.1)</w:t>
            </w: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20" w:type="dxa"/>
            <w:vAlign w:val="bottom"/>
          </w:tcPr>
          <w:p>
            <w:pPr>
              <w:spacing w:after="0"/>
              <w:rPr>
                <w:sz w:val="23"/>
                <w:szCs w:val="23"/>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248</w:t>
            </w:r>
          </w:p>
        </w:tc>
        <w:tc>
          <w:tcPr>
            <w:tcW w:w="66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286</w:t>
            </w:r>
          </w:p>
        </w:tc>
        <w:tc>
          <w:tcPr>
            <w:tcW w:w="580" w:type="dxa"/>
            <w:vAlign w:val="bottom"/>
          </w:tcPr>
          <w:p>
            <w:pPr>
              <w:spacing w:after="0"/>
              <w:rPr>
                <w:sz w:val="23"/>
                <w:szCs w:val="23"/>
                <w:color w:val="auto"/>
              </w:rPr>
            </w:pPr>
          </w:p>
        </w:tc>
        <w:tc>
          <w:tcPr>
            <w:tcW w:w="1680" w:type="dxa"/>
            <w:vAlign w:val="bottom"/>
          </w:tcPr>
          <w:p>
            <w:pPr>
              <w:jc w:val="right"/>
              <w:ind w:right="494"/>
              <w:spacing w:after="0"/>
              <w:rPr>
                <w:sz w:val="20"/>
                <w:szCs w:val="20"/>
                <w:color w:val="auto"/>
              </w:rPr>
            </w:pPr>
            <w:r>
              <w:rPr>
                <w:rFonts w:ascii="Arial" w:cs="Arial" w:eastAsia="Arial" w:hAnsi="Arial"/>
                <w:sz w:val="18"/>
                <w:szCs w:val="18"/>
                <w:color w:val="auto"/>
              </w:rPr>
              <w:t>(38)</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(13.3)</w:t>
            </w: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243</w:t>
            </w:r>
          </w:p>
        </w:tc>
        <w:tc>
          <w:tcPr>
            <w:tcW w:w="66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296</w:t>
            </w:r>
          </w:p>
        </w:tc>
        <w:tc>
          <w:tcPr>
            <w:tcW w:w="580" w:type="dxa"/>
            <w:vAlign w:val="bottom"/>
          </w:tcPr>
          <w:p>
            <w:pPr>
              <w:spacing w:after="0"/>
              <w:rPr>
                <w:sz w:val="23"/>
                <w:szCs w:val="23"/>
                <w:color w:val="auto"/>
              </w:rPr>
            </w:pPr>
          </w:p>
        </w:tc>
        <w:tc>
          <w:tcPr>
            <w:tcW w:w="1680" w:type="dxa"/>
            <w:vAlign w:val="bottom"/>
          </w:tcPr>
          <w:p>
            <w:pPr>
              <w:jc w:val="right"/>
              <w:ind w:right="494"/>
              <w:spacing w:after="0"/>
              <w:rPr>
                <w:sz w:val="20"/>
                <w:szCs w:val="20"/>
                <w:color w:val="auto"/>
              </w:rPr>
            </w:pPr>
            <w:r>
              <w:rPr>
                <w:rFonts w:ascii="Arial" w:cs="Arial" w:eastAsia="Arial" w:hAnsi="Arial"/>
                <w:sz w:val="18"/>
                <w:szCs w:val="18"/>
                <w:color w:val="auto"/>
              </w:rPr>
              <w:t>(53)</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(18.2)</w:t>
            </w:r>
          </w:p>
        </w:tc>
      </w:tr>
      <w:tr>
        <w:trPr>
          <w:trHeight w:val="27"/>
        </w:trPr>
        <w:tc>
          <w:tcPr>
            <w:tcW w:w="5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Pr>
          <w:p>
            <w:pPr>
              <w:spacing w:after="0"/>
              <w:rPr>
                <w:sz w:val="20"/>
                <w:szCs w:val="20"/>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b w:val="1"/>
                <w:bCs w:val="1"/>
                <w:color w:val="auto"/>
              </w:rPr>
              <w:t>1,647</w:t>
            </w:r>
          </w:p>
        </w:tc>
        <w:tc>
          <w:tcPr>
            <w:tcW w:w="66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auto"/>
              </w:rPr>
              <w:t>1,967</w:t>
            </w:r>
          </w:p>
        </w:tc>
        <w:tc>
          <w:tcPr>
            <w:tcW w:w="580" w:type="dxa"/>
            <w:vAlign w:val="bottom"/>
          </w:tcPr>
          <w:p>
            <w:pPr>
              <w:spacing w:after="0"/>
              <w:rPr>
                <w:sz w:val="20"/>
                <w:szCs w:val="20"/>
                <w:color w:val="auto"/>
              </w:rPr>
            </w:pPr>
          </w:p>
        </w:tc>
        <w:tc>
          <w:tcPr>
            <w:tcW w:w="1680" w:type="dxa"/>
            <w:vAlign w:val="bottom"/>
          </w:tcPr>
          <w:p>
            <w:pPr>
              <w:jc w:val="right"/>
              <w:ind w:right="494"/>
              <w:spacing w:after="0"/>
              <w:rPr>
                <w:sz w:val="20"/>
                <w:szCs w:val="20"/>
                <w:color w:val="auto"/>
              </w:rPr>
            </w:pPr>
            <w:r>
              <w:rPr>
                <w:rFonts w:ascii="Arial" w:cs="Arial" w:eastAsia="Arial" w:hAnsi="Arial"/>
                <w:sz w:val="18"/>
                <w:szCs w:val="18"/>
                <w:b w:val="1"/>
                <w:bCs w:val="1"/>
                <w:color w:val="auto"/>
              </w:rPr>
              <w:t>(320)</w:t>
            </w: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rPr>
              <w:t>(16.3)</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20" w:type="dxa"/>
            <w:vAlign w:val="bottom"/>
          </w:tcPr>
          <w:p>
            <w:pPr>
              <w:spacing w:after="0"/>
              <w:rPr>
                <w:sz w:val="23"/>
                <w:szCs w:val="23"/>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735</w:t>
            </w:r>
          </w:p>
        </w:tc>
        <w:tc>
          <w:tcPr>
            <w:tcW w:w="66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863</w:t>
            </w:r>
          </w:p>
        </w:tc>
        <w:tc>
          <w:tcPr>
            <w:tcW w:w="580" w:type="dxa"/>
            <w:vAlign w:val="bottom"/>
          </w:tcPr>
          <w:p>
            <w:pPr>
              <w:spacing w:after="0"/>
              <w:rPr>
                <w:sz w:val="23"/>
                <w:szCs w:val="23"/>
                <w:color w:val="auto"/>
              </w:rPr>
            </w:pPr>
          </w:p>
        </w:tc>
        <w:tc>
          <w:tcPr>
            <w:tcW w:w="1680" w:type="dxa"/>
            <w:vAlign w:val="bottom"/>
          </w:tcPr>
          <w:p>
            <w:pPr>
              <w:jc w:val="right"/>
              <w:ind w:right="494"/>
              <w:spacing w:after="0"/>
              <w:rPr>
                <w:sz w:val="20"/>
                <w:szCs w:val="20"/>
                <w:color w:val="auto"/>
              </w:rPr>
            </w:pPr>
            <w:r>
              <w:rPr>
                <w:rFonts w:ascii="Arial" w:cs="Arial" w:eastAsia="Arial" w:hAnsi="Arial"/>
                <w:sz w:val="18"/>
                <w:szCs w:val="18"/>
                <w:color w:val="auto"/>
              </w:rPr>
              <w:t>(128)</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(14.8)</w:t>
            </w: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20" w:type="dxa"/>
            <w:vAlign w:val="bottom"/>
          </w:tcPr>
          <w:p>
            <w:pPr>
              <w:spacing w:after="0"/>
              <w:rPr>
                <w:sz w:val="23"/>
                <w:szCs w:val="23"/>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301</w:t>
            </w:r>
          </w:p>
        </w:tc>
        <w:tc>
          <w:tcPr>
            <w:tcW w:w="66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325</w:t>
            </w:r>
          </w:p>
        </w:tc>
        <w:tc>
          <w:tcPr>
            <w:tcW w:w="580" w:type="dxa"/>
            <w:vAlign w:val="bottom"/>
          </w:tcPr>
          <w:p>
            <w:pPr>
              <w:spacing w:after="0"/>
              <w:rPr>
                <w:sz w:val="23"/>
                <w:szCs w:val="23"/>
                <w:color w:val="auto"/>
              </w:rPr>
            </w:pPr>
          </w:p>
        </w:tc>
        <w:tc>
          <w:tcPr>
            <w:tcW w:w="1680" w:type="dxa"/>
            <w:vAlign w:val="bottom"/>
          </w:tcPr>
          <w:p>
            <w:pPr>
              <w:jc w:val="right"/>
              <w:ind w:right="494"/>
              <w:spacing w:after="0"/>
              <w:rPr>
                <w:sz w:val="20"/>
                <w:szCs w:val="20"/>
                <w:color w:val="auto"/>
              </w:rPr>
            </w:pPr>
            <w:r>
              <w:rPr>
                <w:rFonts w:ascii="Arial" w:cs="Arial" w:eastAsia="Arial" w:hAnsi="Arial"/>
                <w:sz w:val="18"/>
                <w:szCs w:val="18"/>
                <w:color w:val="auto"/>
              </w:rPr>
              <w:t>(24)</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(7.8)</w:t>
            </w: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20" w:type="dxa"/>
            <w:vAlign w:val="bottom"/>
          </w:tcPr>
          <w:p>
            <w:pPr>
              <w:spacing w:after="0"/>
              <w:rPr>
                <w:sz w:val="23"/>
                <w:szCs w:val="23"/>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408</w:t>
            </w:r>
          </w:p>
        </w:tc>
        <w:tc>
          <w:tcPr>
            <w:tcW w:w="66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408</w:t>
            </w:r>
          </w:p>
        </w:tc>
        <w:tc>
          <w:tcPr>
            <w:tcW w:w="580" w:type="dxa"/>
            <w:vAlign w:val="bottom"/>
          </w:tcPr>
          <w:p>
            <w:pPr>
              <w:spacing w:after="0"/>
              <w:rPr>
                <w:sz w:val="23"/>
                <w:szCs w:val="23"/>
                <w:color w:val="auto"/>
              </w:rPr>
            </w:pPr>
          </w:p>
        </w:tc>
        <w:tc>
          <w:tcPr>
            <w:tcW w:w="1680" w:type="dxa"/>
            <w:vAlign w:val="bottom"/>
          </w:tcPr>
          <w:p>
            <w:pPr>
              <w:jc w:val="right"/>
              <w:ind w:right="554"/>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Pr>
          <w:p>
            <w:pPr>
              <w:spacing w:after="0"/>
              <w:rPr>
                <w:sz w:val="20"/>
                <w:szCs w:val="20"/>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1,444</w:t>
            </w:r>
          </w:p>
        </w:tc>
        <w:tc>
          <w:tcPr>
            <w:tcW w:w="66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1,596</w:t>
            </w:r>
          </w:p>
        </w:tc>
        <w:tc>
          <w:tcPr>
            <w:tcW w:w="580" w:type="dxa"/>
            <w:vAlign w:val="bottom"/>
          </w:tcPr>
          <w:p>
            <w:pPr>
              <w:spacing w:after="0"/>
              <w:rPr>
                <w:sz w:val="20"/>
                <w:szCs w:val="20"/>
                <w:color w:val="auto"/>
              </w:rPr>
            </w:pPr>
          </w:p>
        </w:tc>
        <w:tc>
          <w:tcPr>
            <w:tcW w:w="1680" w:type="dxa"/>
            <w:vAlign w:val="bottom"/>
          </w:tcPr>
          <w:p>
            <w:pPr>
              <w:jc w:val="right"/>
              <w:ind w:right="494"/>
              <w:spacing w:after="0"/>
              <w:rPr>
                <w:sz w:val="20"/>
                <w:szCs w:val="20"/>
                <w:color w:val="auto"/>
              </w:rPr>
            </w:pPr>
            <w:r>
              <w:rPr>
                <w:rFonts w:ascii="Arial" w:cs="Arial" w:eastAsia="Arial" w:hAnsi="Arial"/>
                <w:sz w:val="18"/>
                <w:szCs w:val="18"/>
                <w:color w:val="auto"/>
              </w:rPr>
              <w:t>(152)</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(9.6)</w:t>
            </w:r>
          </w:p>
        </w:tc>
      </w:tr>
      <w:tr>
        <w:trPr>
          <w:trHeight w:val="27"/>
        </w:trPr>
        <w:tc>
          <w:tcPr>
            <w:tcW w:w="5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94"/>
              <w:spacing w:after="0"/>
              <w:rPr>
                <w:sz w:val="20"/>
                <w:szCs w:val="20"/>
                <w:color w:val="auto"/>
              </w:rPr>
            </w:pPr>
            <w:r>
              <w:rPr>
                <w:rFonts w:ascii="Arial" w:cs="Arial" w:eastAsia="Arial" w:hAnsi="Arial"/>
                <w:sz w:val="18"/>
                <w:szCs w:val="18"/>
                <w:b w:val="1"/>
                <w:bCs w:val="1"/>
                <w:color w:val="auto"/>
              </w:rPr>
              <w:t>203</w:t>
            </w: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auto"/>
              </w:rPr>
              <w:t>371</w:t>
            </w:r>
          </w:p>
        </w:tc>
        <w:tc>
          <w:tcPr>
            <w:tcW w:w="5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494"/>
              <w:spacing w:after="0"/>
              <w:rPr>
                <w:sz w:val="20"/>
                <w:szCs w:val="20"/>
                <w:color w:val="auto"/>
              </w:rPr>
            </w:pPr>
            <w:r>
              <w:rPr>
                <w:rFonts w:ascii="Arial" w:cs="Arial" w:eastAsia="Arial" w:hAnsi="Arial"/>
                <w:sz w:val="18"/>
                <w:szCs w:val="18"/>
                <w:b w:val="1"/>
                <w:bCs w:val="1"/>
                <w:color w:val="auto"/>
              </w:rPr>
              <w:t>(168)</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(45.2)%</w:t>
            </w:r>
          </w:p>
        </w:tc>
      </w:tr>
      <w:tr>
        <w:trPr>
          <w:trHeight w:val="34"/>
        </w:trPr>
        <w:tc>
          <w:tcPr>
            <w:tcW w:w="5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Filmed Entertainment revenue decreased for the three months ended March 31, 2018 compared to the same period in 2017 primarily due to a decrease in theatrical revenue. The decrease in theatrical revenue was primarily due to a higher number of releases in the prior year period, including </w:t>
      </w:r>
      <w:r>
        <w:rPr>
          <w:rFonts w:ascii="Arial" w:cs="Arial" w:eastAsia="Arial" w:hAnsi="Arial"/>
          <w:sz w:val="18"/>
          <w:szCs w:val="18"/>
          <w:i w:val="1"/>
          <w:iCs w:val="1"/>
          <w:color w:val="auto"/>
        </w:rPr>
        <w:t>Fifty Shades</w:t>
      </w:r>
      <w:r>
        <w:rPr>
          <w:rFonts w:ascii="Arial" w:cs="Arial" w:eastAsia="Arial" w:hAnsi="Arial"/>
          <w:sz w:val="18"/>
          <w:szCs w:val="18"/>
          <w:color w:val="auto"/>
        </w:rPr>
        <w:t xml:space="preserve"> </w:t>
      </w:r>
      <w:r>
        <w:rPr>
          <w:rFonts w:ascii="Arial" w:cs="Arial" w:eastAsia="Arial" w:hAnsi="Arial"/>
          <w:sz w:val="18"/>
          <w:szCs w:val="18"/>
          <w:i w:val="1"/>
          <w:iCs w:val="1"/>
          <w:color w:val="auto"/>
        </w:rPr>
        <w:t>Darker</w:t>
      </w:r>
      <w:r>
        <w:rPr>
          <w:rFonts w:ascii="Arial" w:cs="Arial" w:eastAsia="Arial" w:hAnsi="Arial"/>
          <w:sz w:val="18"/>
          <w:szCs w:val="18"/>
          <w:color w:val="auto"/>
        </w:rPr>
        <w:t>,</w:t>
      </w:r>
      <w:r>
        <w:rPr>
          <w:rFonts w:ascii="Arial" w:cs="Arial" w:eastAsia="Arial" w:hAnsi="Arial"/>
          <w:sz w:val="18"/>
          <w:szCs w:val="18"/>
          <w:i w:val="1"/>
          <w:iCs w:val="1"/>
          <w:color w:val="auto"/>
        </w:rPr>
        <w:t xml:space="preserve"> Sing</w:t>
      </w:r>
      <w:r>
        <w:rPr>
          <w:rFonts w:ascii="Arial" w:cs="Arial" w:eastAsia="Arial" w:hAnsi="Arial"/>
          <w:sz w:val="18"/>
          <w:szCs w:val="18"/>
          <w:color w:val="auto"/>
        </w:rPr>
        <w:t>,</w:t>
      </w:r>
      <w:r>
        <w:rPr>
          <w:rFonts w:ascii="Arial" w:cs="Arial" w:eastAsia="Arial" w:hAnsi="Arial"/>
          <w:sz w:val="18"/>
          <w:szCs w:val="18"/>
          <w:i w:val="1"/>
          <w:iCs w:val="1"/>
          <w:color w:val="auto"/>
        </w:rPr>
        <w:t xml:space="preserve"> Split </w:t>
      </w:r>
      <w:r>
        <w:rPr>
          <w:rFonts w:ascii="Arial" w:cs="Arial" w:eastAsia="Arial" w:hAnsi="Arial"/>
          <w:sz w:val="18"/>
          <w:szCs w:val="18"/>
          <w:color w:val="auto"/>
        </w:rPr>
        <w:t>and</w:t>
      </w:r>
      <w:r>
        <w:rPr>
          <w:rFonts w:ascii="Arial" w:cs="Arial" w:eastAsia="Arial" w:hAnsi="Arial"/>
          <w:sz w:val="18"/>
          <w:szCs w:val="18"/>
          <w:i w:val="1"/>
          <w:iCs w:val="1"/>
          <w:color w:val="auto"/>
        </w:rPr>
        <w:t xml:space="preserve"> Get Out</w:t>
      </w:r>
      <w:r>
        <w:rPr>
          <w:rFonts w:ascii="Arial" w:cs="Arial" w:eastAsia="Arial" w:hAnsi="Arial"/>
          <w:sz w:val="18"/>
          <w:szCs w:val="18"/>
          <w:color w:val="auto"/>
        </w:rPr>
        <w:t>, which was partially offset by the strong performances of</w:t>
      </w:r>
      <w:r>
        <w:rPr>
          <w:rFonts w:ascii="Arial" w:cs="Arial" w:eastAsia="Arial" w:hAnsi="Arial"/>
          <w:sz w:val="18"/>
          <w:szCs w:val="18"/>
          <w:i w:val="1"/>
          <w:iCs w:val="1"/>
          <w:color w:val="auto"/>
        </w:rPr>
        <w:t xml:space="preserve"> Fifty Shades Freed</w:t>
      </w:r>
      <w:r>
        <w:rPr>
          <w:rFonts w:ascii="Arial" w:cs="Arial" w:eastAsia="Arial" w:hAnsi="Arial"/>
          <w:sz w:val="18"/>
          <w:szCs w:val="18"/>
          <w:color w:val="auto"/>
        </w:rPr>
        <w:t>,</w:t>
      </w:r>
      <w:r>
        <w:rPr>
          <w:rFonts w:ascii="Arial" w:cs="Arial" w:eastAsia="Arial" w:hAnsi="Arial"/>
          <w:sz w:val="18"/>
          <w:szCs w:val="18"/>
          <w:i w:val="1"/>
          <w:iCs w:val="1"/>
          <w:color w:val="auto"/>
        </w:rPr>
        <w:t xml:space="preserve"> Pacific Rim Uprising</w:t>
      </w:r>
      <w:r>
        <w:rPr>
          <w:rFonts w:ascii="Arial" w:cs="Arial" w:eastAsia="Arial" w:hAnsi="Arial"/>
          <w:sz w:val="18"/>
          <w:szCs w:val="18"/>
          <w:color w:val="auto"/>
        </w:rPr>
        <w:t>,</w:t>
      </w:r>
      <w:r>
        <w:rPr>
          <w:rFonts w:ascii="Arial" w:cs="Arial" w:eastAsia="Arial" w:hAnsi="Arial"/>
          <w:sz w:val="18"/>
          <w:szCs w:val="18"/>
          <w:i w:val="1"/>
          <w:iCs w:val="1"/>
          <w:color w:val="auto"/>
        </w:rPr>
        <w:t xml:space="preserve"> Darkest Hour </w:t>
      </w:r>
      <w:r>
        <w:rPr>
          <w:rFonts w:ascii="Arial" w:cs="Arial" w:eastAsia="Arial" w:hAnsi="Arial"/>
          <w:sz w:val="18"/>
          <w:szCs w:val="18"/>
          <w:color w:val="auto"/>
        </w:rPr>
        <w:t>and</w:t>
      </w:r>
      <w:r>
        <w:rPr>
          <w:rFonts w:ascii="Arial" w:cs="Arial" w:eastAsia="Arial" w:hAnsi="Arial"/>
          <w:sz w:val="18"/>
          <w:szCs w:val="18"/>
          <w:i w:val="1"/>
          <w:iCs w:val="1"/>
          <w:color w:val="auto"/>
        </w:rPr>
        <w:t xml:space="preserve"> Pitch Perfect 3 </w:t>
      </w:r>
      <w:r>
        <w:rPr>
          <w:rFonts w:ascii="Arial" w:cs="Arial" w:eastAsia="Arial" w:hAnsi="Arial"/>
          <w:sz w:val="18"/>
          <w:szCs w:val="18"/>
          <w:color w:val="auto"/>
        </w:rPr>
        <w:t>in the current year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decreased for the three months ended March 31, 2018 compared to the same period in 2017 primarily due to a decrease in programming and production costs related to a higher number of releases in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gridSpan w:val="2"/>
          </w:tcPr>
          <w:p>
            <w:pPr>
              <w:jc w:val="right"/>
              <w:ind w:right="299"/>
              <w:spacing w:after="0"/>
              <w:rPr>
                <w:sz w:val="20"/>
                <w:szCs w:val="20"/>
                <w:color w:val="auto"/>
              </w:rPr>
            </w:pPr>
            <w:r>
              <w:rPr>
                <w:rFonts w:ascii="Arial" w:cs="Arial" w:eastAsia="Arial" w:hAnsi="Arial"/>
                <w:sz w:val="14"/>
                <w:szCs w:val="14"/>
                <w:color w:val="auto"/>
              </w:rPr>
              <w:t>Three Months Ended</w:t>
            </w: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Arial" w:cs="Arial" w:eastAsia="Arial" w:hAnsi="Arial"/>
                <w:sz w:val="14"/>
                <w:szCs w:val="14"/>
                <w:color w:val="auto"/>
              </w:rPr>
              <w:t>Increase/</w:t>
            </w:r>
          </w:p>
        </w:tc>
        <w:tc>
          <w:tcPr>
            <w:tcW w:w="94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color w:val="auto"/>
                <w:w w:val="95"/>
              </w:rPr>
              <w:t>March 31</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(Decrease)</w:t>
            </w:r>
          </w:p>
        </w:tc>
        <w:tc>
          <w:tcPr>
            <w:tcW w:w="940" w:type="dxa"/>
            <w:vAlign w:val="bottom"/>
            <w:tcBorders>
              <w:bottom w:val="single" w:sz="8" w:color="auto"/>
            </w:tcBorders>
          </w:tcPr>
          <w:p>
            <w:pPr>
              <w:spacing w:after="0"/>
              <w:rPr>
                <w:sz w:val="16"/>
                <w:szCs w:val="16"/>
                <w:color w:val="auto"/>
              </w:rPr>
            </w:pP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1,281</w:t>
            </w:r>
          </w:p>
        </w:tc>
        <w:tc>
          <w:tcPr>
            <w:tcW w:w="1300" w:type="dxa"/>
            <w:vAlign w:val="bottom"/>
          </w:tcPr>
          <w:p>
            <w:pPr>
              <w:jc w:val="right"/>
              <w:ind w:right="819"/>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1,118</w:t>
            </w:r>
          </w:p>
        </w:tc>
        <w:tc>
          <w:tcPr>
            <w:tcW w:w="100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7"/>
              <w:spacing w:after="0"/>
              <w:rPr>
                <w:sz w:val="20"/>
                <w:szCs w:val="20"/>
                <w:color w:val="auto"/>
              </w:rPr>
            </w:pPr>
            <w:r>
              <w:rPr>
                <w:rFonts w:ascii="Arial" w:cs="Arial" w:eastAsia="Arial" w:hAnsi="Arial"/>
                <w:sz w:val="18"/>
                <w:szCs w:val="18"/>
                <w:color w:val="auto"/>
              </w:rPr>
              <w:t>163</w:t>
            </w: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8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786</w:t>
            </w:r>
          </w:p>
        </w:tc>
        <w:tc>
          <w:tcPr>
            <w:tcW w:w="130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721</w:t>
            </w:r>
          </w:p>
        </w:tc>
        <w:tc>
          <w:tcPr>
            <w:tcW w:w="1000" w:type="dxa"/>
            <w:vAlign w:val="bottom"/>
          </w:tcPr>
          <w:p>
            <w:pPr>
              <w:spacing w:after="0"/>
              <w:rPr>
                <w:sz w:val="23"/>
                <w:szCs w:val="23"/>
                <w:color w:val="auto"/>
              </w:rPr>
            </w:pPr>
          </w:p>
        </w:tc>
        <w:tc>
          <w:tcPr>
            <w:tcW w:w="1040" w:type="dxa"/>
            <w:vAlign w:val="bottom"/>
          </w:tcPr>
          <w:p>
            <w:pPr>
              <w:jc w:val="right"/>
              <w:ind w:right="537"/>
              <w:spacing w:after="0"/>
              <w:rPr>
                <w:sz w:val="20"/>
                <w:szCs w:val="20"/>
                <w:color w:val="auto"/>
              </w:rPr>
            </w:pPr>
            <w:r>
              <w:rPr>
                <w:rFonts w:ascii="Arial" w:cs="Arial" w:eastAsia="Arial" w:hAnsi="Arial"/>
                <w:sz w:val="18"/>
                <w:szCs w:val="18"/>
                <w:color w:val="auto"/>
              </w:rPr>
              <w:t>65</w:t>
            </w: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9.0</w:t>
            </w:r>
          </w:p>
        </w:tc>
      </w:tr>
      <w:tr>
        <w:trPr>
          <w:trHeight w:val="27"/>
        </w:trPr>
        <w:tc>
          <w:tcPr>
            <w:tcW w:w="5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495</w:t>
            </w:r>
          </w:p>
        </w:tc>
        <w:tc>
          <w:tcPr>
            <w:tcW w:w="1300" w:type="dxa"/>
            <w:vAlign w:val="bottom"/>
          </w:tcPr>
          <w:p>
            <w:pPr>
              <w:jc w:val="right"/>
              <w:ind w:right="819"/>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397</w:t>
            </w:r>
          </w:p>
        </w:tc>
        <w:tc>
          <w:tcPr>
            <w:tcW w:w="1000" w:type="dxa"/>
            <w:vAlign w:val="bottom"/>
          </w:tcPr>
          <w:p>
            <w:pPr>
              <w:jc w:val="right"/>
              <w:ind w:right="636"/>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37"/>
              <w:spacing w:after="0"/>
              <w:rPr>
                <w:sz w:val="20"/>
                <w:szCs w:val="20"/>
                <w:color w:val="auto"/>
              </w:rPr>
            </w:pPr>
            <w:r>
              <w:rPr>
                <w:rFonts w:ascii="Arial" w:cs="Arial" w:eastAsia="Arial" w:hAnsi="Arial"/>
                <w:sz w:val="18"/>
                <w:szCs w:val="18"/>
                <w:b w:val="1"/>
                <w:bCs w:val="1"/>
                <w:color w:val="auto"/>
              </w:rPr>
              <w:t>98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24.6%</w:t>
            </w:r>
          </w:p>
        </w:tc>
      </w:tr>
      <w:tr>
        <w:trPr>
          <w:trHeight w:val="34"/>
        </w:trPr>
        <w:tc>
          <w:tcPr>
            <w:tcW w:w="5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Theme Parks revenue increased for the three months ended March 31, 2018 compared to the same period in 2017 primarily due to an increase in guest spending, including the continued success of </w:t>
      </w:r>
      <w:r>
        <w:rPr>
          <w:rFonts w:ascii="Arial" w:cs="Arial" w:eastAsia="Arial" w:hAnsi="Arial"/>
          <w:sz w:val="17"/>
          <w:szCs w:val="17"/>
          <w:i w:val="1"/>
          <w:iCs w:val="1"/>
          <w:color w:val="auto"/>
        </w:rPr>
        <w:t>Minion Park™</w:t>
      </w:r>
      <w:r>
        <w:rPr>
          <w:rFonts w:ascii="Arial" w:cs="Arial" w:eastAsia="Arial" w:hAnsi="Arial"/>
          <w:sz w:val="17"/>
          <w:szCs w:val="17"/>
          <w:color w:val="auto"/>
        </w:rPr>
        <w:t xml:space="preserve"> in Japan, </w:t>
      </w:r>
      <w:r>
        <w:rPr>
          <w:rFonts w:ascii="Arial" w:cs="Arial" w:eastAsia="Arial" w:hAnsi="Arial"/>
          <w:sz w:val="17"/>
          <w:szCs w:val="17"/>
          <w:i w:val="1"/>
          <w:iCs w:val="1"/>
          <w:color w:val="auto"/>
        </w:rPr>
        <w:t>Volcano Bay™</w:t>
      </w:r>
      <w:r>
        <w:rPr>
          <w:rFonts w:ascii="Arial" w:cs="Arial" w:eastAsia="Arial" w:hAnsi="Arial"/>
          <w:sz w:val="17"/>
          <w:szCs w:val="17"/>
          <w:color w:val="auto"/>
        </w:rPr>
        <w:t xml:space="preserve"> in Orlando and </w:t>
      </w:r>
      <w:r>
        <w:rPr>
          <w:rFonts w:ascii="Arial" w:cs="Arial" w:eastAsia="Arial" w:hAnsi="Arial"/>
          <w:sz w:val="17"/>
          <w:szCs w:val="17"/>
          <w:i w:val="1"/>
          <w:iCs w:val="1"/>
          <w:color w:val="auto"/>
        </w:rPr>
        <w:t>The Wizarding World of Harry Potter™</w:t>
      </w:r>
      <w:r>
        <w:rPr>
          <w:rFonts w:ascii="Arial" w:cs="Arial" w:eastAsia="Arial" w:hAnsi="Arial"/>
          <w:sz w:val="17"/>
          <w:szCs w:val="17"/>
          <w:color w:val="auto"/>
        </w:rPr>
        <w:t xml:space="preserve"> attraction in Hollywood. The increase in revenue was also impacted by the timing of spring holidays as compared to the prior year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increased for the three months ended March 31, 2018 compared to the same period in 2017 primarily due to higher operating costs related to new attractions, employee-related costs and additional marketing costs associated with our theme parks.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7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2"/>
          </w:tcPr>
          <w:p>
            <w:pPr>
              <w:jc w:val="right"/>
              <w:ind w:right="276"/>
              <w:spacing w:after="0"/>
              <w:rPr>
                <w:sz w:val="20"/>
                <w:szCs w:val="20"/>
                <w:color w:val="auto"/>
              </w:rPr>
            </w:pPr>
            <w:r>
              <w:rPr>
                <w:rFonts w:ascii="Arial" w:cs="Arial" w:eastAsia="Arial" w:hAnsi="Arial"/>
                <w:sz w:val="14"/>
                <w:szCs w:val="14"/>
                <w:color w:val="auto"/>
                <w:w w:val="93"/>
              </w:rPr>
              <w:t>Three Months Ended</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jc w:val="right"/>
              <w:ind w:right="177"/>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596"/>
              <w:spacing w:after="0"/>
              <w:rPr>
                <w:sz w:val="20"/>
                <w:szCs w:val="20"/>
                <w:color w:val="auto"/>
              </w:rPr>
            </w:pPr>
            <w:r>
              <w:rPr>
                <w:rFonts w:ascii="Arial" w:cs="Arial" w:eastAsia="Arial" w:hAnsi="Arial"/>
                <w:sz w:val="14"/>
                <w:szCs w:val="14"/>
                <w:color w:val="auto"/>
              </w:rPr>
              <w:t>March 31</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19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391</w:t>
            </w:r>
          </w:p>
        </w:tc>
        <w:tc>
          <w:tcPr>
            <w:tcW w:w="100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208</w:t>
            </w:r>
          </w:p>
        </w:tc>
        <w:tc>
          <w:tcPr>
            <w:tcW w:w="940" w:type="dxa"/>
            <w:vAlign w:val="bottom"/>
          </w:tcPr>
          <w:p>
            <w:pPr>
              <w:jc w:val="right"/>
              <w:ind w:right="616"/>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37"/>
              <w:spacing w:after="0"/>
              <w:rPr>
                <w:sz w:val="20"/>
                <w:szCs w:val="20"/>
                <w:color w:val="auto"/>
              </w:rPr>
            </w:pPr>
            <w:r>
              <w:rPr>
                <w:rFonts w:ascii="Arial" w:cs="Arial" w:eastAsia="Arial" w:hAnsi="Arial"/>
                <w:sz w:val="18"/>
                <w:szCs w:val="18"/>
                <w:color w:val="auto"/>
              </w:rPr>
              <w:t>183</w:t>
            </w:r>
          </w:p>
        </w:tc>
        <w:tc>
          <w:tcPr>
            <w:tcW w:w="1020" w:type="dxa"/>
            <w:vAlign w:val="bottom"/>
          </w:tcPr>
          <w:p>
            <w:pPr>
              <w:jc w:val="right"/>
              <w:spacing w:after="0"/>
              <w:rPr>
                <w:sz w:val="20"/>
                <w:szCs w:val="20"/>
                <w:color w:val="auto"/>
              </w:rPr>
            </w:pPr>
            <w:r>
              <w:rPr>
                <w:rFonts w:ascii="Arial" w:cs="Arial" w:eastAsia="Arial" w:hAnsi="Arial"/>
                <w:sz w:val="18"/>
                <w:szCs w:val="18"/>
                <w:color w:val="auto"/>
              </w:rPr>
              <w:t>88.2 %</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860" w:type="dxa"/>
            <w:vAlign w:val="bottom"/>
          </w:tcPr>
          <w:p>
            <w:pPr>
              <w:spacing w:after="0"/>
              <w:rPr>
                <w:sz w:val="23"/>
                <w:szCs w:val="23"/>
                <w:color w:val="auto"/>
              </w:rPr>
            </w:pP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788</w:t>
            </w:r>
          </w:p>
        </w:tc>
        <w:tc>
          <w:tcPr>
            <w:tcW w:w="100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402</w:t>
            </w:r>
          </w:p>
        </w:tc>
        <w:tc>
          <w:tcPr>
            <w:tcW w:w="940" w:type="dxa"/>
            <w:vAlign w:val="bottom"/>
          </w:tcPr>
          <w:p>
            <w:pPr>
              <w:spacing w:after="0"/>
              <w:rPr>
                <w:sz w:val="23"/>
                <w:szCs w:val="23"/>
                <w:color w:val="auto"/>
              </w:rPr>
            </w:pPr>
          </w:p>
        </w:tc>
        <w:tc>
          <w:tcPr>
            <w:tcW w:w="1260" w:type="dxa"/>
            <w:vAlign w:val="bottom"/>
          </w:tcPr>
          <w:p>
            <w:pPr>
              <w:jc w:val="right"/>
              <w:ind w:right="737"/>
              <w:spacing w:after="0"/>
              <w:rPr>
                <w:sz w:val="20"/>
                <w:szCs w:val="20"/>
                <w:color w:val="auto"/>
              </w:rPr>
            </w:pPr>
            <w:r>
              <w:rPr>
                <w:rFonts w:ascii="Arial" w:cs="Arial" w:eastAsia="Arial" w:hAnsi="Arial"/>
                <w:sz w:val="18"/>
                <w:szCs w:val="18"/>
                <w:color w:val="auto"/>
              </w:rPr>
              <w:t>386</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96.1</w:t>
            </w:r>
          </w:p>
        </w:tc>
      </w:tr>
      <w:tr>
        <w:trPr>
          <w:trHeight w:val="27"/>
        </w:trPr>
        <w:tc>
          <w:tcPr>
            <w:tcW w:w="5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860" w:type="dxa"/>
            <w:vAlign w:val="bottom"/>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57"/>
              <w:spacing w:after="0"/>
              <w:rPr>
                <w:sz w:val="20"/>
                <w:szCs w:val="20"/>
                <w:color w:val="auto"/>
              </w:rPr>
            </w:pPr>
            <w:r>
              <w:rPr>
                <w:rFonts w:ascii="Arial" w:cs="Arial" w:eastAsia="Arial" w:hAnsi="Arial"/>
                <w:sz w:val="18"/>
                <w:szCs w:val="18"/>
                <w:b w:val="1"/>
                <w:bCs w:val="1"/>
                <w:color w:val="auto"/>
              </w:rPr>
              <w:t>(397)</w:t>
            </w:r>
          </w:p>
        </w:tc>
        <w:tc>
          <w:tcPr>
            <w:tcW w:w="1000" w:type="dxa"/>
            <w:vAlign w:val="bottom"/>
          </w:tcPr>
          <w:p>
            <w:pPr>
              <w:jc w:val="right"/>
              <w:ind w:right="676"/>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(194)</w:t>
            </w:r>
          </w:p>
        </w:tc>
        <w:tc>
          <w:tcPr>
            <w:tcW w:w="940" w:type="dxa"/>
            <w:vAlign w:val="bottom"/>
          </w:tcPr>
          <w:p>
            <w:pPr>
              <w:jc w:val="right"/>
              <w:ind w:right="616"/>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677"/>
              <w:spacing w:after="0"/>
              <w:rPr>
                <w:sz w:val="20"/>
                <w:szCs w:val="20"/>
                <w:color w:val="auto"/>
              </w:rPr>
            </w:pPr>
            <w:r>
              <w:rPr>
                <w:rFonts w:ascii="Arial" w:cs="Arial" w:eastAsia="Arial" w:hAnsi="Arial"/>
                <w:sz w:val="18"/>
                <w:szCs w:val="18"/>
                <w:b w:val="1"/>
                <w:bCs w:val="1"/>
                <w:color w:val="auto"/>
              </w:rPr>
              <w:t>(203)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(104.6)%</w:t>
            </w:r>
          </w:p>
        </w:tc>
      </w:tr>
      <w:tr>
        <w:trPr>
          <w:trHeight w:val="34"/>
        </w:trPr>
        <w:tc>
          <w:tcPr>
            <w:tcW w:w="5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revenue primarily relates to revenue from business development initiatives, such as our wireless phone service that launched in 2017, and from Comcast Spectacor, which owns the Philadelphia Flyers and the Wells Fargo Center arena in Philadelphia, Pennsylvania and operates arena management-related businesses.</w:t>
      </w:r>
    </w:p>
    <w:p>
      <w:pPr>
        <w:spacing w:after="0" w:line="127" w:lineRule="exact"/>
        <w:rPr>
          <w:sz w:val="20"/>
          <w:szCs w:val="20"/>
          <w:color w:val="auto"/>
        </w:rPr>
      </w:pPr>
    </w:p>
    <w:p>
      <w:pPr>
        <w:ind w:right="460"/>
        <w:spacing w:after="0" w:line="438" w:lineRule="auto"/>
        <w:rPr>
          <w:sz w:val="20"/>
          <w:szCs w:val="20"/>
          <w:color w:val="auto"/>
        </w:rPr>
      </w:pPr>
      <w:r>
        <w:rPr>
          <w:rFonts w:ascii="Arial" w:cs="Arial" w:eastAsia="Arial" w:hAnsi="Arial"/>
          <w:sz w:val="18"/>
          <w:szCs w:val="18"/>
          <w:color w:val="auto"/>
        </w:rPr>
        <w:t xml:space="preserve">Corporate and Other revenue increased for the three months ended March 31, 2018 primarily due to revenue associated with our wireless phone service. </w:t>
      </w:r>
      <w:r>
        <w:rPr>
          <w:rFonts w:ascii="Arial" w:cs="Arial" w:eastAsia="Arial" w:hAnsi="Arial"/>
          <w:sz w:val="18"/>
          <w:szCs w:val="18"/>
          <w:b w:val="1"/>
          <w:bCs w:val="1"/>
          <w:color w:val="auto"/>
        </w:rPr>
        <w:t>Corporate and Other—Operating Costs and Expenses</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costs of other business development initiatives, including our wireless phone service, and operating costs and expenses associated with Comcast Spectacor.</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operating costs and expenses increased for the three months ended March 31, 2018 primarily due to expenses associated with our wireless phone service.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Interest Expense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for the three months ended March 31, 2018 compared to the same period in 2017 primarily due to increases in our debt outstanding.</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Investment and Other Income (Loss), Net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8"/>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89"/>
              </w:rPr>
              <w:t>2017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36</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360" w:type="dxa"/>
            <w:vAlign w:val="bottom"/>
          </w:tcPr>
          <w:p>
            <w:pPr>
              <w:spacing w:after="0"/>
              <w:rPr>
                <w:sz w:val="23"/>
                <w:szCs w:val="23"/>
                <w:color w:val="auto"/>
              </w:rPr>
            </w:pP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60" w:type="dxa"/>
            <w:vAlign w:val="bottom"/>
          </w:tcPr>
          <w:p>
            <w:pPr>
              <w:spacing w:after="0"/>
              <w:rPr>
                <w:sz w:val="23"/>
                <w:szCs w:val="23"/>
                <w:color w:val="auto"/>
              </w:rPr>
            </w:pP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147</w:t>
            </w:r>
          </w:p>
        </w:tc>
        <w:tc>
          <w:tcPr>
            <w:tcW w:w="64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99</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8"/>
              <w:spacing w:after="0"/>
              <w:rPr>
                <w:sz w:val="20"/>
                <w:szCs w:val="20"/>
                <w:color w:val="auto"/>
              </w:rPr>
            </w:pPr>
            <w:r>
              <w:rPr>
                <w:rFonts w:ascii="Arial" w:cs="Arial" w:eastAsia="Arial" w:hAnsi="Arial"/>
                <w:sz w:val="18"/>
                <w:szCs w:val="18"/>
                <w:b w:val="1"/>
                <w:bCs w:val="1"/>
                <w:color w:val="auto"/>
              </w:rPr>
              <w:t>126</w:t>
            </w:r>
          </w:p>
        </w:tc>
        <w:tc>
          <w:tcPr>
            <w:tcW w:w="6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130</w:t>
            </w:r>
          </w:p>
        </w:tc>
      </w:tr>
      <w:tr>
        <w:trPr>
          <w:trHeight w:val="34"/>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change in equity in net income (losses) of investees, net for the three months ended March 31, 2018 compared to the same period in 2017 was primarily related to our equity method investments in Atairos and Hulu. Atairos follows investment company accounting and records its investments at their fair values each reporting period with the net gains or losses reflected in its statement of income. We recognize our share of these gains and losses in equity in net income (losses) of investees, net. The loss at Hulu was primarily due to higher programming and marketing costs. The equity in net income (losses) of Atairos and Hulu for the three months ended March 31, 2018 and 2017 are presented in the table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w w:val="93"/>
              </w:rPr>
              <w:t>Three Months Ended</w:t>
            </w:r>
          </w:p>
        </w:tc>
        <w:tc>
          <w:tcPr>
            <w:tcW w:w="900" w:type="dxa"/>
            <w:vAlign w:val="bottom"/>
          </w:tcPr>
          <w:p>
            <w:pPr>
              <w:spacing w:after="0"/>
              <w:rPr>
                <w:sz w:val="14"/>
                <w:szCs w:val="14"/>
                <w:color w:val="auto"/>
              </w:rPr>
            </w:pPr>
          </w:p>
        </w:tc>
      </w:tr>
      <w:tr>
        <w:trPr>
          <w:trHeight w:val="188"/>
        </w:trPr>
        <w:tc>
          <w:tcPr>
            <w:tcW w:w="8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89"/>
              </w:rPr>
              <w:t>2017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Atairos</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9"/>
              <w:spacing w:after="0"/>
              <w:rPr>
                <w:sz w:val="20"/>
                <w:szCs w:val="20"/>
                <w:color w:val="auto"/>
              </w:rPr>
            </w:pPr>
            <w:r>
              <w:rPr>
                <w:rFonts w:ascii="Arial" w:cs="Arial" w:eastAsia="Arial" w:hAnsi="Arial"/>
                <w:sz w:val="18"/>
                <w:szCs w:val="18"/>
                <w:color w:val="auto"/>
              </w:rPr>
              <w:t>35</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57</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Hulu</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8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and Unrealized Gains (Losses) on Equity Securities, Net</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realized and unrealized gains (losses) on equity securities, net for the three months ended March 31, 2018 compared to the same period in 2017 was primarily due to the adoption of updated accounting guidance for our marketable equity securities, which primarily relates to our investment in Snap (see Note 9).</w:t>
      </w:r>
    </w:p>
    <w:p>
      <w:pPr>
        <w:sectPr>
          <w:pgSz w:w="11900" w:h="16838" w:orient="portrait"/>
          <w:cols w:equalWidth="0" w:num="1">
            <w:col w:w="11420"/>
          </w:cols>
          <w:pgMar w:left="240" w:top="17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75"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 Net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other income (loss), net for the three months ended March 31, 2018 compared to the same period in 2017 was primarily related to a $64 million pretax gain related to the sale of our investment in The Weather Channel cable network (see Note 9).</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tax expense for the three months ended March 31, 2018 and 2017 reflects an effective income tax rate that differs from the federal statutory rate primarily due to state and foreign income taxes and adjustments associated with uncertain tax positions. The decrease in income tax expense for the three months ended March 31, 2018 was primarily due to the effects of the 2017 Tax Act, which were partially offset by higher taxable income from operations. The 2017 Tax Act, among other things, reduced the federal corporate income tax rate to 21% from 35%, effective January 1, 2018. In addition, we recognized an income tax benefit of $128 million for the three months ended March 31, 2018 related to additional federal tax legislation enacted in 2018.</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Consolidated 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consolidated Adjusted EBITDA may not be directly comparable to similar measures used by other companies.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define consolidated Adjusted EBITDA as net income attributable to Comcast Corporation before net income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reconcile consolidated Adjusted EBITDA to net income attributable to Comcast Corporation. This measure should not be considered a substitute for operating income, net income, net income attributable to Comcast Corporation, or net cash provided by operating activities that we have reported in accordance with GAAP.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Attributable to Comcast Corporation to Adjusted EBITDA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40" w:type="dxa"/>
            <w:vAlign w:val="bottom"/>
          </w:tcPr>
          <w:p>
            <w:pPr>
              <w:spacing w:after="0"/>
              <w:rPr>
                <w:sz w:val="14"/>
                <w:szCs w:val="14"/>
                <w:color w:val="auto"/>
              </w:rPr>
            </w:pPr>
          </w:p>
        </w:tc>
      </w:tr>
      <w:tr>
        <w:trPr>
          <w:trHeight w:val="188"/>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6"/>
                <w:szCs w:val="16"/>
                <w:color w:val="auto"/>
              </w:rPr>
            </w:pPr>
          </w:p>
        </w:tc>
      </w:tr>
      <w:tr>
        <w:trPr>
          <w:trHeight w:val="264"/>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w w:val="89"/>
              </w:rPr>
              <w:t>2017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35"/>
              <w:spacing w:after="0"/>
              <w:rPr>
                <w:sz w:val="20"/>
                <w:szCs w:val="20"/>
                <w:color w:val="auto"/>
              </w:rPr>
            </w:pPr>
            <w:r>
              <w:rPr>
                <w:rFonts w:ascii="Arial" w:cs="Arial" w:eastAsia="Arial" w:hAnsi="Arial"/>
                <w:sz w:val="18"/>
                <w:szCs w:val="18"/>
                <w:b w:val="1"/>
                <w:bCs w:val="1"/>
                <w:color w:val="auto"/>
              </w:rPr>
              <w:t>3,118</w:t>
            </w:r>
          </w:p>
        </w:tc>
        <w:tc>
          <w:tcPr>
            <w:tcW w:w="6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2,573</w:t>
            </w: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 and redeemable subsidiary preferred stock</w:t>
            </w:r>
          </w:p>
        </w:tc>
        <w:tc>
          <w:tcPr>
            <w:tcW w:w="320" w:type="dxa"/>
            <w:vAlign w:val="bottom"/>
          </w:tcPr>
          <w:p>
            <w:pPr>
              <w:spacing w:after="0"/>
              <w:rPr>
                <w:sz w:val="23"/>
                <w:szCs w:val="23"/>
                <w:color w:val="auto"/>
              </w:rPr>
            </w:pP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58</w:t>
            </w:r>
          </w:p>
        </w:tc>
        <w:tc>
          <w:tcPr>
            <w:tcW w:w="64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82</w:t>
            </w: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3"/>
                <w:szCs w:val="23"/>
                <w:color w:val="auto"/>
              </w:rPr>
            </w:pP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818</w:t>
            </w:r>
          </w:p>
        </w:tc>
        <w:tc>
          <w:tcPr>
            <w:tcW w:w="64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1,262</w:t>
            </w: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3"/>
                <w:szCs w:val="23"/>
                <w:color w:val="auto"/>
              </w:rPr>
            </w:pP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777</w:t>
            </w:r>
          </w:p>
        </w:tc>
        <w:tc>
          <w:tcPr>
            <w:tcW w:w="64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755</w:t>
            </w: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20" w:type="dxa"/>
            <w:vAlign w:val="bottom"/>
          </w:tcPr>
          <w:p>
            <w:pPr>
              <w:spacing w:after="0"/>
              <w:rPr>
                <w:sz w:val="23"/>
                <w:szCs w:val="23"/>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(126)</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3"/>
                <w:szCs w:val="23"/>
                <w:color w:val="auto"/>
              </w:rPr>
            </w:pP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2,011</w:t>
            </w:r>
          </w:p>
        </w:tc>
        <w:tc>
          <w:tcPr>
            <w:tcW w:w="64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1,915</w:t>
            </w: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3"/>
                <w:szCs w:val="23"/>
                <w:color w:val="auto"/>
              </w:rPr>
            </w:pP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588</w:t>
            </w:r>
          </w:p>
        </w:tc>
        <w:tc>
          <w:tcPr>
            <w:tcW w:w="64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553</w:t>
            </w:r>
          </w:p>
        </w:tc>
      </w:tr>
      <w:tr>
        <w:trPr>
          <w:trHeight w:val="27"/>
        </w:trPr>
        <w:tc>
          <w:tcPr>
            <w:tcW w:w="8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35"/>
              <w:spacing w:after="0"/>
              <w:rPr>
                <w:sz w:val="20"/>
                <w:szCs w:val="20"/>
                <w:color w:val="auto"/>
              </w:rPr>
            </w:pPr>
            <w:r>
              <w:rPr>
                <w:rFonts w:ascii="Arial" w:cs="Arial" w:eastAsia="Arial" w:hAnsi="Arial"/>
                <w:sz w:val="18"/>
                <w:szCs w:val="18"/>
                <w:b w:val="1"/>
                <w:bCs w:val="1"/>
                <w:color w:val="auto"/>
              </w:rPr>
              <w:t>7,244</w:t>
            </w:r>
          </w:p>
        </w:tc>
        <w:tc>
          <w:tcPr>
            <w:tcW w:w="6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7,010</w:t>
            </w:r>
          </w:p>
        </w:tc>
      </w:tr>
      <w:tr>
        <w:trPr>
          <w:trHeight w:val="34"/>
        </w:trPr>
        <w:tc>
          <w:tcPr>
            <w:tcW w:w="8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513"/>
        </w:trPr>
        <w:tc>
          <w:tcPr>
            <w:tcW w:w="8440" w:type="dxa"/>
            <w:vAlign w:val="bottom"/>
          </w:tcPr>
          <w:p>
            <w:pPr>
              <w:ind w:left="562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entered into an agreement with a consortium of Chinese state-owned companies to build and operate a Universal theme park and resort in Beijing, China (“Universal Beijing Resort”). We own a 30% interest in Universal Beijing Resort and the construction will be funded through a combination of debt financing and equity contributions from the investors in accordance with their equity interests. The construction will take place over several years and debt financing and equity contributions will occur on a periodic basis. The debt financing, which is being provided by a syndicate of Chinese financial institutions, contains certain financial and operating covenants and a maximum borrowing limit of ¥26.6 billion RMB (approximately $4 billion). The debt financing is secured by the assets of Universal Beijing Resort and the equity interests of the investors. Universal Beijing Resort’s results of operations are consolidated and reported in our Theme Parks segment.</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25, 2018, we announced a pre-conditional all-cash firm offer for the entire issued and to be issued share capital of Sky plc. Pursuant to the offer, Sky shareholders will be entitled to receive £12.50 in cash for each Sky share (implying a value of approximately £22 billion, or $31 billion using the exchange rate at the time of the offer), plus any final dividend in respect of Sky’s fiscal year ending June 30, 2018 up to an amount of £0.218 per Sky share which is declared and paid prior to the offer going wholly unconditional. The acquisition is subject to the satisfaction (or waiver, where applicable) of certain conditions, including receipt of antitrust and regulatory approvals and securing acceptances carrying more than 50% of the voting rights then normally exercisable at a general meeting of Sky. In connection with the offer, we have entered into an unsecured bridge credit agreement in an aggregate principal amount of up to £16 billion and an unsecured term loan credit agreement in an aggregate principal amount of up to £7 billion ($22 billion and $10 billion, respectively, using the exchange rate at the time of the offer), which will be guaranteed by Comcast Cable Communications, LLC and NBCUniversal.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w w:val="96"/>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4,645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4,542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2,599</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2,468</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199</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(1,005)</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interest</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(854)</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income taxes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(162)</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b w:val="1"/>
                <w:bCs w:val="1"/>
                <w:color w:val="auto"/>
              </w:rPr>
              <w:t>5,474</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5,625</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variance in changes in operating assets and liabilities for the three months ended March 31, 2018 compared to the same period in 2017 was primarily related to our broadcast of the 2018 PyeongChang Olympics, the timing of programming spend and the launch of our wireless phone service offering, which was partially offset by our broadcast of the 2018 Super Bowl.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used in investing activities for the three months ended March 31, 2018 consisted primarily of capital expenditures, cash paid for intangible assets, purchases of investments and acquisitions. Capital expenditures decreased for the three months ended March 31, 2018 compared to the same period in 2017 primarily due to a decrease in spending by our Cable Communications segment on customer premise equipment, which was partially offset by continued investments in scalable infrastructure to increase network capacity and increased investments in line extensions primarily for the expansion of business services. NBCUniversal capital expenditures decreased for the three months ended March 31, 2018 compared to the same period in 2017 primarily due to a decrease in spending at our Universal theme parks, which was partially offset by the timing of infrastructure spending. Purchases of investments for the three months ended March 31, 2018 consisted primarily of our cash capital contributions of $114 million to Hulu and $31 million to Atairos.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75"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financing activities for the three months ended March 31, 2018 consisted primarily of repurchases of common stock under our share repurchase program and employee plans, repayments of debt, and dividend payments, which were partially offset by proceeds from borrowings.</w:t>
      </w:r>
    </w:p>
    <w:p>
      <w:pPr>
        <w:spacing w:after="0" w:line="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made, and may from time to time in the future make, optional repayments on our debt obligations, which may include repurchases or exchanges of our outstanding public notes and debentures, depending on various factors, such as market conditions. See Note 5 to Comcast’s condensed consolidated financial statements for additional information on our financing activities, including details of our debt repayments and borrowings.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significant availability under our lines of credit and commercial paper programs to meet our short-term liquidity requirements.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31, 2018, amounts available under our consolidated revolving credit facilities, net of amounts outstanding under our commercial paper programs and outstanding letters of credit, totaled $8.3 billion, which included $1.5 billion available under the NBCUniversal Enterprise revolving credit facility.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2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Effective January 1, 2017, our Board of Directors increased our share repurchase program authorization to $12 billion, which does not have an expiration date. Under the authorization, we may repurchase shares in the open market or in private transactions. During the three months ended March 31, 2018, we repurchased a total of 39 million shares of our Class A common stock for $1.5 billion. We expect to make at least $3.5 billion more in repurchases under this authorization during the remainder of 2018, although the actual repurchase amount may differ depending on market and other conditions.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paid $229 million for the three months ended March 31, 2018 related to employee taxes associated with the administration of our share-based compensation plans.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our Board of Directors approved a 21% increase in our dividend to $0.76 per share on an annualized basis. In January 2018, our Board of Directors approved our first quarter dividend of $0.19 per share to be paid in April 2018. We expect to continue to pay quarterly dividends, although each dividend is subject to approval by our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2017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to Comcast’s condensed consolidated financial statements and see Note 6 to NBCUniversal’s condensed consolidated financial statements for additional information related to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the information required under this item that was disclosed in our 2017 Annual Report on Form 10-K and there have been no significant changes to this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executive and principal financial officers, after evaluating the effectiveness of Comcast’s disclosure controls and procedures (as defined in Exchange Act Rules 13a-15(e) and 15d-15(e)) as of the end of the period covered by this report, have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75"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concluded that, based on the evaluation of these controls and procedures required by paragraph (b) of Exchange Act Rules 13a-15 or 15d-15, Comcast’s disclosure controls and procedures were effective.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11 to Comcast’s condensed consolidated financial statements included in this Quarterly Report on Form 10-Q for a discussion of legal proceedings.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2017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Comcast’s common stock repurchases during the three months ended March 31, 2018.</w:t>
      </w:r>
    </w:p>
    <w:p>
      <w:pPr>
        <w:spacing w:after="0" w:line="16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Purchases of Equity Securities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81"/>
              <w:spacing w:after="0"/>
              <w:rPr>
                <w:sz w:val="20"/>
                <w:szCs w:val="20"/>
                <w:color w:val="auto"/>
              </w:rPr>
            </w:pPr>
            <w:r>
              <w:rPr>
                <w:rFonts w:ascii="Arial" w:cs="Arial" w:eastAsia="Arial" w:hAnsi="Arial"/>
                <w:sz w:val="14"/>
                <w:szCs w:val="14"/>
                <w:color w:val="auto"/>
                <w:w w:val="97"/>
              </w:rPr>
              <w:t>Total Dollar</w:t>
            </w:r>
          </w:p>
        </w:tc>
        <w:tc>
          <w:tcPr>
            <w:tcW w:w="240" w:type="dxa"/>
            <w:vAlign w:val="bottom"/>
          </w:tcPr>
          <w:p>
            <w:pPr>
              <w:spacing w:after="0"/>
              <w:rPr>
                <w:sz w:val="14"/>
                <w:szCs w:val="14"/>
                <w:color w:val="auto"/>
              </w:rPr>
            </w:pPr>
          </w:p>
        </w:tc>
        <w:tc>
          <w:tcPr>
            <w:tcW w:w="1580" w:type="dxa"/>
            <w:vAlign w:val="bottom"/>
          </w:tcPr>
          <w:p>
            <w:pPr>
              <w:jc w:val="center"/>
              <w:ind w:right="120"/>
              <w:spacing w:after="0"/>
              <w:rPr>
                <w:sz w:val="20"/>
                <w:szCs w:val="20"/>
                <w:color w:val="auto"/>
              </w:rPr>
            </w:pPr>
            <w:r>
              <w:rPr>
                <w:rFonts w:ascii="Arial" w:cs="Arial" w:eastAsia="Arial" w:hAnsi="Arial"/>
                <w:sz w:val="14"/>
                <w:szCs w:val="14"/>
                <w:color w:val="auto"/>
              </w:rPr>
              <w:t>Maximum Dollar</w:t>
            </w:r>
          </w:p>
        </w:tc>
      </w:tr>
      <w:tr>
        <w:trPr>
          <w:trHeight w:val="149"/>
        </w:trPr>
        <w:tc>
          <w:tcPr>
            <w:tcW w:w="2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9"/>
              </w:rPr>
              <w:t>Amount</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2"/>
              </w:rPr>
              <w:t>Value of Shares That</w:t>
            </w:r>
          </w:p>
        </w:tc>
      </w:tr>
      <w:tr>
        <w:trPr>
          <w:trHeight w:val="149"/>
        </w:trPr>
        <w:tc>
          <w:tcPr>
            <w:tcW w:w="21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44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91"/>
              </w:rPr>
              <w:t>Average</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89"/>
              </w:rPr>
              <w:t>Purchased</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6"/>
              </w:rPr>
              <w:t>May Yet Be</w:t>
            </w:r>
          </w:p>
        </w:tc>
      </w:tr>
      <w:tr>
        <w:trPr>
          <w:trHeight w:val="149"/>
        </w:trPr>
        <w:tc>
          <w:tcPr>
            <w:tcW w:w="21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440" w:type="dxa"/>
            <w:vAlign w:val="bottom"/>
          </w:tcPr>
          <w:p>
            <w:pPr>
              <w:spacing w:after="0"/>
              <w:rPr>
                <w:sz w:val="12"/>
                <w:szCs w:val="12"/>
                <w:color w:val="auto"/>
              </w:rPr>
            </w:pPr>
          </w:p>
        </w:tc>
        <w:tc>
          <w:tcPr>
            <w:tcW w:w="10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93"/>
              </w:rPr>
              <w:t>Price</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 Purchased</w:t>
            </w: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5"/>
              </w:rPr>
              <w:t>Under the Publicly</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Purchased Under the Publicly</w:t>
            </w:r>
          </w:p>
        </w:tc>
      </w:tr>
      <w:tr>
        <w:trPr>
          <w:trHeight w:val="149"/>
        </w:trPr>
        <w:tc>
          <w:tcPr>
            <w:tcW w:w="21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91"/>
              </w:rPr>
              <w:t>Per</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240" w:type="dxa"/>
            <w:vAlign w:val="bottom"/>
          </w:tcPr>
          <w:p>
            <w:pPr>
              <w:spacing w:after="0"/>
              <w:rPr>
                <w:sz w:val="12"/>
                <w:szCs w:val="12"/>
                <w:color w:val="auto"/>
              </w:rPr>
            </w:pPr>
          </w:p>
        </w:tc>
        <w:tc>
          <w:tcPr>
            <w:tcW w:w="14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3"/>
              </w:rPr>
              <w:t>Announced</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3"/>
              </w:rPr>
              <w:t>Announced</w:t>
            </w:r>
          </w:p>
        </w:tc>
      </w:tr>
      <w:tr>
        <w:trPr>
          <w:trHeight w:val="188"/>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Purchased</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color w:val="auto"/>
                <w:w w:val="85"/>
              </w:rPr>
              <w:t>Share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Announced Authorization</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7"/>
              </w:rPr>
              <w:t>Authorization</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w w:val="98"/>
              </w:rPr>
              <w:t>Authorization</w:t>
            </w:r>
            <w:r>
              <w:rPr>
                <w:rFonts w:ascii="Arial" w:cs="Arial" w:eastAsia="Arial" w:hAnsi="Arial"/>
                <w:sz w:val="8"/>
                <w:szCs w:val="8"/>
                <w:color w:val="auto"/>
                <w:w w:val="98"/>
              </w:rPr>
              <w:t>(a)</w:t>
            </w: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January 1-31, 2018</w:t>
            </w:r>
          </w:p>
        </w:tc>
        <w:tc>
          <w:tcPr>
            <w:tcW w:w="1960" w:type="dxa"/>
            <w:vAlign w:val="bottom"/>
          </w:tcPr>
          <w:p>
            <w:pPr>
              <w:jc w:val="right"/>
              <w:ind w:right="159"/>
              <w:spacing w:after="0"/>
              <w:rPr>
                <w:sz w:val="20"/>
                <w:szCs w:val="20"/>
                <w:color w:val="auto"/>
              </w:rPr>
            </w:pPr>
            <w:r>
              <w:rPr>
                <w:rFonts w:ascii="Arial" w:cs="Arial" w:eastAsia="Arial" w:hAnsi="Arial"/>
                <w:sz w:val="18"/>
                <w:szCs w:val="18"/>
                <w:color w:val="auto"/>
              </w:rPr>
              <w:t>108,096</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41.07</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7,000,000,013</w:t>
            </w: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color w:val="auto"/>
              </w:rPr>
              <w:t>February 1-28, 2018</w:t>
            </w:r>
          </w:p>
        </w:tc>
        <w:tc>
          <w:tcPr>
            <w:tcW w:w="196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7,000,000,013</w:t>
            </w: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color w:val="auto"/>
              </w:rPr>
              <w:t>March 1-31, 2018</w:t>
            </w:r>
          </w:p>
        </w:tc>
        <w:tc>
          <w:tcPr>
            <w:tcW w:w="1960" w:type="dxa"/>
            <w:vAlign w:val="bottom"/>
          </w:tcPr>
          <w:p>
            <w:pPr>
              <w:jc w:val="right"/>
              <w:ind w:right="159"/>
              <w:spacing w:after="0"/>
              <w:rPr>
                <w:sz w:val="20"/>
                <w:szCs w:val="20"/>
                <w:color w:val="auto"/>
              </w:rPr>
            </w:pPr>
            <w:r>
              <w:rPr>
                <w:rFonts w:ascii="Arial" w:cs="Arial" w:eastAsia="Arial" w:hAnsi="Arial"/>
                <w:sz w:val="18"/>
                <w:szCs w:val="18"/>
                <w:color w:val="auto"/>
              </w:rPr>
              <w:t>38,551,261</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38.91</w:t>
            </w:r>
          </w:p>
        </w:tc>
        <w:tc>
          <w:tcPr>
            <w:tcW w:w="1960" w:type="dxa"/>
            <w:vAlign w:val="bottom"/>
          </w:tcPr>
          <w:p>
            <w:pPr>
              <w:jc w:val="right"/>
              <w:spacing w:after="0"/>
              <w:rPr>
                <w:sz w:val="20"/>
                <w:szCs w:val="20"/>
                <w:color w:val="auto"/>
              </w:rPr>
            </w:pPr>
            <w:r>
              <w:rPr>
                <w:rFonts w:ascii="Arial" w:cs="Arial" w:eastAsia="Arial" w:hAnsi="Arial"/>
                <w:sz w:val="18"/>
                <w:szCs w:val="18"/>
                <w:color w:val="auto"/>
              </w:rPr>
              <w:t>38,551,261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1,500,000,000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5,500,000,013</w:t>
            </w:r>
          </w:p>
        </w:tc>
      </w:tr>
      <w:tr>
        <w:trPr>
          <w:trHeight w:val="27"/>
        </w:trPr>
        <w:tc>
          <w:tcPr>
            <w:tcW w:w="2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60" w:type="dxa"/>
            <w:vAlign w:val="bottom"/>
          </w:tcPr>
          <w:p>
            <w:pPr>
              <w:jc w:val="right"/>
              <w:ind w:right="159"/>
              <w:spacing w:after="0"/>
              <w:rPr>
                <w:sz w:val="20"/>
                <w:szCs w:val="20"/>
                <w:color w:val="auto"/>
              </w:rPr>
            </w:pPr>
            <w:r>
              <w:rPr>
                <w:rFonts w:ascii="Arial" w:cs="Arial" w:eastAsia="Arial" w:hAnsi="Arial"/>
                <w:sz w:val="18"/>
                <w:szCs w:val="18"/>
                <w:b w:val="1"/>
                <w:bCs w:val="1"/>
                <w:color w:val="auto"/>
              </w:rPr>
              <w:t>38,659,357</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b w:val="1"/>
                <w:bCs w:val="1"/>
                <w:color w:val="auto"/>
              </w:rPr>
              <w:t>38.92</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38,551,261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1,500,000,000</w:t>
            </w:r>
          </w:p>
        </w:tc>
        <w:tc>
          <w:tcPr>
            <w:tcW w:w="2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b w:val="1"/>
                <w:bCs w:val="1"/>
                <w:color w:val="auto"/>
              </w:rPr>
              <w:t>5,500,000,013</w:t>
            </w:r>
          </w:p>
        </w:tc>
      </w:tr>
      <w:tr>
        <w:trPr>
          <w:trHeight w:val="34"/>
        </w:trPr>
        <w:tc>
          <w:tcPr>
            <w:tcW w:w="2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340" w:right="20" w:hanging="332"/>
        <w:spacing w:after="0" w:line="27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Effective January 1, 2017, our Board of Directors increased our share repurchase program authorization to $12 billion, which does not have an expiration date. Under this authorization, we may repurchase shares in the open market or in private transactions.</w:t>
      </w:r>
    </w:p>
    <w:p>
      <w:pPr>
        <w:spacing w:after="0" w:line="124"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total number of shares purchased during the three months ended March 31, 2018 includes 108,096 shares received in the administration of employee share-based compensation plans.</w:t>
      </w:r>
    </w:p>
    <w:p>
      <w:pPr>
        <w:sectPr>
          <w:pgSz w:w="11900" w:h="16838" w:orient="portrait"/>
          <w:cols w:equalWidth="0" w:num="1">
            <w:col w:w="11420"/>
          </w:cols>
          <w:pgMar w:left="240" w:top="17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75"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Disclosure</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Section 219 of the Iran Threat Reduction and Syria Human Rights Act of 2012, companies are required, among other things, to disclose certain activities, transactions or dealings with the Government of Iran or entities controlled directly or indirectly by the Government of Iran. Disclosure is generally required even where the activities, transactions or dealings are conducted in compliance with applicable laws and regulations and are de minimis. As of the date of this report, we are not aware of any activity, transaction or dealing during the three months ended March 31, 2018 that requires disclosure under the Act, except with respect to a January 2016 licensing agreement by a non-U.S. subsidiary of DreamWorks Animation prior to our August 2016 DreamWorks Animation acquisition. The agreement licensed a prior season of a children’s animated television series for a three-year, non-cancelable term and for a one-time fee of $5,200 to a broadcasting company that is owned and controlled by the Government of Iran. The broadcasting company paid the license fee in the first quarter of 2016. We believe that DreamWorks Animation conducted its licensing activity in compliance with applicable laws and that the license is for the permissible exportation of informational materials pursuant to certain statutory and regulatory exemptions from U.S. sanctions.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9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03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7" w:lineRule="exact"/>
        <w:rPr>
          <w:sz w:val="20"/>
          <w:szCs w:val="20"/>
          <w:color w:val="auto"/>
        </w:rPr>
      </w:pPr>
    </w:p>
    <w:p>
      <w:pPr>
        <w:ind w:left="240"/>
        <w:spacing w:after="0"/>
        <w:tabs>
          <w:tab w:leader="none" w:pos="900" w:val="left"/>
        </w:tabs>
        <w:rPr>
          <w:rFonts w:ascii="Arial" w:cs="Arial" w:eastAsia="Arial" w:hAnsi="Arial"/>
          <w:sz w:val="18"/>
          <w:szCs w:val="18"/>
          <w:color w:val="0000FF"/>
        </w:rPr>
      </w:pPr>
      <w:hyperlink w:anchor="page60">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Form of Non-Qualified Stock Option under the Comcast Corporation 2003 Stock Option Plan.</w:t>
      </w:r>
    </w:p>
    <w:p>
      <w:pPr>
        <w:spacing w:after="0" w:line="63" w:lineRule="exact"/>
        <w:rPr>
          <w:sz w:val="20"/>
          <w:szCs w:val="20"/>
          <w:color w:val="auto"/>
        </w:rPr>
      </w:pPr>
    </w:p>
    <w:p>
      <w:pPr>
        <w:ind w:left="240"/>
        <w:spacing w:after="0"/>
        <w:tabs>
          <w:tab w:leader="none" w:pos="900" w:val="left"/>
        </w:tabs>
        <w:rPr>
          <w:rFonts w:ascii="Arial" w:cs="Arial" w:eastAsia="Arial" w:hAnsi="Arial"/>
          <w:sz w:val="18"/>
          <w:szCs w:val="18"/>
          <w:color w:val="0000FF"/>
        </w:rPr>
      </w:pPr>
      <w:hyperlink w:anchor="page66">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6"/>
          <w:szCs w:val="16"/>
          <w:color w:val="0000FF"/>
        </w:rPr>
        <w:t>Form of Restricted Stock Unit Award under the Comcast Corporation 2002 Restricted Stock Plan.</w:t>
      </w:r>
    </w:p>
    <w:p>
      <w:pPr>
        <w:spacing w:after="0" w:line="63" w:lineRule="exact"/>
        <w:rPr>
          <w:sz w:val="20"/>
          <w:szCs w:val="20"/>
          <w:color w:val="auto"/>
        </w:rPr>
      </w:pPr>
    </w:p>
    <w:p>
      <w:pPr>
        <w:ind w:left="240"/>
        <w:spacing w:after="0"/>
        <w:tabs>
          <w:tab w:leader="none" w:pos="900" w:val="left"/>
        </w:tabs>
        <w:rPr>
          <w:rFonts w:ascii="Arial" w:cs="Arial" w:eastAsia="Arial" w:hAnsi="Arial"/>
          <w:sz w:val="18"/>
          <w:szCs w:val="18"/>
          <w:color w:val="0000FF"/>
        </w:rPr>
      </w:pPr>
      <w:hyperlink w:anchor="page73">
        <w:r>
          <w:rPr>
            <w:rFonts w:ascii="Arial" w:cs="Arial" w:eastAsia="Arial" w:hAnsi="Arial"/>
            <w:sz w:val="18"/>
            <w:szCs w:val="18"/>
            <w:u w:val="single" w:color="auto"/>
            <w:color w:val="0000FF"/>
          </w:rPr>
          <w:t>10.3</w:t>
        </w:r>
      </w:hyperlink>
      <w:r>
        <w:rPr>
          <w:rFonts w:ascii="Arial" w:cs="Arial" w:eastAsia="Arial" w:hAnsi="Arial"/>
          <w:sz w:val="18"/>
          <w:szCs w:val="18"/>
          <w:color w:val="0000FF"/>
        </w:rPr>
        <w:tab/>
      </w:r>
      <w:r>
        <w:rPr>
          <w:rFonts w:ascii="Arial" w:cs="Arial" w:eastAsia="Arial" w:hAnsi="Arial"/>
          <w:sz w:val="16"/>
          <w:szCs w:val="16"/>
          <w:color w:val="0000FF"/>
        </w:rPr>
        <w:t>Form of Long-Term Incentive Awards Summary Schedule.</w:t>
      </w:r>
    </w:p>
    <w:p>
      <w:pPr>
        <w:spacing w:after="0" w:line="63" w:lineRule="exact"/>
        <w:rPr>
          <w:sz w:val="20"/>
          <w:szCs w:val="20"/>
          <w:color w:val="auto"/>
        </w:rPr>
      </w:pPr>
    </w:p>
    <w:p>
      <w:pPr>
        <w:ind w:left="240"/>
        <w:spacing w:after="0"/>
        <w:tabs>
          <w:tab w:leader="none" w:pos="900" w:val="left"/>
        </w:tabs>
        <w:rPr>
          <w:rFonts w:ascii="Arial" w:cs="Arial" w:eastAsia="Arial" w:hAnsi="Arial"/>
          <w:sz w:val="18"/>
          <w:szCs w:val="18"/>
          <w:color w:val="0000FF"/>
        </w:rPr>
      </w:pPr>
      <w:hyperlink w:anchor="page76">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6"/>
          <w:szCs w:val="16"/>
          <w:color w:val="0000FF"/>
        </w:rPr>
        <w:t>Certification of Chief Executive Officer and Chief Financial Officer pursuant to Section 302 of the Sarbanes-Oxley Act of 2002.</w:t>
      </w:r>
    </w:p>
    <w:p>
      <w:pPr>
        <w:spacing w:after="0" w:line="63" w:lineRule="exact"/>
        <w:rPr>
          <w:sz w:val="20"/>
          <w:szCs w:val="20"/>
          <w:color w:val="auto"/>
        </w:rPr>
      </w:pPr>
    </w:p>
    <w:p>
      <w:pPr>
        <w:ind w:left="240"/>
        <w:spacing w:after="0"/>
        <w:tabs>
          <w:tab w:leader="none" w:pos="900" w:val="left"/>
        </w:tabs>
        <w:rPr>
          <w:rFonts w:ascii="Arial" w:cs="Arial" w:eastAsia="Arial" w:hAnsi="Arial"/>
          <w:sz w:val="18"/>
          <w:szCs w:val="18"/>
          <w:color w:val="0000FF"/>
        </w:rPr>
      </w:pPr>
      <w:hyperlink w:anchor="page80">
        <w:r>
          <w:rPr>
            <w:rFonts w:ascii="Arial" w:cs="Arial" w:eastAsia="Arial" w:hAnsi="Arial"/>
            <w:sz w:val="18"/>
            <w:szCs w:val="18"/>
            <w:u w:val="single" w:color="auto"/>
            <w:color w:val="0000FF"/>
          </w:rPr>
          <w:t>32.1</w:t>
        </w:r>
      </w:hyperlink>
      <w:r>
        <w:rPr>
          <w:rFonts w:ascii="Arial" w:cs="Arial" w:eastAsia="Arial" w:hAnsi="Arial"/>
          <w:sz w:val="18"/>
          <w:szCs w:val="18"/>
          <w:color w:val="0000FF"/>
        </w:rPr>
        <w:tab/>
      </w:r>
      <w:r>
        <w:rPr>
          <w:rFonts w:ascii="Arial" w:cs="Arial" w:eastAsia="Arial" w:hAnsi="Arial"/>
          <w:sz w:val="16"/>
          <w:szCs w:val="16"/>
          <w:color w:val="0000FF"/>
        </w:rPr>
        <w:t>Certification of Chief Executive Officer and Chief Financial Officer pursuant to Section 906 of the Sarbanes-Oxley Act of 2002.</w:t>
      </w:r>
    </w:p>
    <w:p>
      <w:pPr>
        <w:spacing w:after="0" w:line="63" w:lineRule="exact"/>
        <w:rPr>
          <w:sz w:val="20"/>
          <w:szCs w:val="20"/>
          <w:color w:val="auto"/>
        </w:rPr>
      </w:pPr>
    </w:p>
    <w:p>
      <w:pPr>
        <w:jc w:val="both"/>
        <w:ind w:left="920" w:right="580" w:hanging="662"/>
        <w:spacing w:after="0" w:line="288" w:lineRule="auto"/>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months ended March 31, 2018, filed with the Securities and Exchange Commission on April 25, 2018, formatted in XBRL (eXtensible Business Reporting Language): (i) the Condensed Consolidated Statement of Income; (ii) the Condensed Consolidated Statement of Comprehensive Income;</w:t>
      </w:r>
    </w:p>
    <w:p>
      <w:pPr>
        <w:ind w:left="920" w:right="560" w:hanging="7"/>
        <w:spacing w:after="0" w:line="290" w:lineRule="auto"/>
        <w:tabs>
          <w:tab w:leader="none" w:pos="1283"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Condensed Consolidated Statement of Cash Flows; (iv) the Condensed Consolidated Balance Sheet;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903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9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03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7" w:lineRule="exact"/>
        <w:rPr>
          <w:sz w:val="20"/>
          <w:szCs w:val="20"/>
          <w:color w:val="auto"/>
        </w:rPr>
      </w:pPr>
    </w:p>
    <w:p>
      <w:pPr>
        <w:ind w:left="300"/>
        <w:spacing w:after="0"/>
        <w:tabs>
          <w:tab w:leader="none" w:pos="900" w:val="left"/>
        </w:tabs>
        <w:rPr>
          <w:rFonts w:ascii="Arial" w:cs="Arial" w:eastAsia="Arial" w:hAnsi="Arial"/>
          <w:sz w:val="18"/>
          <w:szCs w:val="18"/>
          <w:color w:val="0000FF"/>
        </w:rPr>
      </w:pPr>
      <w:hyperlink w:anchor="page78">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Certification of Principal Executive Officer and Principal Financial Officer pursuant to Section 302 of the Sarbanes-Oxley Act of 2002.</w:t>
      </w:r>
    </w:p>
    <w:p>
      <w:pPr>
        <w:spacing w:after="0" w:line="63" w:lineRule="exact"/>
        <w:rPr>
          <w:sz w:val="20"/>
          <w:szCs w:val="20"/>
          <w:color w:val="auto"/>
        </w:rPr>
      </w:pPr>
    </w:p>
    <w:p>
      <w:pPr>
        <w:ind w:left="300"/>
        <w:spacing w:after="0"/>
        <w:tabs>
          <w:tab w:leader="none" w:pos="900" w:val="left"/>
        </w:tabs>
        <w:rPr>
          <w:rFonts w:ascii="Arial" w:cs="Arial" w:eastAsia="Arial" w:hAnsi="Arial"/>
          <w:sz w:val="18"/>
          <w:szCs w:val="18"/>
          <w:color w:val="0000FF"/>
        </w:rPr>
      </w:pPr>
      <w:hyperlink w:anchor="page81">
        <w:r>
          <w:rPr>
            <w:rFonts w:ascii="Arial" w:cs="Arial" w:eastAsia="Arial" w:hAnsi="Arial"/>
            <w:sz w:val="18"/>
            <w:szCs w:val="18"/>
            <w:u w:val="single" w:color="auto"/>
            <w:color w:val="0000FF"/>
          </w:rPr>
          <w:t>32.2</w:t>
        </w:r>
      </w:hyperlink>
      <w:r>
        <w:rPr>
          <w:rFonts w:ascii="Arial" w:cs="Arial" w:eastAsia="Arial" w:hAnsi="Arial"/>
          <w:sz w:val="18"/>
          <w:szCs w:val="18"/>
          <w:color w:val="0000FF"/>
        </w:rPr>
        <w:tab/>
      </w:r>
      <w:r>
        <w:rPr>
          <w:rFonts w:ascii="Arial" w:cs="Arial" w:eastAsia="Arial" w:hAnsi="Arial"/>
          <w:sz w:val="16"/>
          <w:szCs w:val="16"/>
          <w:color w:val="0000FF"/>
        </w:rPr>
        <w:t>Certification of Principal Executive Officer and Principal Financial Officer pursuant to Section 906 of the Sarbanes-Oxley Act of 2002.</w:t>
      </w:r>
    </w:p>
    <w:p>
      <w:pPr>
        <w:spacing w:after="0" w:line="63" w:lineRule="exact"/>
        <w:rPr>
          <w:sz w:val="20"/>
          <w:szCs w:val="20"/>
          <w:color w:val="auto"/>
        </w:rPr>
      </w:pPr>
    </w:p>
    <w:p>
      <w:pPr>
        <w:jc w:val="both"/>
        <w:ind w:left="920" w:right="580" w:hanging="595"/>
        <w:spacing w:after="0" w:line="288"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financial statements from NBCUniversal Media, LLC’s Quarterly Report on Form 10-Q for the three months ended March 31, 2018, filed with the Securities and Exchange Commission on April 25, 2018, formatted in XBRL (eXtensible Business Reporting Language): (i) the Condensed Consolidated Statement of Income; (ii) the Condensed Consolidated Statement of Comprehensive Income;</w:t>
      </w:r>
    </w:p>
    <w:p>
      <w:pPr>
        <w:ind w:left="920" w:right="560" w:hanging="7"/>
        <w:spacing w:after="0" w:line="290" w:lineRule="auto"/>
        <w:tabs>
          <w:tab w:leader="none" w:pos="1283"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Condensed Consolidated Statement of Cash Flows; (iv) the Condensed Consolidated Balance Sheet;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903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75"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NBCUNIVERSAL MEDIA, LLC</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75"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Index</w:t>
            </w:r>
          </w:p>
        </w:tc>
        <w:tc>
          <w:tcPr>
            <w:tcW w:w="3780" w:type="dxa"/>
            <w:vAlign w:val="bottom"/>
          </w:tcPr>
          <w:p>
            <w:pPr>
              <w:jc w:val="center"/>
              <w:ind w:left="2670"/>
              <w:spacing w:after="0"/>
              <w:rPr>
                <w:sz w:val="20"/>
                <w:szCs w:val="20"/>
                <w:color w:val="auto"/>
              </w:rPr>
            </w:pPr>
            <w:r>
              <w:rPr>
                <w:rFonts w:ascii="Arial" w:cs="Arial" w:eastAsia="Arial" w:hAnsi="Arial"/>
                <w:sz w:val="18"/>
                <w:szCs w:val="18"/>
                <w:color w:val="auto"/>
                <w:w w:val="80"/>
              </w:rPr>
              <w:t>Page</w:t>
            </w:r>
          </w:p>
        </w:tc>
      </w:tr>
      <w:tr>
        <w:trPr>
          <w:trHeight w:val="27"/>
        </w:trPr>
        <w:tc>
          <w:tcPr>
            <w:tcW w:w="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33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Condensed Consolidated Statement of Income</w:t>
              </w:r>
            </w:hyperlink>
          </w:p>
        </w:tc>
        <w:tc>
          <w:tcPr>
            <w:tcW w:w="4260" w:type="dxa"/>
            <w:vAlign w:val="bottom"/>
            <w:gridSpan w:val="5"/>
          </w:tcPr>
          <w:p>
            <w:pPr>
              <w:spacing w:after="0"/>
              <w:rPr>
                <w:sz w:val="17"/>
                <w:szCs w:val="17"/>
                <w:color w:val="auto"/>
              </w:rPr>
            </w:pPr>
          </w:p>
        </w:tc>
        <w:tc>
          <w:tcPr>
            <w:tcW w:w="3780" w:type="dxa"/>
            <w:vAlign w:val="bottom"/>
          </w:tcPr>
          <w:p>
            <w:pPr>
              <w:jc w:val="center"/>
              <w:ind w:left="2670"/>
              <w:spacing w:after="0" w:line="196" w:lineRule="exact"/>
              <w:rPr>
                <w:rFonts w:ascii="Arial" w:cs="Arial" w:eastAsia="Arial" w:hAnsi="Arial"/>
                <w:sz w:val="18"/>
                <w:szCs w:val="18"/>
                <w:color w:val="2C2C2C"/>
                <w:w w:val="89"/>
              </w:rPr>
            </w:pPr>
            <w:hyperlink w:anchor="page46">
              <w:r>
                <w:rPr>
                  <w:rFonts w:ascii="Arial" w:cs="Arial" w:eastAsia="Arial" w:hAnsi="Arial"/>
                  <w:sz w:val="18"/>
                  <w:szCs w:val="18"/>
                  <w:color w:val="2C2C2C"/>
                  <w:w w:val="89"/>
                </w:rPr>
                <w:t>43</w:t>
              </w:r>
            </w:hyperlink>
          </w:p>
        </w:tc>
      </w:tr>
      <w:tr>
        <w:trPr>
          <w:trHeight w:val="250"/>
        </w:trPr>
        <w:tc>
          <w:tcPr>
            <w:tcW w:w="40" w:type="dxa"/>
            <w:vAlign w:val="bottom"/>
          </w:tcPr>
          <w:p>
            <w:pPr>
              <w:spacing w:after="0"/>
              <w:rPr>
                <w:sz w:val="21"/>
                <w:szCs w:val="21"/>
                <w:color w:val="auto"/>
              </w:rPr>
            </w:pPr>
          </w:p>
        </w:tc>
        <w:tc>
          <w:tcPr>
            <w:tcW w:w="760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Condensed Consolidated Statement of Comprehensive Income</w:t>
              </w:r>
            </w:hyperlink>
          </w:p>
        </w:tc>
        <w:tc>
          <w:tcPr>
            <w:tcW w:w="3780" w:type="dxa"/>
            <w:vAlign w:val="bottom"/>
          </w:tcPr>
          <w:p>
            <w:pPr>
              <w:jc w:val="center"/>
              <w:ind w:left="2670"/>
              <w:spacing w:after="0"/>
              <w:rPr>
                <w:rFonts w:ascii="Arial" w:cs="Arial" w:eastAsia="Arial" w:hAnsi="Arial"/>
                <w:sz w:val="18"/>
                <w:szCs w:val="18"/>
                <w:color w:val="2C2C2C"/>
                <w:w w:val="89"/>
              </w:rPr>
            </w:pPr>
            <w:hyperlink w:anchor="page47">
              <w:r>
                <w:rPr>
                  <w:rFonts w:ascii="Arial" w:cs="Arial" w:eastAsia="Arial" w:hAnsi="Arial"/>
                  <w:sz w:val="18"/>
                  <w:szCs w:val="18"/>
                  <w:color w:val="2C2C2C"/>
                  <w:w w:val="89"/>
                </w:rPr>
                <w:t>44</w:t>
              </w:r>
            </w:hyperlink>
          </w:p>
        </w:tc>
      </w:tr>
      <w:tr>
        <w:trPr>
          <w:trHeight w:val="250"/>
        </w:trPr>
        <w:tc>
          <w:tcPr>
            <w:tcW w:w="40" w:type="dxa"/>
            <w:vAlign w:val="bottom"/>
          </w:tcPr>
          <w:p>
            <w:pPr>
              <w:spacing w:after="0"/>
              <w:rPr>
                <w:sz w:val="21"/>
                <w:szCs w:val="21"/>
                <w:color w:val="auto"/>
              </w:rPr>
            </w:pPr>
          </w:p>
        </w:tc>
        <w:tc>
          <w:tcPr>
            <w:tcW w:w="3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Condensed Consolidated Statement of Cash Flows</w:t>
              </w:r>
            </w:hyperlink>
          </w:p>
        </w:tc>
        <w:tc>
          <w:tcPr>
            <w:tcW w:w="860" w:type="dxa"/>
            <w:vAlign w:val="bottom"/>
            <w:tcBorders>
              <w:top w:val="single" w:sz="8" w:color="0000EE"/>
            </w:tcBorders>
            <w:gridSpan w:val="3"/>
          </w:tcPr>
          <w:p>
            <w:pPr>
              <w:spacing w:after="0"/>
              <w:rPr>
                <w:sz w:val="21"/>
                <w:szCs w:val="21"/>
                <w:color w:val="auto"/>
              </w:rPr>
            </w:pPr>
          </w:p>
        </w:tc>
        <w:tc>
          <w:tcPr>
            <w:tcW w:w="3100" w:type="dxa"/>
            <w:vAlign w:val="bottom"/>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2C2C2C"/>
                <w:w w:val="89"/>
              </w:rPr>
            </w:pPr>
            <w:hyperlink w:anchor="page48">
              <w:r>
                <w:rPr>
                  <w:rFonts w:ascii="Arial" w:cs="Arial" w:eastAsia="Arial" w:hAnsi="Arial"/>
                  <w:sz w:val="18"/>
                  <w:szCs w:val="18"/>
                  <w:color w:val="2C2C2C"/>
                  <w:w w:val="89"/>
                </w:rPr>
                <w:t>45</w:t>
              </w:r>
            </w:hyperlink>
          </w:p>
        </w:tc>
      </w:tr>
      <w:tr>
        <w:trPr>
          <w:trHeight w:val="250"/>
        </w:trPr>
        <w:tc>
          <w:tcPr>
            <w:tcW w:w="40" w:type="dxa"/>
            <w:vAlign w:val="bottom"/>
          </w:tcPr>
          <w:p>
            <w:pPr>
              <w:spacing w:after="0"/>
              <w:rPr>
                <w:sz w:val="21"/>
                <w:szCs w:val="21"/>
                <w:color w:val="auto"/>
              </w:rPr>
            </w:pPr>
          </w:p>
        </w:tc>
        <w:tc>
          <w:tcPr>
            <w:tcW w:w="2860" w:type="dxa"/>
            <w:vAlign w:val="bottom"/>
            <w:tcBorders>
              <w:bottom w:val="single" w:sz="8" w:color="0000EE"/>
            </w:tcBorders>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Condensed Consolidated Balance Sheet</w:t>
              </w:r>
            </w:hyperlink>
          </w:p>
        </w:tc>
        <w:tc>
          <w:tcPr>
            <w:tcW w:w="4740" w:type="dxa"/>
            <w:vAlign w:val="bottom"/>
            <w:gridSpan w:val="6"/>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2C2C2C"/>
                <w:w w:val="89"/>
              </w:rPr>
            </w:pPr>
            <w:hyperlink w:anchor="page49">
              <w:r>
                <w:rPr>
                  <w:rFonts w:ascii="Arial" w:cs="Arial" w:eastAsia="Arial" w:hAnsi="Arial"/>
                  <w:sz w:val="18"/>
                  <w:szCs w:val="18"/>
                  <w:color w:val="2C2C2C"/>
                  <w:w w:val="89"/>
                </w:rPr>
                <w:t>46</w:t>
              </w:r>
            </w:hyperlink>
          </w:p>
        </w:tc>
      </w:tr>
      <w:tr>
        <w:trPr>
          <w:trHeight w:val="250"/>
        </w:trPr>
        <w:tc>
          <w:tcPr>
            <w:tcW w:w="40" w:type="dxa"/>
            <w:vAlign w:val="bottom"/>
          </w:tcPr>
          <w:p>
            <w:pPr>
              <w:spacing w:after="0"/>
              <w:rPr>
                <w:sz w:val="21"/>
                <w:szCs w:val="21"/>
                <w:color w:val="auto"/>
              </w:rPr>
            </w:pPr>
          </w:p>
        </w:tc>
        <w:tc>
          <w:tcPr>
            <w:tcW w:w="760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Condensed Consolidated Statement of Changes in Equity</w:t>
              </w:r>
            </w:hyperlink>
          </w:p>
        </w:tc>
        <w:tc>
          <w:tcPr>
            <w:tcW w:w="3780" w:type="dxa"/>
            <w:vAlign w:val="bottom"/>
          </w:tcPr>
          <w:p>
            <w:pPr>
              <w:jc w:val="center"/>
              <w:ind w:left="2670"/>
              <w:spacing w:after="0"/>
              <w:rPr>
                <w:rFonts w:ascii="Arial" w:cs="Arial" w:eastAsia="Arial" w:hAnsi="Arial"/>
                <w:sz w:val="18"/>
                <w:szCs w:val="18"/>
                <w:color w:val="2C2C2C"/>
                <w:w w:val="89"/>
              </w:rPr>
            </w:pPr>
            <w:hyperlink w:anchor="page50">
              <w:r>
                <w:rPr>
                  <w:rFonts w:ascii="Arial" w:cs="Arial" w:eastAsia="Arial" w:hAnsi="Arial"/>
                  <w:sz w:val="18"/>
                  <w:szCs w:val="18"/>
                  <w:color w:val="2C2C2C"/>
                  <w:w w:val="89"/>
                </w:rPr>
                <w:t>47</w:t>
              </w:r>
            </w:hyperlink>
          </w:p>
        </w:tc>
      </w:tr>
      <w:tr>
        <w:trPr>
          <w:trHeight w:val="250"/>
        </w:trPr>
        <w:tc>
          <w:tcPr>
            <w:tcW w:w="40" w:type="dxa"/>
            <w:vAlign w:val="bottom"/>
          </w:tcPr>
          <w:p>
            <w:pPr>
              <w:spacing w:after="0"/>
              <w:rPr>
                <w:sz w:val="21"/>
                <w:szCs w:val="21"/>
                <w:color w:val="auto"/>
              </w:rPr>
            </w:pPr>
          </w:p>
        </w:tc>
        <w:tc>
          <w:tcPr>
            <w:tcW w:w="4120" w:type="dxa"/>
            <w:vAlign w:val="bottom"/>
            <w:tcBorders>
              <w:top w:val="single" w:sz="8" w:color="0000EE"/>
            </w:tcBorders>
            <w:gridSpan w:val="5"/>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Notes to Condensed Consolidated Financial Statements</w:t>
              </w:r>
            </w:hyperlink>
          </w:p>
        </w:tc>
        <w:tc>
          <w:tcPr>
            <w:tcW w:w="3480" w:type="dxa"/>
            <w:vAlign w:val="bottom"/>
            <w:gridSpan w:val="2"/>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2C2C2C"/>
                <w:w w:val="89"/>
              </w:rPr>
            </w:pPr>
            <w:hyperlink w:anchor="page51">
              <w:r>
                <w:rPr>
                  <w:rFonts w:ascii="Arial" w:cs="Arial" w:eastAsia="Arial" w:hAnsi="Arial"/>
                  <w:sz w:val="18"/>
                  <w:szCs w:val="18"/>
                  <w:color w:val="2C2C2C"/>
                  <w:w w:val="89"/>
                </w:rPr>
                <w:t>48</w:t>
              </w:r>
            </w:hyperlink>
          </w:p>
        </w:tc>
      </w:tr>
      <w:tr>
        <w:trPr>
          <w:trHeight w:val="48"/>
        </w:trPr>
        <w:tc>
          <w:tcPr>
            <w:tcW w:w="40" w:type="dxa"/>
            <w:vAlign w:val="bottom"/>
            <w:tcBorders>
              <w:bottom w:val="single" w:sz="8" w:color="auto"/>
            </w:tcBorders>
          </w:tcPr>
          <w:p>
            <w:pPr>
              <w:spacing w:after="0"/>
              <w:rPr>
                <w:sz w:val="4"/>
                <w:szCs w:val="4"/>
                <w:color w:val="auto"/>
              </w:rPr>
            </w:pPr>
          </w:p>
        </w:tc>
        <w:tc>
          <w:tcPr>
            <w:tcW w:w="286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75"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r>
      <w:tr>
        <w:trPr>
          <w:trHeight w:val="188"/>
        </w:trPr>
        <w:tc>
          <w:tcPr>
            <w:tcW w:w="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94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3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4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9,530</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7,853</w:t>
            </w:r>
          </w:p>
        </w:tc>
      </w:tr>
      <w:tr>
        <w:trPr>
          <w:trHeight w:val="270"/>
        </w:trPr>
        <w:tc>
          <w:tcPr>
            <w:tcW w:w="4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4,573</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3,300</w:t>
            </w: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1,972</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1,828</w:t>
            </w: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700</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706</w:t>
            </w: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242</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231</w:t>
            </w: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268</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277</w:t>
            </w:r>
          </w:p>
        </w:tc>
      </w:tr>
      <w:tr>
        <w:trPr>
          <w:trHeight w:val="27"/>
        </w:trPr>
        <w:tc>
          <w:tcPr>
            <w:tcW w:w="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3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7,755</w:t>
            </w:r>
          </w:p>
        </w:tc>
        <w:tc>
          <w:tcPr>
            <w:tcW w:w="66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6,342</w:t>
            </w:r>
          </w:p>
        </w:tc>
      </w:tr>
      <w:tr>
        <w:trPr>
          <w:trHeight w:val="27"/>
        </w:trPr>
        <w:tc>
          <w:tcPr>
            <w:tcW w:w="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1,775</w:t>
            </w:r>
          </w:p>
        </w:tc>
        <w:tc>
          <w:tcPr>
            <w:tcW w:w="66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1,511</w:t>
            </w:r>
          </w:p>
        </w:tc>
      </w:tr>
      <w:tr>
        <w:trPr>
          <w:trHeight w:val="270"/>
        </w:trPr>
        <w:tc>
          <w:tcPr>
            <w:tcW w:w="4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(127)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4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Investment and other income (loss), net</w:t>
            </w:r>
          </w:p>
        </w:tc>
        <w:tc>
          <w:tcPr>
            <w:tcW w:w="3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1,644</w:t>
            </w:r>
          </w:p>
        </w:tc>
        <w:tc>
          <w:tcPr>
            <w:tcW w:w="66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1,367</w:t>
            </w:r>
          </w:p>
        </w:tc>
      </w:tr>
      <w:tr>
        <w:trPr>
          <w:trHeight w:val="270"/>
        </w:trPr>
        <w:tc>
          <w:tcPr>
            <w:tcW w:w="4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(91)</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1,553</w:t>
            </w:r>
          </w:p>
        </w:tc>
        <w:tc>
          <w:tcPr>
            <w:tcW w:w="66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1,275</w:t>
            </w:r>
          </w:p>
        </w:tc>
      </w:tr>
      <w:tr>
        <w:trPr>
          <w:trHeight w:val="270"/>
        </w:trPr>
        <w:tc>
          <w:tcPr>
            <w:tcW w:w="4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40</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73</w:t>
            </w:r>
          </w:p>
        </w:tc>
      </w:tr>
      <w:tr>
        <w:trPr>
          <w:trHeight w:val="27"/>
        </w:trPr>
        <w:tc>
          <w:tcPr>
            <w:tcW w:w="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NBCUniversal</w:t>
            </w:r>
          </w:p>
        </w:tc>
        <w:tc>
          <w:tcPr>
            <w:tcW w:w="3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1,513</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1,202</w:t>
            </w:r>
          </w:p>
        </w:tc>
      </w:tr>
      <w:tr>
        <w:trPr>
          <w:trHeight w:val="34"/>
        </w:trPr>
        <w:tc>
          <w:tcPr>
            <w:tcW w:w="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4920" w:type="dxa"/>
            <w:vAlign w:val="bottom"/>
            <w:gridSpan w:val="2"/>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863"/>
        </w:trPr>
        <w:tc>
          <w:tcPr>
            <w:tcW w:w="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300" w:type="dxa"/>
            <w:vAlign w:val="bottom"/>
          </w:tcPr>
          <w:p>
            <w:pPr>
              <w:jc w:val="right"/>
              <w:ind w:right="233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w w:val="96"/>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1,553</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1,275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w:t>
            </w:r>
          </w:p>
        </w:tc>
        <w:tc>
          <w:tcPr>
            <w:tcW w:w="36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w:t>
            </w:r>
          </w:p>
        </w:tc>
        <w:tc>
          <w:tcPr>
            <w:tcW w:w="36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Employee benefit obligations, net</w:t>
            </w:r>
          </w:p>
        </w:tc>
        <w:tc>
          <w:tcPr>
            <w:tcW w:w="36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106</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Currency translation adjustments, net</w:t>
            </w:r>
          </w:p>
        </w:tc>
        <w:tc>
          <w:tcPr>
            <w:tcW w:w="36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204</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200</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1,740</w:t>
            </w:r>
          </w:p>
        </w:tc>
        <w:tc>
          <w:tcPr>
            <w:tcW w:w="6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1,568</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6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40</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36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87</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1,696</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1,408</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39"/>
        </w:trPr>
        <w:tc>
          <w:tcPr>
            <w:tcW w:w="8240" w:type="dxa"/>
            <w:vAlign w:val="bottom"/>
          </w:tcPr>
          <w:p>
            <w:pPr>
              <w:ind w:left="562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96"/>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1,553</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1,275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510</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(200)</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(551)</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1,266</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1,477</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(269)</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(130)</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(133)</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(113)</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(645)</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(435)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(repayments of) borrowings from Comcast, net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(547)</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Distributions to member</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(195)</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117</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(742)</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(1,126)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(121)</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2,377</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1,987</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2,256</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1,903</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957"/>
        </w:trPr>
        <w:tc>
          <w:tcPr>
            <w:tcW w:w="8240" w:type="dxa"/>
            <w:vAlign w:val="bottom"/>
          </w:tcPr>
          <w:p>
            <w:pPr>
              <w:ind w:left="562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jc w:val="right"/>
              <w:ind w:right="451"/>
              <w:spacing w:after="0"/>
              <w:rPr>
                <w:sz w:val="20"/>
                <w:szCs w:val="20"/>
                <w:color w:val="auto"/>
              </w:rPr>
            </w:pPr>
            <w:r>
              <w:rPr>
                <w:rFonts w:ascii="Arial" w:cs="Arial" w:eastAsia="Arial" w:hAnsi="Arial"/>
                <w:sz w:val="14"/>
                <w:szCs w:val="14"/>
                <w:color w:val="auto"/>
              </w:rPr>
              <w:t>March 31,</w:t>
            </w:r>
          </w:p>
        </w:tc>
        <w:tc>
          <w:tcPr>
            <w:tcW w:w="36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2,225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2,347</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7,176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6,967</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1,347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1,606</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1,065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1,037</w:t>
            </w:r>
          </w:p>
        </w:tc>
      </w:tr>
      <w:tr>
        <w:trPr>
          <w:trHeight w:val="27"/>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46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11,813</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11,957</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7,398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7,082</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1,863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1,816</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$4,394 and $4,166</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11,960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11,346</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24,356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23,989</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Intangible assets, net of accumulated amortization of $7,874 and $7,585</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13,562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13,306</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1,775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1,804</w:t>
            </w:r>
          </w:p>
        </w:tc>
      </w:tr>
      <w:tr>
        <w:trPr>
          <w:trHeight w:val="27"/>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b w:val="1"/>
                <w:bCs w:val="1"/>
                <w:color w:val="auto"/>
              </w:rPr>
              <w:t>72,727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71,300</w:t>
            </w:r>
          </w:p>
        </w:tc>
      </w:tr>
      <w:tr>
        <w:trPr>
          <w:trHeight w:val="34"/>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1,862</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1,663</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1,659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1,644</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Program obligations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898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745</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1,313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1,457</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1,760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2,394</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1,284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1,831</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218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198</w:t>
            </w:r>
          </w:p>
        </w:tc>
      </w:tr>
      <w:tr>
        <w:trPr>
          <w:trHeight w:val="27"/>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46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8,994</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9,932</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12,478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12,275</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Accrued participations, residuals and program obligations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1,453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1,490</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4,487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4,153</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405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409</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Equity:</w:t>
            </w: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Member’s capital</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43,228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42,148</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396</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NBCUniversal member’s equity</w:t>
            </w:r>
          </w:p>
        </w:tc>
        <w:tc>
          <w:tcPr>
            <w:tcW w:w="146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43,624</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42,128</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1,286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913</w:t>
            </w:r>
          </w:p>
        </w:tc>
      </w:tr>
      <w:tr>
        <w:trPr>
          <w:trHeight w:val="27"/>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46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44,910</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43,041</w:t>
            </w:r>
          </w:p>
        </w:tc>
      </w:tr>
      <w:tr>
        <w:trPr>
          <w:trHeight w:val="27"/>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b w:val="1"/>
                <w:bCs w:val="1"/>
                <w:color w:val="auto"/>
              </w:rPr>
              <w:t>72,727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71,300</w:t>
            </w:r>
          </w:p>
        </w:tc>
      </w:tr>
      <w:tr>
        <w:trPr>
          <w:trHeight w:val="34"/>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70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1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539"/>
        </w:trPr>
        <w:tc>
          <w:tcPr>
            <w:tcW w:w="7040" w:type="dxa"/>
            <w:vAlign w:val="bottom"/>
          </w:tcPr>
          <w:p>
            <w:pPr>
              <w:ind w:left="5620"/>
              <w:spacing w:after="0"/>
              <w:rPr>
                <w:sz w:val="20"/>
                <w:szCs w:val="20"/>
                <w:color w:val="auto"/>
              </w:rPr>
            </w:pPr>
            <w:r>
              <w:rPr>
                <w:rFonts w:ascii="Arial" w:cs="Arial" w:eastAsia="Arial" w:hAnsi="Arial"/>
                <w:sz w:val="18"/>
                <w:szCs w:val="18"/>
                <w:color w:val="auto"/>
              </w:rPr>
              <w:t>46</w:t>
            </w: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center"/>
              <w:ind w:right="217"/>
              <w:spacing w:after="0"/>
              <w:rPr>
                <w:sz w:val="20"/>
                <w:szCs w:val="20"/>
                <w:color w:val="auto"/>
              </w:rPr>
            </w:pPr>
            <w:r>
              <w:rPr>
                <w:rFonts w:ascii="Arial" w:cs="Arial" w:eastAsia="Arial" w:hAnsi="Arial"/>
                <w:sz w:val="14"/>
                <w:szCs w:val="14"/>
                <w:color w:val="auto"/>
                <w:w w:val="96"/>
              </w:rPr>
              <w:t>Accumulated</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9"/>
        </w:trPr>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Borders>
              <w:right w:val="single" w:sz="8" w:color="auto"/>
            </w:tcBorders>
          </w:tcPr>
          <w:p>
            <w:pPr>
              <w:jc w:val="center"/>
              <w:ind w:right="154"/>
              <w:spacing w:after="0" w:line="149" w:lineRule="exact"/>
              <w:rPr>
                <w:sz w:val="20"/>
                <w:szCs w:val="20"/>
                <w:color w:val="auto"/>
              </w:rPr>
            </w:pPr>
            <w:r>
              <w:rPr>
                <w:rFonts w:ascii="Arial" w:cs="Arial" w:eastAsia="Arial" w:hAnsi="Arial"/>
                <w:sz w:val="14"/>
                <w:szCs w:val="14"/>
                <w:color w:val="auto"/>
                <w:w w:val="90"/>
              </w:rPr>
              <w:t>Redeemable</w:t>
            </w: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96"/>
              </w:rPr>
              <w:t>Other</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Borders>
              <w:right w:val="single" w:sz="8" w:color="auto"/>
            </w:tcBorders>
          </w:tcPr>
          <w:p>
            <w:pPr>
              <w:jc w:val="center"/>
              <w:ind w:right="154"/>
              <w:spacing w:after="0" w:line="149" w:lineRule="exact"/>
              <w:rPr>
                <w:sz w:val="20"/>
                <w:szCs w:val="20"/>
                <w:color w:val="auto"/>
              </w:rPr>
            </w:pPr>
            <w:r>
              <w:rPr>
                <w:rFonts w:ascii="Arial" w:cs="Arial" w:eastAsia="Arial" w:hAnsi="Arial"/>
                <w:sz w:val="14"/>
                <w:szCs w:val="14"/>
                <w:color w:val="auto"/>
                <w:w w:val="98"/>
              </w:rPr>
              <w:t>Noncontrolling</w:t>
            </w:r>
          </w:p>
        </w:tc>
        <w:tc>
          <w:tcPr>
            <w:tcW w:w="500" w:type="dxa"/>
            <w:vAlign w:val="bottom"/>
          </w:tcPr>
          <w:p>
            <w:pPr>
              <w:spacing w:after="0"/>
              <w:rPr>
                <w:sz w:val="12"/>
                <w:szCs w:val="12"/>
                <w:color w:val="auto"/>
              </w:rPr>
            </w:pPr>
          </w:p>
        </w:tc>
        <w:tc>
          <w:tcPr>
            <w:tcW w:w="13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Member’s</w:t>
            </w:r>
          </w:p>
        </w:tc>
        <w:tc>
          <w:tcPr>
            <w:tcW w:w="340" w:type="dxa"/>
            <w:vAlign w:val="bottom"/>
          </w:tcPr>
          <w:p>
            <w:pPr>
              <w:spacing w:after="0"/>
              <w:rPr>
                <w:sz w:val="12"/>
                <w:szCs w:val="12"/>
                <w:color w:val="auto"/>
              </w:rPr>
            </w:pPr>
          </w:p>
        </w:tc>
        <w:tc>
          <w:tcPr>
            <w:tcW w:w="136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91"/>
              </w:rPr>
              <w:t>Comprehensive</w:t>
            </w:r>
          </w:p>
        </w:tc>
        <w:tc>
          <w:tcPr>
            <w:tcW w:w="320" w:type="dxa"/>
            <w:vAlign w:val="bottom"/>
          </w:tcPr>
          <w:p>
            <w:pPr>
              <w:spacing w:after="0"/>
              <w:rPr>
                <w:sz w:val="12"/>
                <w:szCs w:val="12"/>
                <w:color w:val="auto"/>
              </w:rPr>
            </w:pPr>
          </w:p>
        </w:tc>
        <w:tc>
          <w:tcPr>
            <w:tcW w:w="136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Noncontrolling</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8"/>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ind w:right="154"/>
              <w:spacing w:after="0"/>
              <w:rPr>
                <w:sz w:val="20"/>
                <w:szCs w:val="20"/>
                <w:color w:val="auto"/>
              </w:rPr>
            </w:pPr>
            <w:r>
              <w:rPr>
                <w:rFonts w:ascii="Arial" w:cs="Arial" w:eastAsia="Arial" w:hAnsi="Arial"/>
                <w:sz w:val="14"/>
                <w:szCs w:val="14"/>
                <w:color w:val="auto"/>
                <w:w w:val="89"/>
              </w:rPr>
              <w:t>Interests</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Capital</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color w:val="auto"/>
                <w:w w:val="92"/>
              </w:rPr>
              <w:t>Income (Loss)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Interests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Total Equity</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530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38,894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(135)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2,116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40,875</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(195)</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42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Contribution from member</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662</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7"/>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23"/>
                <w:szCs w:val="23"/>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293</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253</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342</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1,202</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1,257</w:t>
            </w:r>
          </w:p>
        </w:tc>
      </w:tr>
      <w:tr>
        <w:trPr>
          <w:trHeight w:val="27"/>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2017</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527</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40,652</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7"/>
              <w:spacing w:after="0"/>
              <w:rPr>
                <w:sz w:val="20"/>
                <w:szCs w:val="20"/>
                <w:color w:val="auto"/>
              </w:rPr>
            </w:pPr>
            <w:r>
              <w:rPr>
                <w:rFonts w:ascii="Arial" w:cs="Arial" w:eastAsia="Arial" w:hAnsi="Arial"/>
                <w:sz w:val="18"/>
                <w:szCs w:val="18"/>
                <w:b w:val="1"/>
                <w:bCs w:val="1"/>
                <w:color w:val="auto"/>
              </w:rPr>
              <w:t>71</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b w:val="1"/>
                <w:bCs w:val="1"/>
                <w:color w:val="auto"/>
              </w:rPr>
              <w:t>2,470</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43,193</w:t>
            </w:r>
          </w:p>
        </w:tc>
      </w:tr>
      <w:tr>
        <w:trPr>
          <w:trHeight w:val="34"/>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409</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42,148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913</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43,041</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Cumulative effects of adoption of</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accounting standards</w:t>
            </w:r>
          </w:p>
        </w:tc>
        <w:tc>
          <w:tcPr>
            <w:tcW w:w="42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0"/>
                <w:szCs w:val="20"/>
                <w:color w:val="auto"/>
              </w:rPr>
            </w:pPr>
          </w:p>
        </w:tc>
        <w:tc>
          <w:tcPr>
            <w:tcW w:w="1360" w:type="dxa"/>
            <w:vAlign w:val="bottom"/>
          </w:tcPr>
          <w:p>
            <w:pPr>
              <w:jc w:val="right"/>
              <w:ind w:right="117"/>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(195)</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42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346</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346</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7"/>
              <w:spacing w:after="0"/>
              <w:rPr>
                <w:sz w:val="20"/>
                <w:szCs w:val="20"/>
                <w:color w:val="auto"/>
              </w:rPr>
            </w:pPr>
            <w:r>
              <w:rPr>
                <w:rFonts w:ascii="Arial" w:cs="Arial" w:eastAsia="Arial" w:hAnsi="Arial"/>
                <w:sz w:val="18"/>
                <w:szCs w:val="18"/>
                <w:color w:val="auto"/>
              </w:rPr>
              <w:t>184</w:t>
            </w:r>
          </w:p>
        </w:tc>
        <w:tc>
          <w:tcPr>
            <w:tcW w:w="320" w:type="dxa"/>
            <w:vAlign w:val="bottom"/>
          </w:tcPr>
          <w:p>
            <w:pPr>
              <w:spacing w:after="0"/>
              <w:rPr>
                <w:sz w:val="23"/>
                <w:szCs w:val="23"/>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188</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1,513</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1,540</w:t>
            </w:r>
          </w:p>
        </w:tc>
      </w:tr>
      <w:tr>
        <w:trPr>
          <w:trHeight w:val="27"/>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2018</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405</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43,228</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7"/>
              <w:spacing w:after="0"/>
              <w:rPr>
                <w:sz w:val="20"/>
                <w:szCs w:val="20"/>
                <w:color w:val="auto"/>
              </w:rPr>
            </w:pPr>
            <w:r>
              <w:rPr>
                <w:rFonts w:ascii="Arial" w:cs="Arial" w:eastAsia="Arial" w:hAnsi="Arial"/>
                <w:sz w:val="18"/>
                <w:szCs w:val="18"/>
                <w:b w:val="1"/>
                <w:bCs w:val="1"/>
                <w:color w:val="auto"/>
              </w:rPr>
              <w:t>396</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b w:val="1"/>
                <w:bCs w:val="1"/>
                <w:color w:val="auto"/>
              </w:rPr>
              <w:t>1,286</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44,910</w:t>
            </w:r>
          </w:p>
        </w:tc>
      </w:tr>
      <w:tr>
        <w:trPr>
          <w:trHeight w:val="34"/>
        </w:trPr>
        <w:tc>
          <w:tcPr>
            <w:tcW w:w="4640" w:type="dxa"/>
            <w:vAlign w:val="bottom"/>
            <w:tcBorders>
              <w:bottom w:val="single" w:sz="8" w:color="auto"/>
              <w:right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1"/>
        </w:trPr>
        <w:tc>
          <w:tcPr>
            <w:tcW w:w="4640" w:type="dxa"/>
            <w:vAlign w:val="bottom"/>
            <w:gridSpan w:val="3"/>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39"/>
        </w:trPr>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right"/>
              <w:ind w:right="552"/>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2017 Annual Report on Form 10-K and the footnotes within this Form 10-Q.</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See Note 6 for a discussion of the effects of the adoption of new accounting pronouncements on our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3" w:lineRule="exact"/>
        <w:rPr>
          <w:sz w:val="20"/>
          <w:szCs w:val="20"/>
          <w:color w:val="auto"/>
        </w:rPr>
      </w:pPr>
    </w:p>
    <w:p>
      <w:pPr>
        <w:jc w:val="both"/>
        <w:ind w:left="660" w:hanging="328"/>
        <w:spacing w:after="0" w:line="266"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27" w:lineRule="exact"/>
        <w:rPr>
          <w:rFonts w:ascii="Arial" w:cs="Arial" w:eastAsia="Arial" w:hAnsi="Arial"/>
          <w:sz w:val="18"/>
          <w:szCs w:val="18"/>
          <w:b w:val="1"/>
          <w:bCs w:val="1"/>
          <w:color w:val="auto"/>
        </w:rPr>
      </w:pPr>
    </w:p>
    <w:p>
      <w:pPr>
        <w:ind w:left="660" w:hanging="328"/>
        <w:spacing w:after="0" w:line="32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 broadcast</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the NBC Universo national cable network, our broadcast television studio production operations, and various digital properties.</w:t>
      </w:r>
    </w:p>
    <w:p>
      <w:pPr>
        <w:spacing w:after="0" w:line="1" w:lineRule="exact"/>
        <w:rPr>
          <w:rFonts w:ascii="Arial" w:cs="Arial" w:eastAsia="Arial" w:hAnsi="Arial"/>
          <w:sz w:val="16"/>
          <w:szCs w:val="16"/>
          <w:color w:val="auto"/>
        </w:rPr>
      </w:pPr>
    </w:p>
    <w:p>
      <w:pPr>
        <w:ind w:left="660" w:hanging="328"/>
        <w:spacing w:after="0" w:line="30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DreamWorks Animation and Focus Features names.</w:t>
      </w:r>
    </w:p>
    <w:p>
      <w:pPr>
        <w:spacing w:after="0" w:line="1" w:lineRule="exact"/>
        <w:rPr>
          <w:rFonts w:ascii="Arial" w:cs="Arial" w:eastAsia="Arial" w:hAnsi="Arial"/>
          <w:sz w:val="17"/>
          <w:szCs w:val="17"/>
          <w:color w:val="auto"/>
        </w:rPr>
      </w:pPr>
    </w:p>
    <w:p>
      <w:pPr>
        <w:ind w:left="660" w:right="20" w:hanging="328"/>
        <w:spacing w:after="0" w:line="30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Theme Parks: </w:t>
      </w:r>
      <w:r>
        <w:rPr>
          <w:rFonts w:ascii="Arial" w:cs="Arial" w:eastAsia="Arial" w:hAnsi="Arial"/>
          <w:sz w:val="17"/>
          <w:szCs w:val="17"/>
          <w:color w:val="auto"/>
        </w:rPr>
        <w:t>Consists primarily of our Universal theme parks in Orlando, Florida; Hollywood, California; and Osaka, Japan. In addition, along</w:t>
      </w:r>
      <w:r>
        <w:rPr>
          <w:rFonts w:ascii="Arial" w:cs="Arial" w:eastAsia="Arial" w:hAnsi="Arial"/>
          <w:sz w:val="17"/>
          <w:szCs w:val="17"/>
          <w:b w:val="1"/>
          <w:bCs w:val="1"/>
          <w:color w:val="auto"/>
        </w:rPr>
        <w:t xml:space="preserve"> </w:t>
      </w:r>
      <w:r>
        <w:rPr>
          <w:rFonts w:ascii="Arial" w:cs="Arial" w:eastAsia="Arial" w:hAnsi="Arial"/>
          <w:sz w:val="17"/>
          <w:szCs w:val="17"/>
          <w:color w:val="auto"/>
        </w:rPr>
        <w:t>with a consortium of Chinese state-owned companies, we are developing a Universal theme park and resort in Beijing, China.</w:t>
      </w:r>
    </w:p>
    <w:p>
      <w:pPr>
        <w:spacing w:after="0" w:line="308" w:lineRule="auto"/>
        <w:rPr>
          <w:sz w:val="20"/>
          <w:szCs w:val="20"/>
          <w:color w:val="auto"/>
        </w:rPr>
      </w:pPr>
      <w:r>
        <w:rPr>
          <w:rFonts w:ascii="Arial" w:cs="Arial" w:eastAsia="Arial" w:hAnsi="Arial"/>
          <w:sz w:val="17"/>
          <w:szCs w:val="17"/>
          <w:color w:val="auto"/>
        </w:rPr>
        <w:t>We use Adjusted EBITDA to evaluate the profitability of our operating segments and the components of net income attributable to NBCUniversal excluded from Adjusted EBITDA are not separately evaluated. Our financial data by business segment is presented in the tables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right"/>
              <w:ind w:right="774"/>
              <w:spacing w:after="0"/>
              <w:rPr>
                <w:sz w:val="20"/>
                <w:szCs w:val="20"/>
                <w:color w:val="auto"/>
              </w:rPr>
            </w:pPr>
            <w:r>
              <w:rPr>
                <w:rFonts w:ascii="Arial" w:cs="Arial" w:eastAsia="Arial" w:hAnsi="Arial"/>
                <w:sz w:val="14"/>
                <w:szCs w:val="14"/>
                <w:color w:val="auto"/>
              </w:rPr>
              <w:t>Three Months Ended March 31, 2018</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54"/>
              <w:spacing w:after="0" w:line="157" w:lineRule="exact"/>
              <w:rPr>
                <w:sz w:val="20"/>
                <w:szCs w:val="20"/>
                <w:color w:val="auto"/>
              </w:rPr>
            </w:pPr>
            <w:r>
              <w:rPr>
                <w:rFonts w:ascii="Arial" w:cs="Arial" w:eastAsia="Arial" w:hAnsi="Arial"/>
                <w:sz w:val="14"/>
                <w:szCs w:val="14"/>
                <w:color w:val="auto"/>
                <w:w w:val="94"/>
              </w:rPr>
              <w:t>Depreciation and</w:t>
            </w:r>
          </w:p>
        </w:tc>
        <w:tc>
          <w:tcPr>
            <w:tcW w:w="240" w:type="dxa"/>
            <w:vAlign w:val="bottom"/>
          </w:tcPr>
          <w:p>
            <w:pPr>
              <w:spacing w:after="0"/>
              <w:rPr>
                <w:sz w:val="13"/>
                <w:szCs w:val="13"/>
                <w:color w:val="auto"/>
              </w:rPr>
            </w:pPr>
          </w:p>
        </w:tc>
        <w:tc>
          <w:tcPr>
            <w:tcW w:w="1020" w:type="dxa"/>
            <w:vAlign w:val="bottom"/>
          </w:tcPr>
          <w:p>
            <w:pPr>
              <w:jc w:val="right"/>
              <w:ind w:right="294"/>
              <w:spacing w:after="0" w:line="157"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40" w:type="dxa"/>
            <w:vAlign w:val="bottom"/>
          </w:tcPr>
          <w:p>
            <w:pPr>
              <w:jc w:val="right"/>
              <w:ind w:right="154"/>
              <w:spacing w:after="0" w:line="157" w:lineRule="exact"/>
              <w:rPr>
                <w:sz w:val="20"/>
                <w:szCs w:val="20"/>
                <w:color w:val="auto"/>
              </w:rPr>
            </w:pPr>
            <w:r>
              <w:rPr>
                <w:rFonts w:ascii="Arial" w:cs="Arial" w:eastAsia="Arial" w:hAnsi="Arial"/>
                <w:sz w:val="14"/>
                <w:szCs w:val="14"/>
                <w:color w:val="auto"/>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7"/>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1"/>
              </w:rPr>
              <w:t>Intangible Assets</w:t>
            </w:r>
          </w:p>
        </w:tc>
      </w:tr>
      <w:tr>
        <w:trPr>
          <w:trHeight w:val="282"/>
        </w:trPr>
        <w:tc>
          <w:tcPr>
            <w:tcW w:w="4920" w:type="dxa"/>
            <w:vAlign w:val="bottom"/>
          </w:tcPr>
          <w:p>
            <w:pPr>
              <w:ind w:left="40"/>
              <w:spacing w:after="0" w:line="282" w:lineRule="exact"/>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3,194</w:t>
            </w:r>
          </w:p>
        </w:tc>
        <w:tc>
          <w:tcPr>
            <w:tcW w:w="5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1,268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4920" w:type="dxa"/>
            <w:vAlign w:val="bottom"/>
          </w:tcPr>
          <w:p>
            <w:pPr>
              <w:ind w:left="4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3,497</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72</w:t>
            </w:r>
          </w:p>
        </w:tc>
      </w:tr>
      <w:tr>
        <w:trPr>
          <w:trHeight w:val="230"/>
        </w:trPr>
        <w:tc>
          <w:tcPr>
            <w:tcW w:w="492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1,647</w:t>
            </w:r>
          </w:p>
        </w:tc>
        <w:tc>
          <w:tcPr>
            <w:tcW w:w="5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1,281</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(a)(c)</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9,530</w:t>
            </w:r>
          </w:p>
        </w:tc>
        <w:tc>
          <w:tcPr>
            <w:tcW w:w="5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2,285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130</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729"/>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right"/>
              <w:ind w:right="774"/>
              <w:spacing w:after="0"/>
              <w:rPr>
                <w:sz w:val="20"/>
                <w:szCs w:val="20"/>
                <w:color w:val="auto"/>
              </w:rPr>
            </w:pPr>
            <w:r>
              <w:rPr>
                <w:rFonts w:ascii="Arial" w:cs="Arial" w:eastAsia="Arial" w:hAnsi="Arial"/>
                <w:sz w:val="14"/>
                <w:szCs w:val="14"/>
                <w:color w:val="auto"/>
              </w:rPr>
              <w:t>Three Months Ended March 31, 2017</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54"/>
              <w:spacing w:after="0" w:line="157" w:lineRule="exact"/>
              <w:rPr>
                <w:sz w:val="20"/>
                <w:szCs w:val="20"/>
                <w:color w:val="auto"/>
              </w:rPr>
            </w:pPr>
            <w:r>
              <w:rPr>
                <w:rFonts w:ascii="Arial" w:cs="Arial" w:eastAsia="Arial" w:hAnsi="Arial"/>
                <w:sz w:val="14"/>
                <w:szCs w:val="14"/>
                <w:color w:val="auto"/>
                <w:w w:val="94"/>
              </w:rPr>
              <w:t>Depreciation and</w:t>
            </w:r>
          </w:p>
        </w:tc>
        <w:tc>
          <w:tcPr>
            <w:tcW w:w="240" w:type="dxa"/>
            <w:vAlign w:val="bottom"/>
          </w:tcPr>
          <w:p>
            <w:pPr>
              <w:spacing w:after="0"/>
              <w:rPr>
                <w:sz w:val="13"/>
                <w:szCs w:val="13"/>
                <w:color w:val="auto"/>
              </w:rPr>
            </w:pPr>
          </w:p>
        </w:tc>
        <w:tc>
          <w:tcPr>
            <w:tcW w:w="1020" w:type="dxa"/>
            <w:vAlign w:val="bottom"/>
          </w:tcPr>
          <w:p>
            <w:pPr>
              <w:jc w:val="right"/>
              <w:ind w:right="294"/>
              <w:spacing w:after="0" w:line="157"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40" w:type="dxa"/>
            <w:vAlign w:val="bottom"/>
          </w:tcPr>
          <w:p>
            <w:pPr>
              <w:jc w:val="right"/>
              <w:ind w:right="154"/>
              <w:spacing w:after="0" w:line="157" w:lineRule="exact"/>
              <w:rPr>
                <w:sz w:val="20"/>
                <w:szCs w:val="20"/>
                <w:color w:val="auto"/>
              </w:rPr>
            </w:pPr>
            <w:r>
              <w:rPr>
                <w:rFonts w:ascii="Arial" w:cs="Arial" w:eastAsia="Arial" w:hAnsi="Arial"/>
                <w:sz w:val="14"/>
                <w:szCs w:val="14"/>
                <w:color w:val="auto"/>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7"/>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2,640</w:t>
            </w:r>
          </w:p>
        </w:tc>
        <w:tc>
          <w:tcPr>
            <w:tcW w:w="5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2,208</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1,967</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1,118</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7,853</w:t>
            </w:r>
          </w:p>
        </w:tc>
        <w:tc>
          <w:tcPr>
            <w:tcW w:w="5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55</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jc w:val="both"/>
        <w:ind w:left="340" w:hanging="332"/>
        <w:spacing w:after="0" w:line="257"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2018 PyeongChang Olympics were reported in our Cable Networks and Broadcast Television segments. The revenue and operating costs and expenses associated with our broadcast of the 2018 Super Bowl were reported in our Broadcast Television segment. Included in Eliminations are transactions relating to these events that our Broadcast Television and Cable Networks segments enter into with our other segments.</w:t>
      </w:r>
    </w:p>
    <w:p>
      <w:pPr>
        <w:spacing w:after="0" w:line="36"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consisted primarily of the licensing of film and television content from our Filmed Entertainment and Broadcast Television segments to our Cable Networks segment; for segment reporting, this revenue is recognized as the programming rights asset for the licensed content is amortized based on third party revenue.</w:t>
      </w:r>
    </w:p>
    <w:p>
      <w:pPr>
        <w:spacing w:after="0" w:line="36" w:lineRule="exact"/>
        <w:rPr>
          <w:rFonts w:ascii="Arial" w:cs="Arial" w:eastAsia="Arial" w:hAnsi="Arial"/>
          <w:sz w:val="14"/>
          <w:szCs w:val="14"/>
          <w:color w:val="auto"/>
        </w:rPr>
      </w:pPr>
    </w:p>
    <w:p>
      <w:pPr>
        <w:jc w:val="both"/>
        <w:ind w:left="340" w:hanging="332"/>
        <w:spacing w:after="0" w:line="273"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use Adjusted EBITDA as the measure of profit or loss for our operating segments. Adjusted EBITDA is defined as net income attributable to NBCUniversal before net income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40" w:type="dxa"/>
            <w:vAlign w:val="bottom"/>
          </w:tcPr>
          <w:p>
            <w:pPr>
              <w:spacing w:after="0"/>
              <w:rPr>
                <w:sz w:val="14"/>
                <w:szCs w:val="14"/>
                <w:color w:val="auto"/>
              </w:rPr>
            </w:pPr>
          </w:p>
        </w:tc>
      </w:tr>
      <w:tr>
        <w:trPr>
          <w:trHeight w:val="188"/>
        </w:trPr>
        <w:tc>
          <w:tcPr>
            <w:tcW w:w="7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6"/>
                <w:szCs w:val="16"/>
                <w:color w:val="auto"/>
              </w:rPr>
            </w:pPr>
          </w:p>
        </w:tc>
      </w:tr>
      <w:tr>
        <w:trPr>
          <w:trHeight w:val="264"/>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89"/>
              </w:rPr>
              <w:t>2017</w:t>
            </w:r>
          </w:p>
        </w:tc>
      </w:tr>
      <w:tr>
        <w:trPr>
          <w:trHeight w:val="258"/>
        </w:trPr>
        <w:tc>
          <w:tcPr>
            <w:tcW w:w="77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2,285</w:t>
            </w:r>
          </w:p>
        </w:tc>
        <w:tc>
          <w:tcPr>
            <w:tcW w:w="6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2,019</w:t>
            </w:r>
          </w:p>
        </w:tc>
      </w:tr>
      <w:tr>
        <w:trPr>
          <w:trHeight w:val="270"/>
        </w:trPr>
        <w:tc>
          <w:tcPr>
            <w:tcW w:w="77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(242)</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(231)</w:t>
            </w:r>
          </w:p>
        </w:tc>
      </w:tr>
      <w:tr>
        <w:trPr>
          <w:trHeight w:val="270"/>
        </w:trPr>
        <w:tc>
          <w:tcPr>
            <w:tcW w:w="77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(268)</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270"/>
        </w:trPr>
        <w:tc>
          <w:tcPr>
            <w:tcW w:w="77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(127)</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76"/>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77"/>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1,644</w:t>
            </w:r>
          </w:p>
        </w:tc>
        <w:tc>
          <w:tcPr>
            <w:tcW w:w="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1,367</w:t>
            </w: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r>
      <w:tr>
        <w:trPr>
          <w:trHeight w:val="188"/>
        </w:trPr>
        <w:tc>
          <w:tcPr>
            <w:tcW w:w="8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940" w:type="dxa"/>
            <w:vAlign w:val="bottom"/>
            <w:tcBorders>
              <w:bottom w:val="single" w:sz="8" w:color="auto"/>
            </w:tcBorders>
          </w:tcPr>
          <w:p>
            <w:pPr>
              <w:spacing w:after="0"/>
              <w:rPr>
                <w:sz w:val="16"/>
                <w:szCs w:val="16"/>
                <w:color w:val="auto"/>
              </w:rPr>
            </w:pPr>
          </w:p>
        </w:tc>
      </w:tr>
      <w:tr>
        <w:trPr>
          <w:trHeight w:val="264"/>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1,887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1,562</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988</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826</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319</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252</w:t>
            </w:r>
          </w:p>
        </w:tc>
      </w:tr>
      <w:tr>
        <w:trPr>
          <w:trHeight w:val="27"/>
        </w:trPr>
        <w:tc>
          <w:tcPr>
            <w:tcW w:w="8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360" w:type="dxa"/>
            <w:vAlign w:val="bottom"/>
          </w:tcPr>
          <w:p>
            <w:pPr>
              <w:spacing w:after="0"/>
              <w:rPr>
                <w:sz w:val="20"/>
                <w:szCs w:val="20"/>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3,194</w:t>
            </w:r>
          </w:p>
        </w:tc>
        <w:tc>
          <w:tcPr>
            <w:tcW w:w="66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2,640</w:t>
            </w:r>
          </w:p>
        </w:tc>
      </w:tr>
      <w:tr>
        <w:trPr>
          <w:trHeight w:val="432"/>
        </w:trPr>
        <w:tc>
          <w:tcPr>
            <w:tcW w:w="820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4"/>
                <w:szCs w:val="24"/>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2,365</w:t>
            </w:r>
          </w:p>
        </w:tc>
        <w:tc>
          <w:tcPr>
            <w:tcW w:w="66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1,279</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522</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503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610</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426</w:t>
            </w:r>
          </w:p>
        </w:tc>
      </w:tr>
      <w:tr>
        <w:trPr>
          <w:trHeight w:val="27"/>
        </w:trPr>
        <w:tc>
          <w:tcPr>
            <w:tcW w:w="8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360" w:type="dxa"/>
            <w:vAlign w:val="bottom"/>
          </w:tcPr>
          <w:p>
            <w:pPr>
              <w:spacing w:after="0"/>
              <w:rPr>
                <w:sz w:val="20"/>
                <w:szCs w:val="20"/>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3,497</w:t>
            </w:r>
          </w:p>
        </w:tc>
        <w:tc>
          <w:tcPr>
            <w:tcW w:w="66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2,208</w:t>
            </w:r>
          </w:p>
        </w:tc>
      </w:tr>
      <w:tr>
        <w:trPr>
          <w:trHeight w:val="432"/>
        </w:trPr>
        <w:tc>
          <w:tcPr>
            <w:tcW w:w="820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360" w:type="dxa"/>
            <w:vAlign w:val="bottom"/>
          </w:tcPr>
          <w:p>
            <w:pPr>
              <w:spacing w:after="0"/>
              <w:rPr>
                <w:sz w:val="24"/>
                <w:szCs w:val="24"/>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423</w:t>
            </w:r>
          </w:p>
        </w:tc>
        <w:tc>
          <w:tcPr>
            <w:tcW w:w="66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651</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733</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734</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248</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286</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243</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296</w:t>
            </w:r>
          </w:p>
        </w:tc>
      </w:tr>
      <w:tr>
        <w:trPr>
          <w:trHeight w:val="27"/>
        </w:trPr>
        <w:tc>
          <w:tcPr>
            <w:tcW w:w="8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360" w:type="dxa"/>
            <w:vAlign w:val="bottom"/>
          </w:tcPr>
          <w:p>
            <w:pPr>
              <w:spacing w:after="0"/>
              <w:rPr>
                <w:sz w:val="20"/>
                <w:szCs w:val="20"/>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1,647</w:t>
            </w:r>
          </w:p>
        </w:tc>
        <w:tc>
          <w:tcPr>
            <w:tcW w:w="66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1,967</w:t>
            </w:r>
          </w:p>
        </w:tc>
      </w:tr>
      <w:tr>
        <w:trPr>
          <w:trHeight w:val="432"/>
        </w:trPr>
        <w:tc>
          <w:tcPr>
            <w:tcW w:w="820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360" w:type="dxa"/>
            <w:vAlign w:val="bottom"/>
          </w:tcPr>
          <w:p>
            <w:pPr>
              <w:spacing w:after="0"/>
              <w:rPr>
                <w:sz w:val="24"/>
                <w:szCs w:val="24"/>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1,281</w:t>
            </w:r>
          </w:p>
        </w:tc>
        <w:tc>
          <w:tcPr>
            <w:tcW w:w="66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1,118</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w:t>
            </w:r>
          </w:p>
        </w:tc>
      </w:tr>
      <w:tr>
        <w:trPr>
          <w:trHeight w:val="297"/>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(103)</w:t>
            </w: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b w:val="1"/>
                <w:bCs w:val="1"/>
                <w:color w:val="auto"/>
              </w:rPr>
              <w:t>9,530</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7,853</w:t>
            </w:r>
          </w:p>
        </w:tc>
      </w:tr>
      <w:tr>
        <w:trPr>
          <w:trHeight w:val="34"/>
        </w:trPr>
        <w:tc>
          <w:tcPr>
            <w:tcW w:w="8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(a) Included in Eliminations are transactions that our segments enter into with one another. See Note 2 for a description of these transactions.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primarily in the United States, but also in select international markets primarily in Europe and Asia. The table below summarizes revenue by geographic location.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ind w:left="640"/>
              <w:spacing w:after="0"/>
              <w:rPr>
                <w:sz w:val="20"/>
                <w:szCs w:val="20"/>
                <w:color w:val="auto"/>
              </w:rPr>
            </w:pPr>
            <w:r>
              <w:rPr>
                <w:rFonts w:ascii="Arial" w:cs="Arial" w:eastAsia="Arial" w:hAnsi="Arial"/>
                <w:sz w:val="14"/>
                <w:szCs w:val="14"/>
                <w:color w:val="auto"/>
                <w:w w:val="94"/>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196"/>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96"/>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620"/>
              <w:spacing w:after="0"/>
              <w:rPr>
                <w:sz w:val="20"/>
                <w:szCs w:val="20"/>
                <w:color w:val="auto"/>
              </w:rPr>
            </w:pPr>
            <w:r>
              <w:rPr>
                <w:rFonts w:ascii="Arial" w:cs="Arial" w:eastAsia="Arial" w:hAnsi="Arial"/>
                <w:sz w:val="18"/>
                <w:szCs w:val="18"/>
                <w:color w:val="auto"/>
              </w:rPr>
              <w:t>7,654</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6,117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3"/>
                <w:szCs w:val="23"/>
                <w:color w:val="auto"/>
              </w:rPr>
            </w:pPr>
          </w:p>
        </w:tc>
        <w:tc>
          <w:tcPr>
            <w:tcW w:w="1200" w:type="dxa"/>
            <w:vAlign w:val="bottom"/>
          </w:tcPr>
          <w:p>
            <w:pPr>
              <w:ind w:left="620"/>
              <w:spacing w:after="0"/>
              <w:rPr>
                <w:sz w:val="20"/>
                <w:szCs w:val="20"/>
                <w:color w:val="auto"/>
              </w:rPr>
            </w:pPr>
            <w:r>
              <w:rPr>
                <w:rFonts w:ascii="Arial" w:cs="Arial" w:eastAsia="Arial" w:hAnsi="Arial"/>
                <w:sz w:val="18"/>
                <w:szCs w:val="18"/>
                <w:color w:val="auto"/>
              </w:rPr>
              <w:t>1,876</w:t>
            </w:r>
          </w:p>
        </w:tc>
        <w:tc>
          <w:tcPr>
            <w:tcW w:w="7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1,736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ind w:left="620"/>
              <w:spacing w:after="0"/>
              <w:rPr>
                <w:sz w:val="20"/>
                <w:szCs w:val="20"/>
                <w:color w:val="auto"/>
              </w:rPr>
            </w:pPr>
            <w:r>
              <w:rPr>
                <w:rFonts w:ascii="Arial" w:cs="Arial" w:eastAsia="Arial" w:hAnsi="Arial"/>
                <w:sz w:val="18"/>
                <w:szCs w:val="18"/>
                <w:b w:val="1"/>
                <w:bCs w:val="1"/>
                <w:color w:val="auto"/>
              </w:rPr>
              <w:t>9,530</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7,853</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generates distribution revenue from the distribution of our cable network programming to traditional and virtual multichannel video providers. Our Broadcast Television segment generates distribution revenue from the fees received under retransmission consent agreements and associated fees received from NBC-affiliated local broadcast television stations.</w:t>
      </w:r>
    </w:p>
    <w:p>
      <w:pPr>
        <w:spacing w:after="0" w:line="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Distribution revenue is recognized as programming is provided on a monthly basis, generally under multiyear agreements. Monthly fees received under distribution agreements with multichannel video providers are generally based on the number of subscribers. Payment terms and conditions vary by contract type, although terms generally include payment within 30 to 60 days.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Cable Networks and Broadcast Television segments generate advertising revenue from the sale of advertising on our cable and broadcast networks, our owned local broadcast television stations and various digital properties.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are agreed upon. Advertising revenue is recognized, net of agency commissions, in the period in which advertisements are aired or viewed and payment occurs thereafter, generally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ectPr>
          <w:pgSz w:w="11900" w:h="16838" w:orient="portrait"/>
          <w:cols w:equalWidth="0" w:num="1">
            <w:col w:w="11420"/>
          </w:cols>
          <w:pgMar w:left="240" w:top="121"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Theatrical</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Filmed Entertainment segment theatrical revenue is generated from the worldwide theatrical release of our produced and acquired films for exhibition in movie theaters and is affected by the timing, nature and number of films released in movie theaters and their acceptance by audiences. Theatrical revenue is also affected by the number of exhibition screens, ticket prices, the percentage of ticket sale retention by the exhibitors and the popularity of competing films at the time our films are released.</w:t>
      </w:r>
    </w:p>
    <w:p>
      <w:pPr>
        <w:spacing w:after="0" w:line="38" w:lineRule="exact"/>
        <w:rPr>
          <w:sz w:val="20"/>
          <w:szCs w:val="20"/>
          <w:color w:val="auto"/>
        </w:rPr>
      </w:pPr>
    </w:p>
    <w:p>
      <w:pPr>
        <w:ind w:right="1100"/>
        <w:spacing w:after="0" w:line="360" w:lineRule="auto"/>
        <w:rPr>
          <w:sz w:val="20"/>
          <w:szCs w:val="20"/>
          <w:color w:val="auto"/>
        </w:rPr>
      </w:pPr>
      <w:r>
        <w:rPr>
          <w:rFonts w:ascii="Arial" w:cs="Arial" w:eastAsia="Arial" w:hAnsi="Arial"/>
          <w:sz w:val="18"/>
          <w:szCs w:val="18"/>
          <w:color w:val="auto"/>
        </w:rPr>
        <w:t xml:space="preserve">We recognize theatrical revenue as the films are viewed and exhibited in theaters and payment generally occurs within 60 days after exhibition. </w:t>
      </w:r>
      <w:r>
        <w:rPr>
          <w:rFonts w:ascii="Arial" w:cs="Arial" w:eastAsia="Arial" w:hAnsi="Arial"/>
          <w:sz w:val="18"/>
          <w:szCs w:val="18"/>
          <w:b w:val="1"/>
          <w:bCs w:val="1"/>
          <w:color w:val="auto"/>
        </w:rPr>
        <w:t>Content Licensing</w:t>
      </w:r>
    </w:p>
    <w:p>
      <w:pPr>
        <w:jc w:val="both"/>
        <w:spacing w:after="0" w:line="279" w:lineRule="auto"/>
        <w:rPr>
          <w:sz w:val="20"/>
          <w:szCs w:val="20"/>
          <w:color w:val="auto"/>
        </w:rPr>
      </w:pPr>
      <w:r>
        <w:rPr>
          <w:rFonts w:ascii="Arial" w:cs="Arial" w:eastAsia="Arial" w:hAnsi="Arial"/>
          <w:sz w:val="17"/>
          <w:szCs w:val="17"/>
          <w:color w:val="auto"/>
        </w:rPr>
        <w:t>Our Cable Networks, Broadcast Television and Filmed Entertainment segments generate revenue from the licensing of our owned film and television content in the United States and internationally to cable, broadcast and premium networks and subscription video on demand services. Our content licensing agreements generally include fixed pricing and span multiple years. For example, following a film’s theatrical release, our Filmed Entertainment segment may license the exhibition rights of a film to different customers over multiple successive distribution windows.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revenue when the content is delivered and available for use by the licensee. When the term of an existing agreement is renewed or extended, we recognize revenue at the later of when the content is available or when the renewal or extension period begins. Payment terms and conditions vary by contract type, although payments are generally collected over the license term. The amount of future revenue to be earned related to fixed pricing under existing agreements primarily relates to our Filmed Entertainment segment, which at any given time equals approximately 1 to 2 years of our annual Filmed Entertainment content licensing revenue. The substantial majority of this revenue will be recognized within 2 years. This amount may fluctuate from period to period depending on the timing of the release and the availability of content under existing agreements and may not represent the total content licensing revenue expected to be recognized as it does not include revenue from future agreements or from variable pricing or optional purchases under existing agreements.</w:t>
      </w:r>
    </w:p>
    <w:p>
      <w:pPr>
        <w:spacing w:after="0" w:line="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our content licensing agreements that also include variable pricing, such as pricing based on the number of subscribers to a subscription video on demand service, we generally recognize revenue for variable pricing as the content is delivered and available and as the variable amounts become known.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Entertainment</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Filmed Entertainment segment generates revenue from the sale of our produced and acquired films on standard-definition digital video discs and Blu-ray discs (together, “DVDs”) and through digital distribution services. Our Cable Networks and Broadcast Television networks also generate revenue from the sale of owned programming on DVDs and through digital distribution services, which is reported in other revenue. We recognize revenue from DVD sales, net of estimated returns and customer incentives, on the date that DVDs are delivered to and made available for sale by retailers. Payment terms generally include payment within 60 to 90 days from delivery to the retailer.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Theme Parks segment generates revenue primarily from ticket sales and guest spending at our Universal theme parks in Orlando, Florida; Hollywood, California; and Osaka, Japan. Guest spending includes in-park spending on food, beverages and merchandise. We recognize revenue from theme park ticket sales when the tickets are used, generally within a year from the date of purchase. For annual passes, we generally recognize revenue on a straight-line basis over the period the pass is available to be used. We recognize revenue from guest spending at the point of sale.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our accounts receivable and other balances that are not separately presented in our condensed consolidated balance sheet that relate to the recognition of revenue and collection of the related cash.</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300" w:type="dxa"/>
            <w:vAlign w:val="bottom"/>
          </w:tcPr>
          <w:p>
            <w:pPr>
              <w:jc w:val="right"/>
              <w:ind w:right="457"/>
              <w:spacing w:after="0"/>
              <w:rPr>
                <w:sz w:val="20"/>
                <w:szCs w:val="20"/>
                <w:color w:val="auto"/>
              </w:rPr>
            </w:pPr>
            <w:r>
              <w:rPr>
                <w:rFonts w:ascii="Arial" w:cs="Arial" w:eastAsia="Arial" w:hAnsi="Arial"/>
                <w:sz w:val="14"/>
                <w:szCs w:val="14"/>
                <w:color w:val="auto"/>
              </w:rPr>
              <w:t>March 31,</w:t>
            </w:r>
          </w:p>
        </w:tc>
        <w:tc>
          <w:tcPr>
            <w:tcW w:w="360" w:type="dxa"/>
            <w:vAlign w:val="bottom"/>
          </w:tcPr>
          <w:p>
            <w:pPr>
              <w:spacing w:after="0"/>
              <w:rPr>
                <w:sz w:val="14"/>
                <w:szCs w:val="14"/>
                <w:color w:val="auto"/>
              </w:rPr>
            </w:pPr>
          </w:p>
        </w:tc>
        <w:tc>
          <w:tcPr>
            <w:tcW w:w="1260" w:type="dxa"/>
            <w:vAlign w:val="bottom"/>
          </w:tcPr>
          <w:p>
            <w:pPr>
              <w:jc w:val="right"/>
              <w:ind w:right="277"/>
              <w:spacing w:after="0"/>
              <w:rPr>
                <w:sz w:val="20"/>
                <w:szCs w:val="20"/>
                <w:color w:val="auto"/>
              </w:rPr>
            </w:pPr>
            <w:r>
              <w:rPr>
                <w:rFonts w:ascii="Arial" w:cs="Arial" w:eastAsia="Arial" w:hAnsi="Arial"/>
                <w:sz w:val="14"/>
                <w:szCs w:val="14"/>
                <w:color w:val="auto"/>
              </w:rPr>
              <w:t>December 31,</w:t>
            </w:r>
          </w:p>
        </w:tc>
      </w:tr>
      <w:tr>
        <w:trPr>
          <w:trHeight w:val="188"/>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color w:val="auto"/>
              </w:rPr>
              <w:t>2017</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2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7,269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7,055</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2960" w:type="dxa"/>
            <w:vAlign w:val="bottom"/>
          </w:tcPr>
          <w:p>
            <w:pPr>
              <w:spacing w:after="0"/>
              <w:rPr>
                <w:sz w:val="23"/>
                <w:szCs w:val="23"/>
                <w:color w:val="auto"/>
              </w:rPr>
            </w:pP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88</w:t>
            </w:r>
          </w:p>
        </w:tc>
      </w:tr>
      <w:tr>
        <w:trPr>
          <w:trHeight w:val="27"/>
        </w:trPr>
        <w:tc>
          <w:tcPr>
            <w:tcW w:w="55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29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b w:val="1"/>
                <w:bCs w:val="1"/>
                <w:color w:val="auto"/>
              </w:rPr>
              <w:t>7,176</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b w:val="1"/>
                <w:bCs w:val="1"/>
                <w:color w:val="auto"/>
              </w:rPr>
              <w:t>6,967</w:t>
            </w:r>
          </w:p>
        </w:tc>
      </w:tr>
      <w:tr>
        <w:trPr>
          <w:trHeight w:val="34"/>
        </w:trPr>
        <w:tc>
          <w:tcPr>
            <w:tcW w:w="55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00" w:type="dxa"/>
            <w:vAlign w:val="bottom"/>
          </w:tcPr>
          <w:p>
            <w:pPr>
              <w:jc w:val="right"/>
              <w:ind w:right="459"/>
              <w:spacing w:after="0"/>
              <w:rPr>
                <w:sz w:val="20"/>
                <w:szCs w:val="20"/>
                <w:color w:val="auto"/>
              </w:rPr>
            </w:pPr>
            <w:r>
              <w:rPr>
                <w:rFonts w:ascii="Arial" w:cs="Arial" w:eastAsia="Arial" w:hAnsi="Arial"/>
                <w:sz w:val="14"/>
                <w:szCs w:val="14"/>
                <w:color w:val="auto"/>
              </w:rPr>
              <w:t>March 31,</w:t>
            </w:r>
          </w:p>
        </w:tc>
        <w:tc>
          <w:tcPr>
            <w:tcW w:w="360" w:type="dxa"/>
            <w:vAlign w:val="bottom"/>
          </w:tcPr>
          <w:p>
            <w:pPr>
              <w:spacing w:after="0"/>
              <w:rPr>
                <w:sz w:val="14"/>
                <w:szCs w:val="14"/>
                <w:color w:val="auto"/>
              </w:rPr>
            </w:pPr>
          </w:p>
        </w:tc>
        <w:tc>
          <w:tcPr>
            <w:tcW w:w="1260" w:type="dxa"/>
            <w:vAlign w:val="bottom"/>
          </w:tcPr>
          <w:p>
            <w:pPr>
              <w:jc w:val="right"/>
              <w:ind w:right="279"/>
              <w:spacing w:after="0"/>
              <w:rPr>
                <w:sz w:val="20"/>
                <w:szCs w:val="20"/>
                <w:color w:val="auto"/>
              </w:rPr>
            </w:pPr>
            <w:r>
              <w:rPr>
                <w:rFonts w:ascii="Arial" w:cs="Arial" w:eastAsia="Arial" w:hAnsi="Arial"/>
                <w:sz w:val="14"/>
                <w:szCs w:val="14"/>
                <w:color w:val="auto"/>
              </w:rPr>
              <w:t>December 31,</w:t>
            </w:r>
          </w:p>
        </w:tc>
      </w:tr>
      <w:tr>
        <w:trPr>
          <w:trHeight w:val="188"/>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Noncurrent receivables (included in other noncurrent assets, net)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9"/>
              <w:spacing w:after="0"/>
              <w:rPr>
                <w:sz w:val="20"/>
                <w:szCs w:val="20"/>
                <w:color w:val="auto"/>
              </w:rPr>
            </w:pPr>
            <w:r>
              <w:rPr>
                <w:rFonts w:ascii="Arial" w:cs="Arial" w:eastAsia="Arial" w:hAnsi="Arial"/>
                <w:sz w:val="18"/>
                <w:szCs w:val="18"/>
                <w:color w:val="auto"/>
              </w:rPr>
              <w:t>1,090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1,093</w:t>
            </w: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9"/>
              <w:spacing w:after="0"/>
              <w:rPr>
                <w:sz w:val="20"/>
                <w:szCs w:val="20"/>
                <w:color w:val="auto"/>
              </w:rPr>
            </w:pPr>
            <w:r>
              <w:rPr>
                <w:rFonts w:ascii="Arial" w:cs="Arial" w:eastAsia="Arial" w:hAnsi="Arial"/>
                <w:sz w:val="18"/>
                <w:szCs w:val="18"/>
                <w:color w:val="auto"/>
              </w:rPr>
              <w:t>405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392</w:t>
            </w:r>
          </w:p>
        </w:tc>
      </w:tr>
      <w:tr>
        <w:trPr>
          <w:trHeight w:val="27"/>
        </w:trPr>
        <w:tc>
          <w:tcPr>
            <w:tcW w:w="66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Long-Term Debt</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2018, our debt, excluding the note payable to Comcast, had a carrying value of $12.7 billion and an estimated fair value of $13.3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Comcast and a 100% owned cable holding company subsidiary of Comcast (“CCCL Parent”) have fully and unconditionally guaranteed each other’s debt securities, including the $7 billion Comcast revolving credit facility due 2021. As of March 31, 2018, outstanding debt securities of $51.4 billion of Comcast and CCCL Parent were subject to the cross-guarantee structure.</w:t>
      </w:r>
    </w:p>
    <w:p>
      <w:pPr>
        <w:spacing w:after="0" w:line="3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do not, however, guarantee the obligations of NBCUniversal Enterprise with respect to its $4.8 billion aggregate principal amount of senior notes, $1.5 billion revolving credit facility, commercial paper program, or $725 million liquidation preference of Series A cumulative preferred stock.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Universal Studios Japan term loans are not subject to the cross-guarantee structure, however they have a separate guarantee from Comcast.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7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We own a 30% interest in Universal Beijing Resort and the construction will be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$4 billion). The debt financing is secured by the assets of Universal Beijing Resort and the equity interests of the investors.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March 31, 2018, our condensed consolidated balance sheet included assets, primarily including property and equipment, and liabilities of Universal Beijing Resort totaling $1.2 billion and $523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core principle of the new standard is that a company should recognize revenue to depict the transfer of promised goods or services to customers in an amount that reflects the consideration to which the company expects to be entitled in exchange for those goods or services.</w:t>
      </w:r>
    </w:p>
    <w:p>
      <w:pPr>
        <w:spacing w:after="0" w:line="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the updated guidance on January 1, 2018 on a full retrospective basis, which required us to reflect the impact of the updated guidance for all periods presented.</w:t>
      </w:r>
    </w:p>
    <w:p>
      <w:pPr>
        <w:spacing w:after="0" w:line="22"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adoption of the new standard did not have a material impact on our consolidated results of operations or financial position for any period presented. The updated guidance also requires additional disclosures regarding the nature, timing and uncertainty of our revenue transactions (see Note 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the effects on our condensed consolidated statement of income and balance sheet for the prior year periods presented.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54"/>
              <w:spacing w:after="0"/>
              <w:rPr>
                <w:sz w:val="20"/>
                <w:szCs w:val="20"/>
                <w:color w:val="auto"/>
              </w:rPr>
            </w:pPr>
            <w:r>
              <w:rPr>
                <w:rFonts w:ascii="Arial" w:cs="Arial" w:eastAsia="Arial" w:hAnsi="Arial"/>
                <w:sz w:val="14"/>
                <w:szCs w:val="14"/>
                <w:color w:val="auto"/>
                <w:w w:val="93"/>
              </w:rPr>
              <w:t>Three Months Ended</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3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March 31, 2017</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10"/>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Previously Reported</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Effects of Adoption</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As Adjusted</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Revenue</w:t>
            </w:r>
          </w:p>
        </w:tc>
        <w:tc>
          <w:tcPr>
            <w:tcW w:w="3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7,853</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6,359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6,342</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1,511</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Net income attributable to NBCUniversal</w:t>
            </w:r>
          </w:p>
        </w:tc>
        <w:tc>
          <w:tcPr>
            <w:tcW w:w="3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1,202</w:t>
            </w:r>
          </w:p>
        </w:tc>
      </w:tr>
      <w:tr>
        <w:trPr>
          <w:trHeight w:val="27"/>
        </w:trPr>
        <w:tc>
          <w:tcPr>
            <w:tcW w:w="35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439"/>
        </w:trPr>
        <w:tc>
          <w:tcPr>
            <w:tcW w:w="3520" w:type="dxa"/>
            <w:vAlign w:val="bottom"/>
          </w:tcPr>
          <w:p>
            <w:pPr>
              <w:spacing w:after="0"/>
              <w:rPr>
                <w:sz w:val="24"/>
                <w:szCs w:val="24"/>
                <w:color w:val="auto"/>
              </w:rPr>
            </w:pPr>
          </w:p>
        </w:tc>
        <w:tc>
          <w:tcPr>
            <w:tcW w:w="4900" w:type="dxa"/>
            <w:vAlign w:val="bottom"/>
            <w:gridSpan w:val="3"/>
          </w:tcPr>
          <w:p>
            <w:pPr>
              <w:jc w:val="right"/>
              <w:ind w:right="893"/>
              <w:spacing w:after="0"/>
              <w:rPr>
                <w:sz w:val="20"/>
                <w:szCs w:val="20"/>
                <w:color w:val="auto"/>
              </w:rPr>
            </w:pPr>
            <w:r>
              <w:rPr>
                <w:rFonts w:ascii="Arial" w:cs="Arial" w:eastAsia="Arial" w:hAnsi="Arial"/>
                <w:sz w:val="18"/>
                <w:szCs w:val="18"/>
                <w:b w:val="1"/>
                <w:bCs w:val="1"/>
                <w:color w:val="auto"/>
              </w:rPr>
              <w:t>Condensed Consolidated Balance Sheet</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3"/>
        </w:trPr>
        <w:tc>
          <w:tcPr>
            <w:tcW w:w="35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As of December 31, 2017</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10"/>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Previously Reported</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Effects of Adoption</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As Adjusted</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11,673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284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11,957</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7,082</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3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1,872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1,804</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71,073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227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71,300</w:t>
            </w:r>
          </w:p>
        </w:tc>
      </w:tr>
      <w:tr>
        <w:trPr>
          <w:trHeight w:val="540"/>
        </w:trPr>
        <w:tc>
          <w:tcPr>
            <w:tcW w:w="35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9,602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330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9,932</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4,153</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3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43,188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43,041</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3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71,073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227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71,300</w:t>
            </w:r>
          </w:p>
        </w:tc>
      </w:tr>
      <w:tr>
        <w:trPr>
          <w:trHeight w:val="27"/>
        </w:trPr>
        <w:tc>
          <w:tcPr>
            <w:tcW w:w="35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adoption of the updated guidance impacted the timing of recognition for some of our revenue contracts, primarily for content licensing agreements. As a result of the adoption of the updated guidance, when the term of existing content licensing agreements is renewed or extended, revenue is not recognized until the date when the renewal or extension period begins. Under the prior guidance, revenue for the content licensing renewal period was recognized on the date that the renewal was agreed to contractually. This change resulted in delayed revenue recognition for content licensing renewals or extensions in our Cable Networks, Broadcast Television and Filmed Entertainment segments. This change also impacted the timing of the related amortization of our film and television costs and participations and residuals expenses. The adoption of the updated guidance did not have a material impact on the results of operations or financial position for the reportable segments.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the changes in fair value be recognized in net income. On January 1, 2018, we adopted the updated guidance prospectively along with a related clarifying update and as a result, we recorded a $232 million cumulative effect adjustment to member's capital and accumulated other comprehensive income (loss). See Note 8 for further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2016, the FASB updated the accounting guidance related to restricted cash. The new standard requires that the statement of cash flows present the change during the period in the total of cash, cash equivalents, and amounts generally described as restricted cash or restricted cash equivalents, and a reconciliation of such total to amounts on the balance sheet. We adopted the updated guidance on January 1, 2018 and as required applied the retrospective transition method. The adoption did not have a material impact for any period presented.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w:t>
      </w:r>
    </w:p>
    <w:p>
      <w:pPr>
        <w:sectPr>
          <w:pgSz w:w="11900" w:h="16838" w:orient="portrait"/>
          <w:cols w:equalWidth="0" w:num="1">
            <w:col w:w="11420"/>
          </w:cols>
          <w:pgMar w:left="240" w:top="121" w:right="239" w:bottom="1440"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1"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statements. We are currently in the process of determining the impact that the updated accounting guidance will have on our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Film and Television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453"/>
              <w:spacing w:after="0"/>
              <w:rPr>
                <w:sz w:val="20"/>
                <w:szCs w:val="20"/>
                <w:color w:val="auto"/>
              </w:rPr>
            </w:pPr>
            <w:r>
              <w:rPr>
                <w:rFonts w:ascii="Arial" w:cs="Arial" w:eastAsia="Arial" w:hAnsi="Arial"/>
                <w:sz w:val="14"/>
                <w:szCs w:val="14"/>
                <w:color w:val="auto"/>
              </w:rPr>
              <w:t>March 31,</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2017</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1,590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1,734</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1,287</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1,149</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2,931</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2,933</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7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2,361</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2,260</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845</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818</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3,206</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3,078</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2,608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2,677</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8,745</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8,688</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1,347</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1,606</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2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3"/>
              <w:spacing w:after="0"/>
              <w:rPr>
                <w:sz w:val="20"/>
                <w:szCs w:val="20"/>
                <w:color w:val="auto"/>
              </w:rPr>
            </w:pPr>
            <w:r>
              <w:rPr>
                <w:rFonts w:ascii="Arial" w:cs="Arial" w:eastAsia="Arial" w:hAnsi="Arial"/>
                <w:sz w:val="18"/>
                <w:szCs w:val="18"/>
                <w:b w:val="1"/>
                <w:bCs w:val="1"/>
                <w:color w:val="auto"/>
              </w:rPr>
              <w:t>7,398</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7,082</w:t>
            </w:r>
          </w:p>
        </w:tc>
      </w:tr>
      <w:tr>
        <w:trPr>
          <w:trHeight w:val="34"/>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Investments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437"/>
              <w:spacing w:after="0"/>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4"/>
                <w:szCs w:val="14"/>
                <w:color w:val="auto"/>
              </w:rPr>
            </w:pPr>
          </w:p>
        </w:tc>
        <w:tc>
          <w:tcPr>
            <w:tcW w:w="1200" w:type="dxa"/>
            <w:vAlign w:val="bottom"/>
          </w:tcPr>
          <w:p>
            <w:pPr>
              <w:jc w:val="right"/>
              <w:ind w:right="275"/>
              <w:spacing w:after="0"/>
              <w:rPr>
                <w:sz w:val="20"/>
                <w:szCs w:val="20"/>
                <w:color w:val="auto"/>
              </w:rPr>
            </w:pPr>
            <w:r>
              <w:rPr>
                <w:rFonts w:ascii="Arial" w:cs="Arial" w:eastAsia="Arial" w:hAnsi="Arial"/>
                <w:sz w:val="14"/>
                <w:szCs w:val="14"/>
                <w:color w:val="auto"/>
                <w:w w:val="93"/>
              </w:rPr>
              <w:t>December 31,</w:t>
            </w:r>
          </w:p>
        </w:tc>
      </w:tr>
      <w:tr>
        <w:trPr>
          <w:trHeight w:val="188"/>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2017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7"/>
              <w:spacing w:after="0"/>
              <w:rPr>
                <w:sz w:val="20"/>
                <w:szCs w:val="20"/>
                <w:color w:val="auto"/>
              </w:rPr>
            </w:pPr>
            <w:r>
              <w:rPr>
                <w:rFonts w:ascii="Arial" w:cs="Arial" w:eastAsia="Arial" w:hAnsi="Arial"/>
                <w:sz w:val="18"/>
                <w:szCs w:val="18"/>
                <w:color w:val="auto"/>
              </w:rPr>
              <w:t>697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690</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28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8"/>
                <w:szCs w:val="18"/>
                <w:color w:val="auto"/>
              </w:rPr>
              <w:t>467</w:t>
            </w:r>
          </w:p>
        </w:tc>
        <w:tc>
          <w:tcPr>
            <w:tcW w:w="34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430</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28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8"/>
                <w:szCs w:val="18"/>
                <w:color w:val="auto"/>
              </w:rPr>
              <w:t>699</w:t>
            </w:r>
          </w:p>
        </w:tc>
        <w:tc>
          <w:tcPr>
            <w:tcW w:w="34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696</w:t>
            </w:r>
          </w:p>
        </w:tc>
      </w:tr>
      <w:tr>
        <w:trPr>
          <w:trHeight w:val="27"/>
        </w:trPr>
        <w:tc>
          <w:tcPr>
            <w:tcW w:w="8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57"/>
              <w:spacing w:after="0"/>
              <w:rPr>
                <w:sz w:val="20"/>
                <w:szCs w:val="20"/>
                <w:color w:val="auto"/>
              </w:rPr>
            </w:pPr>
            <w:r>
              <w:rPr>
                <w:rFonts w:ascii="Arial" w:cs="Arial" w:eastAsia="Arial" w:hAnsi="Arial"/>
                <w:sz w:val="18"/>
                <w:szCs w:val="18"/>
                <w:b w:val="1"/>
                <w:bCs w:val="1"/>
                <w:color w:val="auto"/>
              </w:rPr>
              <w:t>1,863</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b w:val="1"/>
                <w:bCs w:val="1"/>
                <w:color w:val="auto"/>
              </w:rPr>
              <w:t>1,816</w:t>
            </w:r>
          </w:p>
        </w:tc>
      </w:tr>
      <w:tr>
        <w:trPr>
          <w:trHeight w:val="34"/>
        </w:trPr>
        <w:tc>
          <w:tcPr>
            <w:tcW w:w="8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32"/>
        </w:trPr>
        <w:tc>
          <w:tcPr>
            <w:tcW w:w="8340" w:type="dxa"/>
            <w:vAlign w:val="bottom"/>
          </w:tcPr>
          <w:p>
            <w:pPr>
              <w:ind w:left="3960"/>
              <w:spacing w:after="0"/>
              <w:rPr>
                <w:sz w:val="20"/>
                <w:szCs w:val="20"/>
                <w:color w:val="auto"/>
              </w:rPr>
            </w:pPr>
            <w:r>
              <w:rPr>
                <w:rFonts w:ascii="Arial" w:cs="Arial" w:eastAsia="Arial" w:hAnsi="Arial"/>
                <w:sz w:val="18"/>
                <w:szCs w:val="18"/>
                <w:b w:val="1"/>
                <w:bCs w:val="1"/>
                <w:color w:val="auto"/>
              </w:rPr>
              <w:t>Investment and Other Income (Loss), Net</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8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0" w:type="dxa"/>
            <w:vAlign w:val="bottom"/>
            <w:gridSpan w:val="3"/>
          </w:tcPr>
          <w:p>
            <w:pPr>
              <w:jc w:val="right"/>
              <w:ind w:right="835"/>
              <w:spacing w:after="0"/>
              <w:rPr>
                <w:sz w:val="20"/>
                <w:szCs w:val="20"/>
                <w:color w:val="auto"/>
              </w:rPr>
            </w:pPr>
            <w:r>
              <w:rPr>
                <w:rFonts w:ascii="Arial" w:cs="Arial" w:eastAsia="Arial" w:hAnsi="Arial"/>
                <w:sz w:val="14"/>
                <w:szCs w:val="14"/>
                <w:color w:val="auto"/>
              </w:rPr>
              <w:t>Three Months Ended</w:t>
            </w:r>
          </w:p>
        </w:tc>
      </w:tr>
      <w:tr>
        <w:trPr>
          <w:trHeight w:val="188"/>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w:t>
            </w:r>
          </w:p>
        </w:tc>
        <w:tc>
          <w:tcPr>
            <w:tcW w:w="12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2017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28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28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23</w:t>
            </w:r>
          </w:p>
        </w:tc>
      </w:tr>
      <w:tr>
        <w:trPr>
          <w:trHeight w:val="27"/>
        </w:trPr>
        <w:tc>
          <w:tcPr>
            <w:tcW w:w="8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Investment and other income (loss), net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4"/>
        </w:trPr>
        <w:tc>
          <w:tcPr>
            <w:tcW w:w="8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January 1, 2018, in connection with our adoption of the updated accounting guidance related to the recognition and measurement of financial assets and financial liabilities (see Note 6), we updated the presentation and accounting policies for our investments previously classified as fair value and cost method investments. The investment categories presented in the table above are based on the new guidance and updated policies, where applicable, are presented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2018 and December 31, 2017, we had an investment in Hulu of $231 million and $249 million, respectively. For the three months ended March 31, 2018, we made cash capital contributions totaling $114 million to Hulu. For the three months ended March 31, 2018 and 2017, we recognized our proportionate share of Hulu’s losses of $131 million and $54 million, respectively, in equity in net income (losses) of investees, net.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In March 2018, we sold our investment in The Weather Channel cable network and recognized a pretax gain of $64 million in other income (loss), net.</w:t>
      </w:r>
    </w:p>
    <w:p>
      <w:pPr>
        <w:sectPr>
          <w:pgSz w:w="11900" w:h="16838" w:orient="portrait"/>
          <w:cols w:equalWidth="0" w:num="1">
            <w:col w:w="11420"/>
          </w:cols>
          <w:pgMar w:left="240" w:top="121"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net. The fair values of our marketable equity securities are based on Level 1 inputs that use quoted market prices.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2017, Comcast acquired an interest in Snap Inc. as part of its initial public offering. On March 31, 2017, Comcast contributed its investment in Snap to us as an equity contribution of $662 million, which was recorded in our condensed consolidated statement of equity based on the fair value of the investment as of March 31, 2017. We have classified our investment as a marketable equity security. Snap is a camera company whose primary product is Snapchat, a camera app that was created to help people communicate through short videos and images. As of March 31, 2018 and December 31, 2017, we had an investment in Snap of $467 million and $430 million, respectively. For the three months ended March 31, 2018, we recognized unrealized gains of $37 million in realized and unrealized gains (losses) on equity securities, net related to our investment in Snap.</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apply this measurement alternative to our nonmarketable equity securities. When an observable event occurs, we estimate the fair values of our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w w:val="94"/>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96"/>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Interest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99"/>
              <w:spacing w:after="0"/>
              <w:rPr>
                <w:sz w:val="20"/>
                <w:szCs w:val="20"/>
                <w:color w:val="auto"/>
              </w:rPr>
            </w:pPr>
            <w:r>
              <w:rPr>
                <w:rFonts w:ascii="Arial" w:cs="Arial" w:eastAsia="Arial" w:hAnsi="Arial"/>
                <w:sz w:val="18"/>
                <w:szCs w:val="18"/>
                <w:color w:val="auto"/>
              </w:rPr>
              <w:t>51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77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99"/>
              <w:spacing w:after="0"/>
              <w:rPr>
                <w:sz w:val="20"/>
                <w:szCs w:val="20"/>
                <w:color w:val="auto"/>
              </w:rPr>
            </w:pPr>
            <w:r>
              <w:rPr>
                <w:rFonts w:ascii="Arial" w:cs="Arial" w:eastAsia="Arial" w:hAnsi="Arial"/>
                <w:sz w:val="18"/>
                <w:szCs w:val="18"/>
                <w:color w:val="auto"/>
              </w:rPr>
              <w:t>173</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52</w:t>
            </w:r>
          </w:p>
        </w:tc>
      </w:tr>
      <w:tr>
        <w:trPr>
          <w:trHeight w:val="27"/>
        </w:trPr>
        <w:tc>
          <w:tcPr>
            <w:tcW w:w="8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2018:</w:t>
      </w:r>
    </w:p>
    <w:p>
      <w:pPr>
        <w:spacing w:after="0" w:line="7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acquired $721 million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received noncash contributions from noncontrolling interests totaling $316 million related to Universal Beijing Resort (see Note 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vMerge w:val="restart"/>
          </w:tcPr>
          <w:p>
            <w:pPr>
              <w:ind w:left="40"/>
              <w:spacing w:after="0"/>
              <w:rPr>
                <w:sz w:val="20"/>
                <w:szCs w:val="20"/>
                <w:color w:val="auto"/>
              </w:rPr>
            </w:pPr>
            <w:r>
              <w:rPr>
                <w:rFonts w:ascii="Arial" w:cs="Arial" w:eastAsia="Arial" w:hAnsi="Arial"/>
                <w:sz w:val="14"/>
                <w:szCs w:val="14"/>
                <w:color w:val="auto"/>
              </w:rPr>
              <w:t>(in millions)</w:t>
            </w:r>
          </w:p>
        </w:tc>
        <w:tc>
          <w:tcPr>
            <w:tcW w:w="3500" w:type="dxa"/>
            <w:vAlign w:val="bottom"/>
          </w:tcPr>
          <w:p>
            <w:pPr>
              <w:spacing w:after="0"/>
              <w:rPr>
                <w:sz w:val="14"/>
                <w:szCs w:val="14"/>
                <w:color w:val="auto"/>
              </w:rPr>
            </w:pPr>
          </w:p>
        </w:tc>
        <w:tc>
          <w:tcPr>
            <w:tcW w:w="1300" w:type="dxa"/>
            <w:vAlign w:val="bottom"/>
          </w:tcPr>
          <w:p>
            <w:pPr>
              <w:jc w:val="right"/>
              <w:ind w:right="457"/>
              <w:spacing w:after="0"/>
              <w:rPr>
                <w:sz w:val="20"/>
                <w:szCs w:val="20"/>
                <w:color w:val="auto"/>
              </w:rPr>
            </w:pPr>
            <w:r>
              <w:rPr>
                <w:rFonts w:ascii="Arial" w:cs="Arial" w:eastAsia="Arial" w:hAnsi="Arial"/>
                <w:sz w:val="14"/>
                <w:szCs w:val="14"/>
                <w:color w:val="auto"/>
              </w:rPr>
              <w:t>March 31,</w:t>
            </w:r>
          </w:p>
        </w:tc>
        <w:tc>
          <w:tcPr>
            <w:tcW w:w="360" w:type="dxa"/>
            <w:vAlign w:val="bottom"/>
          </w:tcPr>
          <w:p>
            <w:pPr>
              <w:spacing w:after="0"/>
              <w:rPr>
                <w:sz w:val="14"/>
                <w:szCs w:val="14"/>
                <w:color w:val="auto"/>
              </w:rPr>
            </w:pPr>
          </w:p>
        </w:tc>
        <w:tc>
          <w:tcPr>
            <w:tcW w:w="1260" w:type="dxa"/>
            <w:vAlign w:val="bottom"/>
          </w:tcPr>
          <w:p>
            <w:pPr>
              <w:jc w:val="right"/>
              <w:ind w:right="277"/>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01"/>
        </w:trPr>
        <w:tc>
          <w:tcPr>
            <w:tcW w:w="5000" w:type="dxa"/>
            <w:vAlign w:val="bottom"/>
            <w:vMerge w:val="continue"/>
          </w:tcPr>
          <w:p>
            <w:pPr>
              <w:spacing w:after="0"/>
              <w:rPr>
                <w:sz w:val="8"/>
                <w:szCs w:val="8"/>
                <w:color w:val="auto"/>
              </w:rPr>
            </w:pPr>
          </w:p>
        </w:tc>
        <w:tc>
          <w:tcPr>
            <w:tcW w:w="3500" w:type="dxa"/>
            <w:vAlign w:val="bottom"/>
          </w:tcPr>
          <w:p>
            <w:pPr>
              <w:spacing w:after="0"/>
              <w:rPr>
                <w:sz w:val="8"/>
                <w:szCs w:val="8"/>
                <w:color w:val="auto"/>
              </w:rPr>
            </w:pPr>
          </w:p>
        </w:tc>
        <w:tc>
          <w:tcPr>
            <w:tcW w:w="1300" w:type="dxa"/>
            <w:vAlign w:val="bottom"/>
            <w:vMerge w:val="restart"/>
          </w:tcPr>
          <w:p>
            <w:pPr>
              <w:jc w:val="right"/>
              <w:ind w:right="597"/>
              <w:spacing w:after="0"/>
              <w:rPr>
                <w:sz w:val="20"/>
                <w:szCs w:val="20"/>
                <w:color w:val="auto"/>
              </w:rPr>
            </w:pPr>
            <w:r>
              <w:rPr>
                <w:rFonts w:ascii="Arial" w:cs="Arial" w:eastAsia="Arial" w:hAnsi="Arial"/>
                <w:sz w:val="14"/>
                <w:szCs w:val="14"/>
                <w:color w:val="auto"/>
              </w:rPr>
              <w:t>2018</w:t>
            </w:r>
          </w:p>
        </w:tc>
        <w:tc>
          <w:tcPr>
            <w:tcW w:w="360" w:type="dxa"/>
            <w:vAlign w:val="bottom"/>
          </w:tcPr>
          <w:p>
            <w:pPr>
              <w:spacing w:after="0"/>
              <w:rPr>
                <w:sz w:val="8"/>
                <w:szCs w:val="8"/>
                <w:color w:val="auto"/>
              </w:rPr>
            </w:pPr>
          </w:p>
        </w:tc>
        <w:tc>
          <w:tcPr>
            <w:tcW w:w="1260" w:type="dxa"/>
            <w:vAlign w:val="bottom"/>
            <w:vMerge w:val="restart"/>
          </w:tcPr>
          <w:p>
            <w:pPr>
              <w:jc w:val="right"/>
              <w:ind w:right="517"/>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87"/>
        </w:trPr>
        <w:tc>
          <w:tcPr>
            <w:tcW w:w="5000" w:type="dxa"/>
            <w:vAlign w:val="bottom"/>
            <w:tcBorders>
              <w:bottom w:val="single" w:sz="8" w:color="auto"/>
            </w:tcBorders>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2,225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3500" w:type="dxa"/>
            <w:vAlign w:val="bottom"/>
          </w:tcPr>
          <w:p>
            <w:pPr>
              <w:spacing w:after="0"/>
              <w:rPr>
                <w:sz w:val="23"/>
                <w:szCs w:val="23"/>
                <w:color w:val="auto"/>
              </w:rPr>
            </w:pP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5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b w:val="1"/>
                <w:bCs w:val="1"/>
                <w:color w:val="auto"/>
              </w:rPr>
              <w:t>2,256</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b w:val="1"/>
                <w:bCs w:val="1"/>
                <w:color w:val="auto"/>
              </w:rPr>
              <w:t>2,377</w:t>
            </w:r>
          </w:p>
        </w:tc>
        <w:tc>
          <w:tcPr>
            <w:tcW w:w="0" w:type="dxa"/>
            <w:vAlign w:val="bottom"/>
          </w:tcPr>
          <w:p>
            <w:pPr>
              <w:spacing w:after="0"/>
              <w:rPr>
                <w:sz w:val="1"/>
                <w:szCs w:val="1"/>
                <w:color w:val="auto"/>
              </w:rPr>
            </w:pPr>
          </w:p>
        </w:tc>
      </w:tr>
      <w:tr>
        <w:trPr>
          <w:trHeight w:val="34"/>
        </w:trPr>
        <w:tc>
          <w:tcPr>
            <w:tcW w:w="50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5000" w:type="dxa"/>
            <w:vAlign w:val="bottom"/>
          </w:tcPr>
          <w:p>
            <w:pPr>
              <w:spacing w:after="0"/>
              <w:rPr>
                <w:sz w:val="24"/>
                <w:szCs w:val="24"/>
                <w:color w:val="auto"/>
              </w:rPr>
            </w:pPr>
          </w:p>
        </w:tc>
        <w:tc>
          <w:tcPr>
            <w:tcW w:w="3500" w:type="dxa"/>
            <w:vAlign w:val="bottom"/>
          </w:tcPr>
          <w:p>
            <w:pPr>
              <w:jc w:val="right"/>
              <w:ind w:right="2610"/>
              <w:spacing w:after="0"/>
              <w:rPr>
                <w:sz w:val="20"/>
                <w:szCs w:val="20"/>
                <w:color w:val="auto"/>
              </w:rPr>
            </w:pPr>
            <w:r>
              <w:rPr>
                <w:rFonts w:ascii="Arial" w:cs="Arial" w:eastAsia="Arial" w:hAnsi="Arial"/>
                <w:sz w:val="18"/>
                <w:szCs w:val="18"/>
                <w:color w:val="auto"/>
              </w:rPr>
              <w:t>55</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Arial" w:cs="Arial" w:eastAsia="Arial" w:hAnsi="Arial"/>
                <w:sz w:val="14"/>
                <w:szCs w:val="14"/>
                <w:color w:val="auto"/>
              </w:rPr>
              <w:t>March 31,</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375"/>
              <w:spacing w:after="0"/>
              <w:rPr>
                <w:sz w:val="20"/>
                <w:szCs w:val="20"/>
                <w:color w:val="auto"/>
              </w:rPr>
            </w:pPr>
            <w:r>
              <w:rPr>
                <w:rFonts w:ascii="Arial" w:cs="Arial" w:eastAsia="Arial" w:hAnsi="Arial"/>
                <w:sz w:val="14"/>
                <w:szCs w:val="14"/>
                <w:color w:val="auto"/>
              </w:rPr>
              <w:t>March 31,</w:t>
            </w:r>
          </w:p>
        </w:tc>
      </w:tr>
      <w:tr>
        <w:trPr>
          <w:trHeight w:val="188"/>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9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2017</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2960" w:type="dxa"/>
            <w:vAlign w:val="bottom"/>
          </w:tcPr>
          <w:p>
            <w:pPr>
              <w:jc w:val="right"/>
              <w:ind w:right="879"/>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w:t>
            </w: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2960" w:type="dxa"/>
            <w:vAlign w:val="bottom"/>
          </w:tcPr>
          <w:p>
            <w:pPr>
              <w:spacing w:after="0"/>
              <w:rPr>
                <w:sz w:val="23"/>
                <w:szCs w:val="23"/>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9</w:t>
            </w: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2960" w:type="dxa"/>
            <w:vAlign w:val="bottom"/>
          </w:tcPr>
          <w:p>
            <w:pPr>
              <w:spacing w:after="0"/>
              <w:rPr>
                <w:sz w:val="23"/>
                <w:szCs w:val="23"/>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w w:val="99"/>
              </w:rPr>
              <w:t>122</w:t>
            </w:r>
          </w:p>
        </w:tc>
        <w:tc>
          <w:tcPr>
            <w:tcW w:w="4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120</w:t>
            </w: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2960" w:type="dxa"/>
            <w:vAlign w:val="bottom"/>
          </w:tcPr>
          <w:p>
            <w:pPr>
              <w:spacing w:after="0"/>
              <w:rPr>
                <w:sz w:val="23"/>
                <w:szCs w:val="23"/>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w w:val="99"/>
              </w:rPr>
              <w:t>277</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63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2960" w:type="dxa"/>
            <w:vAlign w:val="bottom"/>
          </w:tcPr>
          <w:p>
            <w:pPr>
              <w:jc w:val="right"/>
              <w:ind w:right="879"/>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396</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b w:val="1"/>
                <w:bCs w:val="1"/>
                <w:color w:val="auto"/>
              </w:rPr>
              <w:t>71</w:t>
            </w:r>
          </w:p>
        </w:tc>
      </w:tr>
      <w:tr>
        <w:trPr>
          <w:trHeight w:val="34"/>
        </w:trPr>
        <w:tc>
          <w:tcPr>
            <w:tcW w:w="63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Related Party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is also the counterparty to one of our contractual obligations. As of March 31, 2018, the carrying value of the liability associated with this contractual obligation was $383 million.</w:t>
      </w:r>
    </w:p>
    <w:p>
      <w:pPr>
        <w:spacing w:after="0" w:line="22" w:lineRule="exact"/>
        <w:rPr>
          <w:sz w:val="20"/>
          <w:szCs w:val="20"/>
          <w:color w:val="auto"/>
        </w:rPr>
      </w:pPr>
    </w:p>
    <w:p>
      <w:pPr>
        <w:jc w:val="center"/>
        <w:ind w:right="40"/>
        <w:spacing w:after="0" w:line="412" w:lineRule="auto"/>
        <w:rPr>
          <w:sz w:val="20"/>
          <w:szCs w:val="20"/>
          <w:color w:val="auto"/>
        </w:rPr>
      </w:pPr>
      <w:r>
        <w:rPr>
          <w:rFonts w:ascii="Arial" w:cs="Arial" w:eastAsia="Arial" w:hAnsi="Arial"/>
          <w:sz w:val="18"/>
          <w:szCs w:val="18"/>
          <w:color w:val="auto"/>
        </w:rPr>
        <w:t xml:space="preserve">The following tables present transactions with Comcast and its consolidated subsidiaries that are included in our condensed consolidated financial statements. </w:t>
      </w:r>
      <w:r>
        <w:rPr>
          <w:rFonts w:ascii="Arial" w:cs="Arial" w:eastAsia="Arial" w:hAnsi="Arial"/>
          <w:sz w:val="18"/>
          <w:szCs w:val="18"/>
          <w:b w:val="1"/>
          <w:bCs w:val="1"/>
          <w:color w:val="auto"/>
        </w:rPr>
        <w:t>Condensed Consolidated Statement of Income</w:t>
      </w:r>
    </w:p>
    <w:tbl>
      <w:tblPr>
        <w:tblLayout w:type="fixed"/>
        <w:tblInd w:w="0" w:type="dxa"/>
        <w:tblCellMar>
          <w:top w:w="0" w:type="dxa"/>
          <w:left w:w="0" w:type="dxa"/>
          <w:bottom w:w="0" w:type="dxa"/>
          <w:right w:w="0" w:type="dxa"/>
        </w:tblCellMar>
      </w:tblPr>
      <w:tr>
        <w:trPr>
          <w:trHeight w:val="149"/>
        </w:trPr>
        <w:tc>
          <w:tcPr>
            <w:tcW w:w="8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gridSpan w:val="3"/>
          </w:tcPr>
          <w:p>
            <w:pPr>
              <w:jc w:val="right"/>
              <w:ind w:right="654"/>
              <w:spacing w:after="0" w:line="149" w:lineRule="exact"/>
              <w:rPr>
                <w:sz w:val="20"/>
                <w:szCs w:val="20"/>
                <w:color w:val="auto"/>
              </w:rPr>
            </w:pPr>
            <w:r>
              <w:rPr>
                <w:rFonts w:ascii="Arial" w:cs="Arial" w:eastAsia="Arial" w:hAnsi="Arial"/>
                <w:sz w:val="14"/>
                <w:szCs w:val="14"/>
                <w:color w:val="auto"/>
              </w:rPr>
              <w:t>Three Months Ended</w:t>
            </w:r>
          </w:p>
        </w:tc>
      </w:tr>
      <w:tr>
        <w:trPr>
          <w:trHeight w:val="188"/>
        </w:trPr>
        <w:tc>
          <w:tcPr>
            <w:tcW w:w="8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w:t>
            </w:r>
          </w:p>
        </w:tc>
        <w:tc>
          <w:tcPr>
            <w:tcW w:w="1060" w:type="dxa"/>
            <w:vAlign w:val="bottom"/>
            <w:tcBorders>
              <w:bottom w:val="single" w:sz="8" w:color="auto"/>
            </w:tcBorders>
          </w:tcPr>
          <w:p>
            <w:pPr>
              <w:spacing w:after="0"/>
              <w:rPr>
                <w:sz w:val="16"/>
                <w:szCs w:val="16"/>
                <w:color w:val="auto"/>
              </w:rPr>
            </w:pP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594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459</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Interest expense and investment and other income (loss),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(23)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26"/>
        </w:trPr>
        <w:tc>
          <w:tcPr>
            <w:tcW w:w="8700" w:type="dxa"/>
            <w:vAlign w:val="bottom"/>
          </w:tcPr>
          <w:p>
            <w:pPr>
              <w:ind w:left="3980"/>
              <w:spacing w:after="0"/>
              <w:rPr>
                <w:sz w:val="20"/>
                <w:szCs w:val="20"/>
                <w:color w:val="auto"/>
              </w:rPr>
            </w:pPr>
            <w:r>
              <w:rPr>
                <w:rFonts w:ascii="Arial" w:cs="Arial" w:eastAsia="Arial" w:hAnsi="Arial"/>
                <w:sz w:val="18"/>
                <w:szCs w:val="18"/>
                <w:b w:val="1"/>
                <w:bCs w:val="1"/>
                <w:color w:val="auto"/>
              </w:rPr>
              <w:t>Condensed Consolidated Balance Sheet</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8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color w:val="auto"/>
              </w:rPr>
              <w:t>March 31,</w:t>
            </w:r>
          </w:p>
        </w:tc>
        <w:tc>
          <w:tcPr>
            <w:tcW w:w="320" w:type="dxa"/>
            <w:vAlign w:val="bottom"/>
          </w:tcPr>
          <w:p>
            <w:pPr>
              <w:spacing w:after="0"/>
              <w:rPr>
                <w:sz w:val="23"/>
                <w:szCs w:val="23"/>
                <w:color w:val="auto"/>
              </w:rPr>
            </w:pPr>
          </w:p>
        </w:tc>
        <w:tc>
          <w:tcPr>
            <w:tcW w:w="1060" w:type="dxa"/>
            <w:vAlign w:val="bottom"/>
          </w:tcPr>
          <w:p>
            <w:pPr>
              <w:jc w:val="right"/>
              <w:ind w:right="154"/>
              <w:spacing w:after="0"/>
              <w:rPr>
                <w:sz w:val="20"/>
                <w:szCs w:val="20"/>
                <w:color w:val="auto"/>
              </w:rPr>
            </w:pPr>
            <w:r>
              <w:rPr>
                <w:rFonts w:ascii="Arial" w:cs="Arial" w:eastAsia="Arial" w:hAnsi="Arial"/>
                <w:sz w:val="14"/>
                <w:szCs w:val="14"/>
                <w:color w:val="auto"/>
                <w:w w:val="90"/>
              </w:rPr>
              <w:t>December 31,</w:t>
            </w:r>
          </w:p>
        </w:tc>
      </w:tr>
      <w:tr>
        <w:trPr>
          <w:trHeight w:val="188"/>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376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326</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51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50</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1,284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1,831</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610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610</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389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389</w:t>
            </w:r>
          </w:p>
        </w:tc>
      </w:tr>
      <w:tr>
        <w:trPr>
          <w:trHeight w:val="27"/>
        </w:trPr>
        <w:tc>
          <w:tcPr>
            <w:tcW w:w="8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Comcast maintains share-based compensation plans that consist primarily of awards of restricted share units and stock options to certain employees and directors as part of its approach to long-term incentive compensation. Additionally, through its employee stock purchase plans, employees are able to purchase shares of Comcast common stock at a discount through payroll deductions. Certain of our employees participate in these plans and the expense associated with their participation is settled in cash with Comcast. As of March 31, 2018 and 2017, we recognized share-based compensation expense of $32 million and $25 million, respectively.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COMCAST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OPTION AWARD</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is a Non-Qualified Stock Option Award dated [____] (“Award”) from Comcast Corporation (the “Sponsor”)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Optionee.</w:t>
      </w:r>
    </w:p>
    <w:p>
      <w:pPr>
        <w:spacing w:after="0" w:line="202" w:lineRule="exact"/>
        <w:rPr>
          <w:sz w:val="20"/>
          <w:szCs w:val="20"/>
          <w:color w:val="auto"/>
        </w:rPr>
      </w:pPr>
    </w:p>
    <w:p>
      <w:pPr>
        <w:ind w:left="2740" w:hanging="787"/>
        <w:spacing w:after="0"/>
        <w:tabs>
          <w:tab w:leader="none" w:pos="2740" w:val="left"/>
        </w:tabs>
        <w:numPr>
          <w:ilvl w:val="0"/>
          <w:numId w:val="17"/>
        </w:numPr>
        <w:rPr>
          <w:rFonts w:ascii="Arial" w:cs="Arial" w:eastAsia="Arial" w:hAnsi="Arial"/>
          <w:sz w:val="18"/>
          <w:szCs w:val="18"/>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herein:</w:t>
      </w:r>
    </w:p>
    <w:p>
      <w:pPr>
        <w:spacing w:after="0" w:line="22" w:lineRule="exact"/>
        <w:rPr>
          <w:sz w:val="20"/>
          <w:szCs w:val="20"/>
          <w:color w:val="auto"/>
        </w:rPr>
      </w:pPr>
    </w:p>
    <w:p>
      <w:pPr>
        <w:ind w:right="40" w:firstLine="1953"/>
        <w:spacing w:after="0" w:line="260" w:lineRule="auto"/>
        <w:tabs>
          <w:tab w:leader="none" w:pos="2793" w:val="left"/>
        </w:tabs>
        <w:numPr>
          <w:ilvl w:val="1"/>
          <w:numId w:val="18"/>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 w:lineRule="exact"/>
        <w:rPr>
          <w:rFonts w:ascii="Arial" w:cs="Arial" w:eastAsia="Arial" w:hAnsi="Arial"/>
          <w:sz w:val="17"/>
          <w:szCs w:val="17"/>
          <w:color w:val="auto"/>
        </w:rPr>
      </w:pPr>
    </w:p>
    <w:p>
      <w:pPr>
        <w:ind w:left="2820" w:hanging="867"/>
        <w:spacing w:after="0"/>
        <w:tabs>
          <w:tab w:leader="none" w:pos="2820" w:val="left"/>
        </w:tabs>
        <w:numPr>
          <w:ilvl w:val="1"/>
          <w:numId w:val="1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Sponsor.</w:t>
      </w:r>
    </w:p>
    <w:p>
      <w:pPr>
        <w:spacing w:after="0" w:line="3" w:lineRule="exact"/>
        <w:rPr>
          <w:rFonts w:ascii="Arial" w:cs="Arial" w:eastAsia="Arial" w:hAnsi="Arial"/>
          <w:sz w:val="18"/>
          <w:szCs w:val="18"/>
          <w:color w:val="auto"/>
        </w:rPr>
      </w:pPr>
    </w:p>
    <w:p>
      <w:pPr>
        <w:ind w:right="400" w:firstLine="1953"/>
        <w:spacing w:after="0" w:line="296" w:lineRule="auto"/>
        <w:tabs>
          <w:tab w:leader="none" w:pos="2793" w:val="left"/>
        </w:tabs>
        <w:numPr>
          <w:ilvl w:val="1"/>
          <w:numId w:val="18"/>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fraud; (ii) misappropriation; (iii) embezzlement; (iv) gross negligence in the performance of duties; (v) self-dealing; (vi) misrepresentation; (vii) dishonesty; (viii) conviction of a crime of a felony;</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material violation of any Company policy; (x) material violation of the Company’s Code of Ethics and Business Conduct or,</w:t>
      </w:r>
    </w:p>
    <w:p>
      <w:pPr>
        <w:spacing w:after="0" w:line="38" w:lineRule="exact"/>
        <w:rPr>
          <w:rFonts w:ascii="Arial" w:cs="Arial" w:eastAsia="Arial" w:hAnsi="Arial"/>
          <w:sz w:val="19"/>
          <w:szCs w:val="19"/>
          <w:color w:val="auto"/>
        </w:rPr>
      </w:pPr>
    </w:p>
    <w:p>
      <w:pPr>
        <w:jc w:val="both"/>
        <w:ind w:right="40" w:firstLine="8"/>
        <w:spacing w:after="0" w:line="243" w:lineRule="auto"/>
        <w:tabs>
          <w:tab w:leader="none" w:pos="366"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in the case of an employee of a Company who is a party to an employment agreement with a Company, material breach of such agreement;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as to items (ix), (x) and (xi), if capable of being cured, such event or condition remains uncured following 30 days written notice thereof.</w:t>
      </w:r>
    </w:p>
    <w:p>
      <w:pPr>
        <w:spacing w:after="0" w:line="1" w:lineRule="exact"/>
        <w:rPr>
          <w:rFonts w:ascii="Arial" w:cs="Arial" w:eastAsia="Arial" w:hAnsi="Arial"/>
          <w:sz w:val="22"/>
          <w:szCs w:val="22"/>
          <w:color w:val="auto"/>
        </w:rPr>
      </w:pPr>
    </w:p>
    <w:p>
      <w:pPr>
        <w:ind w:left="2820" w:hanging="867"/>
        <w:spacing w:after="0"/>
        <w:tabs>
          <w:tab w:leader="none" w:pos="2820" w:val="left"/>
        </w:tabs>
        <w:numPr>
          <w:ilvl w:val="1"/>
          <w:numId w:val="2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“Change in Control” as defined in the Plan.</w:t>
      </w:r>
    </w:p>
    <w:p>
      <w:pPr>
        <w:spacing w:after="0" w:line="3" w:lineRule="exact"/>
        <w:rPr>
          <w:rFonts w:ascii="Arial" w:cs="Arial" w:eastAsia="Arial" w:hAnsi="Arial"/>
          <w:sz w:val="18"/>
          <w:szCs w:val="18"/>
          <w:color w:val="auto"/>
        </w:rPr>
      </w:pPr>
    </w:p>
    <w:p>
      <w:pPr>
        <w:ind w:right="20" w:firstLine="1953"/>
        <w:spacing w:after="0" w:line="256" w:lineRule="auto"/>
        <w:tabs>
          <w:tab w:leader="none" w:pos="2793" w:val="left"/>
        </w:tabs>
        <w:numPr>
          <w:ilvl w:val="1"/>
          <w:numId w:val="2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means the closing of the acquisition and sale of the Shares as described in, and subject to the provisions of, Paragraph 9 hereof.</w:t>
      </w:r>
    </w:p>
    <w:p>
      <w:pPr>
        <w:ind w:left="2780" w:hanging="827"/>
        <w:spacing w:after="0"/>
        <w:tabs>
          <w:tab w:leader="none" w:pos="2780" w:val="left"/>
        </w:tabs>
        <w:numPr>
          <w:ilvl w:val="1"/>
          <w:numId w:val="2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date of the Closing.</w:t>
      </w:r>
    </w:p>
    <w:p>
      <w:pPr>
        <w:spacing w:after="0" w:line="3" w:lineRule="exact"/>
        <w:rPr>
          <w:rFonts w:ascii="Arial" w:cs="Arial" w:eastAsia="Arial" w:hAnsi="Arial"/>
          <w:sz w:val="18"/>
          <w:szCs w:val="18"/>
          <w:color w:val="auto"/>
        </w:rPr>
      </w:pPr>
    </w:p>
    <w:p>
      <w:pPr>
        <w:ind w:left="2820" w:hanging="867"/>
        <w:spacing w:after="0"/>
        <w:tabs>
          <w:tab w:leader="none" w:pos="2820" w:val="left"/>
        </w:tabs>
        <w:numPr>
          <w:ilvl w:val="1"/>
          <w:numId w:val="2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17" w:lineRule="exact"/>
        <w:rPr>
          <w:rFonts w:ascii="Arial" w:cs="Arial" w:eastAsia="Arial" w:hAnsi="Arial"/>
          <w:sz w:val="18"/>
          <w:szCs w:val="18"/>
          <w:color w:val="auto"/>
        </w:rPr>
      </w:pPr>
    </w:p>
    <w:p>
      <w:pPr>
        <w:ind w:left="2820" w:hanging="867"/>
        <w:spacing w:after="0"/>
        <w:tabs>
          <w:tab w:leader="none" w:pos="2820" w:val="left"/>
        </w:tabs>
        <w:numPr>
          <w:ilvl w:val="1"/>
          <w:numId w:val="20"/>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those members of the Board who have been designated pursuant to the Plan to</w:t>
      </w:r>
    </w:p>
    <w:p>
      <w:pPr>
        <w:spacing w:after="0" w:line="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act in that capacity.</w:t>
      </w:r>
    </w:p>
    <w:p>
      <w:pPr>
        <w:spacing w:after="0" w:line="17" w:lineRule="exact"/>
        <w:rPr>
          <w:rFonts w:ascii="Arial" w:cs="Arial" w:eastAsia="Arial" w:hAnsi="Arial"/>
          <w:sz w:val="16"/>
          <w:szCs w:val="16"/>
          <w:color w:val="auto"/>
        </w:rPr>
      </w:pPr>
    </w:p>
    <w:p>
      <w:pPr>
        <w:ind w:left="2780" w:hanging="827"/>
        <w:spacing w:after="0"/>
        <w:tabs>
          <w:tab w:leader="none" w:pos="2780" w:val="left"/>
        </w:tabs>
        <w:numPr>
          <w:ilvl w:val="1"/>
          <w:numId w:val="20"/>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means the Sponsor’s Class A Common Stock, par value, $.01 per share.</w:t>
      </w:r>
    </w:p>
    <w:p>
      <w:pPr>
        <w:spacing w:after="0" w:line="15" w:lineRule="exact"/>
        <w:rPr>
          <w:rFonts w:ascii="Arial" w:cs="Arial" w:eastAsia="Arial" w:hAnsi="Arial"/>
          <w:sz w:val="17"/>
          <w:szCs w:val="17"/>
          <w:color w:val="auto"/>
        </w:rPr>
      </w:pPr>
    </w:p>
    <w:p>
      <w:pPr>
        <w:ind w:left="2780" w:hanging="827"/>
        <w:spacing w:after="0"/>
        <w:tabs>
          <w:tab w:leader="none" w:pos="2780" w:val="left"/>
        </w:tabs>
        <w:numPr>
          <w:ilvl w:val="1"/>
          <w:numId w:val="2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the Sponsor and each of its Subsidiaries.</w:t>
      </w:r>
    </w:p>
    <w:p>
      <w:pPr>
        <w:spacing w:after="0" w:line="17" w:lineRule="exact"/>
        <w:rPr>
          <w:rFonts w:ascii="Arial" w:cs="Arial" w:eastAsia="Arial" w:hAnsi="Arial"/>
          <w:sz w:val="18"/>
          <w:szCs w:val="18"/>
          <w:color w:val="auto"/>
        </w:rPr>
      </w:pPr>
    </w:p>
    <w:p>
      <w:pPr>
        <w:ind w:right="400" w:firstLine="1953"/>
        <w:spacing w:after="0" w:line="268" w:lineRule="auto"/>
        <w:tabs>
          <w:tab w:leader="none" w:pos="2803" w:val="left"/>
        </w:tabs>
        <w:numPr>
          <w:ilvl w:val="1"/>
          <w:numId w:val="20"/>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Date of Exercise</w:t>
      </w:r>
      <w:r>
        <w:rPr>
          <w:rFonts w:ascii="Arial" w:cs="Arial" w:eastAsia="Arial" w:hAnsi="Arial"/>
          <w:sz w:val="21"/>
          <w:szCs w:val="21"/>
          <w:color w:val="auto"/>
        </w:rPr>
        <w:t>” means the date on which the notice required by Paragraph 6 hereof is hand-delivered, placed in the United States mail postage prepaid, or delivered to a telegraph or telex facility.</w:t>
      </w:r>
    </w:p>
    <w:p>
      <w:pPr>
        <w:ind w:left="2780" w:hanging="827"/>
        <w:spacing w:after="0"/>
        <w:tabs>
          <w:tab w:leader="none" w:pos="2780" w:val="left"/>
        </w:tabs>
        <w:numPr>
          <w:ilvl w:val="1"/>
          <w:numId w:val="20"/>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Date of Grant</w:t>
      </w:r>
      <w:r>
        <w:rPr>
          <w:rFonts w:ascii="Arial" w:cs="Arial" w:eastAsia="Arial" w:hAnsi="Arial"/>
          <w:sz w:val="21"/>
          <w:szCs w:val="21"/>
          <w:color w:val="auto"/>
        </w:rPr>
        <w:t>” means the date hereof, the date on which the Sponsor awarded the Option.</w:t>
      </w:r>
    </w:p>
    <w:p>
      <w:pPr>
        <w:spacing w:after="0" w:line="15" w:lineRule="exact"/>
        <w:rPr>
          <w:rFonts w:ascii="Arial" w:cs="Arial" w:eastAsia="Arial" w:hAnsi="Arial"/>
          <w:sz w:val="17"/>
          <w:szCs w:val="17"/>
          <w:color w:val="auto"/>
        </w:rPr>
      </w:pPr>
    </w:p>
    <w:p>
      <w:pPr>
        <w:ind w:left="2860" w:hanging="907"/>
        <w:spacing w:after="0"/>
        <w:tabs>
          <w:tab w:leader="none" w:pos="2860" w:val="left"/>
        </w:tabs>
        <w:numPr>
          <w:ilvl w:val="1"/>
          <w:numId w:val="2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a disability within the meaning of section 22(e)(3) of the Code.</w:t>
      </w:r>
    </w:p>
    <w:p>
      <w:pPr>
        <w:spacing w:after="0" w:line="17" w:lineRule="exact"/>
        <w:rPr>
          <w:rFonts w:ascii="Arial" w:cs="Arial" w:eastAsia="Arial" w:hAnsi="Arial"/>
          <w:sz w:val="18"/>
          <w:szCs w:val="18"/>
          <w:color w:val="auto"/>
        </w:rPr>
      </w:pPr>
    </w:p>
    <w:p>
      <w:pPr>
        <w:ind w:left="2820" w:hanging="867"/>
        <w:spacing w:after="0"/>
        <w:tabs>
          <w:tab w:leader="none" w:pos="2820" w:val="left"/>
        </w:tabs>
        <w:numPr>
          <w:ilvl w:val="1"/>
          <w:numId w:val="2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Expiration Date</w:t>
      </w:r>
      <w:r>
        <w:rPr>
          <w:rFonts w:ascii="Arial" w:cs="Arial" w:eastAsia="Arial" w:hAnsi="Arial"/>
          <w:sz w:val="22"/>
          <w:szCs w:val="22"/>
          <w:color w:val="auto"/>
        </w:rPr>
        <w:t>” means the earliest of the following:</w:t>
      </w:r>
    </w:p>
    <w:p>
      <w:pPr>
        <w:spacing w:after="0" w:line="17" w:lineRule="exact"/>
        <w:rPr>
          <w:rFonts w:ascii="Arial" w:cs="Arial" w:eastAsia="Arial" w:hAnsi="Arial"/>
          <w:sz w:val="18"/>
          <w:szCs w:val="18"/>
          <w:color w:val="auto"/>
        </w:rPr>
      </w:pPr>
    </w:p>
    <w:p>
      <w:pPr>
        <w:ind w:left="3460" w:hanging="859"/>
        <w:spacing w:after="0"/>
        <w:tabs>
          <w:tab w:leader="none" w:pos="3460" w:val="left"/>
        </w:tabs>
        <w:numPr>
          <w:ilvl w:val="2"/>
          <w:numId w:val="20"/>
        </w:numPr>
        <w:rPr>
          <w:rFonts w:ascii="Arial" w:cs="Arial" w:eastAsia="Arial" w:hAnsi="Arial"/>
          <w:sz w:val="16"/>
          <w:szCs w:val="16"/>
          <w:color w:val="auto"/>
        </w:rPr>
      </w:pPr>
      <w:r>
        <w:rPr>
          <w:rFonts w:ascii="Arial" w:cs="Arial" w:eastAsia="Arial" w:hAnsi="Arial"/>
          <w:sz w:val="19"/>
          <w:szCs w:val="19"/>
          <w:color w:val="auto"/>
        </w:rPr>
        <w:t>If the Optionee’s Termination of Employment with the Company is due to any reason other</w:t>
      </w:r>
    </w:p>
    <w:p>
      <w:pPr>
        <w:spacing w:after="0" w:line="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than death, Disability, Retirement or Cause, the date 90 days following such Termination of Employment;</w:t>
      </w:r>
    </w:p>
    <w:p>
      <w:pPr>
        <w:spacing w:after="0" w:line="17" w:lineRule="exact"/>
        <w:rPr>
          <w:rFonts w:ascii="Arial" w:cs="Arial" w:eastAsia="Arial" w:hAnsi="Arial"/>
          <w:sz w:val="16"/>
          <w:szCs w:val="16"/>
          <w:color w:val="auto"/>
        </w:rPr>
      </w:pPr>
    </w:p>
    <w:p>
      <w:pPr>
        <w:jc w:val="both"/>
        <w:ind w:right="420" w:firstLine="2601"/>
        <w:spacing w:after="0" w:line="247" w:lineRule="auto"/>
        <w:tabs>
          <w:tab w:leader="none" w:pos="3451" w:val="left"/>
        </w:tabs>
        <w:numPr>
          <w:ilvl w:val="2"/>
          <w:numId w:val="20"/>
        </w:numPr>
        <w:rPr>
          <w:rFonts w:ascii="Arial" w:cs="Arial" w:eastAsia="Arial" w:hAnsi="Arial"/>
          <w:sz w:val="18"/>
          <w:szCs w:val="18"/>
          <w:color w:val="auto"/>
        </w:rPr>
      </w:pPr>
      <w:r>
        <w:rPr>
          <w:rFonts w:ascii="Arial" w:cs="Arial" w:eastAsia="Arial" w:hAnsi="Arial"/>
          <w:sz w:val="22"/>
          <w:szCs w:val="22"/>
          <w:color w:val="auto"/>
        </w:rPr>
        <w:t>Subject to cancellation by the Committee pursuant to Paragraph 3(c), if the Optionee’s Termination of Employment with the Company (other than a Termination of Employment with the Company for Cause) occurs after qualifying for Retirement,</w:t>
      </w:r>
    </w:p>
    <w:p>
      <w:pPr>
        <w:spacing w:after="0" w:line="2" w:lineRule="exact"/>
        <w:rPr>
          <w:rFonts w:ascii="Arial" w:cs="Arial" w:eastAsia="Arial" w:hAnsi="Arial"/>
          <w:sz w:val="18"/>
          <w:szCs w:val="18"/>
          <w:color w:val="auto"/>
        </w:rPr>
      </w:pPr>
    </w:p>
    <w:p>
      <w:pPr>
        <w:ind w:left="4100" w:hanging="851"/>
        <w:spacing w:after="0"/>
        <w:tabs>
          <w:tab w:leader="none" w:pos="4100" w:val="left"/>
        </w:tabs>
        <w:numPr>
          <w:ilvl w:val="3"/>
          <w:numId w:val="20"/>
        </w:numPr>
        <w:rPr>
          <w:rFonts w:ascii="Arial" w:cs="Arial" w:eastAsia="Arial" w:hAnsi="Arial"/>
          <w:sz w:val="17"/>
          <w:szCs w:val="17"/>
          <w:color w:val="auto"/>
        </w:rPr>
      </w:pPr>
      <w:r>
        <w:rPr>
          <w:rFonts w:ascii="Arial" w:cs="Arial" w:eastAsia="Arial" w:hAnsi="Arial"/>
          <w:sz w:val="21"/>
          <w:szCs w:val="21"/>
          <w:color w:val="auto"/>
        </w:rPr>
        <w:t>the date three months after the third anniversary of the date of the Optionee’s</w:t>
      </w:r>
    </w:p>
    <w:p>
      <w:pPr>
        <w:spacing w:after="0" w:line="15" w:lineRule="exact"/>
        <w:rPr>
          <w:rFonts w:ascii="Arial" w:cs="Arial" w:eastAsia="Arial" w:hAnsi="Arial"/>
          <w:sz w:val="17"/>
          <w:szCs w:val="17"/>
          <w:color w:val="auto"/>
        </w:rPr>
      </w:pPr>
    </w:p>
    <w:p>
      <w:pPr>
        <w:ind w:right="320"/>
        <w:spacing w:after="0" w:line="259" w:lineRule="auto"/>
        <w:rPr>
          <w:rFonts w:ascii="Arial" w:cs="Arial" w:eastAsia="Arial" w:hAnsi="Arial"/>
          <w:sz w:val="17"/>
          <w:szCs w:val="17"/>
          <w:color w:val="auto"/>
        </w:rPr>
      </w:pPr>
      <w:r>
        <w:rPr>
          <w:rFonts w:ascii="Arial" w:cs="Arial" w:eastAsia="Arial" w:hAnsi="Arial"/>
          <w:sz w:val="22"/>
          <w:szCs w:val="22"/>
          <w:color w:val="auto"/>
        </w:rPr>
        <w:t>Termination of Employment if, at the time of such Termination of Employment, the Optionee has completed at least ten (10) but less than fifteen (15) years of service with the Company;</w:t>
      </w:r>
    </w:p>
    <w:p>
      <w:pPr>
        <w:sectPr>
          <w:pgSz w:w="11900" w:h="16838" w:orient="portrait"/>
          <w:cols w:equalWidth="0" w:num="1">
            <w:col w:w="11420"/>
          </w:cols>
          <w:pgMar w:left="240" w:top="121" w:right="239" w:bottom="1440" w:gutter="0" w:footer="0" w:header="0"/>
        </w:sectPr>
      </w:pPr>
    </w:p>
    <w:bookmarkStart w:id="60" w:name="page61"/>
    <w:bookmarkEnd w:id="60"/>
    <w:p>
      <w:pPr>
        <w:ind w:left="4100" w:hanging="851"/>
        <w:spacing w:after="0"/>
        <w:tabs>
          <w:tab w:leader="none" w:pos="4100" w:val="left"/>
        </w:tabs>
        <w:numPr>
          <w:ilvl w:val="3"/>
          <w:numId w:val="21"/>
        </w:numPr>
        <w:rPr>
          <w:rFonts w:ascii="Arial" w:cs="Arial" w:eastAsia="Arial" w:hAnsi="Arial"/>
          <w:sz w:val="17"/>
          <w:szCs w:val="17"/>
          <w:color w:val="auto"/>
        </w:rPr>
      </w:pPr>
      <w:r>
        <w:rPr>
          <w:rFonts w:ascii="Arial" w:cs="Arial" w:eastAsia="Arial" w:hAnsi="Arial"/>
          <w:sz w:val="21"/>
          <w:szCs w:val="21"/>
          <w:color w:val="auto"/>
        </w:rPr>
        <w:t>the date three months after the fifth anniversary of the date of the Optionee’s</w:t>
      </w:r>
    </w:p>
    <w:p>
      <w:pPr>
        <w:spacing w:after="0" w:line="33" w:lineRule="exact"/>
        <w:rPr>
          <w:rFonts w:ascii="Arial" w:cs="Arial" w:eastAsia="Arial" w:hAnsi="Arial"/>
          <w:sz w:val="17"/>
          <w:szCs w:val="17"/>
          <w:color w:val="auto"/>
        </w:rPr>
      </w:pPr>
    </w:p>
    <w:p>
      <w:pPr>
        <w:spacing w:after="0" w:line="249" w:lineRule="auto"/>
        <w:rPr>
          <w:rFonts w:ascii="Arial" w:cs="Arial" w:eastAsia="Arial" w:hAnsi="Arial"/>
          <w:sz w:val="17"/>
          <w:szCs w:val="17"/>
          <w:color w:val="auto"/>
        </w:rPr>
      </w:pPr>
      <w:r>
        <w:rPr>
          <w:rFonts w:ascii="Arial" w:cs="Arial" w:eastAsia="Arial" w:hAnsi="Arial"/>
          <w:sz w:val="22"/>
          <w:szCs w:val="22"/>
          <w:color w:val="auto"/>
        </w:rPr>
        <w:t>Termination of Employment if, at the time of such Termination of Employment, the Optionee has completed at least fifteen (15) but less than twenty (20) years of service with the Company; or</w:t>
      </w:r>
    </w:p>
    <w:p>
      <w:pPr>
        <w:spacing w:after="0" w:line="1" w:lineRule="exact"/>
        <w:rPr>
          <w:rFonts w:ascii="Arial" w:cs="Arial" w:eastAsia="Arial" w:hAnsi="Arial"/>
          <w:sz w:val="17"/>
          <w:szCs w:val="17"/>
          <w:color w:val="auto"/>
        </w:rPr>
      </w:pPr>
    </w:p>
    <w:p>
      <w:pPr>
        <w:ind w:left="4100" w:hanging="851"/>
        <w:spacing w:after="0"/>
        <w:tabs>
          <w:tab w:leader="none" w:pos="4100" w:val="left"/>
        </w:tabs>
        <w:numPr>
          <w:ilvl w:val="3"/>
          <w:numId w:val="21"/>
        </w:numPr>
        <w:rPr>
          <w:rFonts w:ascii="Arial" w:cs="Arial" w:eastAsia="Arial" w:hAnsi="Arial"/>
          <w:sz w:val="16"/>
          <w:szCs w:val="16"/>
          <w:color w:val="auto"/>
        </w:rPr>
      </w:pPr>
      <w:r>
        <w:rPr>
          <w:rFonts w:ascii="Arial" w:cs="Arial" w:eastAsia="Arial" w:hAnsi="Arial"/>
          <w:sz w:val="19"/>
          <w:szCs w:val="19"/>
          <w:color w:val="auto"/>
        </w:rPr>
        <w:t>the date three months after the nine and one-half year anniversary of the date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9"/>
          <w:szCs w:val="19"/>
          <w:color w:val="auto"/>
        </w:rPr>
        <w:t>Optionee’s Termination of Employment if, at the time of such Termination of Employment, the Optionee has completed twenty</w:t>
      </w:r>
    </w:p>
    <w:p>
      <w:pPr>
        <w:spacing w:after="0" w:line="51" w:lineRule="exact"/>
        <w:rPr>
          <w:rFonts w:ascii="Arial" w:cs="Arial" w:eastAsia="Arial" w:hAnsi="Arial"/>
          <w:sz w:val="16"/>
          <w:szCs w:val="16"/>
          <w:color w:val="auto"/>
        </w:rPr>
      </w:pPr>
    </w:p>
    <w:p>
      <w:pPr>
        <w:ind w:left="420" w:hanging="412"/>
        <w:spacing w:after="0"/>
        <w:tabs>
          <w:tab w:leader="none" w:pos="4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or more years of service with the Company;</w:t>
      </w:r>
    </w:p>
    <w:p>
      <w:pPr>
        <w:spacing w:after="0" w:line="3" w:lineRule="exact"/>
        <w:rPr>
          <w:rFonts w:ascii="Arial" w:cs="Arial" w:eastAsia="Arial" w:hAnsi="Arial"/>
          <w:sz w:val="22"/>
          <w:szCs w:val="22"/>
          <w:color w:val="auto"/>
        </w:rPr>
      </w:pPr>
    </w:p>
    <w:p>
      <w:pPr>
        <w:ind w:right="400" w:firstLine="2601"/>
        <w:spacing w:after="0" w:line="289" w:lineRule="auto"/>
        <w:tabs>
          <w:tab w:leader="none" w:pos="3451" w:val="left"/>
        </w:tabs>
        <w:numPr>
          <w:ilvl w:val="2"/>
          <w:numId w:val="22"/>
        </w:numPr>
        <w:rPr>
          <w:rFonts w:ascii="Arial" w:cs="Arial" w:eastAsia="Arial" w:hAnsi="Arial"/>
          <w:sz w:val="16"/>
          <w:szCs w:val="16"/>
          <w:color w:val="auto"/>
        </w:rPr>
      </w:pPr>
      <w:r>
        <w:rPr>
          <w:rFonts w:ascii="Arial" w:cs="Arial" w:eastAsia="Arial" w:hAnsi="Arial"/>
          <w:sz w:val="19"/>
          <w:szCs w:val="19"/>
          <w:color w:val="auto"/>
        </w:rPr>
        <w:t>If the Optionee’s Termination of Employment with the Company is because of death or Disability, the third anniversary of the date of the Optionee’s Termination of Employment because of such death or Disability;</w:t>
      </w:r>
    </w:p>
    <w:p>
      <w:pPr>
        <w:ind w:left="3460" w:hanging="859"/>
        <w:spacing w:after="0"/>
        <w:tabs>
          <w:tab w:leader="none" w:pos="3460" w:val="left"/>
        </w:tabs>
        <w:numPr>
          <w:ilvl w:val="2"/>
          <w:numId w:val="22"/>
        </w:numPr>
        <w:rPr>
          <w:rFonts w:ascii="Arial" w:cs="Arial" w:eastAsia="Arial" w:hAnsi="Arial"/>
          <w:sz w:val="16"/>
          <w:szCs w:val="16"/>
          <w:color w:val="auto"/>
        </w:rPr>
      </w:pPr>
      <w:r>
        <w:rPr>
          <w:rFonts w:ascii="Arial" w:cs="Arial" w:eastAsia="Arial" w:hAnsi="Arial"/>
          <w:sz w:val="19"/>
          <w:szCs w:val="19"/>
          <w:color w:val="auto"/>
        </w:rPr>
        <w:t>If the Optionee’s Termination of Employment with the Company is for Cause, the date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such Termination of Employment; or</w:t>
      </w:r>
    </w:p>
    <w:p>
      <w:pPr>
        <w:spacing w:after="0" w:line="17" w:lineRule="exact"/>
        <w:rPr>
          <w:rFonts w:ascii="Arial" w:cs="Arial" w:eastAsia="Arial" w:hAnsi="Arial"/>
          <w:sz w:val="16"/>
          <w:szCs w:val="16"/>
          <w:color w:val="auto"/>
        </w:rPr>
      </w:pPr>
    </w:p>
    <w:p>
      <w:pPr>
        <w:ind w:left="3460" w:hanging="859"/>
        <w:spacing w:after="0"/>
        <w:tabs>
          <w:tab w:leader="none" w:pos="3460" w:val="left"/>
        </w:tabs>
        <w:numPr>
          <w:ilvl w:val="2"/>
          <w:numId w:val="22"/>
        </w:numPr>
        <w:rPr>
          <w:rFonts w:ascii="Arial" w:cs="Arial" w:eastAsia="Arial" w:hAnsi="Arial"/>
          <w:sz w:val="18"/>
          <w:szCs w:val="18"/>
          <w:color w:val="auto"/>
        </w:rPr>
      </w:pPr>
      <w:r>
        <w:rPr>
          <w:rFonts w:ascii="Arial" w:cs="Arial" w:eastAsia="Arial" w:hAnsi="Arial"/>
          <w:sz w:val="22"/>
          <w:szCs w:val="22"/>
          <w:color w:val="auto"/>
        </w:rPr>
        <w:t>The day before the tenth anniversary of the Date of Grant.</w:t>
      </w:r>
    </w:p>
    <w:p>
      <w:pPr>
        <w:spacing w:after="0" w:line="3" w:lineRule="exact"/>
        <w:rPr>
          <w:rFonts w:ascii="Arial" w:cs="Arial" w:eastAsia="Arial" w:hAnsi="Arial"/>
          <w:sz w:val="18"/>
          <w:szCs w:val="18"/>
          <w:color w:val="auto"/>
        </w:rPr>
      </w:pPr>
    </w:p>
    <w:p>
      <w:pPr>
        <w:ind w:left="2820" w:hanging="867"/>
        <w:spacing w:after="0"/>
        <w:tabs>
          <w:tab w:leader="none" w:pos="2820" w:val="left"/>
        </w:tabs>
        <w:numPr>
          <w:ilvl w:val="1"/>
          <w:numId w:val="22"/>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means the Fair Market Value of a Share, as determined pursuant to the Plan.</w:t>
      </w:r>
    </w:p>
    <w:p>
      <w:pPr>
        <w:spacing w:after="0" w:line="51" w:lineRule="exact"/>
        <w:rPr>
          <w:rFonts w:ascii="Arial" w:cs="Arial" w:eastAsia="Arial" w:hAnsi="Arial"/>
          <w:sz w:val="16"/>
          <w:szCs w:val="16"/>
          <w:color w:val="auto"/>
        </w:rPr>
      </w:pPr>
    </w:p>
    <w:p>
      <w:pPr>
        <w:ind w:firstLine="1953"/>
        <w:spacing w:after="0" w:line="256" w:lineRule="auto"/>
        <w:tabs>
          <w:tab w:leader="none" w:pos="2803" w:val="left"/>
        </w:tabs>
        <w:numPr>
          <w:ilvl w:val="1"/>
          <w:numId w:val="2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Long-Term Incentive Awards Summary Schedule</w:t>
      </w:r>
      <w:r>
        <w:rPr>
          <w:rFonts w:ascii="Arial" w:cs="Arial" w:eastAsia="Arial" w:hAnsi="Arial"/>
          <w:sz w:val="22"/>
          <w:szCs w:val="22"/>
          <w:color w:val="auto"/>
        </w:rPr>
        <w:t>” means the schedule attached hereto, which sets forth specific information relating to the grant, vesting and exercise of the Option.</w:t>
      </w:r>
    </w:p>
    <w:p>
      <w:pPr>
        <w:ind w:left="2820" w:hanging="867"/>
        <w:spacing w:after="0"/>
        <w:tabs>
          <w:tab w:leader="none" w:pos="2820" w:val="left"/>
        </w:tabs>
        <w:numPr>
          <w:ilvl w:val="1"/>
          <w:numId w:val="2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the option hereby granted.</w:t>
      </w:r>
    </w:p>
    <w:p>
      <w:pPr>
        <w:spacing w:after="0" w:line="3" w:lineRule="exact"/>
        <w:rPr>
          <w:rFonts w:ascii="Arial" w:cs="Arial" w:eastAsia="Arial" w:hAnsi="Arial"/>
          <w:sz w:val="18"/>
          <w:szCs w:val="18"/>
          <w:color w:val="auto"/>
        </w:rPr>
      </w:pPr>
    </w:p>
    <w:p>
      <w:pPr>
        <w:ind w:right="80" w:firstLine="1953"/>
        <w:spacing w:after="0" w:line="256" w:lineRule="auto"/>
        <w:tabs>
          <w:tab w:leader="none" w:pos="2773" w:val="left"/>
        </w:tabs>
        <w:numPr>
          <w:ilvl w:val="1"/>
          <w:numId w:val="2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 Price</w:t>
      </w:r>
      <w:r>
        <w:rPr>
          <w:rFonts w:ascii="Arial" w:cs="Arial" w:eastAsia="Arial" w:hAnsi="Arial"/>
          <w:sz w:val="22"/>
          <w:szCs w:val="22"/>
          <w:color w:val="auto"/>
        </w:rPr>
        <w:t>” means the per Share exercise price of the Option, as calculated pursuant to the Plan and set forth on the attached Long-Term Incentive Awards Summary Schedule.</w:t>
      </w:r>
    </w:p>
    <w:p>
      <w:pPr>
        <w:ind w:firstLine="1953"/>
        <w:spacing w:after="0" w:line="249" w:lineRule="auto"/>
        <w:tabs>
          <w:tab w:leader="none" w:pos="2783" w:val="left"/>
        </w:tabs>
        <w:numPr>
          <w:ilvl w:val="1"/>
          <w:numId w:val="2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Optionee</w:t>
      </w:r>
      <w:r>
        <w:rPr>
          <w:rFonts w:ascii="Arial" w:cs="Arial" w:eastAsia="Arial" w:hAnsi="Arial"/>
          <w:sz w:val="22"/>
          <w:szCs w:val="22"/>
          <w:color w:val="auto"/>
        </w:rPr>
        <w:t>” means the individual to whom the Option has been granted as identified on the attached Long-Term Incentive Awards Summary Schedule.</w:t>
      </w:r>
    </w:p>
    <w:p>
      <w:pPr>
        <w:spacing w:after="0" w:line="1" w:lineRule="exact"/>
        <w:rPr>
          <w:rFonts w:ascii="Arial" w:cs="Arial" w:eastAsia="Arial" w:hAnsi="Arial"/>
          <w:sz w:val="18"/>
          <w:szCs w:val="18"/>
          <w:color w:val="auto"/>
        </w:rPr>
      </w:pPr>
    </w:p>
    <w:p>
      <w:pPr>
        <w:ind w:left="2780" w:hanging="827"/>
        <w:spacing w:after="0"/>
        <w:tabs>
          <w:tab w:leader="none" w:pos="2780" w:val="left"/>
        </w:tabs>
        <w:numPr>
          <w:ilvl w:val="1"/>
          <w:numId w:val="22"/>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partnership, an association, a trust or any other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entity or organization.</w:t>
      </w:r>
    </w:p>
    <w:p>
      <w:pPr>
        <w:spacing w:after="0" w:line="17" w:lineRule="exact"/>
        <w:rPr>
          <w:rFonts w:ascii="Arial" w:cs="Arial" w:eastAsia="Arial" w:hAnsi="Arial"/>
          <w:sz w:val="16"/>
          <w:szCs w:val="16"/>
          <w:color w:val="auto"/>
        </w:rPr>
      </w:pPr>
    </w:p>
    <w:p>
      <w:pPr>
        <w:ind w:left="2820" w:hanging="867"/>
        <w:spacing w:after="0"/>
        <w:tabs>
          <w:tab w:leader="none" w:pos="2820" w:val="left"/>
        </w:tabs>
        <w:numPr>
          <w:ilvl w:val="1"/>
          <w:numId w:val="22"/>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the Comcast Corporation 2003 Stock Option Plan, incorporated herein by reference.</w:t>
      </w:r>
    </w:p>
    <w:p>
      <w:pPr>
        <w:spacing w:after="0" w:line="38" w:lineRule="exact"/>
        <w:rPr>
          <w:rFonts w:ascii="Arial" w:cs="Arial" w:eastAsia="Arial" w:hAnsi="Arial"/>
          <w:sz w:val="16"/>
          <w:szCs w:val="16"/>
          <w:color w:val="auto"/>
        </w:rPr>
      </w:pPr>
    </w:p>
    <w:p>
      <w:pPr>
        <w:ind w:right="220" w:firstLine="1953"/>
        <w:spacing w:after="0" w:line="256" w:lineRule="auto"/>
        <w:tabs>
          <w:tab w:leader="none" w:pos="2803" w:val="left"/>
        </w:tabs>
        <w:numPr>
          <w:ilvl w:val="1"/>
          <w:numId w:val="2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An Optionee will be qualified for Retirement after reaching age 62 and completing 10 or more years of service with the Company.</w:t>
      </w:r>
    </w:p>
    <w:p>
      <w:pPr>
        <w:ind w:right="180" w:firstLine="1953"/>
        <w:spacing w:after="0" w:line="249" w:lineRule="auto"/>
        <w:tabs>
          <w:tab w:leader="none" w:pos="2843" w:val="left"/>
        </w:tabs>
        <w:numPr>
          <w:ilvl w:val="1"/>
          <w:numId w:val="2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 mean the total number of shares of Common Stock, which are the subject of the Option hereby granted, as set forth on the attached Long-Term Incentive Awards Summary Schedule.</w:t>
      </w:r>
    </w:p>
    <w:p>
      <w:pPr>
        <w:spacing w:after="0" w:line="1" w:lineRule="exact"/>
        <w:rPr>
          <w:rFonts w:ascii="Arial" w:cs="Arial" w:eastAsia="Arial" w:hAnsi="Arial"/>
          <w:sz w:val="18"/>
          <w:szCs w:val="18"/>
          <w:color w:val="auto"/>
        </w:rPr>
      </w:pPr>
    </w:p>
    <w:p>
      <w:pPr>
        <w:ind w:right="540" w:firstLine="1953"/>
        <w:spacing w:after="0" w:line="261" w:lineRule="auto"/>
        <w:tabs>
          <w:tab w:leader="none" w:pos="2803" w:val="left"/>
        </w:tabs>
        <w:numPr>
          <w:ilvl w:val="1"/>
          <w:numId w:val="22"/>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Sponsor</w:t>
      </w:r>
      <w:r>
        <w:rPr>
          <w:rFonts w:ascii="Arial" w:cs="Arial" w:eastAsia="Arial" w:hAnsi="Arial"/>
          <w:sz w:val="21"/>
          <w:szCs w:val="21"/>
          <w:color w:val="auto"/>
        </w:rPr>
        <w:t>” means Comcast Corporation, a Pennsylvania corporation, including any successor thereto by merger, consolidation, acquisition of all or substantially all the assets thereof, or otherwise.</w:t>
      </w:r>
    </w:p>
    <w:p>
      <w:pPr>
        <w:spacing w:after="0" w:line="1" w:lineRule="exact"/>
        <w:rPr>
          <w:rFonts w:ascii="Arial" w:cs="Arial" w:eastAsia="Arial" w:hAnsi="Arial"/>
          <w:sz w:val="17"/>
          <w:szCs w:val="17"/>
          <w:color w:val="auto"/>
        </w:rPr>
      </w:pPr>
    </w:p>
    <w:p>
      <w:pPr>
        <w:ind w:right="100" w:firstLine="1953"/>
        <w:spacing w:after="0" w:line="249" w:lineRule="auto"/>
        <w:tabs>
          <w:tab w:leader="none" w:pos="2803" w:val="left"/>
        </w:tabs>
        <w:numPr>
          <w:ilvl w:val="1"/>
          <w:numId w:val="2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business entity that, at the time in question, is a subsidiary of the Sponsor within the meaning of section 424(f) of the Code.</w:t>
      </w:r>
    </w:p>
    <w:p>
      <w:pPr>
        <w:spacing w:after="0" w:line="1" w:lineRule="exact"/>
        <w:rPr>
          <w:rFonts w:ascii="Arial" w:cs="Arial" w:eastAsia="Arial" w:hAnsi="Arial"/>
          <w:sz w:val="18"/>
          <w:szCs w:val="18"/>
          <w:color w:val="auto"/>
        </w:rPr>
      </w:pPr>
    </w:p>
    <w:p>
      <w:pPr>
        <w:ind w:right="360" w:firstLine="1953"/>
        <w:spacing w:after="0" w:line="289" w:lineRule="auto"/>
        <w:tabs>
          <w:tab w:leader="none" w:pos="2793" w:val="left"/>
        </w:tabs>
        <w:numPr>
          <w:ilvl w:val="1"/>
          <w:numId w:val="22"/>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Ten Percent Shareholder</w:t>
      </w:r>
      <w:r>
        <w:rPr>
          <w:rFonts w:ascii="Arial" w:cs="Arial" w:eastAsia="Arial" w:hAnsi="Arial"/>
          <w:sz w:val="19"/>
          <w:szCs w:val="19"/>
          <w:color w:val="auto"/>
        </w:rPr>
        <w:t>” means a person who on the Date of Grant owns, either directly or within the meaning of the attribution rules contained in section 424(d) of the Code, stock possessing more than 10% of the total</w:t>
      </w:r>
    </w:p>
    <w:p>
      <w:pPr>
        <w:spacing w:after="0" w:line="1" w:lineRule="exact"/>
        <w:rPr>
          <w:sz w:val="20"/>
          <w:szCs w:val="20"/>
          <w:color w:val="auto"/>
        </w:rPr>
      </w:pPr>
    </w:p>
    <w:p>
      <w:pPr>
        <w:ind w:right="360"/>
        <w:spacing w:after="0" w:line="281" w:lineRule="auto"/>
        <w:rPr>
          <w:sz w:val="20"/>
          <w:szCs w:val="20"/>
          <w:color w:val="auto"/>
        </w:rPr>
      </w:pPr>
      <w:r>
        <w:rPr>
          <w:rFonts w:ascii="Arial" w:cs="Arial" w:eastAsia="Arial" w:hAnsi="Arial"/>
          <w:sz w:val="19"/>
          <w:szCs w:val="19"/>
          <w:color w:val="auto"/>
        </w:rPr>
        <w:t xml:space="preserve">combined voting power of all classes of stock of his employer corporation or of its parent or subsidiary corporations, as defined respectively in sections 424(e) and (f) of the Code,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employer corporation is the Sponsor or a Subsidiary.</w:t>
      </w:r>
    </w:p>
    <w:p>
      <w:pPr>
        <w:spacing w:after="0" w:line="2" w:lineRule="exact"/>
        <w:rPr>
          <w:sz w:val="20"/>
          <w:szCs w:val="20"/>
          <w:color w:val="auto"/>
        </w:rPr>
      </w:pPr>
    </w:p>
    <w:p>
      <w:pPr>
        <w:ind w:left="2880" w:hanging="927"/>
        <w:spacing w:after="0"/>
        <w:tabs>
          <w:tab w:leader="none" w:pos="2880" w:val="left"/>
        </w:tabs>
        <w:numPr>
          <w:ilvl w:val="0"/>
          <w:numId w:val="2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Terminating Event</w:t>
      </w:r>
      <w:r>
        <w:rPr>
          <w:rFonts w:ascii="Arial" w:cs="Arial" w:eastAsia="Arial" w:hAnsi="Arial"/>
          <w:sz w:val="22"/>
          <w:szCs w:val="22"/>
          <w:color w:val="auto"/>
        </w:rPr>
        <w:t>” means any of the following events:</w:t>
      </w:r>
    </w:p>
    <w:p>
      <w:pPr>
        <w:spacing w:after="0" w:line="3" w:lineRule="exact"/>
        <w:rPr>
          <w:rFonts w:ascii="Arial" w:cs="Arial" w:eastAsia="Arial" w:hAnsi="Arial"/>
          <w:sz w:val="18"/>
          <w:szCs w:val="18"/>
          <w:color w:val="auto"/>
        </w:rPr>
      </w:pPr>
    </w:p>
    <w:p>
      <w:pPr>
        <w:ind w:left="3460" w:hanging="859"/>
        <w:spacing w:after="0"/>
        <w:tabs>
          <w:tab w:leader="none" w:pos="3460" w:val="left"/>
        </w:tabs>
        <w:numPr>
          <w:ilvl w:val="1"/>
          <w:numId w:val="23"/>
        </w:numPr>
        <w:rPr>
          <w:rFonts w:ascii="Arial" w:cs="Arial" w:eastAsia="Arial" w:hAnsi="Arial"/>
          <w:sz w:val="18"/>
          <w:szCs w:val="18"/>
          <w:color w:val="auto"/>
        </w:rPr>
      </w:pPr>
      <w:r>
        <w:rPr>
          <w:rFonts w:ascii="Arial" w:cs="Arial" w:eastAsia="Arial" w:hAnsi="Arial"/>
          <w:sz w:val="22"/>
          <w:szCs w:val="22"/>
          <w:color w:val="auto"/>
        </w:rPr>
        <w:t>the liquidation of the Sponsor; or</w:t>
      </w:r>
    </w:p>
    <w:p>
      <w:pPr>
        <w:spacing w:after="0" w:line="17" w:lineRule="exact"/>
        <w:rPr>
          <w:rFonts w:ascii="Arial" w:cs="Arial" w:eastAsia="Arial" w:hAnsi="Arial"/>
          <w:sz w:val="18"/>
          <w:szCs w:val="18"/>
          <w:color w:val="auto"/>
        </w:rPr>
      </w:pPr>
    </w:p>
    <w:p>
      <w:pPr>
        <w:ind w:left="3460" w:hanging="859"/>
        <w:spacing w:after="0"/>
        <w:tabs>
          <w:tab w:leader="none" w:pos="3460" w:val="left"/>
        </w:tabs>
        <w:numPr>
          <w:ilvl w:val="1"/>
          <w:numId w:val="23"/>
        </w:numPr>
        <w:rPr>
          <w:rFonts w:ascii="Arial" w:cs="Arial" w:eastAsia="Arial" w:hAnsi="Arial"/>
          <w:sz w:val="18"/>
          <w:szCs w:val="18"/>
          <w:color w:val="auto"/>
        </w:rPr>
      </w:pPr>
      <w:r>
        <w:rPr>
          <w:rFonts w:ascii="Arial" w:cs="Arial" w:eastAsia="Arial" w:hAnsi="Arial"/>
          <w:sz w:val="22"/>
          <w:szCs w:val="22"/>
          <w:color w:val="auto"/>
        </w:rPr>
        <w:t>a Change in Control.</w:t>
      </w:r>
    </w:p>
    <w:p>
      <w:pPr>
        <w:spacing w:after="0" w:line="17" w:lineRule="exact"/>
        <w:rPr>
          <w:sz w:val="20"/>
          <w:szCs w:val="20"/>
          <w:color w:val="auto"/>
        </w:rPr>
      </w:pPr>
    </w:p>
    <w:p>
      <w:pPr>
        <w:ind w:right="60" w:firstLine="1945"/>
        <w:spacing w:after="0" w:line="275" w:lineRule="auto"/>
        <w:rPr>
          <w:sz w:val="20"/>
          <w:szCs w:val="20"/>
          <w:color w:val="auto"/>
        </w:rPr>
      </w:pPr>
      <w:r>
        <w:rPr>
          <w:rFonts w:ascii="Arial" w:cs="Arial" w:eastAsia="Arial" w:hAnsi="Arial"/>
          <w:sz w:val="18"/>
          <w:szCs w:val="18"/>
          <w:color w:val="auto"/>
        </w:rPr>
        <w:t xml:space="preserve">(ab) </w:t>
      </w:r>
      <w:r>
        <w:rPr>
          <w:rFonts w:ascii="Arial" w:cs="Arial" w:eastAsia="Arial" w:hAnsi="Arial"/>
          <w:sz w:val="21"/>
          <w:szCs w:val="21"/>
          <w:color w:val="auto"/>
        </w:rPr>
        <w:t>“</w:t>
      </w: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means the Optionee’s termination of employment. For purposes of</w:t>
      </w:r>
      <w:r>
        <w:rPr>
          <w:rFonts w:ascii="Arial" w:cs="Arial" w:eastAsia="Arial" w:hAnsi="Arial"/>
          <w:sz w:val="18"/>
          <w:szCs w:val="18"/>
          <w:color w:val="auto"/>
        </w:rPr>
        <w:t xml:space="preserve"> </w:t>
      </w:r>
      <w:r>
        <w:rPr>
          <w:rFonts w:ascii="Arial" w:cs="Arial" w:eastAsia="Arial" w:hAnsi="Arial"/>
          <w:sz w:val="21"/>
          <w:szCs w:val="21"/>
          <w:color w:val="auto"/>
        </w:rPr>
        <w:t>the Plan and this Award, the Optionee’s Termination of Employment occurs on the date the Optionee ceases to have a regular obligation to perform services for the Company, without</w:t>
      </w:r>
    </w:p>
    <w:p>
      <w:pPr>
        <w:sectPr>
          <w:pgSz w:w="11900" w:h="16838" w:orient="portrait"/>
          <w:cols w:equalWidth="0" w:num="1">
            <w:col w:w="11400"/>
          </w:cols>
          <w:pgMar w:left="240" w:top="375" w:right="259" w:bottom="1440" w:gutter="0" w:footer="0" w:header="0"/>
        </w:sectPr>
      </w:pPr>
    </w:p>
    <w:bookmarkStart w:id="61" w:name="page62"/>
    <w:bookmarkEnd w:id="61"/>
    <w:p>
      <w:pPr>
        <w:spacing w:after="0" w:line="246" w:lineRule="auto"/>
        <w:rPr>
          <w:sz w:val="20"/>
          <w:szCs w:val="20"/>
          <w:color w:val="auto"/>
        </w:rPr>
      </w:pPr>
      <w:r>
        <w:rPr>
          <w:rFonts w:ascii="Arial" w:cs="Arial" w:eastAsia="Arial" w:hAnsi="Arial"/>
          <w:sz w:val="22"/>
          <w:szCs w:val="22"/>
          <w:color w:val="auto"/>
        </w:rPr>
        <w:t>regard to whether (i) the Optionee continues on the Company’s payroll for regular, severance or other pay or (ii) the Optionee continues to participate in one or more health and welfare plans maintained by the Company on the same basis as active employees. Whether the Optionee ceases to have a regular obligation to perform services for the Company shall be determined by the Committee in its sole discretion. Notwithstanding the foregoing, if the Optionee is a party to an employment agreement or severance agreement with the Company which establishes the effective date of the Optionee’s termination of employment for purposes of this Award, that date shall apply.</w:t>
      </w:r>
    </w:p>
    <w:p>
      <w:pPr>
        <w:spacing w:after="0" w:line="2" w:lineRule="exact"/>
        <w:rPr>
          <w:sz w:val="20"/>
          <w:szCs w:val="20"/>
          <w:color w:val="auto"/>
        </w:rPr>
      </w:pPr>
    </w:p>
    <w:p>
      <w:pPr>
        <w:ind w:right="380" w:firstLine="1945"/>
        <w:spacing w:after="0" w:line="261" w:lineRule="auto"/>
        <w:rPr>
          <w:sz w:val="20"/>
          <w:szCs w:val="20"/>
          <w:color w:val="auto"/>
        </w:rPr>
      </w:pPr>
      <w:r>
        <w:rPr>
          <w:rFonts w:ascii="Arial" w:cs="Arial" w:eastAsia="Arial" w:hAnsi="Arial"/>
          <w:sz w:val="18"/>
          <w:szCs w:val="18"/>
          <w:color w:val="auto"/>
        </w:rPr>
        <w:t xml:space="preserve">(ac) </w:t>
      </w:r>
      <w:r>
        <w:rPr>
          <w:rFonts w:ascii="Arial" w:cs="Arial" w:eastAsia="Arial" w:hAnsi="Arial"/>
          <w:sz w:val="21"/>
          <w:szCs w:val="21"/>
          <w:color w:val="auto"/>
        </w:rPr>
        <w:t>“</w:t>
      </w:r>
      <w:r>
        <w:rPr>
          <w:rFonts w:ascii="Arial" w:cs="Arial" w:eastAsia="Arial" w:hAnsi="Arial"/>
          <w:sz w:val="21"/>
          <w:szCs w:val="21"/>
          <w:u w:val="single" w:color="auto"/>
          <w:color w:val="auto"/>
        </w:rPr>
        <w:t>Third Party</w:t>
      </w:r>
      <w:r>
        <w:rPr>
          <w:rFonts w:ascii="Arial" w:cs="Arial" w:eastAsia="Arial" w:hAnsi="Arial"/>
          <w:sz w:val="21"/>
          <w:szCs w:val="21"/>
          <w:color w:val="auto"/>
        </w:rPr>
        <w:t>” means any Person other than a Company, together with such Person’s Affiliates,</w:t>
      </w:r>
      <w:r>
        <w:rPr>
          <w:rFonts w:ascii="Arial" w:cs="Arial" w:eastAsia="Arial" w:hAnsi="Arial"/>
          <w:sz w:val="18"/>
          <w:szCs w:val="18"/>
          <w:color w:val="auto"/>
        </w:rPr>
        <w:t xml:space="preserve"> </w:t>
      </w:r>
      <w:r>
        <w:rPr>
          <w:rFonts w:ascii="Arial" w:cs="Arial" w:eastAsia="Arial" w:hAnsi="Arial"/>
          <w:sz w:val="21"/>
          <w:szCs w:val="21"/>
          <w:color w:val="auto"/>
        </w:rPr>
        <w:t>provided that the term “Third Party” shall not include the Sponsor or an Affiliate of the Sponsor.</w:t>
      </w:r>
    </w:p>
    <w:p>
      <w:pPr>
        <w:spacing w:after="0" w:line="1" w:lineRule="exact"/>
        <w:rPr>
          <w:sz w:val="20"/>
          <w:szCs w:val="20"/>
          <w:color w:val="auto"/>
        </w:rPr>
      </w:pPr>
    </w:p>
    <w:p>
      <w:pPr>
        <w:ind w:left="1960"/>
        <w:spacing w:after="0"/>
        <w:tabs>
          <w:tab w:leader="none" w:pos="2880" w:val="left"/>
        </w:tabs>
        <w:rPr>
          <w:sz w:val="20"/>
          <w:szCs w:val="20"/>
          <w:color w:val="auto"/>
        </w:rPr>
      </w:pPr>
      <w:r>
        <w:rPr>
          <w:rFonts w:ascii="Arial" w:cs="Arial" w:eastAsia="Arial" w:hAnsi="Arial"/>
          <w:sz w:val="18"/>
          <w:szCs w:val="18"/>
          <w:color w:val="auto"/>
        </w:rPr>
        <w:t>(ad)</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1933 Act</w:t>
      </w:r>
      <w:r>
        <w:rPr>
          <w:rFonts w:ascii="Arial" w:cs="Arial" w:eastAsia="Arial" w:hAnsi="Arial"/>
          <w:sz w:val="22"/>
          <w:szCs w:val="22"/>
          <w:color w:val="auto"/>
        </w:rPr>
        <w:t>” means the Securities Act of 1933, as amended.</w:t>
      </w:r>
    </w:p>
    <w:p>
      <w:pPr>
        <w:spacing w:after="0" w:line="4"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18"/>
          <w:szCs w:val="18"/>
          <w:color w:val="auto"/>
        </w:rPr>
        <w:t>(ae)</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17" w:lineRule="exact"/>
        <w:rPr>
          <w:sz w:val="20"/>
          <w:szCs w:val="20"/>
          <w:color w:val="auto"/>
        </w:rPr>
      </w:pPr>
    </w:p>
    <w:p>
      <w:pPr>
        <w:ind w:right="320" w:firstLine="1305"/>
        <w:spacing w:after="0" w:line="256" w:lineRule="auto"/>
        <w:tabs>
          <w:tab w:leader="none" w:pos="2080" w:val="left"/>
        </w:tabs>
        <w:numPr>
          <w:ilvl w:val="0"/>
          <w:numId w:val="24"/>
        </w:numPr>
        <w:rPr>
          <w:rFonts w:ascii="Arial" w:cs="Arial" w:eastAsia="Arial" w:hAnsi="Arial"/>
          <w:sz w:val="18"/>
          <w:szCs w:val="18"/>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Subject to the terms and conditions set forth herein and in the Plan, the Sponsor hereby grants to the Optionee the Option to purchase any or all of the Shares.</w:t>
      </w:r>
    </w:p>
    <w:p>
      <w:pPr>
        <w:ind w:left="2080" w:hanging="775"/>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22"/>
          <w:szCs w:val="22"/>
          <w:u w:val="single" w:color="auto"/>
          <w:color w:val="auto"/>
        </w:rPr>
        <w:t>Time of Exercise of Options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220" w:firstLine="1953"/>
        <w:spacing w:after="0" w:line="248" w:lineRule="auto"/>
        <w:tabs>
          <w:tab w:leader="none" w:pos="2793" w:val="left"/>
        </w:tabs>
        <w:numPr>
          <w:ilvl w:val="1"/>
          <w:numId w:val="24"/>
        </w:numPr>
        <w:rPr>
          <w:rFonts w:ascii="Arial" w:cs="Arial" w:eastAsia="Arial" w:hAnsi="Arial"/>
          <w:sz w:val="18"/>
          <w:szCs w:val="18"/>
          <w:color w:val="auto"/>
        </w:rPr>
      </w:pPr>
      <w:r>
        <w:rPr>
          <w:rFonts w:ascii="Arial" w:cs="Arial" w:eastAsia="Arial" w:hAnsi="Arial"/>
          <w:sz w:val="22"/>
          <w:szCs w:val="22"/>
          <w:color w:val="auto"/>
        </w:rPr>
        <w:t>Except as provided in Paragraphs 3(b), 3(c) or 4, the Option may be exercised after such time or times as set forth on the attached Long-Term Incentive Awards Summary Schedule, and shall remain exercisable until the Expiration Date, when the right to exercise shall terminate absolutely. No Shares subject to the Option shall first become exercisable following the Optionee’s Termination of Employment for any reason other than death or Disability or after qualifying for Retirement.</w:t>
      </w:r>
    </w:p>
    <w:p>
      <w:pPr>
        <w:spacing w:after="0" w:line="3" w:lineRule="exact"/>
        <w:rPr>
          <w:rFonts w:ascii="Arial" w:cs="Arial" w:eastAsia="Arial" w:hAnsi="Arial"/>
          <w:sz w:val="18"/>
          <w:szCs w:val="18"/>
          <w:color w:val="auto"/>
        </w:rPr>
      </w:pPr>
    </w:p>
    <w:p>
      <w:pPr>
        <w:ind w:right="120" w:firstLine="1953"/>
        <w:spacing w:after="0" w:line="246" w:lineRule="auto"/>
        <w:tabs>
          <w:tab w:leader="none" w:pos="2803" w:val="left"/>
        </w:tabs>
        <w:numPr>
          <w:ilvl w:val="1"/>
          <w:numId w:val="24"/>
        </w:numPr>
        <w:rPr>
          <w:rFonts w:ascii="Arial" w:cs="Arial" w:eastAsia="Arial" w:hAnsi="Arial"/>
          <w:sz w:val="18"/>
          <w:szCs w:val="18"/>
          <w:color w:val="auto"/>
        </w:rPr>
      </w:pPr>
      <w:r>
        <w:rPr>
          <w:rFonts w:ascii="Arial" w:cs="Arial" w:eastAsia="Arial" w:hAnsi="Arial"/>
          <w:sz w:val="22"/>
          <w:szCs w:val="22"/>
          <w:color w:val="auto"/>
        </w:rPr>
        <w:t>All Shares subject to the Option shall vest and become exercisable upon the Optionee’s Termination of Employment because of death or Disability. Furthermore, the Option shall continue to vest and become exercisable in accordance with the attached Long-Term Incentive Awards Summary Schedule following the Optionee’s Termination of Employment (other than a Termination of Employment with the Company for Cause) after qualifying for Retirement for a period of:</w:t>
      </w:r>
    </w:p>
    <w:p>
      <w:pPr>
        <w:ind w:right="720" w:firstLine="2601"/>
        <w:spacing w:after="0" w:line="247" w:lineRule="auto"/>
        <w:tabs>
          <w:tab w:leader="none" w:pos="3451" w:val="left"/>
        </w:tabs>
        <w:numPr>
          <w:ilvl w:val="2"/>
          <w:numId w:val="24"/>
        </w:numPr>
        <w:rPr>
          <w:rFonts w:ascii="Arial" w:cs="Arial" w:eastAsia="Arial" w:hAnsi="Arial"/>
          <w:sz w:val="18"/>
          <w:szCs w:val="18"/>
          <w:color w:val="auto"/>
        </w:rPr>
      </w:pPr>
      <w:r>
        <w:rPr>
          <w:rFonts w:ascii="Arial" w:cs="Arial" w:eastAsia="Arial" w:hAnsi="Arial"/>
          <w:sz w:val="22"/>
          <w:szCs w:val="22"/>
          <w:color w:val="auto"/>
        </w:rPr>
        <w:t>three (3) years following such Termination of Employment if, at the time of such Termination of Employment, the Optionee has completed at least ten (10) but less than fifteen (15) years of service with the Company;</w:t>
      </w:r>
    </w:p>
    <w:p>
      <w:pPr>
        <w:spacing w:after="0" w:line="2" w:lineRule="exact"/>
        <w:rPr>
          <w:rFonts w:ascii="Arial" w:cs="Arial" w:eastAsia="Arial" w:hAnsi="Arial"/>
          <w:sz w:val="18"/>
          <w:szCs w:val="18"/>
          <w:color w:val="auto"/>
        </w:rPr>
      </w:pPr>
    </w:p>
    <w:p>
      <w:pPr>
        <w:ind w:right="400" w:firstLine="2601"/>
        <w:spacing w:after="0" w:line="247" w:lineRule="auto"/>
        <w:tabs>
          <w:tab w:leader="none" w:pos="3451" w:val="left"/>
        </w:tabs>
        <w:numPr>
          <w:ilvl w:val="2"/>
          <w:numId w:val="24"/>
        </w:numPr>
        <w:rPr>
          <w:rFonts w:ascii="Arial" w:cs="Arial" w:eastAsia="Arial" w:hAnsi="Arial"/>
          <w:sz w:val="18"/>
          <w:szCs w:val="18"/>
          <w:color w:val="auto"/>
        </w:rPr>
      </w:pPr>
      <w:r>
        <w:rPr>
          <w:rFonts w:ascii="Arial" w:cs="Arial" w:eastAsia="Arial" w:hAnsi="Arial"/>
          <w:sz w:val="22"/>
          <w:szCs w:val="22"/>
          <w:color w:val="auto"/>
        </w:rPr>
        <w:t>five (5) years following such Termination of Employment if, at the time of such Termination of Employment, the Optionee has completed at least fifteen (15) but less than twenty (20) years of service with the Company; or</w:t>
      </w:r>
    </w:p>
    <w:p>
      <w:pPr>
        <w:spacing w:after="0" w:line="2" w:lineRule="exact"/>
        <w:rPr>
          <w:rFonts w:ascii="Arial" w:cs="Arial" w:eastAsia="Arial" w:hAnsi="Arial"/>
          <w:sz w:val="18"/>
          <w:szCs w:val="18"/>
          <w:color w:val="auto"/>
        </w:rPr>
      </w:pPr>
    </w:p>
    <w:p>
      <w:pPr>
        <w:ind w:right="160" w:firstLine="2601"/>
        <w:spacing w:after="0" w:line="289" w:lineRule="auto"/>
        <w:tabs>
          <w:tab w:leader="none" w:pos="3451" w:val="left"/>
        </w:tabs>
        <w:numPr>
          <w:ilvl w:val="2"/>
          <w:numId w:val="24"/>
        </w:numPr>
        <w:rPr>
          <w:rFonts w:ascii="Arial" w:cs="Arial" w:eastAsia="Arial" w:hAnsi="Arial"/>
          <w:sz w:val="16"/>
          <w:szCs w:val="16"/>
          <w:color w:val="auto"/>
        </w:rPr>
      </w:pPr>
      <w:r>
        <w:rPr>
          <w:rFonts w:ascii="Arial" w:cs="Arial" w:eastAsia="Arial" w:hAnsi="Arial"/>
          <w:sz w:val="19"/>
          <w:szCs w:val="19"/>
          <w:color w:val="auto"/>
        </w:rPr>
        <w:t>nine and one-half (9½) years following such Termination of Employment if, at the time of such Termination of Employment, the Optionee has completed twenty (20) or more years of service with the Company.</w:t>
      </w:r>
    </w:p>
    <w:p>
      <w:pPr>
        <w:ind w:right="160" w:firstLine="1953"/>
        <w:spacing w:after="0" w:line="246" w:lineRule="auto"/>
        <w:tabs>
          <w:tab w:leader="none" w:pos="2793" w:val="left"/>
        </w:tabs>
        <w:numPr>
          <w:ilvl w:val="1"/>
          <w:numId w:val="24"/>
        </w:numPr>
        <w:rPr>
          <w:rFonts w:ascii="Arial" w:cs="Arial" w:eastAsia="Arial" w:hAnsi="Arial"/>
          <w:sz w:val="18"/>
          <w:szCs w:val="18"/>
          <w:color w:val="auto"/>
        </w:rPr>
      </w:pPr>
      <w:r>
        <w:rPr>
          <w:rFonts w:ascii="Arial" w:cs="Arial" w:eastAsia="Arial" w:hAnsi="Arial"/>
          <w:sz w:val="22"/>
          <w:szCs w:val="22"/>
          <w:color w:val="auto"/>
        </w:rPr>
        <w:t>Notwithstanding the foregoing, the Option will be subject to cancellation by the Committee, in its sole discretion, if the Optionee breaches either of the following non-solicitation or non-competition obligations during the period following Termination of Employment in which the Option remains exercisable by the Optionee pursuant to the terms of this Award:</w:t>
      </w:r>
    </w:p>
    <w:p>
      <w:pPr>
        <w:spacing w:after="0" w:line="2" w:lineRule="exact"/>
        <w:rPr>
          <w:rFonts w:ascii="Arial" w:cs="Arial" w:eastAsia="Arial" w:hAnsi="Arial"/>
          <w:sz w:val="18"/>
          <w:szCs w:val="18"/>
          <w:color w:val="auto"/>
        </w:rPr>
      </w:pPr>
    </w:p>
    <w:p>
      <w:pPr>
        <w:ind w:right="200" w:firstLine="2601"/>
        <w:spacing w:after="0" w:line="247" w:lineRule="auto"/>
        <w:tabs>
          <w:tab w:leader="none" w:pos="3451" w:val="left"/>
        </w:tabs>
        <w:numPr>
          <w:ilvl w:val="2"/>
          <w:numId w:val="24"/>
        </w:numPr>
        <w:rPr>
          <w:rFonts w:ascii="Arial" w:cs="Arial" w:eastAsia="Arial" w:hAnsi="Arial"/>
          <w:sz w:val="18"/>
          <w:szCs w:val="18"/>
          <w:color w:val="auto"/>
        </w:rPr>
      </w:pPr>
      <w:r>
        <w:rPr>
          <w:rFonts w:ascii="Arial" w:cs="Arial" w:eastAsia="Arial" w:hAnsi="Arial"/>
          <w:sz w:val="22"/>
          <w:szCs w:val="22"/>
          <w:color w:val="auto"/>
        </w:rPr>
        <w:t>The Optionee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2" w:lineRule="exact"/>
        <w:rPr>
          <w:rFonts w:ascii="Arial" w:cs="Arial" w:eastAsia="Arial" w:hAnsi="Arial"/>
          <w:sz w:val="18"/>
          <w:szCs w:val="18"/>
          <w:color w:val="auto"/>
        </w:rPr>
      </w:pPr>
    </w:p>
    <w:p>
      <w:pPr>
        <w:ind w:right="120" w:firstLine="2601"/>
        <w:spacing w:after="0" w:line="296" w:lineRule="auto"/>
        <w:tabs>
          <w:tab w:leader="none" w:pos="3451" w:val="left"/>
        </w:tabs>
        <w:numPr>
          <w:ilvl w:val="2"/>
          <w:numId w:val="24"/>
        </w:numPr>
        <w:rPr>
          <w:rFonts w:ascii="Arial" w:cs="Arial" w:eastAsia="Arial" w:hAnsi="Arial"/>
          <w:sz w:val="16"/>
          <w:szCs w:val="16"/>
          <w:color w:val="auto"/>
        </w:rPr>
      </w:pPr>
      <w:r>
        <w:rPr>
          <w:rFonts w:ascii="Arial" w:cs="Arial" w:eastAsia="Arial" w:hAnsi="Arial"/>
          <w:sz w:val="19"/>
          <w:szCs w:val="19"/>
          <w:color w:val="auto"/>
        </w:rPr>
        <w:t>The Optionee shall not, directly or indirectly, engage or be financially interested in (as an agent, consultant, director, employee, independent contractor, officer, owner, partner, principal or otherwise), any activities for any business (whether conducted by an entity or individuals, including the Optionee in self-employment) that is engaged in competition, directly or indirectly through any entity controlling, controlled by or under common control with such business, with any of the business activities carried on by the Company, any of its subsidiaries or any other business unit</w:t>
      </w:r>
    </w:p>
    <w:p>
      <w:pPr>
        <w:sectPr>
          <w:pgSz w:w="11900" w:h="16838" w:orient="portrait"/>
          <w:cols w:equalWidth="0" w:num="1">
            <w:col w:w="11420"/>
          </w:cols>
          <w:pgMar w:left="240" w:top="375" w:right="239" w:bottom="1440" w:gutter="0" w:footer="0" w:header="0"/>
        </w:sectPr>
      </w:pPr>
    </w:p>
    <w:bookmarkStart w:id="62" w:name="page63"/>
    <w:bookmarkEnd w:id="62"/>
    <w:p>
      <w:pPr>
        <w:ind w:right="180"/>
        <w:spacing w:after="0" w:line="246" w:lineRule="auto"/>
        <w:rPr>
          <w:sz w:val="20"/>
          <w:szCs w:val="20"/>
          <w:color w:val="auto"/>
        </w:rPr>
      </w:pPr>
      <w:r>
        <w:rPr>
          <w:rFonts w:ascii="Arial" w:cs="Arial" w:eastAsia="Arial" w:hAnsi="Arial"/>
          <w:sz w:val="22"/>
          <w:szCs w:val="22"/>
          <w:color w:val="auto"/>
        </w:rPr>
        <w:t>of the Company, or being planned by the Company, any of its subsidiaries or any other business unit of the Company with the Optionee’s knowledge at the time of the Optionee’s Termination of Employment. This restriction shall apply in any geographical area of the United States in which the Company carries out business activities. Nothing herein shall prevent the Optionee from owning for investment up to one percent (1%) of any class of equity security of an entity whose securities are traded on a national securities exchange or market.</w:t>
      </w:r>
    </w:p>
    <w:p>
      <w:pPr>
        <w:spacing w:after="0" w:line="4" w:lineRule="exact"/>
        <w:rPr>
          <w:sz w:val="20"/>
          <w:szCs w:val="20"/>
          <w:color w:val="auto"/>
        </w:rPr>
      </w:pPr>
    </w:p>
    <w:p>
      <w:pPr>
        <w:ind w:right="60" w:firstLine="1953"/>
        <w:spacing w:after="0" w:line="246" w:lineRule="auto"/>
        <w:tabs>
          <w:tab w:leader="none" w:pos="2803" w:val="left"/>
        </w:tabs>
        <w:numPr>
          <w:ilvl w:val="0"/>
          <w:numId w:val="25"/>
        </w:numPr>
        <w:rPr>
          <w:rFonts w:ascii="Arial" w:cs="Arial" w:eastAsia="Arial" w:hAnsi="Arial"/>
          <w:sz w:val="18"/>
          <w:szCs w:val="18"/>
          <w:color w:val="auto"/>
        </w:rPr>
      </w:pPr>
      <w:r>
        <w:rPr>
          <w:rFonts w:ascii="Arial" w:cs="Arial" w:eastAsia="Arial" w:hAnsi="Arial"/>
          <w:sz w:val="22"/>
          <w:szCs w:val="22"/>
          <w:color w:val="auto"/>
        </w:rPr>
        <w:t>If the Option remains unexercised immediately before the time at which the Option is scheduled to expire in accordance with the rules of the Plan and this grant document, the Option shall be deemed automatically exercised in accordance with Paragraph 7(h)(ii) of the Plan immediately before the time at which the Option is scheduled to expire, if the Option satisfies the following conditions:</w:t>
      </w:r>
    </w:p>
    <w:p>
      <w:pPr>
        <w:spacing w:after="0" w:line="2" w:lineRule="exact"/>
        <w:rPr>
          <w:rFonts w:ascii="Arial" w:cs="Arial" w:eastAsia="Arial" w:hAnsi="Arial"/>
          <w:sz w:val="18"/>
          <w:szCs w:val="18"/>
          <w:color w:val="auto"/>
        </w:rPr>
      </w:pPr>
    </w:p>
    <w:p>
      <w:pPr>
        <w:ind w:left="3460" w:hanging="859"/>
        <w:spacing w:after="0"/>
        <w:tabs>
          <w:tab w:leader="none" w:pos="3460" w:val="left"/>
        </w:tabs>
        <w:numPr>
          <w:ilvl w:val="1"/>
          <w:numId w:val="25"/>
        </w:numPr>
        <w:rPr>
          <w:rFonts w:ascii="Arial" w:cs="Arial" w:eastAsia="Arial" w:hAnsi="Arial"/>
          <w:sz w:val="17"/>
          <w:szCs w:val="17"/>
          <w:color w:val="auto"/>
        </w:rPr>
      </w:pPr>
      <w:r>
        <w:rPr>
          <w:rFonts w:ascii="Arial" w:cs="Arial" w:eastAsia="Arial" w:hAnsi="Arial"/>
          <w:sz w:val="21"/>
          <w:szCs w:val="21"/>
          <w:color w:val="auto"/>
        </w:rPr>
        <w:t>The Option is covered by a then current registration statement or a Notification under</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Regulation A under the 1933 Act.</w:t>
      </w:r>
    </w:p>
    <w:p>
      <w:pPr>
        <w:spacing w:after="0" w:line="17" w:lineRule="exact"/>
        <w:rPr>
          <w:rFonts w:ascii="Arial" w:cs="Arial" w:eastAsia="Arial" w:hAnsi="Arial"/>
          <w:sz w:val="17"/>
          <w:szCs w:val="17"/>
          <w:color w:val="auto"/>
        </w:rPr>
      </w:pPr>
    </w:p>
    <w:p>
      <w:pPr>
        <w:ind w:right="20" w:firstLine="2601"/>
        <w:spacing w:after="0" w:line="246" w:lineRule="auto"/>
        <w:tabs>
          <w:tab w:leader="none" w:pos="3451" w:val="left"/>
        </w:tabs>
        <w:numPr>
          <w:ilvl w:val="1"/>
          <w:numId w:val="25"/>
        </w:numPr>
        <w:rPr>
          <w:rFonts w:ascii="Arial" w:cs="Arial" w:eastAsia="Arial" w:hAnsi="Arial"/>
          <w:sz w:val="18"/>
          <w:szCs w:val="18"/>
          <w:color w:val="auto"/>
        </w:rPr>
      </w:pPr>
      <w:r>
        <w:rPr>
          <w:rFonts w:ascii="Arial" w:cs="Arial" w:eastAsia="Arial" w:hAnsi="Arial"/>
          <w:sz w:val="22"/>
          <w:szCs w:val="22"/>
          <w:color w:val="auto"/>
        </w:rPr>
        <w:t>The last reported sale price of a Share on the principal exchange on which Shares are listed on the date of determination, or if such date is not a trading day, the last preceding trading day, exceeds the Option Price by such amount as may be determined by the Committee or its delegate from time to time. Absent a contrary determination, such excess per Share shall be $0.01.</w:t>
      </w:r>
    </w:p>
    <w:p>
      <w:pPr>
        <w:spacing w:after="0" w:line="2" w:lineRule="exact"/>
        <w:rPr>
          <w:rFonts w:ascii="Arial" w:cs="Arial" w:eastAsia="Arial" w:hAnsi="Arial"/>
          <w:sz w:val="18"/>
          <w:szCs w:val="18"/>
          <w:color w:val="auto"/>
        </w:rPr>
      </w:pPr>
    </w:p>
    <w:p>
      <w:pPr>
        <w:ind w:right="260" w:firstLine="2601"/>
        <w:spacing w:after="0" w:line="247" w:lineRule="auto"/>
        <w:tabs>
          <w:tab w:leader="none" w:pos="3451" w:val="left"/>
        </w:tabs>
        <w:numPr>
          <w:ilvl w:val="1"/>
          <w:numId w:val="25"/>
        </w:numPr>
        <w:rPr>
          <w:rFonts w:ascii="Arial" w:cs="Arial" w:eastAsia="Arial" w:hAnsi="Arial"/>
          <w:sz w:val="18"/>
          <w:szCs w:val="18"/>
          <w:color w:val="auto"/>
        </w:rPr>
      </w:pPr>
      <w:r>
        <w:rPr>
          <w:rFonts w:ascii="Arial" w:cs="Arial" w:eastAsia="Arial" w:hAnsi="Arial"/>
          <w:sz w:val="22"/>
          <w:szCs w:val="22"/>
          <w:color w:val="auto"/>
        </w:rPr>
        <w:t>The Optionee to whom such Option has been granted has not terminated employment for Cause, and, immediately before the time at which such Option is scheduled to expire, there is no basis for a termination of employment for Cause.</w:t>
      </w:r>
    </w:p>
    <w:p>
      <w:pPr>
        <w:spacing w:after="0" w:line="2" w:lineRule="exact"/>
        <w:rPr>
          <w:rFonts w:ascii="Arial" w:cs="Arial" w:eastAsia="Arial" w:hAnsi="Arial"/>
          <w:sz w:val="18"/>
          <w:szCs w:val="18"/>
          <w:color w:val="auto"/>
        </w:rPr>
      </w:pPr>
    </w:p>
    <w:p>
      <w:pPr>
        <w:ind w:right="20"/>
        <w:spacing w:after="0" w:line="288" w:lineRule="auto"/>
        <w:rPr>
          <w:rFonts w:ascii="Arial" w:cs="Arial" w:eastAsia="Arial" w:hAnsi="Arial"/>
          <w:sz w:val="18"/>
          <w:szCs w:val="18"/>
          <w:color w:val="auto"/>
        </w:rPr>
      </w:pPr>
      <w:r>
        <w:rPr>
          <w:rFonts w:ascii="Arial" w:cs="Arial" w:eastAsia="Arial" w:hAnsi="Arial"/>
          <w:sz w:val="19"/>
          <w:szCs w:val="19"/>
          <w:color w:val="auto"/>
        </w:rPr>
        <w:t>An Option subject to this Paragraph 3(d) shall be exercised via cashless exercise, such that subject to the other terms and conditions of the Plan, following the date of exercise, the Company shall deliver to the Optionee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Paragraph 15 of the Plan) for such exercise; provided that in connection with such cashless exercise that would not result in the issuance of a whole number of Shares, the Company shall pay cash in lieu of any fractional Share.</w:t>
      </w:r>
    </w:p>
    <w:p>
      <w:pPr>
        <w:spacing w:after="0" w:line="159" w:lineRule="exact"/>
        <w:rPr>
          <w:sz w:val="20"/>
          <w:szCs w:val="20"/>
          <w:color w:val="auto"/>
        </w:rPr>
      </w:pPr>
    </w:p>
    <w:p>
      <w:pPr>
        <w:ind w:left="2740" w:hanging="787"/>
        <w:spacing w:after="0"/>
        <w:tabs>
          <w:tab w:leader="none" w:pos="2740" w:val="left"/>
        </w:tabs>
        <w:numPr>
          <w:ilvl w:val="0"/>
          <w:numId w:val="26"/>
        </w:numPr>
        <w:rPr>
          <w:rFonts w:ascii="Arial" w:cs="Arial" w:eastAsia="Arial" w:hAnsi="Arial"/>
          <w:sz w:val="18"/>
          <w:szCs w:val="18"/>
          <w:color w:val="auto"/>
        </w:rPr>
      </w:pPr>
      <w:r>
        <w:rPr>
          <w:rFonts w:ascii="Arial" w:cs="Arial" w:eastAsia="Arial" w:hAnsi="Arial"/>
          <w:sz w:val="22"/>
          <w:szCs w:val="22"/>
          <w:u w:val="single" w:color="auto"/>
          <w:color w:val="auto"/>
        </w:rPr>
        <w:t>Terminating Event</w:t>
      </w:r>
      <w:r>
        <w:rPr>
          <w:rFonts w:ascii="Arial" w:cs="Arial" w:eastAsia="Arial" w:hAnsi="Arial"/>
          <w:sz w:val="22"/>
          <w:szCs w:val="22"/>
          <w:color w:val="auto"/>
        </w:rPr>
        <w:t>.</w:t>
      </w:r>
    </w:p>
    <w:p>
      <w:pPr>
        <w:spacing w:after="0" w:line="22" w:lineRule="exact"/>
        <w:rPr>
          <w:sz w:val="20"/>
          <w:szCs w:val="20"/>
          <w:color w:val="auto"/>
        </w:rPr>
      </w:pPr>
    </w:p>
    <w:p>
      <w:pPr>
        <w:ind w:right="160" w:firstLine="1953"/>
        <w:spacing w:after="0" w:line="284" w:lineRule="auto"/>
        <w:tabs>
          <w:tab w:leader="none" w:pos="2793" w:val="left"/>
        </w:tabs>
        <w:numPr>
          <w:ilvl w:val="1"/>
          <w:numId w:val="27"/>
        </w:numPr>
        <w:rPr>
          <w:rFonts w:ascii="Arial" w:cs="Arial" w:eastAsia="Arial" w:hAnsi="Arial"/>
          <w:sz w:val="16"/>
          <w:szCs w:val="16"/>
          <w:color w:val="auto"/>
        </w:rPr>
      </w:pPr>
      <w:r>
        <w:rPr>
          <w:rFonts w:ascii="Arial" w:cs="Arial" w:eastAsia="Arial" w:hAnsi="Arial"/>
          <w:sz w:val="19"/>
          <w:szCs w:val="19"/>
          <w:color w:val="auto"/>
        </w:rPr>
        <w:t xml:space="preserve">The Sponsor shall give the Optionee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 the Optionee shall be permitted to exercise the Option to the extent the Option is then exercisable; </w:t>
      </w:r>
      <w:r>
        <w:rPr>
          <w:rFonts w:ascii="Arial" w:cs="Arial" w:eastAsia="Arial" w:hAnsi="Arial"/>
          <w:sz w:val="19"/>
          <w:szCs w:val="19"/>
          <w:u w:val="single" w:color="auto"/>
          <w:color w:val="auto"/>
        </w:rPr>
        <w:t>provided that</w:t>
      </w:r>
      <w:r>
        <w:rPr>
          <w:rFonts w:ascii="Arial" w:cs="Arial" w:eastAsia="Arial" w:hAnsi="Arial"/>
          <w:sz w:val="19"/>
          <w:szCs w:val="19"/>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4(a), the entire number of Shares covered by Options shall become immediately exercisable. Upon the close of the period described in this Paragraph 4(a) during which an Option may be exercised in connection with a Terminating Event, such Option (including such portion thereof that is not exercisable) shall terminate to the extent that such Option has not theretofore been exercised.</w:t>
      </w:r>
    </w:p>
    <w:p>
      <w:pPr>
        <w:spacing w:after="0" w:line="7" w:lineRule="exact"/>
        <w:rPr>
          <w:rFonts w:ascii="Arial" w:cs="Arial" w:eastAsia="Arial" w:hAnsi="Arial"/>
          <w:sz w:val="16"/>
          <w:szCs w:val="16"/>
          <w:color w:val="auto"/>
        </w:rPr>
      </w:pPr>
    </w:p>
    <w:p>
      <w:pPr>
        <w:ind w:firstLine="1953"/>
        <w:spacing w:after="0" w:line="247" w:lineRule="auto"/>
        <w:tabs>
          <w:tab w:leader="none" w:pos="2803" w:val="left"/>
        </w:tabs>
        <w:numPr>
          <w:ilvl w:val="1"/>
          <w:numId w:val="27"/>
        </w:numPr>
        <w:rPr>
          <w:rFonts w:ascii="Arial" w:cs="Arial" w:eastAsia="Arial" w:hAnsi="Arial"/>
          <w:sz w:val="18"/>
          <w:szCs w:val="18"/>
          <w:color w:val="auto"/>
        </w:rPr>
      </w:pPr>
      <w:r>
        <w:rPr>
          <w:rFonts w:ascii="Arial" w:cs="Arial" w:eastAsia="Arial" w:hAnsi="Arial"/>
          <w:sz w:val="22"/>
          <w:szCs w:val="22"/>
          <w:color w:val="auto"/>
        </w:rPr>
        <w:t>Notwithstanding Paragraph 4(a), in the event the Terminating Event is not consummated, the Option shall be deemed not to have been exercised and shall be exercisable thereafter to the extent it would have been exercisable if no such notice had been given.</w:t>
      </w:r>
    </w:p>
    <w:p>
      <w:pPr>
        <w:spacing w:after="0" w:line="2" w:lineRule="exact"/>
        <w:rPr>
          <w:rFonts w:ascii="Arial" w:cs="Arial" w:eastAsia="Arial" w:hAnsi="Arial"/>
          <w:sz w:val="18"/>
          <w:szCs w:val="18"/>
          <w:color w:val="auto"/>
        </w:rPr>
      </w:pPr>
    </w:p>
    <w:p>
      <w:pPr>
        <w:jc w:val="both"/>
        <w:ind w:right="160" w:firstLine="1305"/>
        <w:spacing w:after="0" w:line="248" w:lineRule="auto"/>
        <w:tabs>
          <w:tab w:leader="none" w:pos="2080" w:val="left"/>
        </w:tabs>
        <w:numPr>
          <w:ilvl w:val="0"/>
          <w:numId w:val="28"/>
        </w:numPr>
        <w:rPr>
          <w:rFonts w:ascii="Arial" w:cs="Arial" w:eastAsia="Arial" w:hAnsi="Arial"/>
          <w:sz w:val="18"/>
          <w:szCs w:val="18"/>
          <w:color w:val="auto"/>
        </w:rPr>
      </w:pPr>
      <w:r>
        <w:rPr>
          <w:rFonts w:ascii="Arial" w:cs="Arial" w:eastAsia="Arial" w:hAnsi="Arial"/>
          <w:sz w:val="22"/>
          <w:szCs w:val="22"/>
          <w:u w:val="single" w:color="auto"/>
          <w:color w:val="auto"/>
        </w:rPr>
        <w:t>Payment for Shares</w:t>
      </w:r>
      <w:r>
        <w:rPr>
          <w:rFonts w:ascii="Arial" w:cs="Arial" w:eastAsia="Arial" w:hAnsi="Arial"/>
          <w:sz w:val="22"/>
          <w:szCs w:val="22"/>
          <w:color w:val="auto"/>
        </w:rPr>
        <w:t>. Full payment for Shares purchased upon the exercise of an Option shall be made via cashless exercise, such that subject to the other terms and conditions of the Award and the Plan, the Company shall deliver to the Optionee Shares having a Fair Market Value, as of the Date of Exercise, equal to the excess, if any, of (a) the Fair Market Value of such Shares on the Date of</w:t>
      </w:r>
    </w:p>
    <w:p>
      <w:pPr>
        <w:sectPr>
          <w:pgSz w:w="11900" w:h="16838" w:orient="portrait"/>
          <w:cols w:equalWidth="0" w:num="1">
            <w:col w:w="11420"/>
          </w:cols>
          <w:pgMar w:left="240" w:top="375" w:right="239" w:bottom="1440" w:gutter="0" w:footer="0" w:header="0"/>
        </w:sectPr>
      </w:pPr>
    </w:p>
    <w:bookmarkStart w:id="63" w:name="page64"/>
    <w:bookmarkEnd w:id="63"/>
    <w:p>
      <w:pPr>
        <w:ind w:right="20"/>
        <w:spacing w:after="0" w:line="285" w:lineRule="auto"/>
        <w:rPr>
          <w:sz w:val="20"/>
          <w:szCs w:val="20"/>
          <w:color w:val="auto"/>
        </w:rPr>
      </w:pPr>
      <w:r>
        <w:rPr>
          <w:rFonts w:ascii="Arial" w:cs="Arial" w:eastAsia="Arial" w:hAnsi="Arial"/>
          <w:sz w:val="19"/>
          <w:szCs w:val="19"/>
          <w:color w:val="auto"/>
        </w:rPr>
        <w:t xml:space="preserve">Exercise of the Option over (b) the sum of (i) the aggregate Option Price for such Shares, plus (ii) the applicable tax withholding amounts (as determined pursuant to Paragraph 14 of the Award and Paragraph 15(b) of the Plan) for such exercise,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in connection with a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w:t>
      </w:r>
    </w:p>
    <w:p>
      <w:pPr>
        <w:spacing w:after="0" w:line="1" w:lineRule="exact"/>
        <w:rPr>
          <w:sz w:val="20"/>
          <w:szCs w:val="20"/>
          <w:color w:val="auto"/>
        </w:rPr>
      </w:pPr>
    </w:p>
    <w:p>
      <w:pPr>
        <w:ind w:right="100" w:firstLine="1305"/>
        <w:spacing w:after="0" w:line="247" w:lineRule="auto"/>
        <w:tabs>
          <w:tab w:leader="none" w:pos="2080" w:val="left"/>
        </w:tabs>
        <w:numPr>
          <w:ilvl w:val="0"/>
          <w:numId w:val="29"/>
        </w:numPr>
        <w:rPr>
          <w:rFonts w:ascii="Arial" w:cs="Arial" w:eastAsia="Arial" w:hAnsi="Arial"/>
          <w:sz w:val="18"/>
          <w:szCs w:val="18"/>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 The Option shall be exercised by giving written notice of exercise in accordance with the manner prescribed by the Committee. Such notice shall be deemed to have been given when hand-delivered, telecopied or mailed, first class postage prepaid, and shall be irrevocable once given.</w:t>
      </w:r>
    </w:p>
    <w:p>
      <w:pPr>
        <w:spacing w:after="0" w:line="2" w:lineRule="exact"/>
        <w:rPr>
          <w:rFonts w:ascii="Arial" w:cs="Arial" w:eastAsia="Arial" w:hAnsi="Arial"/>
          <w:sz w:val="18"/>
          <w:szCs w:val="18"/>
          <w:color w:val="auto"/>
        </w:rPr>
      </w:pPr>
    </w:p>
    <w:p>
      <w:pPr>
        <w:ind w:right="100" w:firstLine="1305"/>
        <w:spacing w:after="0" w:line="245" w:lineRule="auto"/>
        <w:tabs>
          <w:tab w:leader="none" w:pos="2080" w:val="left"/>
        </w:tabs>
        <w:numPr>
          <w:ilvl w:val="0"/>
          <w:numId w:val="29"/>
        </w:numPr>
        <w:rPr>
          <w:rFonts w:ascii="Arial" w:cs="Arial" w:eastAsia="Arial" w:hAnsi="Arial"/>
          <w:sz w:val="18"/>
          <w:szCs w:val="18"/>
          <w:color w:val="auto"/>
        </w:rPr>
      </w:pPr>
      <w:r>
        <w:rPr>
          <w:rFonts w:ascii="Arial" w:cs="Arial" w:eastAsia="Arial" w:hAnsi="Arial"/>
          <w:sz w:val="22"/>
          <w:szCs w:val="22"/>
          <w:u w:val="single" w:color="auto"/>
          <w:color w:val="auto"/>
        </w:rPr>
        <w:t>Nontransferability of Option</w:t>
      </w:r>
      <w:r>
        <w:rPr>
          <w:rFonts w:ascii="Arial" w:cs="Arial" w:eastAsia="Arial" w:hAnsi="Arial"/>
          <w:sz w:val="22"/>
          <w:szCs w:val="22"/>
          <w:color w:val="auto"/>
        </w:rPr>
        <w:t>. The Option may not be transferred or assigned by the Optionee otherwise than by will or the laws of descent and distribution or be exercised during his life other than by the Optionee or for his benefit by his attorney-in-fact or guardian. Any attempt at assignment, transfer, pledge or disposition of the Option contrary to the provisions hereof or the levy of any execution, attachment or similar process upon the Option shall be null and void and without effect. Any exercise of the Option by a person other than the Optionee shall be accompanied by appropriate proofs of the right of such person to exercise the Option.</w:t>
      </w:r>
    </w:p>
    <w:p>
      <w:pPr>
        <w:spacing w:after="0" w:line="3" w:lineRule="exact"/>
        <w:rPr>
          <w:rFonts w:ascii="Arial" w:cs="Arial" w:eastAsia="Arial" w:hAnsi="Arial"/>
          <w:sz w:val="18"/>
          <w:szCs w:val="18"/>
          <w:color w:val="auto"/>
        </w:rPr>
      </w:pPr>
    </w:p>
    <w:p>
      <w:pPr>
        <w:ind w:firstLine="1305"/>
        <w:spacing w:after="0" w:line="283" w:lineRule="auto"/>
        <w:tabs>
          <w:tab w:leader="none" w:pos="2080" w:val="left"/>
        </w:tabs>
        <w:numPr>
          <w:ilvl w:val="0"/>
          <w:numId w:val="29"/>
        </w:numPr>
        <w:rPr>
          <w:rFonts w:ascii="Arial" w:cs="Arial" w:eastAsia="Arial" w:hAnsi="Arial"/>
          <w:sz w:val="16"/>
          <w:szCs w:val="16"/>
          <w:color w:val="auto"/>
        </w:rPr>
      </w:pPr>
      <w:r>
        <w:rPr>
          <w:rFonts w:ascii="Arial" w:cs="Arial" w:eastAsia="Arial" w:hAnsi="Arial"/>
          <w:sz w:val="19"/>
          <w:szCs w:val="19"/>
          <w:u w:val="single" w:color="auto"/>
          <w:color w:val="auto"/>
        </w:rPr>
        <w:t>Securities Laws</w:t>
      </w:r>
      <w:r>
        <w:rPr>
          <w:rFonts w:ascii="Arial" w:cs="Arial" w:eastAsia="Arial" w:hAnsi="Arial"/>
          <w:sz w:val="19"/>
          <w:szCs w:val="19"/>
          <w:color w:val="auto"/>
        </w:rPr>
        <w:t>. The Committee may from time to time impose any conditions on the exercise of the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Option upon any securities exchange or under any federal or state law, or the consent or approval of any governmental regulatory body is necessary as a condition of or in connection with the purchase of such Shares, the Sponsor shall not be obligated to issue or deliver the certificates representing the Shares otherwise issuable on the exercise of the Option unless and until such listing, registration, qualification, consent or approval shall have been effected or obtained. If registration is considered unnecessary by the Sponsor or its counsel, the Sponsor may cause a legend to be placed on such Shares calling attention to the fact that they have been acquired for investment and have not been registered.</w:t>
      </w:r>
    </w:p>
    <w:p>
      <w:pPr>
        <w:spacing w:after="0" w:line="4" w:lineRule="exact"/>
        <w:rPr>
          <w:rFonts w:ascii="Arial" w:cs="Arial" w:eastAsia="Arial" w:hAnsi="Arial"/>
          <w:sz w:val="16"/>
          <w:szCs w:val="16"/>
          <w:color w:val="auto"/>
        </w:rPr>
      </w:pPr>
    </w:p>
    <w:p>
      <w:pPr>
        <w:ind w:right="120" w:firstLine="1305"/>
        <w:spacing w:after="0" w:line="246" w:lineRule="auto"/>
        <w:tabs>
          <w:tab w:leader="none" w:pos="2080" w:val="left"/>
        </w:tabs>
        <w:numPr>
          <w:ilvl w:val="0"/>
          <w:numId w:val="29"/>
        </w:numPr>
        <w:rPr>
          <w:rFonts w:ascii="Arial" w:cs="Arial" w:eastAsia="Arial" w:hAnsi="Arial"/>
          <w:sz w:val="18"/>
          <w:szCs w:val="18"/>
          <w:color w:val="auto"/>
        </w:rPr>
      </w:pPr>
      <w:r>
        <w:rPr>
          <w:rFonts w:ascii="Arial" w:cs="Arial" w:eastAsia="Arial" w:hAnsi="Arial"/>
          <w:sz w:val="22"/>
          <w:szCs w:val="22"/>
          <w:u w:val="single" w:color="auto"/>
          <w:color w:val="auto"/>
        </w:rPr>
        <w:t>Issuance of Certificate at Closing</w:t>
      </w:r>
      <w:r>
        <w:rPr>
          <w:rFonts w:ascii="Arial" w:cs="Arial" w:eastAsia="Arial" w:hAnsi="Arial"/>
          <w:sz w:val="22"/>
          <w:szCs w:val="22"/>
          <w:color w:val="auto"/>
        </w:rPr>
        <w:t>. Subject to the provisions of this Paragraph 9, the Closing Date shall occur as promptly as is feasible after the exercise of the Option. Subject to the provisions of Paragraphs 8 and 10 hereof, a certificate for the Shares issuable on the exercise of the Option shall be delivered to the Optionee or to his personal representative, heir or legatee at the Closing.</w:t>
      </w:r>
    </w:p>
    <w:p>
      <w:pPr>
        <w:spacing w:after="0" w:line="2" w:lineRule="exact"/>
        <w:rPr>
          <w:rFonts w:ascii="Arial" w:cs="Arial" w:eastAsia="Arial" w:hAnsi="Arial"/>
          <w:sz w:val="18"/>
          <w:szCs w:val="18"/>
          <w:color w:val="auto"/>
        </w:rPr>
      </w:pPr>
    </w:p>
    <w:p>
      <w:pPr>
        <w:ind w:firstLine="1305"/>
        <w:spacing w:after="0" w:line="257" w:lineRule="auto"/>
        <w:tabs>
          <w:tab w:leader="none" w:pos="2170" w:val="left"/>
        </w:tabs>
        <w:numPr>
          <w:ilvl w:val="0"/>
          <w:numId w:val="29"/>
        </w:numPr>
        <w:rPr>
          <w:rFonts w:ascii="Arial" w:cs="Arial" w:eastAsia="Arial" w:hAnsi="Arial"/>
          <w:sz w:val="17"/>
          <w:szCs w:val="17"/>
          <w:color w:val="auto"/>
        </w:rPr>
      </w:pPr>
      <w:r>
        <w:rPr>
          <w:rFonts w:ascii="Arial" w:cs="Arial" w:eastAsia="Arial" w:hAnsi="Arial"/>
          <w:sz w:val="21"/>
          <w:szCs w:val="21"/>
          <w:u w:val="single" w:color="auto"/>
          <w:color w:val="auto"/>
        </w:rPr>
        <w:t>Rights Prior to Exercise</w:t>
      </w:r>
      <w:r>
        <w:rPr>
          <w:rFonts w:ascii="Arial" w:cs="Arial" w:eastAsia="Arial" w:hAnsi="Arial"/>
          <w:sz w:val="21"/>
          <w:szCs w:val="21"/>
          <w:color w:val="auto"/>
        </w:rPr>
        <w:t>. The Optionee shall not have any right as a stockholder with respect to any Shares subject to his Options until the Option shall have been exercised in accordance with the terms of the Plan and the Award and the Company shall have delivered the Shares. In the event that the Optionee’s Termination of Employment with the Company is for Cause, upon a determination by the Committee, the Optionee shall automatically forfeit all Shares otherwise subject to delivery upon exercise of an Option but for which the Sponsor has not yet delivered the Shares.</w:t>
      </w:r>
    </w:p>
    <w:p>
      <w:pPr>
        <w:spacing w:after="0" w:line="3" w:lineRule="exact"/>
        <w:rPr>
          <w:rFonts w:ascii="Arial" w:cs="Arial" w:eastAsia="Arial" w:hAnsi="Arial"/>
          <w:sz w:val="17"/>
          <w:szCs w:val="17"/>
          <w:color w:val="auto"/>
        </w:rPr>
      </w:pPr>
    </w:p>
    <w:p>
      <w:pPr>
        <w:ind w:right="40" w:firstLine="1305"/>
        <w:spacing w:after="0" w:line="284" w:lineRule="auto"/>
        <w:tabs>
          <w:tab w:leader="none" w:pos="2163" w:val="left"/>
        </w:tabs>
        <w:numPr>
          <w:ilvl w:val="0"/>
          <w:numId w:val="29"/>
        </w:numPr>
        <w:rPr>
          <w:rFonts w:ascii="Arial" w:cs="Arial" w:eastAsia="Arial" w:hAnsi="Arial"/>
          <w:sz w:val="16"/>
          <w:szCs w:val="16"/>
          <w:color w:val="auto"/>
        </w:rPr>
      </w:pPr>
      <w:r>
        <w:rPr>
          <w:rFonts w:ascii="Arial" w:cs="Arial" w:eastAsia="Arial" w:hAnsi="Arial"/>
          <w:sz w:val="19"/>
          <w:szCs w:val="19"/>
          <w:u w:val="single" w:color="auto"/>
          <w:color w:val="auto"/>
        </w:rPr>
        <w:t>Status of Option; Interpretation</w:t>
      </w:r>
      <w:r>
        <w:rPr>
          <w:rFonts w:ascii="Arial" w:cs="Arial" w:eastAsia="Arial" w:hAnsi="Arial"/>
          <w:sz w:val="19"/>
          <w:szCs w:val="19"/>
          <w:color w:val="auto"/>
        </w:rPr>
        <w:t>. The Option is intended to be a non-qualified stock option. Accordingly, it is intended that the transfer of property pursuant to the exercise of the Option be subject to federal income tax in accordance with section 83 of the Code. The Option is not intended to qualify as an incentive stock option within the meaning of section 422 of the Code. The interpretation and construction of any provision of this Option or the Plan made by the Committee shall be final and conclusive and, insofar as possible, shall be consistent with the intention expressed in this Paragraph 11.</w:t>
      </w:r>
    </w:p>
    <w:p>
      <w:pPr>
        <w:spacing w:after="0" w:line="3" w:lineRule="exact"/>
        <w:rPr>
          <w:rFonts w:ascii="Arial" w:cs="Arial" w:eastAsia="Arial" w:hAnsi="Arial"/>
          <w:sz w:val="16"/>
          <w:szCs w:val="16"/>
          <w:color w:val="auto"/>
        </w:rPr>
      </w:pPr>
    </w:p>
    <w:p>
      <w:pPr>
        <w:ind w:right="100" w:firstLine="1305"/>
        <w:spacing w:after="0" w:line="338" w:lineRule="auto"/>
        <w:tabs>
          <w:tab w:leader="none" w:pos="2170" w:val="left"/>
        </w:tabs>
        <w:numPr>
          <w:ilvl w:val="0"/>
          <w:numId w:val="29"/>
        </w:numPr>
        <w:rPr>
          <w:rFonts w:ascii="Arial" w:cs="Arial" w:eastAsia="Arial" w:hAnsi="Arial"/>
          <w:sz w:val="16"/>
          <w:szCs w:val="16"/>
          <w:color w:val="auto"/>
        </w:rPr>
      </w:pPr>
      <w:r>
        <w:rPr>
          <w:rFonts w:ascii="Arial" w:cs="Arial" w:eastAsia="Arial" w:hAnsi="Arial"/>
          <w:sz w:val="19"/>
          <w:szCs w:val="19"/>
          <w:u w:val="single" w:color="auto"/>
          <w:color w:val="auto"/>
        </w:rPr>
        <w:t>Option Not to Affect Employment</w:t>
      </w:r>
      <w:r>
        <w:rPr>
          <w:rFonts w:ascii="Arial" w:cs="Arial" w:eastAsia="Arial" w:hAnsi="Arial"/>
          <w:sz w:val="19"/>
          <w:szCs w:val="19"/>
          <w:color w:val="auto"/>
        </w:rPr>
        <w:t>. The Option granted hereunder shall not confer upon the Optionee any right to continue in service as an employee, officer or director of the Sponsor or any subsidiary of the Sponsor.</w:t>
      </w:r>
    </w:p>
    <w:p>
      <w:pPr>
        <w:sectPr>
          <w:pgSz w:w="11900" w:h="16838" w:orient="portrait"/>
          <w:cols w:equalWidth="0" w:num="1">
            <w:col w:w="11380"/>
          </w:cols>
          <w:pgMar w:left="240" w:top="375" w:right="279" w:bottom="1440" w:gutter="0" w:footer="0" w:header="0"/>
        </w:sectPr>
      </w:pPr>
    </w:p>
    <w:bookmarkStart w:id="64" w:name="page65"/>
    <w:bookmarkEnd w:id="64"/>
    <w:p>
      <w:pPr>
        <w:ind w:left="2180" w:hanging="875"/>
        <w:spacing w:after="0"/>
        <w:tabs>
          <w:tab w:leader="none" w:pos="2180" w:val="left"/>
        </w:tabs>
        <w:numPr>
          <w:ilvl w:val="0"/>
          <w:numId w:val="30"/>
        </w:numPr>
        <w:rPr>
          <w:rFonts w:ascii="Arial" w:cs="Arial" w:eastAsia="Arial" w:hAnsi="Arial"/>
          <w:sz w:val="18"/>
          <w:szCs w:val="18"/>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jc w:val="both"/>
        <w:ind w:right="260" w:firstLine="1953"/>
        <w:spacing w:after="0" w:line="251" w:lineRule="auto"/>
        <w:tabs>
          <w:tab w:leader="none" w:pos="2793" w:val="left"/>
        </w:tabs>
        <w:numPr>
          <w:ilvl w:val="1"/>
          <w:numId w:val="30"/>
        </w:numPr>
        <w:rPr>
          <w:rFonts w:ascii="Arial" w:cs="Arial" w:eastAsia="Arial" w:hAnsi="Arial"/>
          <w:sz w:val="18"/>
          <w:szCs w:val="18"/>
          <w:color w:val="auto"/>
        </w:rPr>
      </w:pPr>
      <w:r>
        <w:rPr>
          <w:rFonts w:ascii="Arial" w:cs="Arial" w:eastAsia="Arial" w:hAnsi="Arial"/>
          <w:sz w:val="22"/>
          <w:szCs w:val="22"/>
          <w:color w:val="auto"/>
        </w:rPr>
        <w:t>The address for the Optionee to which notice, demands and other communications to be given or delivered under or by reason of the provisions hereof shall be the address contained in the Company’s personnel records, or such other address as the Optionee may provide to the Company by written notice.</w:t>
      </w:r>
    </w:p>
    <w:p>
      <w:pPr>
        <w:spacing w:after="0" w:line="3" w:lineRule="exact"/>
        <w:rPr>
          <w:rFonts w:ascii="Arial" w:cs="Arial" w:eastAsia="Arial" w:hAnsi="Arial"/>
          <w:sz w:val="18"/>
          <w:szCs w:val="18"/>
          <w:color w:val="auto"/>
        </w:rPr>
      </w:pPr>
    </w:p>
    <w:p>
      <w:pPr>
        <w:ind w:left="2820" w:hanging="867"/>
        <w:spacing w:after="0"/>
        <w:tabs>
          <w:tab w:leader="none" w:pos="2820" w:val="left"/>
        </w:tabs>
        <w:numPr>
          <w:ilvl w:val="1"/>
          <w:numId w:val="30"/>
        </w:numPr>
        <w:rPr>
          <w:rFonts w:ascii="Arial" w:cs="Arial" w:eastAsia="Arial" w:hAnsi="Arial"/>
          <w:sz w:val="16"/>
          <w:szCs w:val="16"/>
          <w:color w:val="auto"/>
        </w:rPr>
      </w:pPr>
      <w:r>
        <w:rPr>
          <w:rFonts w:ascii="Arial" w:cs="Arial" w:eastAsia="Arial" w:hAnsi="Arial"/>
          <w:sz w:val="19"/>
          <w:szCs w:val="19"/>
          <w:color w:val="auto"/>
        </w:rPr>
        <w:t>This Award may be executed in one or more counterparts all of which taken together will constitute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one and the same instrument.</w:t>
      </w:r>
    </w:p>
    <w:p>
      <w:pPr>
        <w:spacing w:after="0" w:line="17" w:lineRule="exact"/>
        <w:rPr>
          <w:rFonts w:ascii="Arial" w:cs="Arial" w:eastAsia="Arial" w:hAnsi="Arial"/>
          <w:sz w:val="16"/>
          <w:szCs w:val="16"/>
          <w:color w:val="auto"/>
        </w:rPr>
      </w:pPr>
    </w:p>
    <w:p>
      <w:pPr>
        <w:ind w:right="220" w:firstLine="1953"/>
        <w:spacing w:after="0" w:line="249" w:lineRule="auto"/>
        <w:tabs>
          <w:tab w:leader="none" w:pos="2793" w:val="left"/>
        </w:tabs>
        <w:numPr>
          <w:ilvl w:val="1"/>
          <w:numId w:val="30"/>
        </w:numPr>
        <w:rPr>
          <w:rFonts w:ascii="Arial" w:cs="Arial" w:eastAsia="Arial" w:hAnsi="Arial"/>
          <w:sz w:val="18"/>
          <w:szCs w:val="18"/>
          <w:color w:val="auto"/>
        </w:rPr>
      </w:pPr>
      <w:r>
        <w:rPr>
          <w:rFonts w:ascii="Arial" w:cs="Arial" w:eastAsia="Arial" w:hAnsi="Arial"/>
          <w:sz w:val="22"/>
          <w:szCs w:val="22"/>
          <w:color w:val="auto"/>
        </w:rPr>
        <w:t>The validity, performance, construction and effect of this Award shall be governed by the laws of the Commonwealth of Pennsylvania, without giving effect to principles of conflicts of law.</w:t>
      </w:r>
    </w:p>
    <w:p>
      <w:pPr>
        <w:spacing w:after="0" w:line="1" w:lineRule="exact"/>
        <w:rPr>
          <w:rFonts w:ascii="Arial" w:cs="Arial" w:eastAsia="Arial" w:hAnsi="Arial"/>
          <w:sz w:val="18"/>
          <w:szCs w:val="18"/>
          <w:color w:val="auto"/>
        </w:rPr>
      </w:pPr>
    </w:p>
    <w:p>
      <w:pPr>
        <w:ind w:right="80" w:firstLine="1953"/>
        <w:spacing w:after="0" w:line="283" w:lineRule="auto"/>
        <w:tabs>
          <w:tab w:leader="none" w:pos="2803" w:val="left"/>
        </w:tabs>
        <w:numPr>
          <w:ilvl w:val="1"/>
          <w:numId w:val="30"/>
        </w:numPr>
        <w:rPr>
          <w:rFonts w:ascii="Arial" w:cs="Arial" w:eastAsia="Arial" w:hAnsi="Arial"/>
          <w:sz w:val="16"/>
          <w:szCs w:val="16"/>
          <w:color w:val="auto"/>
        </w:rPr>
      </w:pPr>
      <w:r>
        <w:rPr>
          <w:rFonts w:ascii="Arial" w:cs="Arial" w:eastAsia="Arial" w:hAnsi="Arial"/>
          <w:sz w:val="19"/>
          <w:szCs w:val="19"/>
          <w:color w:val="auto"/>
        </w:rPr>
        <w:t>The Optionee hereby irrevocably and unconditionally consents to submit to the exclusive jurisdiction of the courts of the Commonwealth of Pennsylvania and of the United States of America, in each case located in Philadelphia, Pennsylvania, for any actions, suits or proceedings arising out of or relating to this Award and the transactions contemplated hereby (“Litigation”) and agrees not to commence any Litigation except in any such court, and further agrees that service of process, summons, notice or document by U.S. registered mail to his respective address shall be effective service of process for any Litigation brought against him in any such court. Each party hereby irrevocably and unconditionally waives any objection to the laying of venue of any Litigation in the courts of the Commonwealth of Pennsylvania or of the United States of America, in each case located in Philadelphia, Pennsylvania, and hereby further irrevocably and unconditionally waives and agrees not to plead or claim in any such court that any Litigation brought in any such court has been brought in an inconvenient forum.</w:t>
      </w:r>
    </w:p>
    <w:p>
      <w:pPr>
        <w:spacing w:after="0" w:line="4" w:lineRule="exact"/>
        <w:rPr>
          <w:rFonts w:ascii="Arial" w:cs="Arial" w:eastAsia="Arial" w:hAnsi="Arial"/>
          <w:sz w:val="16"/>
          <w:szCs w:val="16"/>
          <w:color w:val="auto"/>
        </w:rPr>
      </w:pPr>
    </w:p>
    <w:p>
      <w:pPr>
        <w:ind w:firstLine="1305"/>
        <w:spacing w:after="0" w:line="245" w:lineRule="auto"/>
        <w:tabs>
          <w:tab w:leader="none" w:pos="2170" w:val="left"/>
        </w:tabs>
        <w:numPr>
          <w:ilvl w:val="0"/>
          <w:numId w:val="30"/>
        </w:numPr>
        <w:rPr>
          <w:rFonts w:ascii="Arial" w:cs="Arial" w:eastAsia="Arial" w:hAnsi="Arial"/>
          <w:sz w:val="18"/>
          <w:szCs w:val="18"/>
          <w:color w:val="auto"/>
        </w:rPr>
      </w:pPr>
      <w:r>
        <w:rPr>
          <w:rFonts w:ascii="Arial" w:cs="Arial" w:eastAsia="Arial" w:hAnsi="Arial"/>
          <w:sz w:val="22"/>
          <w:szCs w:val="22"/>
          <w:u w:val="single" w:color="auto"/>
          <w:color w:val="auto"/>
        </w:rPr>
        <w:t>Withholding of Taxes</w:t>
      </w:r>
      <w:r>
        <w:rPr>
          <w:rFonts w:ascii="Arial" w:cs="Arial" w:eastAsia="Arial" w:hAnsi="Arial"/>
          <w:sz w:val="22"/>
          <w:szCs w:val="22"/>
          <w:color w:val="auto"/>
        </w:rPr>
        <w:t>. Whenever the Sponsor proposes or is required to deliver or transfer Shares in connection with the exercise of the Option, the Sponsor shall have the right to (a) withhold Shares subject to the Optionee’s exercise of the Option as provided in Paragraph 5 of the Award and Paragraph 15(b) of the Plan, (b) require the Optionee to remit to the Sponsor an amount sufficient to satisfy any federal, state and/or local withholding tax requirements prior to the delivery or transfer of any certificate or certificates for such Shares or (c) take whatever action it deems necessary to protect its interests with respect to tax liabilities.</w:t>
      </w:r>
    </w:p>
    <w:p>
      <w:pPr>
        <w:spacing w:after="0" w:line="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2"/>
          <w:szCs w:val="22"/>
          <w:color w:val="auto"/>
        </w:rPr>
        <w:t>IN WITNESS WHEREOF, the Sponsor has granted this Award on the day and year first above written.</w:t>
      </w:r>
    </w:p>
    <w:p>
      <w:pPr>
        <w:spacing w:after="0" w:line="1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COMCAST CORPORATION</w:t>
      </w:r>
    </w:p>
    <w:p>
      <w:pPr>
        <w:spacing w:after="0" w:line="272"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ATTEST: ________________________________</w:t>
      </w:r>
    </w:p>
    <w:p>
      <w:pPr>
        <w:sectPr>
          <w:pgSz w:w="11900" w:h="16838" w:orient="portrait"/>
          <w:cols w:equalWidth="0" w:num="1">
            <w:col w:w="11420"/>
          </w:cols>
          <w:pgMar w:left="240" w:top="37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10.2</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COMCAST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w:t>
      </w:r>
    </w:p>
    <w:p>
      <w:pPr>
        <w:spacing w:after="0" w:line="200" w:lineRule="exact"/>
        <w:rPr>
          <w:sz w:val="20"/>
          <w:szCs w:val="20"/>
          <w:color w:val="auto"/>
        </w:rPr>
      </w:pP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is a Restricted Stock Unit Award (the “Award”) dated [______] from Comcast Corporation (the “Company”) to</w:t>
      </w:r>
    </w:p>
    <w:p>
      <w:pPr>
        <w:spacing w:after="0" w:line="56" w:lineRule="exact"/>
        <w:rPr>
          <w:sz w:val="20"/>
          <w:szCs w:val="20"/>
          <w:color w:val="auto"/>
        </w:rPr>
      </w:pPr>
    </w:p>
    <w:p>
      <w:pPr>
        <w:jc w:val="both"/>
        <w:ind w:right="240"/>
        <w:spacing w:after="0" w:line="245" w:lineRule="auto"/>
        <w:rPr>
          <w:sz w:val="20"/>
          <w:szCs w:val="20"/>
          <w:color w:val="auto"/>
        </w:rPr>
      </w:pPr>
      <w:r>
        <w:rPr>
          <w:rFonts w:ascii="Arial" w:cs="Arial" w:eastAsia="Arial" w:hAnsi="Arial"/>
          <w:sz w:val="22"/>
          <w:szCs w:val="22"/>
          <w:color w:val="auto"/>
        </w:rPr>
        <w:t>the Grantee. The vesting of Restricted Stock Units is conditioned on the Grantee’s continuation in service from the Date of Grant through each applicable Vesting Date, and on the Company’s attainment of certain performance objectives, as further provided in this Award.</w:t>
      </w:r>
    </w:p>
    <w:p>
      <w:pPr>
        <w:spacing w:after="0" w:line="193" w:lineRule="exact"/>
        <w:rPr>
          <w:sz w:val="20"/>
          <w:szCs w:val="20"/>
          <w:color w:val="auto"/>
        </w:rPr>
      </w:pPr>
    </w:p>
    <w:p>
      <w:pPr>
        <w:ind w:left="660" w:right="540" w:firstLine="1293"/>
        <w:spacing w:after="0" w:line="258" w:lineRule="auto"/>
        <w:tabs>
          <w:tab w:leader="none" w:pos="2740" w:val="left"/>
        </w:tabs>
        <w:numPr>
          <w:ilvl w:val="0"/>
          <w:numId w:val="31"/>
        </w:numPr>
        <w:rPr>
          <w:rFonts w:ascii="Arial" w:cs="Arial" w:eastAsia="Arial" w:hAnsi="Arial"/>
          <w:sz w:val="18"/>
          <w:szCs w:val="18"/>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used herein are defined below or, if not defined below, have the meanings given to them in the Plan.</w:t>
      </w:r>
    </w:p>
    <w:p>
      <w:pPr>
        <w:spacing w:after="0" w:line="1" w:lineRule="exact"/>
        <w:rPr>
          <w:sz w:val="20"/>
          <w:szCs w:val="20"/>
          <w:color w:val="auto"/>
        </w:rPr>
      </w:pPr>
    </w:p>
    <w:p>
      <w:pPr>
        <w:jc w:val="both"/>
        <w:ind w:right="80" w:firstLine="1953"/>
        <w:spacing w:after="0" w:line="258" w:lineRule="auto"/>
        <w:tabs>
          <w:tab w:leader="none" w:pos="2793" w:val="left"/>
        </w:tabs>
        <w:numPr>
          <w:ilvl w:val="1"/>
          <w:numId w:val="32"/>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w:t>
      </w:r>
      <w:r>
        <w:rPr>
          <w:rFonts w:ascii="Arial" w:cs="Arial" w:eastAsia="Arial" w:hAnsi="Arial"/>
          <w:sz w:val="21"/>
          <w:szCs w:val="21"/>
          <w:color w:val="auto"/>
        </w:rPr>
        <w:t>” means an unfunded bookkeeping account established pursuant to Paragraph 6(e)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1" w:lineRule="exact"/>
        <w:rPr>
          <w:rFonts w:ascii="Arial" w:cs="Arial" w:eastAsia="Arial" w:hAnsi="Arial"/>
          <w:sz w:val="17"/>
          <w:szCs w:val="17"/>
          <w:color w:val="auto"/>
        </w:rPr>
      </w:pPr>
    </w:p>
    <w:p>
      <w:pPr>
        <w:ind w:right="20" w:firstLine="1953"/>
        <w:spacing w:after="0" w:line="284" w:lineRule="auto"/>
        <w:tabs>
          <w:tab w:leader="none" w:pos="2803" w:val="left"/>
        </w:tabs>
        <w:numPr>
          <w:ilvl w:val="1"/>
          <w:numId w:val="32"/>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EBITDA</w:t>
      </w:r>
      <w:r>
        <w:rPr>
          <w:rFonts w:ascii="Arial" w:cs="Arial" w:eastAsia="Arial" w:hAnsi="Arial"/>
          <w:sz w:val="19"/>
          <w:szCs w:val="19"/>
          <w:color w:val="auto"/>
        </w:rPr>
        <w:t>” means Adjusted EBITDA as reported by the Company in reports as filed with or furnished to the Securities and Exchange Commission, adjusted to exclude the results of operations attributable to any new business initiatives as may be designated by the Committee, provided that with respect to any Performance Goal applicable to this Award, the Committee may adjust Adjusted EBITDA for the prior calendar year and the year to which the performance condition applies to take into account the impact of any transaction or other nonrecurring income or expense item such that the measurement of Adjusted EBITDA for the year to which the performance condition applies is comparable to that for the prior calendar year.</w:t>
      </w:r>
    </w:p>
    <w:p>
      <w:pPr>
        <w:spacing w:after="0" w:line="1" w:lineRule="exact"/>
        <w:rPr>
          <w:rFonts w:ascii="Arial" w:cs="Arial" w:eastAsia="Arial" w:hAnsi="Arial"/>
          <w:sz w:val="16"/>
          <w:szCs w:val="16"/>
          <w:color w:val="auto"/>
        </w:rPr>
      </w:pPr>
    </w:p>
    <w:p>
      <w:pPr>
        <w:ind w:left="2800" w:hanging="847"/>
        <w:spacing w:after="0"/>
        <w:tabs>
          <w:tab w:leader="none" w:pos="2800" w:val="left"/>
        </w:tabs>
        <w:numPr>
          <w:ilvl w:val="1"/>
          <w:numId w:val="3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the award of Restricted Stock Units hereby granted.</w:t>
      </w:r>
    </w:p>
    <w:p>
      <w:pPr>
        <w:spacing w:after="0" w:line="3" w:lineRule="exact"/>
        <w:rPr>
          <w:rFonts w:ascii="Arial" w:cs="Arial" w:eastAsia="Arial" w:hAnsi="Arial"/>
          <w:sz w:val="18"/>
          <w:szCs w:val="18"/>
          <w:color w:val="auto"/>
        </w:rPr>
      </w:pPr>
    </w:p>
    <w:p>
      <w:pPr>
        <w:ind w:left="2820" w:hanging="867"/>
        <w:spacing w:after="0"/>
        <w:tabs>
          <w:tab w:leader="none" w:pos="2820" w:val="left"/>
        </w:tabs>
        <w:numPr>
          <w:ilvl w:val="1"/>
          <w:numId w:val="3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17" w:lineRule="exact"/>
        <w:rPr>
          <w:rFonts w:ascii="Arial" w:cs="Arial" w:eastAsia="Arial" w:hAnsi="Arial"/>
          <w:sz w:val="18"/>
          <w:szCs w:val="18"/>
          <w:color w:val="auto"/>
        </w:rPr>
      </w:pPr>
    </w:p>
    <w:p>
      <w:pPr>
        <w:ind w:right="400" w:firstLine="1953"/>
        <w:spacing w:after="0" w:line="296" w:lineRule="auto"/>
        <w:tabs>
          <w:tab w:leader="none" w:pos="2793" w:val="left"/>
        </w:tabs>
        <w:numPr>
          <w:ilvl w:val="1"/>
          <w:numId w:val="32"/>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fraud; (ii) misappropriation; (iii) embezzlement; (iv) gross negligence in the performance of duties; (v) self-dealing; (vi) dishonesty; (vii) misrepresentation; (viii) conviction of a crime of a felony;</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material violation of any Company policy; (x) material violation of the Company’s Code of Ethics and Business Conduct or,</w:t>
      </w:r>
    </w:p>
    <w:p>
      <w:pPr>
        <w:spacing w:after="0" w:line="38" w:lineRule="exact"/>
        <w:rPr>
          <w:rFonts w:ascii="Arial" w:cs="Arial" w:eastAsia="Arial" w:hAnsi="Arial"/>
          <w:sz w:val="19"/>
          <w:szCs w:val="19"/>
          <w:color w:val="auto"/>
        </w:rPr>
      </w:pPr>
    </w:p>
    <w:p>
      <w:pPr>
        <w:jc w:val="both"/>
        <w:ind w:right="40" w:firstLine="8"/>
        <w:spacing w:after="0" w:line="243" w:lineRule="auto"/>
        <w:tabs>
          <w:tab w:leader="none" w:pos="366"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1" w:lineRule="exact"/>
        <w:rPr>
          <w:rFonts w:ascii="Arial" w:cs="Arial" w:eastAsia="Arial" w:hAnsi="Arial"/>
          <w:sz w:val="22"/>
          <w:szCs w:val="22"/>
          <w:color w:val="auto"/>
        </w:rPr>
      </w:pPr>
    </w:p>
    <w:p>
      <w:pPr>
        <w:ind w:left="2780" w:hanging="827"/>
        <w:spacing w:after="0"/>
        <w:tabs>
          <w:tab w:leader="none" w:pos="2780" w:val="left"/>
        </w:tabs>
        <w:numPr>
          <w:ilvl w:val="1"/>
          <w:numId w:val="3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3" w:lineRule="exact"/>
        <w:rPr>
          <w:rFonts w:ascii="Arial" w:cs="Arial" w:eastAsia="Arial" w:hAnsi="Arial"/>
          <w:sz w:val="18"/>
          <w:szCs w:val="18"/>
          <w:color w:val="auto"/>
        </w:rPr>
      </w:pPr>
    </w:p>
    <w:p>
      <w:pPr>
        <w:ind w:left="2820" w:hanging="867"/>
        <w:spacing w:after="0"/>
        <w:tabs>
          <w:tab w:leader="none" w:pos="2820" w:val="left"/>
        </w:tabs>
        <w:numPr>
          <w:ilvl w:val="1"/>
          <w:numId w:val="3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or its delegate.</w:t>
      </w:r>
    </w:p>
    <w:p>
      <w:pPr>
        <w:spacing w:after="0" w:line="17" w:lineRule="exact"/>
        <w:rPr>
          <w:rFonts w:ascii="Arial" w:cs="Arial" w:eastAsia="Arial" w:hAnsi="Arial"/>
          <w:sz w:val="18"/>
          <w:szCs w:val="18"/>
          <w:color w:val="auto"/>
        </w:rPr>
      </w:pPr>
    </w:p>
    <w:p>
      <w:pPr>
        <w:ind w:left="2820" w:hanging="867"/>
        <w:spacing w:after="0"/>
        <w:tabs>
          <w:tab w:leader="none" w:pos="2820" w:val="left"/>
        </w:tabs>
        <w:numPr>
          <w:ilvl w:val="1"/>
          <w:numId w:val="34"/>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Date of Grant</w:t>
      </w:r>
      <w:r>
        <w:rPr>
          <w:rFonts w:ascii="Arial" w:cs="Arial" w:eastAsia="Arial" w:hAnsi="Arial"/>
          <w:sz w:val="21"/>
          <w:szCs w:val="21"/>
          <w:color w:val="auto"/>
        </w:rPr>
        <w:t>” means the date first set forth above, on which the Company awarded the</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Restricted Stock Units.</w:t>
      </w:r>
    </w:p>
    <w:p>
      <w:pPr>
        <w:spacing w:after="0" w:line="17" w:lineRule="exact"/>
        <w:rPr>
          <w:rFonts w:ascii="Arial" w:cs="Arial" w:eastAsia="Arial" w:hAnsi="Arial"/>
          <w:sz w:val="17"/>
          <w:szCs w:val="17"/>
          <w:color w:val="auto"/>
        </w:rPr>
      </w:pPr>
    </w:p>
    <w:p>
      <w:pPr>
        <w:ind w:left="2780" w:hanging="827"/>
        <w:spacing w:after="0"/>
        <w:tabs>
          <w:tab w:leader="none" w:pos="2780" w:val="left"/>
        </w:tabs>
        <w:numPr>
          <w:ilvl w:val="1"/>
          <w:numId w:val="3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Stock Units</w:t>
      </w:r>
      <w:r>
        <w:rPr>
          <w:rFonts w:ascii="Arial" w:cs="Arial" w:eastAsia="Arial" w:hAnsi="Arial"/>
          <w:sz w:val="22"/>
          <w:szCs w:val="22"/>
          <w:color w:val="auto"/>
        </w:rPr>
        <w:t>” means the number of hypothetical Shares subject to an Election.</w:t>
      </w:r>
    </w:p>
    <w:p>
      <w:pPr>
        <w:spacing w:after="0" w:line="3" w:lineRule="exact"/>
        <w:rPr>
          <w:rFonts w:ascii="Arial" w:cs="Arial" w:eastAsia="Arial" w:hAnsi="Arial"/>
          <w:sz w:val="18"/>
          <w:szCs w:val="18"/>
          <w:color w:val="auto"/>
        </w:rPr>
      </w:pPr>
    </w:p>
    <w:p>
      <w:pPr>
        <w:ind w:left="2780" w:hanging="827"/>
        <w:spacing w:after="0"/>
        <w:tabs>
          <w:tab w:leader="none" w:pos="2780" w:val="left"/>
        </w:tabs>
        <w:numPr>
          <w:ilvl w:val="1"/>
          <w:numId w:val="3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Disabled Grantee</w:t>
      </w:r>
      <w:r>
        <w:rPr>
          <w:rFonts w:ascii="Arial" w:cs="Arial" w:eastAsia="Arial" w:hAnsi="Arial"/>
          <w:sz w:val="22"/>
          <w:szCs w:val="22"/>
          <w:color w:val="auto"/>
        </w:rPr>
        <w:t>” means:</w:t>
      </w:r>
    </w:p>
    <w:p>
      <w:pPr>
        <w:spacing w:after="0" w:line="17" w:lineRule="exact"/>
        <w:rPr>
          <w:rFonts w:ascii="Arial" w:cs="Arial" w:eastAsia="Arial" w:hAnsi="Arial"/>
          <w:sz w:val="18"/>
          <w:szCs w:val="18"/>
          <w:color w:val="auto"/>
        </w:rPr>
      </w:pPr>
    </w:p>
    <w:p>
      <w:pPr>
        <w:ind w:left="3460" w:hanging="859"/>
        <w:spacing w:after="0"/>
        <w:tabs>
          <w:tab w:leader="none" w:pos="3460" w:val="left"/>
        </w:tabs>
        <w:numPr>
          <w:ilvl w:val="2"/>
          <w:numId w:val="34"/>
        </w:numPr>
        <w:rPr>
          <w:rFonts w:ascii="Arial" w:cs="Arial" w:eastAsia="Arial" w:hAnsi="Arial"/>
          <w:sz w:val="16"/>
          <w:szCs w:val="16"/>
          <w:color w:val="auto"/>
        </w:rPr>
      </w:pPr>
      <w:r>
        <w:rPr>
          <w:rFonts w:ascii="Arial" w:cs="Arial" w:eastAsia="Arial" w:hAnsi="Arial"/>
          <w:sz w:val="19"/>
          <w:szCs w:val="19"/>
          <w:color w:val="auto"/>
        </w:rPr>
        <w:t>Grantee, if Grantee’s employment by a Participating Company terminates by reason of</w:t>
      </w:r>
    </w:p>
    <w:p>
      <w:pPr>
        <w:spacing w:after="0" w:line="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Disability; or</w:t>
      </w:r>
    </w:p>
    <w:p>
      <w:pPr>
        <w:spacing w:after="0" w:line="17" w:lineRule="exact"/>
        <w:rPr>
          <w:rFonts w:ascii="Arial" w:cs="Arial" w:eastAsia="Arial" w:hAnsi="Arial"/>
          <w:sz w:val="16"/>
          <w:szCs w:val="16"/>
          <w:color w:val="auto"/>
        </w:rPr>
      </w:pPr>
    </w:p>
    <w:p>
      <w:pPr>
        <w:ind w:right="20" w:firstLine="2601"/>
        <w:spacing w:after="0" w:line="249" w:lineRule="auto"/>
        <w:tabs>
          <w:tab w:leader="none" w:pos="3451" w:val="left"/>
        </w:tabs>
        <w:numPr>
          <w:ilvl w:val="2"/>
          <w:numId w:val="34"/>
        </w:numPr>
        <w:rPr>
          <w:rFonts w:ascii="Arial" w:cs="Arial" w:eastAsia="Arial" w:hAnsi="Arial"/>
          <w:sz w:val="18"/>
          <w:szCs w:val="18"/>
          <w:color w:val="auto"/>
        </w:rPr>
      </w:pPr>
      <w:r>
        <w:rPr>
          <w:rFonts w:ascii="Arial" w:cs="Arial" w:eastAsia="Arial" w:hAnsi="Arial"/>
          <w:sz w:val="22"/>
          <w:szCs w:val="22"/>
          <w:color w:val="auto"/>
        </w:rPr>
        <w:t>Grantee’s duly-appointed legal guardian following Grantee’s termination of employment by reason of Disability, acting on Grantee’s behalf.</w:t>
      </w:r>
    </w:p>
    <w:p>
      <w:pPr>
        <w:spacing w:after="0" w:line="1" w:lineRule="exact"/>
        <w:rPr>
          <w:rFonts w:ascii="Arial" w:cs="Arial" w:eastAsia="Arial" w:hAnsi="Arial"/>
          <w:sz w:val="18"/>
          <w:szCs w:val="18"/>
          <w:color w:val="auto"/>
        </w:rPr>
      </w:pPr>
    </w:p>
    <w:p>
      <w:pPr>
        <w:ind w:right="20" w:firstLine="1953"/>
        <w:spacing w:after="0" w:line="249" w:lineRule="auto"/>
        <w:tabs>
          <w:tab w:leader="none" w:pos="2803" w:val="left"/>
        </w:tabs>
        <w:numPr>
          <w:ilvl w:val="1"/>
          <w:numId w:val="3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w:t>
      </w:r>
      <w:r>
        <w:rPr>
          <w:rFonts w:ascii="Arial" w:cs="Arial" w:eastAsia="Arial" w:hAnsi="Arial"/>
          <w:sz w:val="22"/>
          <w:szCs w:val="22"/>
          <w:color w:val="auto"/>
        </w:rPr>
        <w:t>” means the Company or the subsidiary or affiliate of the Company for which Grantee is performing services on the Vesting Date.</w:t>
      </w:r>
    </w:p>
    <w:p>
      <w:pPr>
        <w:spacing w:after="0" w:line="1" w:lineRule="exact"/>
        <w:rPr>
          <w:rFonts w:ascii="Arial" w:cs="Arial" w:eastAsia="Arial" w:hAnsi="Arial"/>
          <w:sz w:val="18"/>
          <w:szCs w:val="18"/>
          <w:color w:val="auto"/>
        </w:rPr>
      </w:pPr>
    </w:p>
    <w:p>
      <w:pPr>
        <w:ind w:right="120" w:firstLine="1953"/>
        <w:spacing w:after="0" w:line="259" w:lineRule="auto"/>
        <w:tabs>
          <w:tab w:leader="none" w:pos="2763" w:val="left"/>
        </w:tabs>
        <w:numPr>
          <w:ilvl w:val="1"/>
          <w:numId w:val="3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Grantee</w:t>
      </w:r>
      <w:r>
        <w:rPr>
          <w:rFonts w:ascii="Arial" w:cs="Arial" w:eastAsia="Arial" w:hAnsi="Arial"/>
          <w:sz w:val="22"/>
          <w:szCs w:val="22"/>
          <w:color w:val="auto"/>
        </w:rPr>
        <w:t>” means the individual to whom this Award has been granted as identified on the attached Long-Term Incentive Awards Summary Schedule.</w:t>
      </w:r>
    </w:p>
    <w:p>
      <w:pPr>
        <w:sectPr>
          <w:pgSz w:w="11900" w:h="16838" w:orient="portrait"/>
          <w:cols w:equalWidth="0" w:num="1">
            <w:col w:w="11420"/>
          </w:cols>
          <w:pgMar w:left="240" w:top="121" w:right="239" w:bottom="1440" w:gutter="0" w:footer="0" w:header="0"/>
        </w:sectPr>
      </w:pPr>
    </w:p>
    <w:bookmarkStart w:id="66" w:name="page67"/>
    <w:bookmarkEnd w:id="66"/>
    <w:p>
      <w:pPr>
        <w:ind w:left="2860" w:hanging="907"/>
        <w:spacing w:after="0"/>
        <w:tabs>
          <w:tab w:leader="none" w:pos="2860" w:val="left"/>
        </w:tabs>
        <w:numPr>
          <w:ilvl w:val="1"/>
          <w:numId w:val="35"/>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HSR Act</w:t>
      </w:r>
      <w:r>
        <w:rPr>
          <w:rFonts w:ascii="Arial" w:cs="Arial" w:eastAsia="Arial" w:hAnsi="Arial"/>
          <w:sz w:val="21"/>
          <w:szCs w:val="21"/>
          <w:color w:val="auto"/>
        </w:rPr>
        <w:t>” means the Hart-Scott-Rodino Antitrust Improvements Act of 1976, as amended.</w:t>
      </w:r>
    </w:p>
    <w:p>
      <w:pPr>
        <w:spacing w:after="0" w:line="33" w:lineRule="exact"/>
        <w:rPr>
          <w:rFonts w:ascii="Arial" w:cs="Arial" w:eastAsia="Arial" w:hAnsi="Arial"/>
          <w:sz w:val="17"/>
          <w:szCs w:val="17"/>
          <w:color w:val="auto"/>
        </w:rPr>
      </w:pPr>
    </w:p>
    <w:p>
      <w:pPr>
        <w:ind w:firstLine="1953"/>
        <w:spacing w:after="0" w:line="256" w:lineRule="auto"/>
        <w:tabs>
          <w:tab w:leader="none" w:pos="2803" w:val="left"/>
        </w:tabs>
        <w:numPr>
          <w:ilvl w:val="1"/>
          <w:numId w:val="3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Long-Term Incentive Awards Summary Schedule</w:t>
      </w:r>
      <w:r>
        <w:rPr>
          <w:rFonts w:ascii="Arial" w:cs="Arial" w:eastAsia="Arial" w:hAnsi="Arial"/>
          <w:sz w:val="22"/>
          <w:szCs w:val="22"/>
          <w:color w:val="auto"/>
        </w:rPr>
        <w:t>” means the schedule attached hereto, which sets forth specific information relating to the grant and vesting of this Award.</w:t>
      </w:r>
    </w:p>
    <w:p>
      <w:pPr>
        <w:ind w:right="1020" w:firstLine="1953"/>
        <w:spacing w:after="0" w:line="289" w:lineRule="auto"/>
        <w:tabs>
          <w:tab w:leader="none" w:pos="2803" w:val="left"/>
        </w:tabs>
        <w:numPr>
          <w:ilvl w:val="1"/>
          <w:numId w:val="35"/>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Normal Retirement</w:t>
      </w:r>
      <w:r>
        <w:rPr>
          <w:rFonts w:ascii="Arial" w:cs="Arial" w:eastAsia="Arial" w:hAnsi="Arial"/>
          <w:sz w:val="19"/>
          <w:szCs w:val="19"/>
          <w:color w:val="auto"/>
        </w:rPr>
        <w:t>” means Grantee’s termination of employment that is treated by the Participating Company as a retirement under its employment policies and practices as in effect from time to time.</w:t>
      </w:r>
    </w:p>
    <w:p>
      <w:pPr>
        <w:ind w:left="2820" w:hanging="867"/>
        <w:spacing w:after="0"/>
        <w:tabs>
          <w:tab w:leader="none" w:pos="2820" w:val="left"/>
        </w:tabs>
        <w:numPr>
          <w:ilvl w:val="1"/>
          <w:numId w:val="3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Goal</w:t>
      </w:r>
      <w:r>
        <w:rPr>
          <w:rFonts w:ascii="Arial" w:cs="Arial" w:eastAsia="Arial" w:hAnsi="Arial"/>
          <w:sz w:val="22"/>
          <w:szCs w:val="22"/>
          <w:color w:val="auto"/>
        </w:rPr>
        <w:t>” means each of the following Tiered Performance Goals:</w:t>
      </w:r>
    </w:p>
    <w:p>
      <w:pPr>
        <w:spacing w:after="0" w:line="3" w:lineRule="exact"/>
        <w:rPr>
          <w:rFonts w:ascii="Arial" w:cs="Arial" w:eastAsia="Arial" w:hAnsi="Arial"/>
          <w:sz w:val="18"/>
          <w:szCs w:val="18"/>
          <w:color w:val="auto"/>
        </w:rPr>
      </w:pPr>
    </w:p>
    <w:p>
      <w:pPr>
        <w:ind w:left="3700" w:hanging="1099"/>
        <w:spacing w:after="0"/>
        <w:tabs>
          <w:tab w:leader="none" w:pos="3700" w:val="left"/>
        </w:tabs>
        <w:numPr>
          <w:ilvl w:val="2"/>
          <w:numId w:val="35"/>
        </w:numPr>
        <w:rPr>
          <w:rFonts w:ascii="Arial" w:cs="Arial" w:eastAsia="Arial" w:hAnsi="Arial"/>
          <w:sz w:val="16"/>
          <w:szCs w:val="16"/>
          <w:color w:val="auto"/>
        </w:rPr>
      </w:pPr>
      <w:r>
        <w:rPr>
          <w:rFonts w:ascii="Arial" w:cs="Arial" w:eastAsia="Arial" w:hAnsi="Arial"/>
          <w:sz w:val="19"/>
          <w:szCs w:val="19"/>
          <w:color w:val="auto"/>
        </w:rPr>
        <w:t xml:space="preserve">The </w:t>
      </w:r>
      <w:r>
        <w:rPr>
          <w:rFonts w:ascii="Arial" w:cs="Arial" w:eastAsia="Arial" w:hAnsi="Arial"/>
          <w:sz w:val="19"/>
          <w:szCs w:val="19"/>
          <w:u w:val="single" w:color="auto"/>
          <w:color w:val="auto"/>
        </w:rPr>
        <w:t>Tier One Performance Goal</w:t>
      </w:r>
      <w:r>
        <w:rPr>
          <w:rFonts w:ascii="Arial" w:cs="Arial" w:eastAsia="Arial" w:hAnsi="Arial"/>
          <w:sz w:val="19"/>
          <w:szCs w:val="19"/>
          <w:color w:val="auto"/>
        </w:rPr>
        <w:t xml:space="preserve"> is achieved if Adjusted EBITDA for a calendar year is</w:t>
      </w:r>
    </w:p>
    <w:p>
      <w:pPr>
        <w:spacing w:after="0" w:line="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at least [___] percent but less than [___] percent of Adjusted EBITDA for the immediately preceding calendar year;</w:t>
      </w:r>
    </w:p>
    <w:p>
      <w:pPr>
        <w:spacing w:after="0" w:line="17" w:lineRule="exact"/>
        <w:rPr>
          <w:rFonts w:ascii="Arial" w:cs="Arial" w:eastAsia="Arial" w:hAnsi="Arial"/>
          <w:sz w:val="16"/>
          <w:szCs w:val="16"/>
          <w:color w:val="auto"/>
        </w:rPr>
      </w:pPr>
    </w:p>
    <w:p>
      <w:pPr>
        <w:jc w:val="both"/>
        <w:ind w:right="400" w:firstLine="2601"/>
        <w:spacing w:after="0" w:line="247" w:lineRule="auto"/>
        <w:tabs>
          <w:tab w:leader="none" w:pos="3685" w:val="left"/>
        </w:tabs>
        <w:numPr>
          <w:ilvl w:val="2"/>
          <w:numId w:val="35"/>
        </w:numPr>
        <w:rPr>
          <w:rFonts w:ascii="Arial" w:cs="Arial" w:eastAsia="Arial" w:hAnsi="Arial"/>
          <w:sz w:val="18"/>
          <w:szCs w:val="18"/>
          <w:color w:val="auto"/>
        </w:rPr>
      </w:pPr>
      <w:r>
        <w:rPr>
          <w:rFonts w:ascii="Arial" w:cs="Arial" w:eastAsia="Arial" w:hAnsi="Arial"/>
          <w:sz w:val="22"/>
          <w:szCs w:val="22"/>
          <w:color w:val="auto"/>
        </w:rPr>
        <w:t xml:space="preserve">The </w:t>
      </w:r>
      <w:r>
        <w:rPr>
          <w:rFonts w:ascii="Arial" w:cs="Arial" w:eastAsia="Arial" w:hAnsi="Arial"/>
          <w:sz w:val="22"/>
          <w:szCs w:val="22"/>
          <w:u w:val="single" w:color="auto"/>
          <w:color w:val="auto"/>
        </w:rPr>
        <w:t>Tier Two Performance Goal</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Target Performance Goal</w:t>
      </w:r>
      <w:r>
        <w:rPr>
          <w:rFonts w:ascii="Arial" w:cs="Arial" w:eastAsia="Arial" w:hAnsi="Arial"/>
          <w:sz w:val="22"/>
          <w:szCs w:val="22"/>
          <w:color w:val="auto"/>
        </w:rPr>
        <w:t xml:space="preserve"> is achieved if Adjusted EBITDA for a calendar year is at least [___] percent but not more than [___] percent of Adjusted EBITDA for the immediately preceding calendar year;</w:t>
      </w:r>
    </w:p>
    <w:p>
      <w:pPr>
        <w:spacing w:after="0" w:line="2" w:lineRule="exact"/>
        <w:rPr>
          <w:rFonts w:ascii="Arial" w:cs="Arial" w:eastAsia="Arial" w:hAnsi="Arial"/>
          <w:sz w:val="18"/>
          <w:szCs w:val="18"/>
          <w:color w:val="auto"/>
        </w:rPr>
      </w:pPr>
    </w:p>
    <w:p>
      <w:pPr>
        <w:ind w:left="3700" w:hanging="1099"/>
        <w:spacing w:after="0"/>
        <w:tabs>
          <w:tab w:leader="none" w:pos="3700" w:val="left"/>
        </w:tabs>
        <w:numPr>
          <w:ilvl w:val="2"/>
          <w:numId w:val="35"/>
        </w:numPr>
        <w:rPr>
          <w:rFonts w:ascii="Arial" w:cs="Arial" w:eastAsia="Arial" w:hAnsi="Arial"/>
          <w:sz w:val="16"/>
          <w:szCs w:val="16"/>
          <w:color w:val="auto"/>
        </w:rPr>
      </w:pPr>
      <w:r>
        <w:rPr>
          <w:rFonts w:ascii="Arial" w:cs="Arial" w:eastAsia="Arial" w:hAnsi="Arial"/>
          <w:sz w:val="19"/>
          <w:szCs w:val="19"/>
          <w:color w:val="auto"/>
        </w:rPr>
        <w:t xml:space="preserve">The </w:t>
      </w:r>
      <w:r>
        <w:rPr>
          <w:rFonts w:ascii="Arial" w:cs="Arial" w:eastAsia="Arial" w:hAnsi="Arial"/>
          <w:sz w:val="19"/>
          <w:szCs w:val="19"/>
          <w:u w:val="single" w:color="auto"/>
          <w:color w:val="auto"/>
        </w:rPr>
        <w:t>Tier Three Performance Goal</w:t>
      </w:r>
      <w:r>
        <w:rPr>
          <w:rFonts w:ascii="Arial" w:cs="Arial" w:eastAsia="Arial" w:hAnsi="Arial"/>
          <w:sz w:val="19"/>
          <w:szCs w:val="19"/>
          <w:color w:val="auto"/>
        </w:rPr>
        <w:t xml:space="preserve"> is achieved if Adjusted EBITDA for a calendar year 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[___] percent or more of Adjusted EBITDA for the immediately preceding calendar year.</w:t>
      </w:r>
    </w:p>
    <w:p>
      <w:pPr>
        <w:spacing w:after="0" w:line="17" w:lineRule="exact"/>
        <w:rPr>
          <w:rFonts w:ascii="Arial" w:cs="Arial" w:eastAsia="Arial" w:hAnsi="Arial"/>
          <w:sz w:val="16"/>
          <w:szCs w:val="16"/>
          <w:color w:val="auto"/>
        </w:rPr>
      </w:pPr>
    </w:p>
    <w:p>
      <w:pPr>
        <w:ind w:left="2820" w:hanging="867"/>
        <w:spacing w:after="0"/>
        <w:tabs>
          <w:tab w:leader="none" w:pos="2820" w:val="left"/>
        </w:tabs>
        <w:numPr>
          <w:ilvl w:val="1"/>
          <w:numId w:val="35"/>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the Comcast Corporation 2002 Restricted Stock Plan, incorporated herein by</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reference.</w:t>
      </w:r>
    </w:p>
    <w:p>
      <w:pPr>
        <w:spacing w:after="0" w:line="17" w:lineRule="exact"/>
        <w:rPr>
          <w:rFonts w:ascii="Arial" w:cs="Arial" w:eastAsia="Arial" w:hAnsi="Arial"/>
          <w:sz w:val="17"/>
          <w:szCs w:val="17"/>
          <w:color w:val="auto"/>
        </w:rPr>
      </w:pPr>
    </w:p>
    <w:p>
      <w:pPr>
        <w:ind w:right="100" w:firstLine="1953"/>
        <w:spacing w:after="0" w:line="249" w:lineRule="auto"/>
        <w:tabs>
          <w:tab w:leader="none" w:pos="2773" w:val="left"/>
        </w:tabs>
        <w:numPr>
          <w:ilvl w:val="1"/>
          <w:numId w:val="3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means, with respect to each Restricted Stock Unit, the period beginning on the Date of Grant and ending on the Vesting Date.</w:t>
      </w:r>
    </w:p>
    <w:p>
      <w:pPr>
        <w:spacing w:after="0" w:line="1" w:lineRule="exact"/>
        <w:rPr>
          <w:rFonts w:ascii="Arial" w:cs="Arial" w:eastAsia="Arial" w:hAnsi="Arial"/>
          <w:sz w:val="18"/>
          <w:szCs w:val="18"/>
          <w:color w:val="auto"/>
        </w:rPr>
      </w:pPr>
    </w:p>
    <w:p>
      <w:pPr>
        <w:ind w:right="280" w:firstLine="1953"/>
        <w:spacing w:after="0" w:line="259" w:lineRule="auto"/>
        <w:tabs>
          <w:tab w:leader="none" w:pos="2783" w:val="left"/>
        </w:tabs>
        <w:numPr>
          <w:ilvl w:val="1"/>
          <w:numId w:val="35"/>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 Units</w:t>
      </w:r>
      <w:r>
        <w:rPr>
          <w:rFonts w:ascii="Arial" w:cs="Arial" w:eastAsia="Arial" w:hAnsi="Arial"/>
          <w:sz w:val="21"/>
          <w:szCs w:val="21"/>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1" w:lineRule="exact"/>
        <w:rPr>
          <w:rFonts w:ascii="Arial" w:cs="Arial" w:eastAsia="Arial" w:hAnsi="Arial"/>
          <w:sz w:val="17"/>
          <w:szCs w:val="17"/>
          <w:color w:val="auto"/>
        </w:rPr>
      </w:pPr>
    </w:p>
    <w:p>
      <w:pPr>
        <w:ind w:left="2820" w:hanging="867"/>
        <w:spacing w:after="0"/>
        <w:tabs>
          <w:tab w:leader="none" w:pos="2820" w:val="left"/>
        </w:tabs>
        <w:numPr>
          <w:ilvl w:val="1"/>
          <w:numId w:val="35"/>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Retired Grantee</w:t>
      </w:r>
      <w:r>
        <w:rPr>
          <w:rFonts w:ascii="Arial" w:cs="Arial" w:eastAsia="Arial" w:hAnsi="Arial"/>
          <w:sz w:val="19"/>
          <w:szCs w:val="19"/>
          <w:color w:val="auto"/>
        </w:rPr>
        <w:t>” means Grantee, following Grantee’s termination of employment pursuant to 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Normal Retirement.</w:t>
      </w:r>
    </w:p>
    <w:p>
      <w:pPr>
        <w:spacing w:after="0" w:line="17" w:lineRule="exact"/>
        <w:rPr>
          <w:rFonts w:ascii="Arial" w:cs="Arial" w:eastAsia="Arial" w:hAnsi="Arial"/>
          <w:sz w:val="16"/>
          <w:szCs w:val="16"/>
          <w:color w:val="auto"/>
        </w:rPr>
      </w:pPr>
    </w:p>
    <w:p>
      <w:pPr>
        <w:ind w:left="2820" w:hanging="867"/>
        <w:spacing w:after="0"/>
        <w:tabs>
          <w:tab w:leader="none" w:pos="2820" w:val="left"/>
        </w:tabs>
        <w:numPr>
          <w:ilvl w:val="1"/>
          <w:numId w:val="35"/>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Rule 16b-3</w:t>
      </w:r>
      <w:r>
        <w:rPr>
          <w:rFonts w:ascii="Arial" w:cs="Arial" w:eastAsia="Arial" w:hAnsi="Arial"/>
          <w:sz w:val="19"/>
          <w:szCs w:val="19"/>
          <w:color w:val="auto"/>
        </w:rPr>
        <w:t>” means Rule 16b-3 promulgated under the 1934 Act, as in effect from time to time.</w:t>
      </w:r>
    </w:p>
    <w:p>
      <w:pPr>
        <w:spacing w:after="0" w:line="38" w:lineRule="exact"/>
        <w:rPr>
          <w:rFonts w:ascii="Arial" w:cs="Arial" w:eastAsia="Arial" w:hAnsi="Arial"/>
          <w:sz w:val="16"/>
          <w:szCs w:val="16"/>
          <w:color w:val="auto"/>
        </w:rPr>
      </w:pPr>
    </w:p>
    <w:p>
      <w:pPr>
        <w:ind w:left="2820" w:hanging="867"/>
        <w:spacing w:after="0"/>
        <w:tabs>
          <w:tab w:leader="none" w:pos="2820" w:val="left"/>
        </w:tabs>
        <w:numPr>
          <w:ilvl w:val="1"/>
          <w:numId w:val="35"/>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Shares</w:t>
      </w:r>
      <w:r>
        <w:rPr>
          <w:rFonts w:ascii="Arial" w:cs="Arial" w:eastAsia="Arial" w:hAnsi="Arial"/>
          <w:sz w:val="21"/>
          <w:szCs w:val="21"/>
          <w:color w:val="auto"/>
        </w:rPr>
        <w:t>” mean shares of the Company’s Class A Common Stock, par value $.01 per share.</w:t>
      </w:r>
    </w:p>
    <w:p>
      <w:pPr>
        <w:spacing w:after="0" w:line="28" w:lineRule="exact"/>
        <w:rPr>
          <w:rFonts w:ascii="Arial" w:cs="Arial" w:eastAsia="Arial" w:hAnsi="Arial"/>
          <w:sz w:val="17"/>
          <w:szCs w:val="17"/>
          <w:color w:val="auto"/>
        </w:rPr>
      </w:pPr>
    </w:p>
    <w:p>
      <w:pPr>
        <w:ind w:right="20" w:firstLine="1953"/>
        <w:spacing w:after="0" w:line="249" w:lineRule="auto"/>
        <w:tabs>
          <w:tab w:leader="none" w:pos="2843" w:val="left"/>
        </w:tabs>
        <w:numPr>
          <w:ilvl w:val="1"/>
          <w:numId w:val="3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Date</w:t>
      </w:r>
      <w:r>
        <w:rPr>
          <w:rFonts w:ascii="Arial" w:cs="Arial" w:eastAsia="Arial" w:hAnsi="Arial"/>
          <w:sz w:val="22"/>
          <w:szCs w:val="22"/>
          <w:color w:val="auto"/>
        </w:rPr>
        <w:t>” means the date(s) on which Grantee vests in all or a portion of the Restricted Stock Units, as set forth on the attached Long-Term Incentive Awards Summary Schedule. A “</w:t>
      </w:r>
      <w:r>
        <w:rPr>
          <w:rFonts w:ascii="Arial" w:cs="Arial" w:eastAsia="Arial" w:hAnsi="Arial"/>
          <w:sz w:val="22"/>
          <w:szCs w:val="22"/>
          <w:u w:val="single" w:color="auto"/>
          <w:color w:val="auto"/>
        </w:rPr>
        <w:t>Scheduled Vesting Date</w:t>
      </w:r>
      <w:r>
        <w:rPr>
          <w:rFonts w:ascii="Arial" w:cs="Arial" w:eastAsia="Arial" w:hAnsi="Arial"/>
          <w:sz w:val="22"/>
          <w:szCs w:val="22"/>
          <w:color w:val="auto"/>
        </w:rPr>
        <w:t>” is a date referenced on the Long-Term Incentive Awards Summary Schedule on which Grantee may vest in all or a portion of the Restricted Stock Units if all the conditions to such vesting are satisfied.</w:t>
      </w:r>
    </w:p>
    <w:p>
      <w:pPr>
        <w:spacing w:after="0" w:line="3" w:lineRule="exact"/>
        <w:rPr>
          <w:rFonts w:ascii="Arial" w:cs="Arial" w:eastAsia="Arial" w:hAnsi="Arial"/>
          <w:sz w:val="18"/>
          <w:szCs w:val="18"/>
          <w:color w:val="auto"/>
        </w:rPr>
      </w:pPr>
    </w:p>
    <w:p>
      <w:pPr>
        <w:ind w:left="2820" w:hanging="867"/>
        <w:spacing w:after="0"/>
        <w:tabs>
          <w:tab w:leader="none" w:pos="2820" w:val="left"/>
        </w:tabs>
        <w:numPr>
          <w:ilvl w:val="1"/>
          <w:numId w:val="3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3" w:lineRule="exact"/>
        <w:rPr>
          <w:rFonts w:ascii="Arial" w:cs="Arial" w:eastAsia="Arial" w:hAnsi="Arial"/>
          <w:sz w:val="18"/>
          <w:szCs w:val="18"/>
          <w:color w:val="auto"/>
        </w:rPr>
      </w:pPr>
    </w:p>
    <w:p>
      <w:pPr>
        <w:ind w:right="360" w:firstLine="1305"/>
        <w:spacing w:after="0" w:line="256" w:lineRule="auto"/>
        <w:tabs>
          <w:tab w:leader="none" w:pos="2080" w:val="left"/>
        </w:tabs>
        <w:numPr>
          <w:ilvl w:val="0"/>
          <w:numId w:val="36"/>
        </w:numPr>
        <w:rPr>
          <w:rFonts w:ascii="Arial" w:cs="Arial" w:eastAsia="Arial" w:hAnsi="Arial"/>
          <w:sz w:val="18"/>
          <w:szCs w:val="18"/>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Subject to the terms and conditions set forth herein and in the Plan, the Company hereby grants to Grantee the Restricted Stock Units.</w:t>
      </w:r>
    </w:p>
    <w:p>
      <w:pPr>
        <w:ind w:left="2080" w:hanging="775"/>
        <w:spacing w:after="0"/>
        <w:tabs>
          <w:tab w:leader="none" w:pos="2080" w:val="left"/>
        </w:tabs>
        <w:numPr>
          <w:ilvl w:val="0"/>
          <w:numId w:val="36"/>
        </w:numPr>
        <w:rPr>
          <w:rFonts w:ascii="Arial" w:cs="Arial" w:eastAsia="Arial" w:hAnsi="Arial"/>
          <w:sz w:val="18"/>
          <w:szCs w:val="18"/>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120" w:firstLine="1953"/>
        <w:spacing w:after="0" w:line="249" w:lineRule="auto"/>
        <w:tabs>
          <w:tab w:leader="none" w:pos="2793" w:val="left"/>
        </w:tabs>
        <w:numPr>
          <w:ilvl w:val="1"/>
          <w:numId w:val="36"/>
        </w:numPr>
        <w:rPr>
          <w:rFonts w:ascii="Arial" w:cs="Arial" w:eastAsia="Arial" w:hAnsi="Arial"/>
          <w:sz w:val="18"/>
          <w:szCs w:val="18"/>
          <w:color w:val="auto"/>
        </w:rPr>
      </w:pPr>
      <w:r>
        <w:rPr>
          <w:rFonts w:ascii="Arial" w:cs="Arial" w:eastAsia="Arial" w:hAnsi="Arial"/>
          <w:sz w:val="22"/>
          <w:szCs w:val="22"/>
          <w:color w:val="auto"/>
        </w:rPr>
        <w:t>The Restricted Stock Units are granted with dividend equivalent rights. If the Company declares a cash dividend on the Shares, an amount equivalent to such dividend will be credited to an unfunded bookkeeping account with respect to each outstanding and unvested Restricted Stock Unit (the “</w:t>
      </w:r>
      <w:r>
        <w:rPr>
          <w:rFonts w:ascii="Arial" w:cs="Arial" w:eastAsia="Arial" w:hAnsi="Arial"/>
          <w:sz w:val="22"/>
          <w:szCs w:val="22"/>
          <w:u w:val="single" w:color="auto"/>
          <w:color w:val="auto"/>
        </w:rPr>
        <w:t>Dividend Equivalent Amount</w:t>
      </w:r>
      <w:r>
        <w:rPr>
          <w:rFonts w:ascii="Arial" w:cs="Arial" w:eastAsia="Arial" w:hAnsi="Arial"/>
          <w:sz w:val="22"/>
          <w:szCs w:val="22"/>
          <w:color w:val="auto"/>
        </w:rPr>
        <w:t>”) on the record date of such dividend.</w:t>
      </w:r>
    </w:p>
    <w:p>
      <w:pPr>
        <w:spacing w:after="0" w:line="3" w:lineRule="exact"/>
        <w:rPr>
          <w:rFonts w:ascii="Arial" w:cs="Arial" w:eastAsia="Arial" w:hAnsi="Arial"/>
          <w:sz w:val="18"/>
          <w:szCs w:val="18"/>
          <w:color w:val="auto"/>
        </w:rPr>
      </w:pPr>
    </w:p>
    <w:p>
      <w:pPr>
        <w:ind w:right="80" w:firstLine="1953"/>
        <w:spacing w:after="0" w:line="251" w:lineRule="auto"/>
        <w:tabs>
          <w:tab w:leader="none" w:pos="2803" w:val="left"/>
        </w:tabs>
        <w:numPr>
          <w:ilvl w:val="1"/>
          <w:numId w:val="36"/>
        </w:numPr>
        <w:rPr>
          <w:rFonts w:ascii="Arial" w:cs="Arial" w:eastAsia="Arial" w:hAnsi="Arial"/>
          <w:sz w:val="18"/>
          <w:szCs w:val="18"/>
          <w:color w:val="auto"/>
        </w:rPr>
      </w:pPr>
      <w:r>
        <w:rPr>
          <w:rFonts w:ascii="Arial" w:cs="Arial" w:eastAsia="Arial" w:hAnsi="Arial"/>
          <w:sz w:val="22"/>
          <w:szCs w:val="22"/>
          <w:color w:val="auto"/>
        </w:rPr>
        <w:t>The Dividend Equivalent Amount will be credited as cash, without interest, and will not be converted to Shares. The Dividend Equivalent Amount will be payable in cash, but only upon the applicable Vesting Date(s) of the underlying Restricted Stock Units as determined in accordance</w:t>
      </w:r>
    </w:p>
    <w:p>
      <w:pPr>
        <w:sectPr>
          <w:pgSz w:w="11900" w:h="16838" w:orient="portrait"/>
          <w:cols w:equalWidth="0" w:num="1">
            <w:col w:w="11400"/>
          </w:cols>
          <w:pgMar w:left="240" w:top="375" w:right="259" w:bottom="1440" w:gutter="0" w:footer="0" w:header="0"/>
        </w:sectPr>
      </w:pPr>
    </w:p>
    <w:bookmarkStart w:id="67" w:name="page68"/>
    <w:bookmarkEnd w:id="67"/>
    <w:p>
      <w:pPr>
        <w:ind w:right="280"/>
        <w:spacing w:after="0" w:line="251" w:lineRule="auto"/>
        <w:rPr>
          <w:sz w:val="20"/>
          <w:szCs w:val="20"/>
          <w:color w:val="auto"/>
        </w:rPr>
      </w:pPr>
      <w:r>
        <w:rPr>
          <w:rFonts w:ascii="Arial" w:cs="Arial" w:eastAsia="Arial" w:hAnsi="Arial"/>
          <w:sz w:val="22"/>
          <w:szCs w:val="22"/>
          <w:color w:val="auto"/>
        </w:rPr>
        <w:t>with Paragraph 4 below, and will be cancelled and forfeited if the underlying Restricted Stock Units are cancelled or forfeited as determined in accordance with Paragraph 5 below.</w:t>
      </w:r>
    </w:p>
    <w:p>
      <w:pPr>
        <w:spacing w:after="0" w:line="2" w:lineRule="exact"/>
        <w:rPr>
          <w:sz w:val="20"/>
          <w:szCs w:val="20"/>
          <w:color w:val="auto"/>
        </w:rPr>
      </w:pPr>
    </w:p>
    <w:p>
      <w:pPr>
        <w:ind w:left="2080" w:hanging="775"/>
        <w:spacing w:after="0"/>
        <w:tabs>
          <w:tab w:leader="none" w:pos="2080" w:val="left"/>
        </w:tabs>
        <w:numPr>
          <w:ilvl w:val="1"/>
          <w:numId w:val="37"/>
        </w:numPr>
        <w:rPr>
          <w:rFonts w:ascii="Arial" w:cs="Arial" w:eastAsia="Arial" w:hAnsi="Arial"/>
          <w:sz w:val="18"/>
          <w:szCs w:val="18"/>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20" w:firstLine="1953"/>
        <w:spacing w:after="0" w:line="247" w:lineRule="auto"/>
        <w:tabs>
          <w:tab w:leader="none" w:pos="2793" w:val="left"/>
        </w:tabs>
        <w:numPr>
          <w:ilvl w:val="2"/>
          <w:numId w:val="37"/>
        </w:numPr>
        <w:rPr>
          <w:rFonts w:ascii="Arial" w:cs="Arial" w:eastAsia="Arial" w:hAnsi="Arial"/>
          <w:sz w:val="18"/>
          <w:szCs w:val="18"/>
          <w:color w:val="auto"/>
        </w:rPr>
      </w:pPr>
      <w:r>
        <w:rPr>
          <w:rFonts w:ascii="Arial" w:cs="Arial" w:eastAsia="Arial" w:hAnsi="Arial"/>
          <w:sz w:val="22"/>
          <w:szCs w:val="22"/>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provided further that the applicable Performance Goal as set forth on the attached Long-Term Incentive Awards Summary Schedule has been satisfied, and provided further that Grantee has complied with all applicable provisions of the HSR Act.</w:t>
      </w:r>
    </w:p>
    <w:p>
      <w:pPr>
        <w:ind w:right="200" w:firstLine="1953"/>
        <w:spacing w:after="0" w:line="284" w:lineRule="auto"/>
        <w:tabs>
          <w:tab w:leader="none" w:pos="2803" w:val="left"/>
        </w:tabs>
        <w:numPr>
          <w:ilvl w:val="2"/>
          <w:numId w:val="37"/>
        </w:numPr>
        <w:rPr>
          <w:rFonts w:ascii="Arial" w:cs="Arial" w:eastAsia="Arial" w:hAnsi="Arial"/>
          <w:sz w:val="16"/>
          <w:szCs w:val="16"/>
          <w:color w:val="auto"/>
        </w:rPr>
      </w:pPr>
      <w:r>
        <w:rPr>
          <w:rFonts w:ascii="Arial" w:cs="Arial" w:eastAsia="Arial" w:hAnsi="Arial"/>
          <w:sz w:val="19"/>
          <w:szCs w:val="19"/>
          <w:color w:val="auto"/>
        </w:rPr>
        <w:t>Notwithstanding Paragraph 4(a) to the contrary, if Grantee’s employment with the Company or a Subsidiary Company terminates during the Restricted Period due to (i) Grantee’s death or (ii) Grantee becoming a Disabled Grantee within the meaning of Paragraph 1(j)(1), the Vesting Date for the Restricted Stock Units shall be accelerated so that a Vesting Date will be deemed to occur with respect to the Restricted Stock Units on the date of such termination of employment; provided, however, that Grantee has complied with all applicable provisions of the HSR Act.</w:t>
      </w:r>
    </w:p>
    <w:p>
      <w:pPr>
        <w:spacing w:after="0" w:line="3" w:lineRule="exact"/>
        <w:rPr>
          <w:rFonts w:ascii="Arial" w:cs="Arial" w:eastAsia="Arial" w:hAnsi="Arial"/>
          <w:sz w:val="16"/>
          <w:szCs w:val="16"/>
          <w:color w:val="auto"/>
        </w:rPr>
      </w:pPr>
    </w:p>
    <w:p>
      <w:pPr>
        <w:ind w:firstLine="1953"/>
        <w:spacing w:after="0" w:line="283" w:lineRule="auto"/>
        <w:tabs>
          <w:tab w:leader="none" w:pos="2793" w:val="left"/>
        </w:tabs>
        <w:numPr>
          <w:ilvl w:val="2"/>
          <w:numId w:val="37"/>
        </w:numPr>
        <w:rPr>
          <w:rFonts w:ascii="Arial" w:cs="Arial" w:eastAsia="Arial" w:hAnsi="Arial"/>
          <w:sz w:val="16"/>
          <w:szCs w:val="16"/>
          <w:color w:val="auto"/>
        </w:rPr>
      </w:pPr>
      <w:r>
        <w:rPr>
          <w:rFonts w:ascii="Arial" w:cs="Arial" w:eastAsia="Arial" w:hAnsi="Arial"/>
          <w:sz w:val="19"/>
          <w:szCs w:val="19"/>
          <w:color w:val="auto"/>
        </w:rPr>
        <w:t>Notwithstanding Paragraphs 4(a) to the contrary, and subject to the non-solicitation or non-competition obligations described in Paragraph 4(d), if Grantee’s employment with the Company or a Subsidiary Company terminates during the Restricted Period for any reason other than (i) Grantee’s death, (ii) Grantee becoming a Disabled Grantee within the meaning of Paragraph 1(j)(1) or (iii) a Company-initiated termination for Cause, after having attained age 62 and completing ten (10) or more years of service with the Company or a Subsidiary Company, the following shall apply, provided further that the applicable Performance Goal as set forth on the attached Long-Term Incentive Awards Summary Schedule has been satisfied, and provided further that Grantee has complied with all applicable provisions of the HSR Act:</w:t>
      </w:r>
    </w:p>
    <w:p>
      <w:pPr>
        <w:spacing w:after="0" w:line="6" w:lineRule="exact"/>
        <w:rPr>
          <w:rFonts w:ascii="Arial" w:cs="Arial" w:eastAsia="Arial" w:hAnsi="Arial"/>
          <w:sz w:val="16"/>
          <w:szCs w:val="16"/>
          <w:color w:val="auto"/>
        </w:rPr>
      </w:pPr>
    </w:p>
    <w:p>
      <w:pPr>
        <w:ind w:right="180" w:firstLine="2601"/>
        <w:spacing w:after="0" w:line="255" w:lineRule="auto"/>
        <w:tabs>
          <w:tab w:leader="none" w:pos="3451" w:val="left"/>
        </w:tabs>
        <w:numPr>
          <w:ilvl w:val="3"/>
          <w:numId w:val="37"/>
        </w:numPr>
        <w:rPr>
          <w:rFonts w:ascii="Arial" w:cs="Arial" w:eastAsia="Arial" w:hAnsi="Arial"/>
          <w:sz w:val="17"/>
          <w:szCs w:val="17"/>
          <w:color w:val="auto"/>
        </w:rPr>
      </w:pPr>
      <w:r>
        <w:rPr>
          <w:rFonts w:ascii="Arial" w:cs="Arial" w:eastAsia="Arial" w:hAnsi="Arial"/>
          <w:sz w:val="20"/>
          <w:szCs w:val="20"/>
          <w:color w:val="auto"/>
        </w:rPr>
        <w:t>If, at the time of such termination of employment, Grantee has completed at least ten (10) but less than fifteen (15) years of service with the Company or a Subsidiary Company, any Vesting Date for the Restricted Stock Units that would have occurred on or prior to the date that is the third (3</w:t>
      </w:r>
      <w:r>
        <w:rPr>
          <w:rFonts w:ascii="Arial" w:cs="Arial" w:eastAsia="Arial" w:hAnsi="Arial"/>
          <w:sz w:val="26"/>
          <w:szCs w:val="26"/>
          <w:color w:val="auto"/>
          <w:vertAlign w:val="superscript"/>
        </w:rPr>
        <w:t>rd</w:t>
      </w:r>
      <w:r>
        <w:rPr>
          <w:rFonts w:ascii="Arial" w:cs="Arial" w:eastAsia="Arial" w:hAnsi="Arial"/>
          <w:sz w:val="20"/>
          <w:szCs w:val="20"/>
          <w:color w:val="auto"/>
        </w:rPr>
        <w:t>) anniversary of such termination of employment shall continue to occur in accordance with the Long-Term Incentive Awards Summary Schedule, and as of each Vesting Date Grantee shall be entitled to the delivery of Shares with respect to such Restricted Stock Units.</w:t>
      </w:r>
    </w:p>
    <w:p>
      <w:pPr>
        <w:spacing w:after="0" w:line="1" w:lineRule="exact"/>
        <w:rPr>
          <w:rFonts w:ascii="Arial" w:cs="Arial" w:eastAsia="Arial" w:hAnsi="Arial"/>
          <w:sz w:val="17"/>
          <w:szCs w:val="17"/>
          <w:color w:val="auto"/>
        </w:rPr>
      </w:pPr>
    </w:p>
    <w:p>
      <w:pPr>
        <w:ind w:left="3460" w:hanging="859"/>
        <w:spacing w:after="0"/>
        <w:tabs>
          <w:tab w:leader="none" w:pos="3460" w:val="left"/>
        </w:tabs>
        <w:numPr>
          <w:ilvl w:val="3"/>
          <w:numId w:val="37"/>
        </w:numPr>
        <w:rPr>
          <w:rFonts w:ascii="Arial" w:cs="Arial" w:eastAsia="Arial" w:hAnsi="Arial"/>
          <w:sz w:val="16"/>
          <w:szCs w:val="16"/>
          <w:color w:val="auto"/>
        </w:rPr>
      </w:pPr>
      <w:r>
        <w:rPr>
          <w:rFonts w:ascii="Arial" w:cs="Arial" w:eastAsia="Arial" w:hAnsi="Arial"/>
          <w:sz w:val="19"/>
          <w:szCs w:val="19"/>
          <w:color w:val="auto"/>
        </w:rPr>
        <w:t>If, at the time of such termination of employment, Grantee has completed at least fifteen</w:t>
      </w:r>
    </w:p>
    <w:p>
      <w:pPr>
        <w:spacing w:after="0" w:line="38" w:lineRule="exact"/>
        <w:rPr>
          <w:rFonts w:ascii="Arial" w:cs="Arial" w:eastAsia="Arial" w:hAnsi="Arial"/>
          <w:sz w:val="16"/>
          <w:szCs w:val="16"/>
          <w:color w:val="auto"/>
        </w:rPr>
      </w:pPr>
    </w:p>
    <w:p>
      <w:pPr>
        <w:ind w:right="100" w:firstLine="8"/>
        <w:spacing w:after="0" w:line="252" w:lineRule="auto"/>
        <w:tabs>
          <w:tab w:leader="none" w:pos="414" w:val="left"/>
        </w:tabs>
        <w:numPr>
          <w:ilvl w:val="0"/>
          <w:numId w:val="38"/>
        </w:numPr>
        <w:rPr>
          <w:rFonts w:ascii="Arial" w:cs="Arial" w:eastAsia="Arial" w:hAnsi="Arial"/>
          <w:sz w:val="20"/>
          <w:szCs w:val="20"/>
          <w:color w:val="auto"/>
        </w:rPr>
      </w:pPr>
      <w:r>
        <w:rPr>
          <w:rFonts w:ascii="Arial" w:cs="Arial" w:eastAsia="Arial" w:hAnsi="Arial"/>
          <w:sz w:val="20"/>
          <w:szCs w:val="20"/>
          <w:color w:val="auto"/>
        </w:rPr>
        <w:t>but less than twenty (20) years of service with the Company or a Subsidiary Company, any Vesting Date for the Restricted Stock Units that would have occurred on or prior to the date that is the fourth (4</w:t>
      </w:r>
      <w:r>
        <w:rPr>
          <w:rFonts w:ascii="Arial" w:cs="Arial" w:eastAsia="Arial" w:hAnsi="Arial"/>
          <w:sz w:val="26"/>
          <w:szCs w:val="26"/>
          <w:color w:val="auto"/>
          <w:vertAlign w:val="superscript"/>
        </w:rPr>
        <w:t>th</w:t>
      </w:r>
      <w:r>
        <w:rPr>
          <w:rFonts w:ascii="Arial" w:cs="Arial" w:eastAsia="Arial" w:hAnsi="Arial"/>
          <w:sz w:val="20"/>
          <w:szCs w:val="20"/>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 w:lineRule="exact"/>
        <w:rPr>
          <w:rFonts w:ascii="Arial" w:cs="Arial" w:eastAsia="Arial" w:hAnsi="Arial"/>
          <w:sz w:val="20"/>
          <w:szCs w:val="20"/>
          <w:color w:val="auto"/>
        </w:rPr>
      </w:pPr>
    </w:p>
    <w:p>
      <w:pPr>
        <w:jc w:val="both"/>
        <w:ind w:right="60" w:firstLine="2601"/>
        <w:spacing w:after="0" w:line="243" w:lineRule="auto"/>
        <w:tabs>
          <w:tab w:leader="none" w:pos="3451" w:val="left"/>
        </w:tabs>
        <w:numPr>
          <w:ilvl w:val="3"/>
          <w:numId w:val="38"/>
        </w:numPr>
        <w:rPr>
          <w:rFonts w:ascii="Arial" w:cs="Arial" w:eastAsia="Arial" w:hAnsi="Arial"/>
          <w:sz w:val="17"/>
          <w:szCs w:val="17"/>
          <w:color w:val="auto"/>
        </w:rPr>
      </w:pPr>
      <w:r>
        <w:rPr>
          <w:rFonts w:ascii="Arial" w:cs="Arial" w:eastAsia="Arial" w:hAnsi="Arial"/>
          <w:sz w:val="21"/>
          <w:szCs w:val="21"/>
          <w:color w:val="auto"/>
        </w:rPr>
        <w:t>If, at the time of such termination of employment, such Grantee has completed twenty (20) or more years of services with the Company or a Subsidiary Company, any Vesting Date for the Restricted Stock Units that would have occurred on or prior to the date that is the fifth (5</w:t>
      </w:r>
      <w:r>
        <w:rPr>
          <w:rFonts w:ascii="Arial" w:cs="Arial" w:eastAsia="Arial" w:hAnsi="Arial"/>
          <w:sz w:val="27"/>
          <w:szCs w:val="27"/>
          <w:color w:val="auto"/>
          <w:vertAlign w:val="superscript"/>
        </w:rPr>
        <w:t>th</w:t>
      </w:r>
      <w:r>
        <w:rPr>
          <w:rFonts w:ascii="Arial" w:cs="Arial" w:eastAsia="Arial" w:hAnsi="Arial"/>
          <w:sz w:val="21"/>
          <w:szCs w:val="21"/>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4" w:lineRule="exact"/>
        <w:rPr>
          <w:rFonts w:ascii="Arial" w:cs="Arial" w:eastAsia="Arial" w:hAnsi="Arial"/>
          <w:sz w:val="17"/>
          <w:szCs w:val="17"/>
          <w:color w:val="auto"/>
        </w:rPr>
      </w:pPr>
    </w:p>
    <w:p>
      <w:pPr>
        <w:ind w:right="20" w:firstLine="1953"/>
        <w:spacing w:after="0" w:line="269" w:lineRule="auto"/>
        <w:tabs>
          <w:tab w:leader="none" w:pos="2803" w:val="left"/>
        </w:tabs>
        <w:numPr>
          <w:ilvl w:val="2"/>
          <w:numId w:val="38"/>
        </w:numPr>
        <w:rPr>
          <w:rFonts w:ascii="Arial" w:cs="Arial" w:eastAsia="Arial" w:hAnsi="Arial"/>
          <w:sz w:val="17"/>
          <w:szCs w:val="17"/>
          <w:color w:val="auto"/>
        </w:rPr>
      </w:pPr>
      <w:r>
        <w:rPr>
          <w:rFonts w:ascii="Arial" w:cs="Arial" w:eastAsia="Arial" w:hAnsi="Arial"/>
          <w:sz w:val="21"/>
          <w:szCs w:val="21"/>
          <w:color w:val="auto"/>
        </w:rPr>
        <w:t>Notwithstanding Paragraph 4(c), the Restricted Stock Units will be subject to forfeiture by the Committee, in its sole discretion, if Grantee breaches either of the following non-solicitation or non-competition obligations during the period following termination of employment and before the applicable Vesting Date:</w:t>
      </w:r>
    </w:p>
    <w:p>
      <w:pPr>
        <w:sectPr>
          <w:pgSz w:w="11900" w:h="16838" w:orient="portrait"/>
          <w:cols w:equalWidth="0" w:num="1">
            <w:col w:w="11380"/>
          </w:cols>
          <w:pgMar w:left="240" w:top="375" w:right="279" w:bottom="1440" w:gutter="0" w:footer="0" w:header="0"/>
        </w:sectPr>
      </w:pPr>
    </w:p>
    <w:bookmarkStart w:id="68" w:name="page69"/>
    <w:bookmarkEnd w:id="68"/>
    <w:p>
      <w:pPr>
        <w:ind w:firstLine="2601"/>
        <w:spacing w:after="0" w:line="253" w:lineRule="auto"/>
        <w:tabs>
          <w:tab w:leader="none" w:pos="3451" w:val="left"/>
        </w:tabs>
        <w:numPr>
          <w:ilvl w:val="2"/>
          <w:numId w:val="39"/>
        </w:numPr>
        <w:rPr>
          <w:rFonts w:ascii="Arial" w:cs="Arial" w:eastAsia="Arial" w:hAnsi="Arial"/>
          <w:sz w:val="18"/>
          <w:szCs w:val="18"/>
          <w:color w:val="auto"/>
        </w:rPr>
      </w:pPr>
      <w:r>
        <w:rPr>
          <w:rFonts w:ascii="Arial" w:cs="Arial" w:eastAsia="Arial" w:hAnsi="Arial"/>
          <w:sz w:val="22"/>
          <w:szCs w:val="22"/>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 w:lineRule="exact"/>
        <w:rPr>
          <w:rFonts w:ascii="Arial" w:cs="Arial" w:eastAsia="Arial" w:hAnsi="Arial"/>
          <w:sz w:val="18"/>
          <w:szCs w:val="18"/>
          <w:color w:val="auto"/>
        </w:rPr>
      </w:pPr>
    </w:p>
    <w:p>
      <w:pPr>
        <w:ind w:right="120" w:firstLine="2601"/>
        <w:spacing w:after="0" w:line="283" w:lineRule="auto"/>
        <w:tabs>
          <w:tab w:leader="none" w:pos="3451" w:val="left"/>
        </w:tabs>
        <w:numPr>
          <w:ilvl w:val="2"/>
          <w:numId w:val="39"/>
        </w:numPr>
        <w:rPr>
          <w:rFonts w:ascii="Arial" w:cs="Arial" w:eastAsia="Arial" w:hAnsi="Arial"/>
          <w:sz w:val="16"/>
          <w:szCs w:val="16"/>
          <w:color w:val="auto"/>
        </w:rPr>
      </w:pPr>
      <w:r>
        <w:rPr>
          <w:rFonts w:ascii="Arial" w:cs="Arial" w:eastAsia="Arial" w:hAnsi="Arial"/>
          <w:sz w:val="19"/>
          <w:szCs w:val="19"/>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4" w:lineRule="exact"/>
        <w:rPr>
          <w:rFonts w:ascii="Arial" w:cs="Arial" w:eastAsia="Arial" w:hAnsi="Arial"/>
          <w:sz w:val="16"/>
          <w:szCs w:val="16"/>
          <w:color w:val="auto"/>
        </w:rPr>
      </w:pPr>
    </w:p>
    <w:p>
      <w:pPr>
        <w:ind w:right="260" w:firstLine="1953"/>
        <w:spacing w:after="0" w:line="257" w:lineRule="auto"/>
        <w:tabs>
          <w:tab w:leader="none" w:pos="2793" w:val="left"/>
        </w:tabs>
        <w:numPr>
          <w:ilvl w:val="1"/>
          <w:numId w:val="40"/>
        </w:numPr>
        <w:rPr>
          <w:rFonts w:ascii="Arial" w:cs="Arial" w:eastAsia="Arial" w:hAnsi="Arial"/>
          <w:sz w:val="17"/>
          <w:szCs w:val="17"/>
          <w:color w:val="auto"/>
        </w:rPr>
      </w:pPr>
      <w:r>
        <w:rPr>
          <w:rFonts w:ascii="Arial" w:cs="Arial" w:eastAsia="Arial" w:hAnsi="Arial"/>
          <w:sz w:val="21"/>
          <w:szCs w:val="21"/>
          <w:color w:val="auto"/>
        </w:rPr>
        <w:t>If Restricted Stock Units would have vested pursuant to the Long-Term Incentive Awards Summary Schedule or Paragraphs 4(b) or 4(c), but did not vest solely because Grantee was not in compliance with all applicable provisions of the HSR Act, the Vesting Date for such Restricted Stock Units shall occur on the first date following the date on which they would have vested pursuant to the Long-Term Incentive Awards Summary Schedule or Paragraphs 4(b) or 4(c) on which Grantee has complied with all applicable provisions of the HSR Act.</w:t>
      </w:r>
    </w:p>
    <w:p>
      <w:pPr>
        <w:spacing w:after="0" w:line="3" w:lineRule="exact"/>
        <w:rPr>
          <w:rFonts w:ascii="Arial" w:cs="Arial" w:eastAsia="Arial" w:hAnsi="Arial"/>
          <w:sz w:val="17"/>
          <w:szCs w:val="17"/>
          <w:color w:val="auto"/>
        </w:rPr>
      </w:pPr>
    </w:p>
    <w:p>
      <w:pPr>
        <w:ind w:left="2080" w:hanging="775"/>
        <w:spacing w:after="0"/>
        <w:tabs>
          <w:tab w:leader="none" w:pos="2080" w:val="left"/>
        </w:tabs>
        <w:numPr>
          <w:ilvl w:val="0"/>
          <w:numId w:val="41"/>
        </w:numPr>
        <w:rPr>
          <w:rFonts w:ascii="Arial" w:cs="Arial" w:eastAsia="Arial" w:hAnsi="Arial"/>
          <w:sz w:val="18"/>
          <w:szCs w:val="18"/>
          <w:color w:val="auto"/>
        </w:rPr>
      </w:pPr>
      <w:r>
        <w:rPr>
          <w:rFonts w:ascii="Arial" w:cs="Arial" w:eastAsia="Arial" w:hAnsi="Arial"/>
          <w:sz w:val="22"/>
          <w:szCs w:val="22"/>
          <w:u w:val="single" w:color="auto"/>
          <w:color w:val="auto"/>
        </w:rPr>
        <w:t>Forfeiture of Restricted Stock Units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60" w:firstLine="1953"/>
        <w:spacing w:after="0" w:line="289" w:lineRule="auto"/>
        <w:tabs>
          <w:tab w:leader="none" w:pos="2793" w:val="left"/>
        </w:tabs>
        <w:numPr>
          <w:ilvl w:val="1"/>
          <w:numId w:val="41"/>
        </w:numPr>
        <w:rPr>
          <w:rFonts w:ascii="Arial" w:cs="Arial" w:eastAsia="Arial" w:hAnsi="Arial"/>
          <w:sz w:val="16"/>
          <w:szCs w:val="16"/>
          <w:color w:val="auto"/>
        </w:rPr>
      </w:pPr>
      <w:r>
        <w:rPr>
          <w:rFonts w:ascii="Arial" w:cs="Arial" w:eastAsia="Arial" w:hAnsi="Arial"/>
          <w:sz w:val="19"/>
          <w:szCs w:val="19"/>
          <w:color w:val="auto"/>
        </w:rPr>
        <w:t>Subject to the terms and conditions set forth herein and in the Plan, if Grantee’s employment with the Company and all Subsidiaries terminates during the Restricted Period, other than due to death or Disability and except as otherwise provided in Paragraph 4(c), Grantee shall forfeit the Restricted Stock Units as of such termination of employment. Upon a forfeiture of the Restricted Stock Units as provided in this Paragraph 5, the Restricted Stock Units shall be deemed canceled.</w:t>
      </w:r>
    </w:p>
    <w:p>
      <w:pPr>
        <w:spacing w:after="0" w:line="1" w:lineRule="exact"/>
        <w:rPr>
          <w:rFonts w:ascii="Arial" w:cs="Arial" w:eastAsia="Arial" w:hAnsi="Arial"/>
          <w:sz w:val="16"/>
          <w:szCs w:val="16"/>
          <w:color w:val="auto"/>
        </w:rPr>
      </w:pPr>
    </w:p>
    <w:p>
      <w:pPr>
        <w:ind w:right="220" w:firstLine="1953"/>
        <w:spacing w:after="0" w:line="249" w:lineRule="auto"/>
        <w:tabs>
          <w:tab w:leader="none" w:pos="2803" w:val="left"/>
        </w:tabs>
        <w:numPr>
          <w:ilvl w:val="1"/>
          <w:numId w:val="41"/>
        </w:numPr>
        <w:rPr>
          <w:rFonts w:ascii="Arial" w:cs="Arial" w:eastAsia="Arial" w:hAnsi="Arial"/>
          <w:sz w:val="18"/>
          <w:szCs w:val="18"/>
          <w:color w:val="auto"/>
        </w:rPr>
      </w:pPr>
      <w:r>
        <w:rPr>
          <w:rFonts w:ascii="Arial" w:cs="Arial" w:eastAsia="Arial" w:hAnsi="Arial"/>
          <w:sz w:val="22"/>
          <w:szCs w:val="22"/>
          <w:color w:val="auto"/>
        </w:rPr>
        <w:t>The provisions of this Paragraph 5 shall not apply to Shares issued in respect of Restricted Stock Units as to which a Vesting Date has occurred.</w:t>
      </w:r>
    </w:p>
    <w:p>
      <w:pPr>
        <w:spacing w:after="0" w:line="1" w:lineRule="exact"/>
        <w:rPr>
          <w:rFonts w:ascii="Arial" w:cs="Arial" w:eastAsia="Arial" w:hAnsi="Arial"/>
          <w:sz w:val="18"/>
          <w:szCs w:val="18"/>
          <w:color w:val="auto"/>
        </w:rPr>
      </w:pPr>
    </w:p>
    <w:p>
      <w:pPr>
        <w:ind w:left="2080" w:hanging="775"/>
        <w:spacing w:after="0"/>
        <w:tabs>
          <w:tab w:leader="none" w:pos="2080" w:val="left"/>
        </w:tabs>
        <w:numPr>
          <w:ilvl w:val="0"/>
          <w:numId w:val="41"/>
        </w:numPr>
        <w:rPr>
          <w:rFonts w:ascii="Arial" w:cs="Arial" w:eastAsia="Arial" w:hAnsi="Arial"/>
          <w:sz w:val="18"/>
          <w:szCs w:val="18"/>
          <w:color w:val="auto"/>
        </w:rPr>
      </w:pPr>
      <w:r>
        <w:rPr>
          <w:rFonts w:ascii="Arial" w:cs="Arial" w:eastAsia="Arial" w:hAnsi="Arial"/>
          <w:sz w:val="22"/>
          <w:szCs w:val="22"/>
          <w:u w:val="single" w:color="auto"/>
          <w:color w:val="auto"/>
        </w:rPr>
        <w:t>Deferral Elections</w:t>
      </w:r>
      <w:r>
        <w:rPr>
          <w:rFonts w:ascii="Arial" w:cs="Arial" w:eastAsia="Arial" w:hAnsi="Arial"/>
          <w:sz w:val="22"/>
          <w:szCs w:val="22"/>
          <w:color w:val="auto"/>
        </w:rPr>
        <w:t>.</w:t>
      </w:r>
    </w:p>
    <w:p>
      <w:pPr>
        <w:spacing w:after="0" w:line="4" w:lineRule="exact"/>
        <w:rPr>
          <w:sz w:val="20"/>
          <w:szCs w:val="20"/>
          <w:color w:val="auto"/>
        </w:rPr>
      </w:pPr>
    </w:p>
    <w:p>
      <w:pPr>
        <w:ind w:right="20" w:firstLine="1297"/>
        <w:spacing w:after="0" w:line="259" w:lineRule="auto"/>
        <w:rPr>
          <w:sz w:val="20"/>
          <w:szCs w:val="20"/>
          <w:color w:val="auto"/>
        </w:rPr>
      </w:pPr>
      <w:r>
        <w:rPr>
          <w:rFonts w:ascii="Arial" w:cs="Arial" w:eastAsia="Arial" w:hAnsi="Arial"/>
          <w:sz w:val="22"/>
          <w:szCs w:val="22"/>
          <w:color w:val="auto"/>
        </w:rPr>
        <w:t>Grantee may elect to defer the receipt of Shares issuable with respect to Restricted Stock Units, consistent, however, with the following:</w:t>
      </w:r>
    </w:p>
    <w:p>
      <w:pPr>
        <w:spacing w:after="0" w:line="179" w:lineRule="exact"/>
        <w:rPr>
          <w:sz w:val="20"/>
          <w:szCs w:val="20"/>
          <w:color w:val="auto"/>
        </w:rPr>
      </w:pPr>
    </w:p>
    <w:p>
      <w:pPr>
        <w:jc w:val="both"/>
        <w:ind w:left="660" w:firstLine="1941"/>
        <w:spacing w:after="0" w:line="265" w:lineRule="auto"/>
        <w:tabs>
          <w:tab w:leader="none" w:pos="3453" w:val="left"/>
        </w:tabs>
        <w:numPr>
          <w:ilvl w:val="0"/>
          <w:numId w:val="42"/>
        </w:numPr>
        <w:rPr>
          <w:rFonts w:ascii="Arial" w:cs="Arial" w:eastAsia="Arial" w:hAnsi="Arial"/>
          <w:sz w:val="17"/>
          <w:szCs w:val="17"/>
          <w:color w:val="auto"/>
        </w:rPr>
      </w:pPr>
      <w:r>
        <w:rPr>
          <w:rFonts w:ascii="Arial" w:cs="Arial" w:eastAsia="Arial" w:hAnsi="Arial"/>
          <w:sz w:val="21"/>
          <w:szCs w:val="21"/>
          <w:u w:val="single" w:color="auto"/>
          <w:color w:val="auto"/>
        </w:rPr>
        <w:t>Initial Elections</w:t>
      </w:r>
      <w:r>
        <w:rPr>
          <w:rFonts w:ascii="Arial" w:cs="Arial" w:eastAsia="Arial" w:hAnsi="Arial"/>
          <w:sz w:val="21"/>
          <w:szCs w:val="21"/>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1" w:lineRule="exact"/>
        <w:rPr>
          <w:sz w:val="20"/>
          <w:szCs w:val="20"/>
          <w:color w:val="auto"/>
        </w:rPr>
      </w:pPr>
    </w:p>
    <w:p>
      <w:pPr>
        <w:jc w:val="both"/>
        <w:ind w:right="20" w:firstLine="2601"/>
        <w:spacing w:after="0" w:line="289" w:lineRule="auto"/>
        <w:tabs>
          <w:tab w:leader="none" w:pos="3685" w:val="left"/>
        </w:tabs>
        <w:numPr>
          <w:ilvl w:val="0"/>
          <w:numId w:val="43"/>
        </w:numPr>
        <w:rPr>
          <w:rFonts w:ascii="Arial" w:cs="Arial" w:eastAsia="Arial" w:hAnsi="Arial"/>
          <w:sz w:val="16"/>
          <w:szCs w:val="16"/>
          <w:color w:val="auto"/>
        </w:rPr>
      </w:pPr>
      <w:r>
        <w:rPr>
          <w:rFonts w:ascii="Arial" w:cs="Arial" w:eastAsia="Arial" w:hAnsi="Arial"/>
          <w:sz w:val="19"/>
          <w:szCs w:val="19"/>
          <w:u w:val="single" w:color="auto"/>
          <w:color w:val="auto"/>
        </w:rPr>
        <w:t>Deadline for Deferral Election</w:t>
      </w:r>
      <w:r>
        <w:rPr>
          <w:rFonts w:ascii="Arial" w:cs="Arial" w:eastAsia="Arial" w:hAnsi="Arial"/>
          <w:sz w:val="19"/>
          <w:szCs w:val="19"/>
          <w:color w:val="auto"/>
        </w:rPr>
        <w:t>. An Initial Election to defer the receipt of Shares issuable with respect to Restricted Stock Units hereby granted shall not be effective unless it is filed with the Committee on or before [___].</w:t>
      </w:r>
    </w:p>
    <w:p>
      <w:pPr>
        <w:ind w:right="160" w:firstLine="2601"/>
        <w:spacing w:after="0" w:line="262" w:lineRule="auto"/>
        <w:tabs>
          <w:tab w:leader="none" w:pos="3451" w:val="left"/>
        </w:tabs>
        <w:numPr>
          <w:ilvl w:val="0"/>
          <w:numId w:val="43"/>
        </w:numPr>
        <w:rPr>
          <w:rFonts w:ascii="Arial" w:cs="Arial" w:eastAsia="Arial" w:hAnsi="Arial"/>
          <w:sz w:val="17"/>
          <w:szCs w:val="17"/>
          <w:color w:val="auto"/>
        </w:rPr>
      </w:pPr>
      <w:r>
        <w:rPr>
          <w:rFonts w:ascii="Arial" w:cs="Arial" w:eastAsia="Arial" w:hAnsi="Arial"/>
          <w:sz w:val="21"/>
          <w:szCs w:val="21"/>
          <w:u w:val="single" w:color="auto"/>
          <w:color w:val="auto"/>
        </w:rPr>
        <w:t>Deferral Period</w:t>
      </w:r>
      <w:r>
        <w:rPr>
          <w:rFonts w:ascii="Arial" w:cs="Arial" w:eastAsia="Arial" w:hAnsi="Arial"/>
          <w:sz w:val="21"/>
          <w:szCs w:val="21"/>
          <w:color w:val="auto"/>
        </w:rPr>
        <w:t>. Subject to Paragraph 6(c), all Shares issuable with respect to Restricted Stock Units that are subject to an Initial Election under this Paragraph 6(a) shall be delivered to Grantee without any legend or restrictions (except those that may be imposed by the Committee, in its sole judgment, under Paragraph 8), on the date designated by Grantee, which shall not be earlier than January 2 of the third calendar year beginning after the Vesting Date, nor later than January 2 of the eleventh calendar year beginning after the Vesting Date.</w:t>
      </w:r>
    </w:p>
    <w:p>
      <w:pPr>
        <w:sectPr>
          <w:pgSz w:w="11900" w:h="16838" w:orient="portrait"/>
          <w:cols w:equalWidth="0" w:num="1">
            <w:col w:w="11380"/>
          </w:cols>
          <w:pgMar w:left="240" w:top="375" w:right="279" w:bottom="1440" w:gutter="0" w:footer="0" w:header="0"/>
        </w:sectPr>
      </w:pPr>
    </w:p>
    <w:bookmarkStart w:id="69" w:name="page70"/>
    <w:bookmarkEnd w:id="69"/>
    <w:p>
      <w:pPr>
        <w:ind w:left="3460" w:hanging="859"/>
        <w:spacing w:after="0"/>
        <w:tabs>
          <w:tab w:leader="none" w:pos="3460" w:val="left"/>
        </w:tabs>
        <w:numPr>
          <w:ilvl w:val="1"/>
          <w:numId w:val="44"/>
        </w:numPr>
        <w:rPr>
          <w:rFonts w:ascii="Arial" w:cs="Arial" w:eastAsia="Arial" w:hAnsi="Arial"/>
          <w:sz w:val="17"/>
          <w:szCs w:val="17"/>
          <w:color w:val="auto"/>
        </w:rPr>
      </w:pPr>
      <w:r>
        <w:rPr>
          <w:rFonts w:ascii="Arial" w:cs="Arial" w:eastAsia="Arial" w:hAnsi="Arial"/>
          <w:sz w:val="21"/>
          <w:szCs w:val="21"/>
          <w:u w:val="single" w:color="auto"/>
          <w:color w:val="auto"/>
        </w:rPr>
        <w:t>Effect of Failure of Vesting Date to Occur</w:t>
      </w:r>
      <w:r>
        <w:rPr>
          <w:rFonts w:ascii="Arial" w:cs="Arial" w:eastAsia="Arial" w:hAnsi="Arial"/>
          <w:sz w:val="21"/>
          <w:szCs w:val="21"/>
          <w:color w:val="auto"/>
        </w:rPr>
        <w:t>. An Initial Election shall be null and void if a</w:t>
      </w:r>
    </w:p>
    <w:p>
      <w:pPr>
        <w:spacing w:after="0" w:line="3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Vesting Date does not occur with respect to Restricted Stock Units identified in such Initial Election.</w:t>
      </w:r>
    </w:p>
    <w:p>
      <w:pPr>
        <w:spacing w:after="0" w:line="17" w:lineRule="exact"/>
        <w:rPr>
          <w:rFonts w:ascii="Arial" w:cs="Arial" w:eastAsia="Arial" w:hAnsi="Arial"/>
          <w:sz w:val="17"/>
          <w:szCs w:val="17"/>
          <w:color w:val="auto"/>
        </w:rPr>
      </w:pPr>
    </w:p>
    <w:p>
      <w:pPr>
        <w:ind w:right="120" w:firstLine="1953"/>
        <w:spacing w:after="0" w:line="246" w:lineRule="auto"/>
        <w:tabs>
          <w:tab w:leader="none" w:pos="2803" w:val="left"/>
        </w:tabs>
        <w:numPr>
          <w:ilvl w:val="0"/>
          <w:numId w:val="45"/>
        </w:numPr>
        <w:rPr>
          <w:rFonts w:ascii="Arial" w:cs="Arial" w:eastAsia="Arial" w:hAnsi="Arial"/>
          <w:sz w:val="18"/>
          <w:szCs w:val="18"/>
          <w:color w:val="auto"/>
        </w:rPr>
      </w:pPr>
      <w:r>
        <w:rPr>
          <w:rFonts w:ascii="Arial" w:cs="Arial" w:eastAsia="Arial" w:hAnsi="Arial"/>
          <w:sz w:val="22"/>
          <w:szCs w:val="22"/>
          <w:u w:val="single" w:color="auto"/>
          <w:color w:val="auto"/>
        </w:rPr>
        <w:t>Regular Deferral Elections</w:t>
      </w:r>
      <w:r>
        <w:rPr>
          <w:rFonts w:ascii="Arial" w:cs="Arial" w:eastAsia="Arial" w:hAnsi="Arial"/>
          <w:sz w:val="22"/>
          <w:szCs w:val="22"/>
          <w:color w:val="auto"/>
        </w:rPr>
        <w:t>. No Regular Deferral Election shall be effective until 12 months after the date on which a Regular Deferral Election is filed with the Committee. Grantee shall have the right to make a Regular Deferral Election to defer the receipt of all or a portion of the Shares issuable with respect to Restricted Stock Units hereby granted that are not subject to an Initial Election by filing a Regular Deferral Election to defer the receipt of such Shares on the form provided by the Committee for this purpose.</w:t>
      </w:r>
    </w:p>
    <w:p>
      <w:pPr>
        <w:ind w:right="240" w:firstLine="2601"/>
        <w:spacing w:after="0" w:line="289" w:lineRule="auto"/>
        <w:tabs>
          <w:tab w:leader="none" w:pos="3451" w:val="left"/>
        </w:tabs>
        <w:numPr>
          <w:ilvl w:val="1"/>
          <w:numId w:val="45"/>
        </w:numPr>
        <w:rPr>
          <w:rFonts w:ascii="Arial" w:cs="Arial" w:eastAsia="Arial" w:hAnsi="Arial"/>
          <w:sz w:val="16"/>
          <w:szCs w:val="16"/>
          <w:color w:val="auto"/>
        </w:rPr>
      </w:pPr>
      <w:r>
        <w:rPr>
          <w:rFonts w:ascii="Arial" w:cs="Arial" w:eastAsia="Arial" w:hAnsi="Arial"/>
          <w:sz w:val="19"/>
          <w:szCs w:val="19"/>
          <w:u w:val="single" w:color="auto"/>
          <w:color w:val="auto"/>
        </w:rPr>
        <w:t>Deadline for Deferral Election</w:t>
      </w:r>
      <w:r>
        <w:rPr>
          <w:rFonts w:ascii="Arial" w:cs="Arial" w:eastAsia="Arial" w:hAnsi="Arial"/>
          <w:sz w:val="19"/>
          <w:szCs w:val="19"/>
          <w:color w:val="auto"/>
        </w:rPr>
        <w:t>. A Regular Deferral Election to defer the receipt of Shares issuable with respect to Restricted Stock Units hereby granted shall not be effective unless it is filed with the Committee:</w:t>
      </w:r>
    </w:p>
    <w:p>
      <w:pPr>
        <w:ind w:left="4340" w:hanging="1091"/>
        <w:spacing w:after="0"/>
        <w:tabs>
          <w:tab w:leader="none" w:pos="4340" w:val="left"/>
        </w:tabs>
        <w:numPr>
          <w:ilvl w:val="2"/>
          <w:numId w:val="45"/>
        </w:numPr>
        <w:rPr>
          <w:rFonts w:ascii="Arial" w:cs="Arial" w:eastAsia="Arial" w:hAnsi="Arial"/>
          <w:sz w:val="16"/>
          <w:szCs w:val="16"/>
          <w:color w:val="auto"/>
        </w:rPr>
      </w:pPr>
      <w:r>
        <w:rPr>
          <w:rFonts w:ascii="Arial" w:cs="Arial" w:eastAsia="Arial" w:hAnsi="Arial"/>
          <w:sz w:val="19"/>
          <w:szCs w:val="19"/>
          <w:color w:val="auto"/>
        </w:rPr>
        <w:t>For Restricted Stock Units with a Scheduled Vesting Date of [___], on or before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[___];</w:t>
      </w:r>
    </w:p>
    <w:p>
      <w:pPr>
        <w:spacing w:after="0" w:line="17" w:lineRule="exact"/>
        <w:rPr>
          <w:rFonts w:ascii="Arial" w:cs="Arial" w:eastAsia="Arial" w:hAnsi="Arial"/>
          <w:sz w:val="16"/>
          <w:szCs w:val="16"/>
          <w:color w:val="auto"/>
        </w:rPr>
      </w:pPr>
    </w:p>
    <w:p>
      <w:pPr>
        <w:ind w:left="4340" w:hanging="1091"/>
        <w:spacing w:after="0"/>
        <w:tabs>
          <w:tab w:leader="none" w:pos="4340" w:val="left"/>
        </w:tabs>
        <w:numPr>
          <w:ilvl w:val="2"/>
          <w:numId w:val="45"/>
        </w:numPr>
        <w:rPr>
          <w:rFonts w:ascii="Arial" w:cs="Arial" w:eastAsia="Arial" w:hAnsi="Arial"/>
          <w:sz w:val="16"/>
          <w:szCs w:val="16"/>
          <w:color w:val="auto"/>
        </w:rPr>
      </w:pPr>
      <w:r>
        <w:rPr>
          <w:rFonts w:ascii="Arial" w:cs="Arial" w:eastAsia="Arial" w:hAnsi="Arial"/>
          <w:sz w:val="19"/>
          <w:szCs w:val="19"/>
          <w:color w:val="auto"/>
        </w:rPr>
        <w:t>For Restricted Stock Units with a Scheduled Vesting Date of [___], on or before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[___];</w:t>
      </w:r>
    </w:p>
    <w:p>
      <w:pPr>
        <w:spacing w:after="0" w:line="17" w:lineRule="exact"/>
        <w:rPr>
          <w:rFonts w:ascii="Arial" w:cs="Arial" w:eastAsia="Arial" w:hAnsi="Arial"/>
          <w:sz w:val="16"/>
          <w:szCs w:val="16"/>
          <w:color w:val="auto"/>
        </w:rPr>
      </w:pPr>
    </w:p>
    <w:p>
      <w:pPr>
        <w:ind w:left="4340" w:hanging="1091"/>
        <w:spacing w:after="0"/>
        <w:tabs>
          <w:tab w:leader="none" w:pos="4340" w:val="left"/>
        </w:tabs>
        <w:numPr>
          <w:ilvl w:val="2"/>
          <w:numId w:val="45"/>
        </w:numPr>
        <w:rPr>
          <w:rFonts w:ascii="Arial" w:cs="Arial" w:eastAsia="Arial" w:hAnsi="Arial"/>
          <w:sz w:val="16"/>
          <w:szCs w:val="16"/>
          <w:color w:val="auto"/>
        </w:rPr>
      </w:pPr>
      <w:r>
        <w:rPr>
          <w:rFonts w:ascii="Arial" w:cs="Arial" w:eastAsia="Arial" w:hAnsi="Arial"/>
          <w:sz w:val="19"/>
          <w:szCs w:val="19"/>
          <w:color w:val="auto"/>
        </w:rPr>
        <w:t>For Restricted Stock Units with a Scheduled Vesting Date of [___], on or before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[___];</w:t>
      </w:r>
    </w:p>
    <w:p>
      <w:pPr>
        <w:spacing w:after="0" w:line="17" w:lineRule="exact"/>
        <w:rPr>
          <w:rFonts w:ascii="Arial" w:cs="Arial" w:eastAsia="Arial" w:hAnsi="Arial"/>
          <w:sz w:val="16"/>
          <w:szCs w:val="16"/>
          <w:color w:val="auto"/>
        </w:rPr>
      </w:pPr>
    </w:p>
    <w:p>
      <w:pPr>
        <w:ind w:left="4340" w:hanging="1091"/>
        <w:spacing w:after="0"/>
        <w:tabs>
          <w:tab w:leader="none" w:pos="4340" w:val="left"/>
        </w:tabs>
        <w:numPr>
          <w:ilvl w:val="2"/>
          <w:numId w:val="45"/>
        </w:numPr>
        <w:rPr>
          <w:rFonts w:ascii="Arial" w:cs="Arial" w:eastAsia="Arial" w:hAnsi="Arial"/>
          <w:sz w:val="16"/>
          <w:szCs w:val="16"/>
          <w:color w:val="auto"/>
        </w:rPr>
      </w:pPr>
      <w:r>
        <w:rPr>
          <w:rFonts w:ascii="Arial" w:cs="Arial" w:eastAsia="Arial" w:hAnsi="Arial"/>
          <w:sz w:val="19"/>
          <w:szCs w:val="19"/>
          <w:color w:val="auto"/>
        </w:rPr>
        <w:t>For Restricted Stock Units with a Scheduled Vesting Date of [___], on or before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[___];</w:t>
      </w:r>
    </w:p>
    <w:p>
      <w:pPr>
        <w:spacing w:after="0" w:line="17" w:lineRule="exact"/>
        <w:rPr>
          <w:rFonts w:ascii="Arial" w:cs="Arial" w:eastAsia="Arial" w:hAnsi="Arial"/>
          <w:sz w:val="16"/>
          <w:szCs w:val="16"/>
          <w:color w:val="auto"/>
        </w:rPr>
      </w:pPr>
    </w:p>
    <w:p>
      <w:pPr>
        <w:ind w:left="4340" w:hanging="1091"/>
        <w:spacing w:after="0"/>
        <w:tabs>
          <w:tab w:leader="none" w:pos="4340" w:val="left"/>
        </w:tabs>
        <w:numPr>
          <w:ilvl w:val="2"/>
          <w:numId w:val="45"/>
        </w:numPr>
        <w:rPr>
          <w:rFonts w:ascii="Arial" w:cs="Arial" w:eastAsia="Arial" w:hAnsi="Arial"/>
          <w:sz w:val="16"/>
          <w:szCs w:val="16"/>
          <w:color w:val="auto"/>
        </w:rPr>
      </w:pPr>
      <w:r>
        <w:rPr>
          <w:rFonts w:ascii="Arial" w:cs="Arial" w:eastAsia="Arial" w:hAnsi="Arial"/>
          <w:sz w:val="19"/>
          <w:szCs w:val="19"/>
          <w:color w:val="auto"/>
        </w:rPr>
        <w:t>For Restricted Stock Units with a Scheduled Vesting Date of [___], on or before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[___].</w:t>
      </w:r>
    </w:p>
    <w:p>
      <w:pPr>
        <w:spacing w:after="0" w:line="17" w:lineRule="exact"/>
        <w:rPr>
          <w:rFonts w:ascii="Arial" w:cs="Arial" w:eastAsia="Arial" w:hAnsi="Arial"/>
          <w:sz w:val="16"/>
          <w:szCs w:val="16"/>
          <w:color w:val="auto"/>
        </w:rPr>
      </w:pPr>
    </w:p>
    <w:p>
      <w:pPr>
        <w:ind w:right="80" w:firstLine="2601"/>
        <w:spacing w:after="0" w:line="286" w:lineRule="auto"/>
        <w:tabs>
          <w:tab w:leader="none" w:pos="3451" w:val="left"/>
        </w:tabs>
        <w:numPr>
          <w:ilvl w:val="1"/>
          <w:numId w:val="45"/>
        </w:numPr>
        <w:rPr>
          <w:rFonts w:ascii="Arial" w:cs="Arial" w:eastAsia="Arial" w:hAnsi="Arial"/>
          <w:sz w:val="16"/>
          <w:szCs w:val="16"/>
          <w:color w:val="auto"/>
        </w:rPr>
      </w:pPr>
      <w:r>
        <w:rPr>
          <w:rFonts w:ascii="Arial" w:cs="Arial" w:eastAsia="Arial" w:hAnsi="Arial"/>
          <w:sz w:val="19"/>
          <w:szCs w:val="19"/>
          <w:u w:val="single" w:color="auto"/>
          <w:color w:val="auto"/>
        </w:rPr>
        <w:t>Deferral Period</w:t>
      </w:r>
      <w:r>
        <w:rPr>
          <w:rFonts w:ascii="Arial" w:cs="Arial" w:eastAsia="Arial" w:hAnsi="Arial"/>
          <w:sz w:val="19"/>
          <w:szCs w:val="19"/>
          <w:color w:val="auto"/>
        </w:rPr>
        <w:t>. If Grantee makes a Regular Deferral Election to defer the distribution date for Shares issuable with respect to some or all of the Restricted Stock Units hereby granted, Grantee may elect to defer the distribution date for a minimum of five years and a maximum of ten additional years from the Scheduled Vesting Date.</w:t>
      </w:r>
    </w:p>
    <w:p>
      <w:pPr>
        <w:spacing w:after="0" w:line="2" w:lineRule="exact"/>
        <w:rPr>
          <w:rFonts w:ascii="Arial" w:cs="Arial" w:eastAsia="Arial" w:hAnsi="Arial"/>
          <w:sz w:val="16"/>
          <w:szCs w:val="16"/>
          <w:color w:val="auto"/>
        </w:rPr>
      </w:pPr>
    </w:p>
    <w:p>
      <w:pPr>
        <w:ind w:left="3460" w:hanging="859"/>
        <w:spacing w:after="0"/>
        <w:tabs>
          <w:tab w:leader="none" w:pos="3460" w:val="left"/>
        </w:tabs>
        <w:numPr>
          <w:ilvl w:val="1"/>
          <w:numId w:val="45"/>
        </w:numPr>
        <w:rPr>
          <w:rFonts w:ascii="Arial" w:cs="Arial" w:eastAsia="Arial" w:hAnsi="Arial"/>
          <w:sz w:val="16"/>
          <w:szCs w:val="16"/>
          <w:color w:val="auto"/>
        </w:rPr>
      </w:pPr>
      <w:r>
        <w:rPr>
          <w:rFonts w:ascii="Arial" w:cs="Arial" w:eastAsia="Arial" w:hAnsi="Arial"/>
          <w:sz w:val="19"/>
          <w:szCs w:val="19"/>
          <w:u w:val="single" w:color="auto"/>
          <w:color w:val="auto"/>
        </w:rPr>
        <w:t>Effect of Failure of Vesting Date to Occur</w:t>
      </w:r>
      <w:r>
        <w:rPr>
          <w:rFonts w:ascii="Arial" w:cs="Arial" w:eastAsia="Arial" w:hAnsi="Arial"/>
          <w:sz w:val="19"/>
          <w:szCs w:val="19"/>
          <w:color w:val="auto"/>
        </w:rPr>
        <w:t>. A Regular Deferral Election shall be null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void if a Vesting Date does not occur with respect to Restricted Stock Units identified in such Initial Election.</w:t>
      </w:r>
    </w:p>
    <w:p>
      <w:pPr>
        <w:spacing w:after="0" w:line="17" w:lineRule="exact"/>
        <w:rPr>
          <w:rFonts w:ascii="Arial" w:cs="Arial" w:eastAsia="Arial" w:hAnsi="Arial"/>
          <w:sz w:val="16"/>
          <w:szCs w:val="16"/>
          <w:color w:val="auto"/>
        </w:rPr>
      </w:pPr>
    </w:p>
    <w:p>
      <w:pPr>
        <w:ind w:right="180" w:firstLine="1953"/>
        <w:spacing w:after="0" w:line="249" w:lineRule="auto"/>
        <w:tabs>
          <w:tab w:leader="none" w:pos="2793" w:val="left"/>
        </w:tabs>
        <w:numPr>
          <w:ilvl w:val="0"/>
          <w:numId w:val="45"/>
        </w:numPr>
        <w:rPr>
          <w:rFonts w:ascii="Arial" w:cs="Arial" w:eastAsia="Arial" w:hAnsi="Arial"/>
          <w:sz w:val="18"/>
          <w:szCs w:val="18"/>
          <w:color w:val="auto"/>
        </w:rPr>
      </w:pPr>
      <w:r>
        <w:rPr>
          <w:rFonts w:ascii="Arial" w:cs="Arial" w:eastAsia="Arial" w:hAnsi="Arial"/>
          <w:sz w:val="22"/>
          <w:szCs w:val="22"/>
          <w:u w:val="single" w:color="auto"/>
          <w:color w:val="auto"/>
        </w:rPr>
        <w:t>Subsequent Elections</w:t>
      </w:r>
      <w:r>
        <w:rPr>
          <w:rFonts w:ascii="Arial" w:cs="Arial" w:eastAsia="Arial" w:hAnsi="Arial"/>
          <w:sz w:val="22"/>
          <w:szCs w:val="22"/>
          <w:color w:val="auto"/>
        </w:rPr>
        <w:t>. No Subsequent Election shall be effective until 12 months after the date on which a Subsequent Election is filed with the Committee.</w:t>
      </w:r>
    </w:p>
    <w:p>
      <w:pPr>
        <w:spacing w:after="0" w:line="1" w:lineRule="exact"/>
        <w:rPr>
          <w:rFonts w:ascii="Arial" w:cs="Arial" w:eastAsia="Arial" w:hAnsi="Arial"/>
          <w:sz w:val="18"/>
          <w:szCs w:val="18"/>
          <w:color w:val="auto"/>
        </w:rPr>
      </w:pPr>
    </w:p>
    <w:p>
      <w:pPr>
        <w:ind w:firstLine="2601"/>
        <w:spacing w:after="0" w:line="284" w:lineRule="auto"/>
        <w:tabs>
          <w:tab w:leader="none" w:pos="3451" w:val="left"/>
        </w:tabs>
        <w:numPr>
          <w:ilvl w:val="1"/>
          <w:numId w:val="45"/>
        </w:numPr>
        <w:rPr>
          <w:rFonts w:ascii="Arial" w:cs="Arial" w:eastAsia="Arial" w:hAnsi="Arial"/>
          <w:sz w:val="16"/>
          <w:szCs w:val="16"/>
          <w:color w:val="auto"/>
        </w:rPr>
      </w:pPr>
      <w:r>
        <w:rPr>
          <w:rFonts w:ascii="Arial" w:cs="Arial" w:eastAsia="Arial" w:hAnsi="Arial"/>
          <w:sz w:val="19"/>
          <w:szCs w:val="19"/>
          <w:color w:val="auto"/>
        </w:rPr>
        <w:t>If Grantee makes an Initial Election, a Regular Deferral Election or pursuant to this Paragraph 6(c)(1)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3" w:lineRule="exact"/>
        <w:rPr>
          <w:rFonts w:ascii="Arial" w:cs="Arial" w:eastAsia="Arial" w:hAnsi="Arial"/>
          <w:sz w:val="16"/>
          <w:szCs w:val="16"/>
          <w:color w:val="auto"/>
        </w:rPr>
      </w:pPr>
    </w:p>
    <w:p>
      <w:pPr>
        <w:ind w:right="60" w:firstLine="2601"/>
        <w:spacing w:after="0" w:line="257" w:lineRule="auto"/>
        <w:tabs>
          <w:tab w:leader="none" w:pos="3451" w:val="left"/>
        </w:tabs>
        <w:numPr>
          <w:ilvl w:val="1"/>
          <w:numId w:val="45"/>
        </w:numPr>
        <w:rPr>
          <w:rFonts w:ascii="Arial" w:cs="Arial" w:eastAsia="Arial" w:hAnsi="Arial"/>
          <w:sz w:val="17"/>
          <w:szCs w:val="17"/>
          <w:color w:val="auto"/>
        </w:rPr>
      </w:pPr>
      <w:r>
        <w:rPr>
          <w:rFonts w:ascii="Arial" w:cs="Arial" w:eastAsia="Arial" w:hAnsi="Arial"/>
          <w:sz w:val="21"/>
          <w:szCs w:val="21"/>
          <w:color w:val="auto"/>
        </w:rPr>
        <w:t>If Grantee dies before Shares subject to an Initial Election under Paragraph 6(a)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3" w:lineRule="exact"/>
        <w:rPr>
          <w:rFonts w:ascii="Arial" w:cs="Arial" w:eastAsia="Arial" w:hAnsi="Arial"/>
          <w:sz w:val="17"/>
          <w:szCs w:val="17"/>
          <w:color w:val="auto"/>
        </w:rPr>
      </w:pPr>
    </w:p>
    <w:p>
      <w:pPr>
        <w:jc w:val="both"/>
        <w:ind w:right="420" w:firstLine="2601"/>
        <w:spacing w:after="0" w:line="300" w:lineRule="auto"/>
        <w:tabs>
          <w:tab w:leader="none" w:pos="3451" w:val="left"/>
        </w:tabs>
        <w:numPr>
          <w:ilvl w:val="1"/>
          <w:numId w:val="45"/>
        </w:numPr>
        <w:rPr>
          <w:rFonts w:ascii="Arial" w:cs="Arial" w:eastAsia="Arial" w:hAnsi="Arial"/>
          <w:sz w:val="16"/>
          <w:szCs w:val="16"/>
          <w:color w:val="auto"/>
        </w:rPr>
      </w:pPr>
      <w:r>
        <w:rPr>
          <w:rFonts w:ascii="Arial" w:cs="Arial" w:eastAsia="Arial" w:hAnsi="Arial"/>
          <w:sz w:val="19"/>
          <w:szCs w:val="19"/>
          <w:color w:val="auto"/>
        </w:rPr>
        <w:t>If Grantee becomes a Retired Grantee before Shares subject to an Initial Election under Paragraph 6(a)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ectPr>
          <w:pgSz w:w="11900" w:h="16838" w:orient="portrait"/>
          <w:cols w:equalWidth="0" w:num="1">
            <w:col w:w="11420"/>
          </w:cols>
          <w:pgMar w:left="240" w:top="375" w:right="239" w:bottom="1440" w:gutter="0" w:footer="0" w:header="0"/>
        </w:sectPr>
      </w:pPr>
    </w:p>
    <w:bookmarkStart w:id="70" w:name="page71"/>
    <w:bookmarkEnd w:id="70"/>
    <w:p>
      <w:pPr>
        <w:ind w:firstLine="1953"/>
        <w:spacing w:after="0" w:line="253" w:lineRule="auto"/>
        <w:tabs>
          <w:tab w:leader="none" w:pos="2803" w:val="left"/>
        </w:tabs>
        <w:numPr>
          <w:ilvl w:val="1"/>
          <w:numId w:val="46"/>
        </w:numPr>
        <w:rPr>
          <w:rFonts w:ascii="Arial" w:cs="Arial" w:eastAsia="Arial" w:hAnsi="Arial"/>
          <w:sz w:val="18"/>
          <w:szCs w:val="18"/>
          <w:color w:val="auto"/>
        </w:rPr>
      </w:pPr>
      <w:r>
        <w:rPr>
          <w:rFonts w:ascii="Arial" w:cs="Arial" w:eastAsia="Arial" w:hAnsi="Arial"/>
          <w:sz w:val="22"/>
          <w:szCs w:val="22"/>
          <w:u w:val="single" w:color="auto"/>
          <w:color w:val="auto"/>
        </w:rPr>
        <w:t>Diversification Election</w:t>
      </w:r>
      <w:r>
        <w:rPr>
          <w:rFonts w:ascii="Arial" w:cs="Arial" w:eastAsia="Arial" w:hAnsi="Arial"/>
          <w:sz w:val="22"/>
          <w:szCs w:val="22"/>
          <w:color w:val="auto"/>
        </w:rPr>
        <w:t>. As provided in the Plan and as described in the prospectus for the Plan, a Grantee with an Account may be eligible to make a Diversification Election on an election form supplied by the Committee for this purpose.</w:t>
      </w:r>
    </w:p>
    <w:p>
      <w:pPr>
        <w:spacing w:after="0" w:line="1" w:lineRule="exact"/>
        <w:rPr>
          <w:rFonts w:ascii="Arial" w:cs="Arial" w:eastAsia="Arial" w:hAnsi="Arial"/>
          <w:sz w:val="18"/>
          <w:szCs w:val="18"/>
          <w:color w:val="auto"/>
        </w:rPr>
      </w:pPr>
    </w:p>
    <w:p>
      <w:pPr>
        <w:ind w:right="80" w:firstLine="1953"/>
        <w:spacing w:after="0" w:line="245" w:lineRule="auto"/>
        <w:tabs>
          <w:tab w:leader="none" w:pos="2793" w:val="left"/>
        </w:tabs>
        <w:numPr>
          <w:ilvl w:val="1"/>
          <w:numId w:val="46"/>
        </w:numPr>
        <w:rPr>
          <w:rFonts w:ascii="Arial" w:cs="Arial" w:eastAsia="Arial" w:hAnsi="Arial"/>
          <w:sz w:val="18"/>
          <w:szCs w:val="18"/>
          <w:color w:val="auto"/>
        </w:rPr>
      </w:pPr>
      <w:r>
        <w:rPr>
          <w:rFonts w:ascii="Arial" w:cs="Arial" w:eastAsia="Arial" w:hAnsi="Arial"/>
          <w:sz w:val="22"/>
          <w:szCs w:val="22"/>
          <w:u w:val="single" w:color="auto"/>
          <w:color w:val="auto"/>
        </w:rPr>
        <w:t>Book Accounts</w:t>
      </w:r>
      <w:r>
        <w:rPr>
          <w:rFonts w:ascii="Arial" w:cs="Arial" w:eastAsia="Arial" w:hAnsi="Arial"/>
          <w:sz w:val="22"/>
          <w:szCs w:val="22"/>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3" w:lineRule="exact"/>
        <w:rPr>
          <w:rFonts w:ascii="Arial" w:cs="Arial" w:eastAsia="Arial" w:hAnsi="Arial"/>
          <w:sz w:val="18"/>
          <w:szCs w:val="18"/>
          <w:color w:val="auto"/>
        </w:rPr>
      </w:pPr>
    </w:p>
    <w:p>
      <w:pPr>
        <w:ind w:right="20" w:firstLine="1953"/>
        <w:spacing w:after="0" w:line="256" w:lineRule="auto"/>
        <w:tabs>
          <w:tab w:leader="none" w:pos="2773" w:val="left"/>
        </w:tabs>
        <w:numPr>
          <w:ilvl w:val="1"/>
          <w:numId w:val="46"/>
        </w:numPr>
        <w:rPr>
          <w:rFonts w:ascii="Arial" w:cs="Arial" w:eastAsia="Arial" w:hAnsi="Arial"/>
          <w:sz w:val="17"/>
          <w:szCs w:val="17"/>
          <w:color w:val="auto"/>
        </w:rPr>
      </w:pPr>
      <w:r>
        <w:rPr>
          <w:rFonts w:ascii="Arial" w:cs="Arial" w:eastAsia="Arial" w:hAnsi="Arial"/>
          <w:sz w:val="21"/>
          <w:szCs w:val="21"/>
          <w:u w:val="single" w:color="auto"/>
          <w:color w:val="auto"/>
        </w:rPr>
        <w:t>Status of Deferred Amounts</w:t>
      </w:r>
      <w:r>
        <w:rPr>
          <w:rFonts w:ascii="Arial" w:cs="Arial" w:eastAsia="Arial" w:hAnsi="Arial"/>
          <w:sz w:val="21"/>
          <w:szCs w:val="21"/>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6" w:lineRule="exact"/>
        <w:rPr>
          <w:rFonts w:ascii="Arial" w:cs="Arial" w:eastAsia="Arial" w:hAnsi="Arial"/>
          <w:sz w:val="17"/>
          <w:szCs w:val="17"/>
          <w:color w:val="auto"/>
        </w:rPr>
      </w:pPr>
    </w:p>
    <w:p>
      <w:pPr>
        <w:ind w:right="140" w:firstLine="1953"/>
        <w:spacing w:after="0" w:line="258" w:lineRule="auto"/>
        <w:tabs>
          <w:tab w:leader="none" w:pos="2803" w:val="left"/>
        </w:tabs>
        <w:numPr>
          <w:ilvl w:val="1"/>
          <w:numId w:val="46"/>
        </w:numPr>
        <w:rPr>
          <w:rFonts w:ascii="Arial" w:cs="Arial" w:eastAsia="Arial" w:hAnsi="Arial"/>
          <w:sz w:val="17"/>
          <w:szCs w:val="17"/>
          <w:color w:val="auto"/>
        </w:rPr>
      </w:pPr>
      <w:r>
        <w:rPr>
          <w:rFonts w:ascii="Arial" w:cs="Arial" w:eastAsia="Arial" w:hAnsi="Arial"/>
          <w:sz w:val="21"/>
          <w:szCs w:val="21"/>
          <w:u w:val="single" w:color="auto"/>
          <w:color w:val="auto"/>
        </w:rPr>
        <w:t>Non-Assignability, Etc.</w:t>
      </w:r>
      <w:r>
        <w:rPr>
          <w:rFonts w:ascii="Arial" w:cs="Arial" w:eastAsia="Arial" w:hAnsi="Arial"/>
          <w:sz w:val="21"/>
          <w:szCs w:val="21"/>
          <w:color w:val="auto"/>
        </w:rPr>
        <w:t xml:space="preserve"> The right of Grantee to receive Shares subject to an Election under this Paragraph 6,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 w:lineRule="exact"/>
        <w:rPr>
          <w:rFonts w:ascii="Arial" w:cs="Arial" w:eastAsia="Arial" w:hAnsi="Arial"/>
          <w:sz w:val="17"/>
          <w:szCs w:val="17"/>
          <w:color w:val="auto"/>
        </w:rPr>
      </w:pPr>
    </w:p>
    <w:p>
      <w:pPr>
        <w:ind w:right="100" w:firstLine="1305"/>
        <w:spacing w:after="0" w:line="259" w:lineRule="auto"/>
        <w:tabs>
          <w:tab w:leader="none" w:pos="2080" w:val="left"/>
        </w:tabs>
        <w:numPr>
          <w:ilvl w:val="0"/>
          <w:numId w:val="47"/>
        </w:numPr>
        <w:rPr>
          <w:rFonts w:ascii="Arial" w:cs="Arial" w:eastAsia="Arial" w:hAnsi="Arial"/>
          <w:sz w:val="17"/>
          <w:szCs w:val="17"/>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 w:lineRule="exact"/>
        <w:rPr>
          <w:rFonts w:ascii="Arial" w:cs="Arial" w:eastAsia="Arial" w:hAnsi="Arial"/>
          <w:sz w:val="17"/>
          <w:szCs w:val="17"/>
          <w:color w:val="auto"/>
        </w:rPr>
      </w:pPr>
    </w:p>
    <w:p>
      <w:pPr>
        <w:ind w:right="60" w:firstLine="1305"/>
        <w:spacing w:after="0" w:line="286" w:lineRule="auto"/>
        <w:tabs>
          <w:tab w:leader="none" w:pos="2080" w:val="left"/>
        </w:tabs>
        <w:numPr>
          <w:ilvl w:val="0"/>
          <w:numId w:val="47"/>
        </w:numPr>
        <w:rPr>
          <w:rFonts w:ascii="Arial" w:cs="Arial" w:eastAsia="Arial" w:hAnsi="Arial"/>
          <w:sz w:val="16"/>
          <w:szCs w:val="16"/>
          <w:color w:val="auto"/>
        </w:rPr>
      </w:pPr>
      <w:r>
        <w:rPr>
          <w:rFonts w:ascii="Arial" w:cs="Arial" w:eastAsia="Arial" w:hAnsi="Arial"/>
          <w:sz w:val="19"/>
          <w:szCs w:val="19"/>
          <w:u w:val="single" w:color="auto"/>
          <w:color w:val="auto"/>
        </w:rPr>
        <w:t>Securities Laws</w:t>
      </w:r>
      <w:r>
        <w:rPr>
          <w:rFonts w:ascii="Arial" w:cs="Arial" w:eastAsia="Arial" w:hAnsi="Arial"/>
          <w:sz w:val="19"/>
          <w:szCs w:val="19"/>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2" w:lineRule="exact"/>
        <w:rPr>
          <w:rFonts w:ascii="Arial" w:cs="Arial" w:eastAsia="Arial" w:hAnsi="Arial"/>
          <w:sz w:val="16"/>
          <w:szCs w:val="16"/>
          <w:color w:val="auto"/>
        </w:rPr>
      </w:pPr>
    </w:p>
    <w:p>
      <w:pPr>
        <w:ind w:left="2080" w:hanging="775"/>
        <w:spacing w:after="0"/>
        <w:tabs>
          <w:tab w:leader="none" w:pos="2080" w:val="left"/>
        </w:tabs>
        <w:numPr>
          <w:ilvl w:val="0"/>
          <w:numId w:val="47"/>
        </w:numPr>
        <w:rPr>
          <w:rFonts w:ascii="Arial" w:cs="Arial" w:eastAsia="Arial" w:hAnsi="Arial"/>
          <w:sz w:val="18"/>
          <w:szCs w:val="18"/>
          <w:color w:val="auto"/>
        </w:rPr>
      </w:pPr>
      <w:r>
        <w:rPr>
          <w:rFonts w:ascii="Arial" w:cs="Arial" w:eastAsia="Arial" w:hAnsi="Arial"/>
          <w:sz w:val="22"/>
          <w:szCs w:val="22"/>
          <w:u w:val="single" w:color="auto"/>
          <w:color w:val="auto"/>
        </w:rPr>
        <w:t>Delivery of Shares; Repayment</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2800" w:hanging="847"/>
        <w:spacing w:after="0"/>
        <w:tabs>
          <w:tab w:leader="none" w:pos="2800" w:val="left"/>
        </w:tabs>
        <w:numPr>
          <w:ilvl w:val="1"/>
          <w:numId w:val="47"/>
        </w:numPr>
        <w:rPr>
          <w:rFonts w:ascii="Arial" w:cs="Arial" w:eastAsia="Arial" w:hAnsi="Arial"/>
          <w:sz w:val="17"/>
          <w:szCs w:val="17"/>
          <w:color w:val="auto"/>
        </w:rPr>
      </w:pPr>
      <w:r>
        <w:rPr>
          <w:rFonts w:ascii="Arial" w:cs="Arial" w:eastAsia="Arial" w:hAnsi="Arial"/>
          <w:sz w:val="21"/>
          <w:szCs w:val="21"/>
          <w:u w:val="single" w:color="auto"/>
          <w:color w:val="auto"/>
        </w:rPr>
        <w:t>Delivery of Shares</w:t>
      </w:r>
      <w:r>
        <w:rPr>
          <w:rFonts w:ascii="Arial" w:cs="Arial" w:eastAsia="Arial" w:hAnsi="Arial"/>
          <w:sz w:val="21"/>
          <w:szCs w:val="21"/>
          <w:color w:val="auto"/>
        </w:rPr>
        <w:t>. Except as otherwise provided in Paragraph 6, the Company shall notify</w:t>
      </w:r>
    </w:p>
    <w:p>
      <w:pPr>
        <w:spacing w:after="0" w:line="29" w:lineRule="exact"/>
        <w:rPr>
          <w:sz w:val="20"/>
          <w:szCs w:val="20"/>
          <w:color w:val="auto"/>
        </w:rPr>
      </w:pPr>
    </w:p>
    <w:p>
      <w:pPr>
        <w:ind w:right="140"/>
        <w:spacing w:after="0" w:line="289" w:lineRule="auto"/>
        <w:rPr>
          <w:sz w:val="20"/>
          <w:szCs w:val="20"/>
          <w:color w:val="auto"/>
        </w:rPr>
      </w:pPr>
      <w:r>
        <w:rPr>
          <w:rFonts w:ascii="Arial" w:cs="Arial" w:eastAsia="Arial" w:hAnsi="Arial"/>
          <w:sz w:val="19"/>
          <w:szCs w:val="19"/>
          <w:color w:val="auto"/>
        </w:rPr>
        <w:t>Grantee that a Vesting Date with respect to Restricted Stock Units has occurred. Within ten (10) business days of a Vesting Date, the Company shall, without payment from Grantee, satisfy its obligations to (1) pay the Dividend Equivalent Amount (if any) and</w:t>
      </w:r>
    </w:p>
    <w:p>
      <w:pPr>
        <w:spacing w:after="0" w:line="1" w:lineRule="exact"/>
        <w:rPr>
          <w:sz w:val="20"/>
          <w:szCs w:val="20"/>
          <w:color w:val="auto"/>
        </w:rPr>
      </w:pPr>
    </w:p>
    <w:p>
      <w:pPr>
        <w:ind w:right="180" w:firstLine="8"/>
        <w:spacing w:after="0" w:line="286" w:lineRule="auto"/>
        <w:tabs>
          <w:tab w:leader="none" w:pos="306" w:val="left"/>
        </w:tabs>
        <w:numPr>
          <w:ilvl w:val="0"/>
          <w:numId w:val="48"/>
        </w:numPr>
        <w:rPr>
          <w:rFonts w:ascii="Arial" w:cs="Arial" w:eastAsia="Arial" w:hAnsi="Arial"/>
          <w:sz w:val="19"/>
          <w:szCs w:val="19"/>
          <w:color w:val="auto"/>
        </w:rPr>
      </w:pPr>
      <w:r>
        <w:rPr>
          <w:rFonts w:ascii="Arial" w:cs="Arial" w:eastAsia="Arial" w:hAnsi="Arial"/>
          <w:sz w:val="19"/>
          <w:szCs w:val="19"/>
          <w:color w:val="auto"/>
        </w:rPr>
        <w:t>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8, provided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ectPr>
          <w:pgSz w:w="11900" w:h="16838" w:orient="portrait"/>
          <w:cols w:equalWidth="0" w:num="1">
            <w:col w:w="11380"/>
          </w:cols>
          <w:pgMar w:left="240" w:top="375" w:right="279" w:bottom="1440" w:gutter="0" w:footer="0" w:header="0"/>
        </w:sectPr>
      </w:pPr>
    </w:p>
    <w:bookmarkStart w:id="71" w:name="page72"/>
    <w:bookmarkEnd w:id="71"/>
    <w:p>
      <w:pPr>
        <w:ind w:left="-1200" w:right="20" w:firstLine="1953"/>
        <w:spacing w:after="0" w:line="258" w:lineRule="auto"/>
        <w:tabs>
          <w:tab w:leader="none" w:pos="1603" w:val="left"/>
        </w:tabs>
        <w:numPr>
          <w:ilvl w:val="1"/>
          <w:numId w:val="49"/>
        </w:numPr>
        <w:rPr>
          <w:rFonts w:ascii="Arial" w:cs="Arial" w:eastAsia="Arial" w:hAnsi="Arial"/>
          <w:sz w:val="17"/>
          <w:szCs w:val="17"/>
          <w:color w:val="auto"/>
        </w:rPr>
      </w:pPr>
      <w:r>
        <w:rPr>
          <w:rFonts w:ascii="Arial" w:cs="Arial" w:eastAsia="Arial" w:hAnsi="Arial"/>
          <w:sz w:val="21"/>
          <w:szCs w:val="21"/>
          <w:u w:val="single" w:color="auto"/>
          <w:color w:val="auto"/>
        </w:rPr>
        <w:t>Repayment</w:t>
      </w:r>
      <w:r>
        <w:rPr>
          <w:rFonts w:ascii="Arial" w:cs="Arial" w:eastAsia="Arial" w:hAnsi="Arial"/>
          <w:sz w:val="21"/>
          <w:szCs w:val="21"/>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9(b) has been deferred pursuant to Paragraph 6 (or any other plan, program or arrangement that permits the deferral of receipt of an Award), such Award (and any earnings credited with respect thereto) shall be forfeited in lieu of repayment.</w:t>
      </w:r>
    </w:p>
    <w:p>
      <w:pPr>
        <w:spacing w:after="0" w:line="1" w:lineRule="exact"/>
        <w:rPr>
          <w:rFonts w:ascii="Arial" w:cs="Arial" w:eastAsia="Arial" w:hAnsi="Arial"/>
          <w:sz w:val="17"/>
          <w:szCs w:val="17"/>
          <w:color w:val="auto"/>
        </w:rPr>
      </w:pPr>
    </w:p>
    <w:p>
      <w:pPr>
        <w:ind w:left="-1200" w:right="20" w:firstLine="1305"/>
        <w:spacing w:after="0" w:line="256" w:lineRule="auto"/>
        <w:tabs>
          <w:tab w:leader="none" w:pos="970" w:val="left"/>
        </w:tabs>
        <w:numPr>
          <w:ilvl w:val="0"/>
          <w:numId w:val="50"/>
        </w:numPr>
        <w:rPr>
          <w:rFonts w:ascii="Arial" w:cs="Arial" w:eastAsia="Arial" w:hAnsi="Arial"/>
          <w:sz w:val="17"/>
          <w:szCs w:val="17"/>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Notwithstanding the above, to the extent that any Restricted Stock Units are determined by the Company to be “nonqualified deferred compensation” under section 409A of the Code and its implementing regulations and guidance and Shares become deliverable with respect to such Restricted Stock Units as a result of the Grantee’s termination of employment, such Shares will only be delivered if such termination of employment constitutes a “separation from service” within the meaning of Treas. Reg. 1.409A-1(h) and, to the extent compliance with the requirements of Treas. Reg. § 1.409A-3(i)(2) is necessary to avoid the application of an additional tax under Section 409A of the Code, Shares that would otherwise become deliverable upon the Grantee’s “separation from service” will be deferred (without interest) and issued to the Grantee immediately following that six month period.</w:t>
      </w:r>
    </w:p>
    <w:p>
      <w:pPr>
        <w:spacing w:after="0" w:line="5" w:lineRule="exact"/>
        <w:rPr>
          <w:rFonts w:ascii="Arial" w:cs="Arial" w:eastAsia="Arial" w:hAnsi="Arial"/>
          <w:sz w:val="17"/>
          <w:szCs w:val="17"/>
          <w:color w:val="auto"/>
        </w:rPr>
      </w:pPr>
    </w:p>
    <w:p>
      <w:pPr>
        <w:ind w:left="-1200" w:right="120" w:firstLine="1305"/>
        <w:spacing w:after="0" w:line="249" w:lineRule="auto"/>
        <w:tabs>
          <w:tab w:leader="none" w:pos="963" w:val="left"/>
        </w:tabs>
        <w:numPr>
          <w:ilvl w:val="0"/>
          <w:numId w:val="50"/>
        </w:numPr>
        <w:rPr>
          <w:rFonts w:ascii="Arial" w:cs="Arial" w:eastAsia="Arial" w:hAnsi="Arial"/>
          <w:sz w:val="18"/>
          <w:szCs w:val="18"/>
          <w:color w:val="auto"/>
        </w:rPr>
      </w:pPr>
      <w:r>
        <w:rPr>
          <w:rFonts w:ascii="Arial" w:cs="Arial" w:eastAsia="Arial" w:hAnsi="Arial"/>
          <w:sz w:val="22"/>
          <w:szCs w:val="22"/>
          <w:u w:val="single" w:color="auto"/>
          <w:color w:val="auto"/>
        </w:rPr>
        <w:t>Award Not to Affect Employment</w:t>
      </w:r>
      <w:r>
        <w:rPr>
          <w:rFonts w:ascii="Arial" w:cs="Arial" w:eastAsia="Arial" w:hAnsi="Arial"/>
          <w:sz w:val="22"/>
          <w:szCs w:val="22"/>
          <w:color w:val="auto"/>
        </w:rPr>
        <w:t>. The Award granted hereunder shall not confer upon Grantee any right to continue in the employment of the Company or any subsidiary or affiliate of the Company.</w:t>
      </w:r>
    </w:p>
    <w:p>
      <w:pPr>
        <w:spacing w:after="0" w:line="1" w:lineRule="exact"/>
        <w:rPr>
          <w:rFonts w:ascii="Arial" w:cs="Arial" w:eastAsia="Arial" w:hAnsi="Arial"/>
          <w:sz w:val="18"/>
          <w:szCs w:val="18"/>
          <w:color w:val="auto"/>
        </w:rPr>
      </w:pPr>
    </w:p>
    <w:p>
      <w:pPr>
        <w:ind w:left="980" w:hanging="87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200" w:firstLine="1953"/>
        <w:spacing w:after="0" w:line="249" w:lineRule="auto"/>
        <w:tabs>
          <w:tab w:leader="none" w:pos="1593" w:val="left"/>
        </w:tabs>
        <w:numPr>
          <w:ilvl w:val="1"/>
          <w:numId w:val="50"/>
        </w:numPr>
        <w:rPr>
          <w:rFonts w:ascii="Arial" w:cs="Arial" w:eastAsia="Arial" w:hAnsi="Arial"/>
          <w:sz w:val="18"/>
          <w:szCs w:val="18"/>
          <w:color w:val="auto"/>
        </w:rPr>
      </w:pPr>
      <w:r>
        <w:rPr>
          <w:rFonts w:ascii="Arial" w:cs="Arial" w:eastAsia="Arial" w:hAnsi="Arial"/>
          <w:sz w:val="22"/>
          <w:szCs w:val="22"/>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3" w:lineRule="exact"/>
        <w:rPr>
          <w:rFonts w:ascii="Arial" w:cs="Arial" w:eastAsia="Arial" w:hAnsi="Arial"/>
          <w:sz w:val="18"/>
          <w:szCs w:val="18"/>
          <w:color w:val="auto"/>
        </w:rPr>
      </w:pPr>
    </w:p>
    <w:p>
      <w:pPr>
        <w:ind w:left="-1200" w:right="200" w:firstLine="1953"/>
        <w:spacing w:after="0" w:line="289" w:lineRule="auto"/>
        <w:tabs>
          <w:tab w:leader="none" w:pos="1603" w:val="left"/>
        </w:tabs>
        <w:numPr>
          <w:ilvl w:val="1"/>
          <w:numId w:val="50"/>
        </w:numPr>
        <w:rPr>
          <w:rFonts w:ascii="Arial" w:cs="Arial" w:eastAsia="Arial" w:hAnsi="Arial"/>
          <w:sz w:val="16"/>
          <w:szCs w:val="16"/>
          <w:color w:val="auto"/>
        </w:rPr>
      </w:pPr>
      <w:r>
        <w:rPr>
          <w:rFonts w:ascii="Arial" w:cs="Arial" w:eastAsia="Arial" w:hAnsi="Arial"/>
          <w:sz w:val="19"/>
          <w:szCs w:val="19"/>
          <w:color w:val="auto"/>
        </w:rPr>
        <w:t>The address for Grantee to which notice, demands and other communications to be given or delivered under or by reason of the provisions hereof shall be Grantee’s address as reflected in the Company’s personnel records.</w:t>
      </w:r>
    </w:p>
    <w:p>
      <w:pPr>
        <w:ind w:left="-1200" w:right="160" w:firstLine="1953"/>
        <w:spacing w:after="0" w:line="259" w:lineRule="auto"/>
        <w:tabs>
          <w:tab w:leader="none" w:pos="1593" w:val="left"/>
        </w:tabs>
        <w:numPr>
          <w:ilvl w:val="1"/>
          <w:numId w:val="50"/>
        </w:numPr>
        <w:rPr>
          <w:rFonts w:ascii="Arial" w:cs="Arial" w:eastAsia="Arial" w:hAnsi="Arial"/>
          <w:sz w:val="18"/>
          <w:szCs w:val="18"/>
          <w:color w:val="auto"/>
        </w:rPr>
      </w:pPr>
      <w:r>
        <w:rPr>
          <w:rFonts w:ascii="Arial" w:cs="Arial" w:eastAsia="Arial" w:hAnsi="Arial"/>
          <w:sz w:val="22"/>
          <w:szCs w:val="22"/>
          <w:color w:val="auto"/>
        </w:rPr>
        <w:t>The validity, performance, construction and effect of this Award shall be governed by the laws of the Commonwealth of Pennsylvania, without giving effect to principles of conflicts of law.</w:t>
      </w:r>
    </w:p>
    <w:p>
      <w:pPr>
        <w:spacing w:after="0" w:line="1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COMCAST CORPORATION</w:t>
      </w:r>
    </w:p>
    <w:p>
      <w:pPr>
        <w:spacing w:after="0" w:line="5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ATTEST: __________________________________</w:t>
      </w:r>
    </w:p>
    <w:p>
      <w:pPr>
        <w:sectPr>
          <w:pgSz w:w="11900" w:h="16838" w:orient="portrait"/>
          <w:cols w:equalWidth="0" w:num="1">
            <w:col w:w="10160"/>
          </w:cols>
          <w:pgMar w:left="1440" w:top="375" w:right="2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10.3</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LONG-TERM INCENTIVE AWARDS SUMMARY SCHEDULE</w:t>
      </w:r>
    </w:p>
    <w:p>
      <w:pPr>
        <w:spacing w:after="0" w:line="21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 xml:space="preserve">This Long-Term Incentive Awards Summary Schedule (this “Schedule”) provides certain information related to the Non-Qualified Stock Option and Restricted Stock Units you were granted by Comcast Corporation on [________] (the “Date of Grant”). </w:t>
      </w:r>
      <w:r>
        <w:rPr>
          <w:rFonts w:ascii="Arial" w:cs="Arial" w:eastAsia="Arial" w:hAnsi="Arial"/>
          <w:sz w:val="18"/>
          <w:szCs w:val="18"/>
          <w:b w:val="1"/>
          <w:bCs w:val="1"/>
          <w:color w:val="auto"/>
        </w:rPr>
        <w:t>This Schedule is intended</w:t>
      </w:r>
    </w:p>
    <w:p>
      <w:pPr>
        <w:spacing w:after="0" w:line="1" w:lineRule="exact"/>
        <w:rPr>
          <w:sz w:val="20"/>
          <w:szCs w:val="20"/>
          <w:color w:val="auto"/>
        </w:rPr>
      </w:pPr>
    </w:p>
    <w:p>
      <w:pPr>
        <w:ind w:right="300"/>
        <w:spacing w:after="0" w:line="244" w:lineRule="auto"/>
        <w:rPr>
          <w:sz w:val="20"/>
          <w:szCs w:val="20"/>
          <w:color w:val="auto"/>
        </w:rPr>
      </w:pPr>
      <w:r>
        <w:rPr>
          <w:rFonts w:ascii="Arial" w:cs="Arial" w:eastAsia="Arial" w:hAnsi="Arial"/>
          <w:sz w:val="20"/>
          <w:szCs w:val="20"/>
          <w:b w:val="1"/>
          <w:bCs w:val="1"/>
          <w:color w:val="auto"/>
        </w:rPr>
        <w:t>to be, and shall at all times be interpreted as, a part of your Comcast Corporation Non-Qualified Option Award document and your Comcast Corporation Restricted Stock Unit Award document.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Non-Qualified Stock Option Award</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Optionee:</w:t>
            </w:r>
          </w:p>
        </w:tc>
        <w:tc>
          <w:tcPr>
            <w:tcW w:w="7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[__________]</w:t>
            </w: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Date of Grant:</w:t>
            </w:r>
          </w:p>
        </w:tc>
        <w:tc>
          <w:tcPr>
            <w:tcW w:w="7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[__________]</w:t>
            </w: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Common Stock:</w:t>
            </w:r>
          </w:p>
        </w:tc>
        <w:tc>
          <w:tcPr>
            <w:tcW w:w="7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Comcast Corporation Class A Common Stock</w:t>
            </w: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Per Share Option Price:</w:t>
            </w:r>
          </w:p>
        </w:tc>
        <w:tc>
          <w:tcPr>
            <w:tcW w:w="7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$[___]</w:t>
            </w: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Shares Subject to Option:</w:t>
            </w:r>
          </w:p>
        </w:tc>
        <w:tc>
          <w:tcPr>
            <w:tcW w:w="7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[______]</w:t>
            </w: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296"/>
        </w:trPr>
        <w:tc>
          <w:tcPr>
            <w:tcW w:w="3180" w:type="dxa"/>
            <w:vAlign w:val="bottom"/>
            <w:tcBorders>
              <w:left w:val="single" w:sz="8" w:color="auto"/>
              <w:right w:val="single" w:sz="8" w:color="auto"/>
            </w:tcBorders>
          </w:tcPr>
          <w:p>
            <w:pPr>
              <w:spacing w:after="0"/>
              <w:rPr>
                <w:sz w:val="24"/>
                <w:szCs w:val="24"/>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w w:val="90"/>
              </w:rPr>
              <w:t>[____] of the Shares subject to the Option may be exercised following the</w:t>
            </w:r>
          </w:p>
        </w:tc>
      </w:tr>
      <w:tr>
        <w:trPr>
          <w:trHeight w:val="275"/>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rPr>
              <w:t>second anniversary of the Date of Grant.</w:t>
            </w:r>
          </w:p>
        </w:tc>
      </w:tr>
      <w:tr>
        <w:trPr>
          <w:trHeight w:val="266"/>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w w:val="90"/>
              </w:rPr>
              <w:t>[____] of the Shares subject to the Option may be exercised following the</w:t>
            </w:r>
          </w:p>
        </w:tc>
      </w:tr>
      <w:tr>
        <w:trPr>
          <w:trHeight w:val="275"/>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rPr>
              <w:t>third anniversary of the Date of Grant.</w:t>
            </w:r>
          </w:p>
        </w:tc>
      </w:tr>
      <w:tr>
        <w:trPr>
          <w:trHeight w:val="266"/>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w w:val="91"/>
              </w:rPr>
              <w:t>[____]of the Shares subject to the Option may be exercised following the</w:t>
            </w:r>
          </w:p>
        </w:tc>
      </w:tr>
      <w:tr>
        <w:trPr>
          <w:trHeight w:val="275"/>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rPr>
              <w:t>fourth anniversary of the Date of Grant.</w:t>
            </w:r>
          </w:p>
        </w:tc>
      </w:tr>
      <w:tr>
        <w:trPr>
          <w:trHeight w:val="266"/>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w w:val="90"/>
              </w:rPr>
              <w:t>[____] of the Shares subject to the Option may be exercised following the</w:t>
            </w:r>
          </w:p>
        </w:tc>
      </w:tr>
      <w:tr>
        <w:trPr>
          <w:trHeight w:val="275"/>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rPr>
              <w:t>fifth anniversary of the Date of Grant.</w:t>
            </w:r>
          </w:p>
        </w:tc>
      </w:tr>
      <w:tr>
        <w:trPr>
          <w:trHeight w:val="266"/>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w w:val="91"/>
              </w:rPr>
              <w:t>[____]of the Shares subject to the Option may be exercised following the</w:t>
            </w:r>
          </w:p>
        </w:tc>
      </w:tr>
      <w:tr>
        <w:trPr>
          <w:trHeight w:val="275"/>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rPr>
              <w:t>sixth anniversary of the Date of Grant.</w:t>
            </w:r>
          </w:p>
        </w:tc>
      </w:tr>
      <w:tr>
        <w:trPr>
          <w:trHeight w:val="266"/>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w w:val="91"/>
              </w:rPr>
              <w:t>[____]of the Shares subject to the Option may be exercised following the</w:t>
            </w:r>
          </w:p>
        </w:tc>
      </w:tr>
      <w:tr>
        <w:trPr>
          <w:trHeight w:val="275"/>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rPr>
              <w:t>seventh anniversary of the Date of Grant.</w:t>
            </w:r>
          </w:p>
        </w:tc>
      </w:tr>
      <w:tr>
        <w:trPr>
          <w:trHeight w:val="266"/>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w w:val="91"/>
              </w:rPr>
              <w:t>[____]of the Shares subject to the Option may be exercised following the</w:t>
            </w:r>
          </w:p>
        </w:tc>
      </w:tr>
      <w:tr>
        <w:trPr>
          <w:trHeight w:val="275"/>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rPr>
              <w:t>eighth anniversary of the Date of Grant.</w:t>
            </w:r>
          </w:p>
        </w:tc>
      </w:tr>
      <w:tr>
        <w:trPr>
          <w:trHeight w:val="266"/>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w w:val="91"/>
              </w:rPr>
              <w:t>[____]of the Shares subject to the Option may be exercised following the</w:t>
            </w:r>
          </w:p>
        </w:tc>
      </w:tr>
      <w:tr>
        <w:trPr>
          <w:trHeight w:val="275"/>
        </w:trPr>
        <w:tc>
          <w:tcPr>
            <w:tcW w:w="318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rPr>
              <w:t>ninth anniversary of the Date of Grant.</w:t>
            </w:r>
          </w:p>
        </w:tc>
      </w:tr>
      <w:tr>
        <w:trPr>
          <w:trHeight w:val="301"/>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Vesting Dates /Exercisability of</w:t>
            </w: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w w:val="91"/>
              </w:rPr>
              <w:t>[____]of the Shares subject to the Option may be exercised following the</w:t>
            </w:r>
          </w:p>
        </w:tc>
      </w:tr>
      <w:tr>
        <w:trPr>
          <w:trHeight w:val="288"/>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Option:</w:t>
            </w:r>
          </w:p>
        </w:tc>
        <w:tc>
          <w:tcPr>
            <w:tcW w:w="7380" w:type="dxa"/>
            <w:vAlign w:val="bottom"/>
            <w:tcBorders>
              <w:right w:val="single" w:sz="8" w:color="auto"/>
            </w:tcBorders>
          </w:tcPr>
          <w:p>
            <w:pPr>
              <w:ind w:left="900"/>
              <w:spacing w:after="0"/>
              <w:rPr>
                <w:sz w:val="20"/>
                <w:szCs w:val="20"/>
                <w:color w:val="auto"/>
              </w:rPr>
            </w:pPr>
            <w:r>
              <w:rPr>
                <w:rFonts w:ascii="Arial" w:cs="Arial" w:eastAsia="Arial" w:hAnsi="Arial"/>
                <w:sz w:val="22"/>
                <w:szCs w:val="22"/>
                <w:color w:val="auto"/>
              </w:rPr>
              <w:t>nine and one-half year anniversary of the Date of Grant.</w:t>
            </w: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222"/>
        </w:trPr>
        <w:tc>
          <w:tcPr>
            <w:tcW w:w="3180" w:type="dxa"/>
            <w:vAlign w:val="bottom"/>
            <w:tcBorders>
              <w:left w:val="single" w:sz="8" w:color="auto"/>
              <w:right w:val="single" w:sz="8" w:color="auto"/>
            </w:tcBorders>
          </w:tcPr>
          <w:p>
            <w:pPr>
              <w:spacing w:after="0"/>
              <w:rPr>
                <w:sz w:val="19"/>
                <w:szCs w:val="19"/>
                <w:color w:val="auto"/>
              </w:rPr>
            </w:pPr>
          </w:p>
        </w:tc>
        <w:tc>
          <w:tcPr>
            <w:tcW w:w="7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10 Years, except as otherwise provided in your Comcast Corporation Non-Qualified Option award</w:t>
            </w:r>
          </w:p>
        </w:tc>
      </w:tr>
      <w:tr>
        <w:trPr>
          <w:trHeight w:val="230"/>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Term:</w:t>
            </w:r>
          </w:p>
        </w:tc>
        <w:tc>
          <w:tcPr>
            <w:tcW w:w="7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document.</w:t>
            </w: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b w:val="1"/>
          <w:bCs w:val="1"/>
          <w:u w:val="single" w:color="auto"/>
          <w:color w:val="auto"/>
        </w:rPr>
        <w:t>Restricted Stock Unit Award</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1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Grantee:</w:t>
            </w:r>
          </w:p>
        </w:tc>
        <w:tc>
          <w:tcPr>
            <w:tcW w:w="6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[____]</w:t>
            </w:r>
          </w:p>
        </w:tc>
        <w:tc>
          <w:tcPr>
            <w:tcW w:w="0" w:type="dxa"/>
            <w:vAlign w:val="bottom"/>
          </w:tcPr>
          <w:p>
            <w:pPr>
              <w:spacing w:after="0"/>
              <w:rPr>
                <w:sz w:val="1"/>
                <w:szCs w:val="1"/>
                <w:color w:val="auto"/>
              </w:rPr>
            </w:pPr>
          </w:p>
        </w:tc>
      </w:tr>
      <w:tr>
        <w:trPr>
          <w:trHeight w:val="23"/>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Date of Grant:</w:t>
            </w:r>
          </w:p>
        </w:tc>
        <w:tc>
          <w:tcPr>
            <w:tcW w:w="6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[____]</w:t>
            </w:r>
          </w:p>
        </w:tc>
        <w:tc>
          <w:tcPr>
            <w:tcW w:w="0" w:type="dxa"/>
            <w:vAlign w:val="bottom"/>
          </w:tcPr>
          <w:p>
            <w:pPr>
              <w:spacing w:after="0"/>
              <w:rPr>
                <w:sz w:val="1"/>
                <w:szCs w:val="1"/>
                <w:color w:val="auto"/>
              </w:rPr>
            </w:pPr>
          </w:p>
        </w:tc>
      </w:tr>
      <w:tr>
        <w:trPr>
          <w:trHeight w:val="23"/>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Common Stock:</w:t>
            </w:r>
          </w:p>
        </w:tc>
        <w:tc>
          <w:tcPr>
            <w:tcW w:w="6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Comcast Corporation Class A Common Stock</w:t>
            </w:r>
          </w:p>
        </w:tc>
        <w:tc>
          <w:tcPr>
            <w:tcW w:w="0" w:type="dxa"/>
            <w:vAlign w:val="bottom"/>
          </w:tcPr>
          <w:p>
            <w:pPr>
              <w:spacing w:after="0"/>
              <w:rPr>
                <w:sz w:val="1"/>
                <w:szCs w:val="1"/>
                <w:color w:val="auto"/>
              </w:rPr>
            </w:pPr>
          </w:p>
        </w:tc>
      </w:tr>
      <w:tr>
        <w:trPr>
          <w:trHeight w:val="23"/>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Number of Restricted Stock Units</w:t>
            </w:r>
          </w:p>
        </w:tc>
        <w:tc>
          <w:tcPr>
            <w:tcW w:w="684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 xml:space="preserve">[____] </w:t>
            </w:r>
            <w:r>
              <w:rPr>
                <w:rFonts w:ascii="Arial" w:cs="Arial" w:eastAsia="Arial" w:hAnsi="Arial"/>
                <w:sz w:val="19"/>
                <w:szCs w:val="19"/>
                <w:color w:val="auto"/>
              </w:rPr>
              <w:t>at Tier Two Performance Goal ( the “Target Performance Goal”)</w:t>
            </w:r>
          </w:p>
        </w:tc>
        <w:tc>
          <w:tcPr>
            <w:tcW w:w="0" w:type="dxa"/>
            <w:vAlign w:val="bottom"/>
          </w:tcPr>
          <w:p>
            <w:pPr>
              <w:spacing w:after="0"/>
              <w:rPr>
                <w:sz w:val="1"/>
                <w:szCs w:val="1"/>
                <w:color w:val="auto"/>
              </w:rPr>
            </w:pPr>
          </w:p>
        </w:tc>
      </w:tr>
      <w:tr>
        <w:trPr>
          <w:trHeight w:val="285"/>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Granted:</w:t>
            </w:r>
          </w:p>
        </w:tc>
        <w:tc>
          <w:tcPr>
            <w:tcW w:w="6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xml:space="preserve">[____] </w:t>
            </w:r>
            <w:r>
              <w:rPr>
                <w:rFonts w:ascii="Arial" w:cs="Arial" w:eastAsia="Arial" w:hAnsi="Arial"/>
                <w:sz w:val="19"/>
                <w:szCs w:val="19"/>
                <w:color w:val="auto"/>
              </w:rPr>
              <w:t>at Tier Three Performance Goal</w:t>
            </w:r>
          </w:p>
        </w:tc>
        <w:tc>
          <w:tcPr>
            <w:tcW w:w="0" w:type="dxa"/>
            <w:vAlign w:val="bottom"/>
          </w:tcPr>
          <w:p>
            <w:pPr>
              <w:spacing w:after="0"/>
              <w:rPr>
                <w:sz w:val="1"/>
                <w:szCs w:val="1"/>
                <w:color w:val="auto"/>
              </w:rPr>
            </w:pPr>
          </w:p>
        </w:tc>
      </w:tr>
      <w:tr>
        <w:trPr>
          <w:trHeight w:val="361"/>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tcPr>
          <w:p>
            <w:pPr>
              <w:ind w:left="760"/>
              <w:spacing w:after="0"/>
              <w:rPr>
                <w:sz w:val="20"/>
                <w:szCs w:val="20"/>
                <w:color w:val="auto"/>
              </w:rPr>
            </w:pPr>
            <w:r>
              <w:rPr>
                <w:rFonts w:ascii="Arial" w:cs="Arial" w:eastAsia="Arial" w:hAnsi="Arial"/>
                <w:sz w:val="22"/>
                <w:szCs w:val="22"/>
                <w:color w:val="auto"/>
                <w:w w:val="94"/>
              </w:rPr>
              <w:t xml:space="preserve">[____] </w:t>
            </w:r>
            <w:r>
              <w:rPr>
                <w:rFonts w:ascii="Arial" w:cs="Arial" w:eastAsia="Arial" w:hAnsi="Arial"/>
                <w:sz w:val="19"/>
                <w:szCs w:val="19"/>
                <w:color w:val="auto"/>
                <w:w w:val="94"/>
              </w:rPr>
              <w:t>of the Restricted Stock Units, determined at the Target Performance</w:t>
            </w:r>
          </w:p>
        </w:tc>
        <w:tc>
          <w:tcPr>
            <w:tcW w:w="0" w:type="dxa"/>
            <w:vAlign w:val="bottom"/>
          </w:tcPr>
          <w:p>
            <w:pPr>
              <w:spacing w:after="0"/>
              <w:rPr>
                <w:sz w:val="1"/>
                <w:szCs w:val="1"/>
                <w:color w:val="auto"/>
              </w:rPr>
            </w:pPr>
          </w:p>
        </w:tc>
      </w:tr>
      <w:tr>
        <w:trPr>
          <w:trHeight w:val="250"/>
        </w:trPr>
        <w:tc>
          <w:tcPr>
            <w:tcW w:w="3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[___] RSUs</w:t>
            </w:r>
          </w:p>
        </w:tc>
        <w:tc>
          <w:tcPr>
            <w:tcW w:w="684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Goal.</w:t>
            </w:r>
          </w:p>
        </w:tc>
        <w:tc>
          <w:tcPr>
            <w:tcW w:w="0" w:type="dxa"/>
            <w:vAlign w:val="bottom"/>
          </w:tcPr>
          <w:p>
            <w:pPr>
              <w:spacing w:after="0"/>
              <w:rPr>
                <w:sz w:val="1"/>
                <w:szCs w:val="1"/>
                <w:color w:val="auto"/>
              </w:rPr>
            </w:pPr>
          </w:p>
        </w:tc>
      </w:tr>
      <w:tr>
        <w:trPr>
          <w:trHeight w:val="108"/>
        </w:trPr>
        <w:tc>
          <w:tcPr>
            <w:tcW w:w="3120" w:type="dxa"/>
            <w:vAlign w:val="bottom"/>
            <w:tcBorders>
              <w:left w:val="single" w:sz="8" w:color="auto"/>
              <w:right w:val="single" w:sz="8" w:color="auto"/>
            </w:tcBorders>
            <w:vMerge w:val="continue"/>
          </w:tcPr>
          <w:p>
            <w:pPr>
              <w:spacing w:after="0"/>
              <w:rPr>
                <w:sz w:val="9"/>
                <w:szCs w:val="9"/>
                <w:color w:val="auto"/>
              </w:rPr>
            </w:pPr>
          </w:p>
        </w:tc>
        <w:tc>
          <w:tcPr>
            <w:tcW w:w="6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5"/>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tcPr>
          <w:p>
            <w:pPr>
              <w:ind w:left="760"/>
              <w:spacing w:after="0"/>
              <w:rPr>
                <w:sz w:val="20"/>
                <w:szCs w:val="20"/>
                <w:color w:val="auto"/>
              </w:rPr>
            </w:pPr>
            <w:r>
              <w:rPr>
                <w:rFonts w:ascii="Arial" w:cs="Arial" w:eastAsia="Arial" w:hAnsi="Arial"/>
                <w:sz w:val="22"/>
                <w:szCs w:val="22"/>
                <w:color w:val="auto"/>
                <w:w w:val="95"/>
              </w:rPr>
              <w:t>[____]</w:t>
            </w:r>
            <w:r>
              <w:rPr>
                <w:rFonts w:ascii="Arial" w:cs="Arial" w:eastAsia="Arial" w:hAnsi="Arial"/>
                <w:sz w:val="19"/>
                <w:szCs w:val="19"/>
                <w:color w:val="auto"/>
                <w:w w:val="95"/>
              </w:rPr>
              <w:t>of the Restricted Stock Units, determined at the Target Performance</w:t>
            </w:r>
          </w:p>
        </w:tc>
        <w:tc>
          <w:tcPr>
            <w:tcW w:w="0" w:type="dxa"/>
            <w:vAlign w:val="bottom"/>
          </w:tcPr>
          <w:p>
            <w:pPr>
              <w:spacing w:after="0"/>
              <w:rPr>
                <w:sz w:val="1"/>
                <w:szCs w:val="1"/>
                <w:color w:val="auto"/>
              </w:rPr>
            </w:pPr>
          </w:p>
        </w:tc>
      </w:tr>
      <w:tr>
        <w:trPr>
          <w:trHeight w:val="250"/>
        </w:trPr>
        <w:tc>
          <w:tcPr>
            <w:tcW w:w="3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[___] RSUs</w:t>
            </w:r>
          </w:p>
        </w:tc>
        <w:tc>
          <w:tcPr>
            <w:tcW w:w="684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Goal.</w:t>
            </w:r>
          </w:p>
        </w:tc>
        <w:tc>
          <w:tcPr>
            <w:tcW w:w="0" w:type="dxa"/>
            <w:vAlign w:val="bottom"/>
          </w:tcPr>
          <w:p>
            <w:pPr>
              <w:spacing w:after="0"/>
              <w:rPr>
                <w:sz w:val="1"/>
                <w:szCs w:val="1"/>
                <w:color w:val="auto"/>
              </w:rPr>
            </w:pPr>
          </w:p>
        </w:tc>
      </w:tr>
      <w:tr>
        <w:trPr>
          <w:trHeight w:val="108"/>
        </w:trPr>
        <w:tc>
          <w:tcPr>
            <w:tcW w:w="3120" w:type="dxa"/>
            <w:vAlign w:val="bottom"/>
            <w:tcBorders>
              <w:left w:val="single" w:sz="8" w:color="auto"/>
              <w:right w:val="single" w:sz="8" w:color="auto"/>
            </w:tcBorders>
            <w:vMerge w:val="continue"/>
          </w:tcPr>
          <w:p>
            <w:pPr>
              <w:spacing w:after="0"/>
              <w:rPr>
                <w:sz w:val="9"/>
                <w:szCs w:val="9"/>
                <w:color w:val="auto"/>
              </w:rPr>
            </w:pPr>
          </w:p>
        </w:tc>
        <w:tc>
          <w:tcPr>
            <w:tcW w:w="6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5"/>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tcPr>
          <w:p>
            <w:pPr>
              <w:ind w:left="840"/>
              <w:spacing w:after="0"/>
              <w:rPr>
                <w:sz w:val="20"/>
                <w:szCs w:val="20"/>
                <w:color w:val="auto"/>
              </w:rPr>
            </w:pPr>
            <w:r>
              <w:rPr>
                <w:rFonts w:ascii="Arial" w:cs="Arial" w:eastAsia="Arial" w:hAnsi="Arial"/>
                <w:sz w:val="22"/>
                <w:szCs w:val="22"/>
                <w:color w:val="auto"/>
              </w:rPr>
              <w:t xml:space="preserve">[____] </w:t>
            </w:r>
            <w:r>
              <w:rPr>
                <w:rFonts w:ascii="Arial" w:cs="Arial" w:eastAsia="Arial" w:hAnsi="Arial"/>
                <w:sz w:val="19"/>
                <w:szCs w:val="19"/>
                <w:color w:val="auto"/>
              </w:rPr>
              <w:t>of the Restricted Stock Units, determined at the Target</w:t>
            </w:r>
          </w:p>
        </w:tc>
        <w:tc>
          <w:tcPr>
            <w:tcW w:w="0" w:type="dxa"/>
            <w:vAlign w:val="bottom"/>
          </w:tcPr>
          <w:p>
            <w:pPr>
              <w:spacing w:after="0"/>
              <w:rPr>
                <w:sz w:val="1"/>
                <w:szCs w:val="1"/>
                <w:color w:val="auto"/>
              </w:rPr>
            </w:pPr>
          </w:p>
        </w:tc>
      </w:tr>
      <w:tr>
        <w:trPr>
          <w:trHeight w:val="250"/>
        </w:trPr>
        <w:tc>
          <w:tcPr>
            <w:tcW w:w="3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[___] RSUs</w:t>
            </w:r>
          </w:p>
        </w:tc>
        <w:tc>
          <w:tcPr>
            <w:tcW w:w="684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Performance Goal.</w:t>
            </w:r>
          </w:p>
        </w:tc>
        <w:tc>
          <w:tcPr>
            <w:tcW w:w="0" w:type="dxa"/>
            <w:vAlign w:val="bottom"/>
          </w:tcPr>
          <w:p>
            <w:pPr>
              <w:spacing w:after="0"/>
              <w:rPr>
                <w:sz w:val="1"/>
                <w:szCs w:val="1"/>
                <w:color w:val="auto"/>
              </w:rPr>
            </w:pPr>
          </w:p>
        </w:tc>
      </w:tr>
      <w:tr>
        <w:trPr>
          <w:trHeight w:val="108"/>
        </w:trPr>
        <w:tc>
          <w:tcPr>
            <w:tcW w:w="3120" w:type="dxa"/>
            <w:vAlign w:val="bottom"/>
            <w:tcBorders>
              <w:left w:val="single" w:sz="8" w:color="auto"/>
              <w:right w:val="single" w:sz="8" w:color="auto"/>
            </w:tcBorders>
            <w:vMerge w:val="continue"/>
          </w:tcPr>
          <w:p>
            <w:pPr>
              <w:spacing w:after="0"/>
              <w:rPr>
                <w:sz w:val="9"/>
                <w:szCs w:val="9"/>
                <w:color w:val="auto"/>
              </w:rPr>
            </w:pPr>
          </w:p>
        </w:tc>
        <w:tc>
          <w:tcPr>
            <w:tcW w:w="6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5"/>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tcPr>
          <w:p>
            <w:pPr>
              <w:ind w:left="760"/>
              <w:spacing w:after="0"/>
              <w:rPr>
                <w:sz w:val="20"/>
                <w:szCs w:val="20"/>
                <w:color w:val="auto"/>
              </w:rPr>
            </w:pPr>
            <w:r>
              <w:rPr>
                <w:rFonts w:ascii="Arial" w:cs="Arial" w:eastAsia="Arial" w:hAnsi="Arial"/>
                <w:sz w:val="22"/>
                <w:szCs w:val="22"/>
                <w:color w:val="auto"/>
                <w:w w:val="94"/>
              </w:rPr>
              <w:t xml:space="preserve">[____] </w:t>
            </w:r>
            <w:r>
              <w:rPr>
                <w:rFonts w:ascii="Arial" w:cs="Arial" w:eastAsia="Arial" w:hAnsi="Arial"/>
                <w:sz w:val="19"/>
                <w:szCs w:val="19"/>
                <w:color w:val="auto"/>
                <w:w w:val="94"/>
              </w:rPr>
              <w:t>of the Restricted Stock Units, determined at the Target Performance</w:t>
            </w:r>
          </w:p>
        </w:tc>
        <w:tc>
          <w:tcPr>
            <w:tcW w:w="0" w:type="dxa"/>
            <w:vAlign w:val="bottom"/>
          </w:tcPr>
          <w:p>
            <w:pPr>
              <w:spacing w:after="0"/>
              <w:rPr>
                <w:sz w:val="1"/>
                <w:szCs w:val="1"/>
                <w:color w:val="auto"/>
              </w:rPr>
            </w:pPr>
          </w:p>
        </w:tc>
      </w:tr>
      <w:tr>
        <w:trPr>
          <w:trHeight w:val="250"/>
        </w:trPr>
        <w:tc>
          <w:tcPr>
            <w:tcW w:w="3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[___] RSUs</w:t>
            </w:r>
          </w:p>
        </w:tc>
        <w:tc>
          <w:tcPr>
            <w:tcW w:w="684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Goal.</w:t>
            </w:r>
          </w:p>
        </w:tc>
        <w:tc>
          <w:tcPr>
            <w:tcW w:w="0" w:type="dxa"/>
            <w:vAlign w:val="bottom"/>
          </w:tcPr>
          <w:p>
            <w:pPr>
              <w:spacing w:after="0"/>
              <w:rPr>
                <w:sz w:val="1"/>
                <w:szCs w:val="1"/>
                <w:color w:val="auto"/>
              </w:rPr>
            </w:pPr>
          </w:p>
        </w:tc>
      </w:tr>
      <w:tr>
        <w:trPr>
          <w:trHeight w:val="108"/>
        </w:trPr>
        <w:tc>
          <w:tcPr>
            <w:tcW w:w="3120" w:type="dxa"/>
            <w:vAlign w:val="bottom"/>
            <w:tcBorders>
              <w:left w:val="single" w:sz="8" w:color="auto"/>
              <w:right w:val="single" w:sz="8" w:color="auto"/>
            </w:tcBorders>
            <w:vMerge w:val="continue"/>
          </w:tcPr>
          <w:p>
            <w:pPr>
              <w:spacing w:after="0"/>
              <w:rPr>
                <w:sz w:val="9"/>
                <w:szCs w:val="9"/>
                <w:color w:val="auto"/>
              </w:rPr>
            </w:pPr>
          </w:p>
        </w:tc>
        <w:tc>
          <w:tcPr>
            <w:tcW w:w="6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5"/>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tcPr>
          <w:p>
            <w:pPr>
              <w:ind w:left="760"/>
              <w:spacing w:after="0"/>
              <w:rPr>
                <w:sz w:val="20"/>
                <w:szCs w:val="20"/>
                <w:color w:val="auto"/>
              </w:rPr>
            </w:pPr>
            <w:r>
              <w:rPr>
                <w:rFonts w:ascii="Arial" w:cs="Arial" w:eastAsia="Arial" w:hAnsi="Arial"/>
                <w:sz w:val="22"/>
                <w:szCs w:val="22"/>
                <w:color w:val="auto"/>
                <w:w w:val="94"/>
              </w:rPr>
              <w:t xml:space="preserve">[____] </w:t>
            </w:r>
            <w:r>
              <w:rPr>
                <w:rFonts w:ascii="Arial" w:cs="Arial" w:eastAsia="Arial" w:hAnsi="Arial"/>
                <w:sz w:val="19"/>
                <w:szCs w:val="19"/>
                <w:color w:val="auto"/>
                <w:w w:val="94"/>
              </w:rPr>
              <w:t>of the Restricted Stock Units, determined at the Target Performance</w:t>
            </w:r>
          </w:p>
        </w:tc>
        <w:tc>
          <w:tcPr>
            <w:tcW w:w="0" w:type="dxa"/>
            <w:vAlign w:val="bottom"/>
          </w:tcPr>
          <w:p>
            <w:pPr>
              <w:spacing w:after="0"/>
              <w:rPr>
                <w:sz w:val="1"/>
                <w:szCs w:val="1"/>
                <w:color w:val="auto"/>
              </w:rPr>
            </w:pPr>
          </w:p>
        </w:tc>
      </w:tr>
      <w:tr>
        <w:trPr>
          <w:trHeight w:val="250"/>
        </w:trPr>
        <w:tc>
          <w:tcPr>
            <w:tcW w:w="3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[___] RSUs</w:t>
            </w:r>
          </w:p>
        </w:tc>
        <w:tc>
          <w:tcPr>
            <w:tcW w:w="684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Goal.</w:t>
            </w:r>
          </w:p>
        </w:tc>
        <w:tc>
          <w:tcPr>
            <w:tcW w:w="0" w:type="dxa"/>
            <w:vAlign w:val="bottom"/>
          </w:tcPr>
          <w:p>
            <w:pPr>
              <w:spacing w:after="0"/>
              <w:rPr>
                <w:sz w:val="1"/>
                <w:szCs w:val="1"/>
                <w:color w:val="auto"/>
              </w:rPr>
            </w:pPr>
          </w:p>
        </w:tc>
      </w:tr>
      <w:tr>
        <w:trPr>
          <w:trHeight w:val="108"/>
        </w:trPr>
        <w:tc>
          <w:tcPr>
            <w:tcW w:w="3120" w:type="dxa"/>
            <w:vAlign w:val="bottom"/>
            <w:tcBorders>
              <w:left w:val="single" w:sz="8" w:color="auto"/>
              <w:right w:val="single" w:sz="8" w:color="auto"/>
            </w:tcBorders>
            <w:vMerge w:val="continue"/>
          </w:tcPr>
          <w:p>
            <w:pPr>
              <w:spacing w:after="0"/>
              <w:rPr>
                <w:sz w:val="9"/>
                <w:szCs w:val="9"/>
                <w:color w:val="auto"/>
              </w:rPr>
            </w:pPr>
          </w:p>
        </w:tc>
        <w:tc>
          <w:tcPr>
            <w:tcW w:w="6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69" w:right="1440" w:bottom="1440" w:gutter="0" w:footer="0" w:header="0"/>
        </w:sectPr>
      </w:pPr>
    </w:p>
    <w:bookmarkStart w:id="74" w:name="page75"/>
    <w:bookmarkEnd w:id="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1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Vesting Dates and Vesting</w:t>
            </w:r>
          </w:p>
        </w:tc>
        <w:tc>
          <w:tcPr>
            <w:tcW w:w="6840" w:type="dxa"/>
            <w:vAlign w:val="bottom"/>
            <w:tcBorders>
              <w:top w:val="single" w:sz="8" w:color="auto"/>
              <w:right w:val="single" w:sz="8" w:color="auto"/>
            </w:tcBorders>
            <w:gridSpan w:val="4"/>
            <w:vMerge w:val="restart"/>
          </w:tcPr>
          <w:p>
            <w:pPr>
              <w:ind w:left="20"/>
              <w:spacing w:after="0"/>
              <w:rPr>
                <w:sz w:val="20"/>
                <w:szCs w:val="20"/>
                <w:color w:val="auto"/>
              </w:rPr>
            </w:pPr>
            <w:r>
              <w:rPr>
                <w:rFonts w:ascii="Arial" w:cs="Arial" w:eastAsia="Arial" w:hAnsi="Arial"/>
                <w:sz w:val="20"/>
                <w:szCs w:val="20"/>
                <w:color w:val="auto"/>
              </w:rPr>
              <w:t>The vesting percentage for any year shall be mathematically interpolated for</w:t>
            </w:r>
          </w:p>
        </w:tc>
        <w:tc>
          <w:tcPr>
            <w:tcW w:w="0" w:type="dxa"/>
            <w:vAlign w:val="bottom"/>
          </w:tcPr>
          <w:p>
            <w:pPr>
              <w:spacing w:after="0"/>
              <w:rPr>
                <w:sz w:val="1"/>
                <w:szCs w:val="1"/>
                <w:color w:val="auto"/>
              </w:rPr>
            </w:pPr>
          </w:p>
        </w:tc>
      </w:tr>
      <w:tr>
        <w:trPr>
          <w:trHeight w:val="108"/>
        </w:trPr>
        <w:tc>
          <w:tcPr>
            <w:tcW w:w="3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Percentages of Restricted Stock</w:t>
            </w:r>
          </w:p>
        </w:tc>
        <w:tc>
          <w:tcPr>
            <w:tcW w:w="684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120" w:type="dxa"/>
            <w:vAlign w:val="bottom"/>
            <w:tcBorders>
              <w:left w:val="single" w:sz="8" w:color="auto"/>
              <w:right w:val="single" w:sz="8" w:color="auto"/>
            </w:tcBorders>
            <w:vMerge w:val="continue"/>
          </w:tcPr>
          <w:p>
            <w:pPr>
              <w:spacing w:after="0"/>
              <w:rPr>
                <w:sz w:val="10"/>
                <w:szCs w:val="10"/>
                <w:color w:val="auto"/>
              </w:rPr>
            </w:pPr>
          </w:p>
        </w:tc>
        <w:tc>
          <w:tcPr>
            <w:tcW w:w="6840" w:type="dxa"/>
            <w:vAlign w:val="bottom"/>
            <w:tcBorders>
              <w:right w:val="single" w:sz="8" w:color="auto"/>
            </w:tcBorders>
            <w:gridSpan w:val="4"/>
            <w:vMerge w:val="restart"/>
          </w:tcPr>
          <w:p>
            <w:pPr>
              <w:ind w:left="20"/>
              <w:spacing w:after="0"/>
              <w:rPr>
                <w:sz w:val="20"/>
                <w:szCs w:val="20"/>
                <w:color w:val="auto"/>
              </w:rPr>
            </w:pPr>
            <w:r>
              <w:rPr>
                <w:rFonts w:ascii="Arial" w:cs="Arial" w:eastAsia="Arial" w:hAnsi="Arial"/>
                <w:sz w:val="20"/>
                <w:szCs w:val="20"/>
                <w:color w:val="auto"/>
              </w:rPr>
              <w:t>achievement between:</w:t>
            </w:r>
          </w:p>
        </w:tc>
        <w:tc>
          <w:tcPr>
            <w:tcW w:w="0" w:type="dxa"/>
            <w:vAlign w:val="bottom"/>
          </w:tcPr>
          <w:p>
            <w:pPr>
              <w:spacing w:after="0"/>
              <w:rPr>
                <w:sz w:val="1"/>
                <w:szCs w:val="1"/>
                <w:color w:val="auto"/>
              </w:rPr>
            </w:pPr>
          </w:p>
        </w:tc>
      </w:tr>
      <w:tr>
        <w:trPr>
          <w:trHeight w:val="129"/>
        </w:trPr>
        <w:tc>
          <w:tcPr>
            <w:tcW w:w="3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Units:</w:t>
            </w:r>
          </w:p>
        </w:tc>
        <w:tc>
          <w:tcPr>
            <w:tcW w:w="6840" w:type="dxa"/>
            <w:vAlign w:val="bottom"/>
            <w:tcBorders>
              <w:right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120" w:type="dxa"/>
            <w:vAlign w:val="bottom"/>
            <w:tcBorders>
              <w:left w:val="single" w:sz="8" w:color="auto"/>
              <w:right w:val="single" w:sz="8" w:color="auto"/>
            </w:tcBorders>
            <w:vMerge w:val="continue"/>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91"/>
              </w:rPr>
              <w:t>-- the lowest performance level of the Tier One Performance Goal ([___]% year over</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right w:val="single" w:sz="8" w:color="auto"/>
            </w:tcBorders>
          </w:tcPr>
          <w:p>
            <w:pPr>
              <w:spacing w:after="0"/>
              <w:rPr>
                <w:sz w:val="19"/>
                <w:szCs w:val="19"/>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93"/>
              </w:rPr>
              <w:t>year increase in Adjusted EBITDA) and the lowest level of achievement of the Tier</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right w:val="single" w:sz="8" w:color="auto"/>
            </w:tcBorders>
          </w:tcPr>
          <w:p>
            <w:pPr>
              <w:spacing w:after="0"/>
              <w:rPr>
                <w:sz w:val="19"/>
                <w:szCs w:val="19"/>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92"/>
              </w:rPr>
              <w:t>Two Performance Goal ([___]% year over year increase in Adjusted EBITDA). The</w:t>
            </w:r>
          </w:p>
        </w:tc>
        <w:tc>
          <w:tcPr>
            <w:tcW w:w="0" w:type="dxa"/>
            <w:vAlign w:val="bottom"/>
          </w:tcPr>
          <w:p>
            <w:pPr>
              <w:spacing w:after="0"/>
              <w:rPr>
                <w:sz w:val="1"/>
                <w:szCs w:val="1"/>
                <w:color w:val="auto"/>
              </w:rPr>
            </w:pPr>
          </w:p>
        </w:tc>
      </w:tr>
      <w:tr>
        <w:trPr>
          <w:trHeight w:val="250"/>
        </w:trPr>
        <w:tc>
          <w:tcPr>
            <w:tcW w:w="3120" w:type="dxa"/>
            <w:vAlign w:val="bottom"/>
            <w:tcBorders>
              <w:left w:val="single" w:sz="8" w:color="auto"/>
              <w:right w:val="single" w:sz="8" w:color="auto"/>
            </w:tcBorders>
          </w:tcPr>
          <w:p>
            <w:pPr>
              <w:spacing w:after="0"/>
              <w:rPr>
                <w:sz w:val="21"/>
                <w:szCs w:val="21"/>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interpolation of vesting shall range from [___]% to [___]%;</w:t>
            </w:r>
          </w:p>
        </w:tc>
        <w:tc>
          <w:tcPr>
            <w:tcW w:w="0" w:type="dxa"/>
            <w:vAlign w:val="bottom"/>
          </w:tcPr>
          <w:p>
            <w:pPr>
              <w:spacing w:after="0"/>
              <w:rPr>
                <w:sz w:val="1"/>
                <w:szCs w:val="1"/>
                <w:color w:val="auto"/>
              </w:rPr>
            </w:pPr>
          </w:p>
        </w:tc>
      </w:tr>
      <w:tr>
        <w:trPr>
          <w:trHeight w:val="425"/>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95"/>
              </w:rPr>
              <w:t>-- the highest performance level of the Tier Two Performance Goal ([___]% year</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right w:val="single" w:sz="8" w:color="auto"/>
            </w:tcBorders>
          </w:tcPr>
          <w:p>
            <w:pPr>
              <w:spacing w:after="0"/>
              <w:rPr>
                <w:sz w:val="19"/>
                <w:szCs w:val="19"/>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95"/>
              </w:rPr>
              <w:t>over year increase in Adjusted EBITDA) and the lowest performance level of the</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right w:val="single" w:sz="8" w:color="auto"/>
            </w:tcBorders>
          </w:tcPr>
          <w:p>
            <w:pPr>
              <w:spacing w:after="0"/>
              <w:rPr>
                <w:sz w:val="19"/>
                <w:szCs w:val="19"/>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91"/>
              </w:rPr>
              <w:t>Tier Three Performance Goal ([___]% year over year increase in Adjusted EBITDA)</w:t>
            </w:r>
          </w:p>
        </w:tc>
        <w:tc>
          <w:tcPr>
            <w:tcW w:w="0" w:type="dxa"/>
            <w:vAlign w:val="bottom"/>
          </w:tcPr>
          <w:p>
            <w:pPr>
              <w:spacing w:after="0"/>
              <w:rPr>
                <w:sz w:val="1"/>
                <w:szCs w:val="1"/>
                <w:color w:val="auto"/>
              </w:rPr>
            </w:pPr>
          </w:p>
        </w:tc>
      </w:tr>
      <w:tr>
        <w:trPr>
          <w:trHeight w:val="250"/>
        </w:trPr>
        <w:tc>
          <w:tcPr>
            <w:tcW w:w="3120" w:type="dxa"/>
            <w:vAlign w:val="bottom"/>
            <w:tcBorders>
              <w:left w:val="single" w:sz="8" w:color="auto"/>
              <w:right w:val="single" w:sz="8" w:color="auto"/>
            </w:tcBorders>
          </w:tcPr>
          <w:p>
            <w:pPr>
              <w:spacing w:after="0"/>
              <w:rPr>
                <w:sz w:val="21"/>
                <w:szCs w:val="21"/>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interpolation of vesting shall range from 100% to 125%.</w:t>
            </w:r>
          </w:p>
        </w:tc>
        <w:tc>
          <w:tcPr>
            <w:tcW w:w="0" w:type="dxa"/>
            <w:vAlign w:val="bottom"/>
          </w:tcPr>
          <w:p>
            <w:pPr>
              <w:spacing w:after="0"/>
              <w:rPr>
                <w:sz w:val="1"/>
                <w:szCs w:val="1"/>
                <w:color w:val="auto"/>
              </w:rPr>
            </w:pPr>
          </w:p>
        </w:tc>
      </w:tr>
      <w:tr>
        <w:trPr>
          <w:trHeight w:val="446"/>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Fractional results shall be rounded to next lower full Share.</w:t>
            </w:r>
          </w:p>
        </w:tc>
        <w:tc>
          <w:tcPr>
            <w:tcW w:w="0" w:type="dxa"/>
            <w:vAlign w:val="bottom"/>
          </w:tcPr>
          <w:p>
            <w:pPr>
              <w:spacing w:after="0"/>
              <w:rPr>
                <w:sz w:val="1"/>
                <w:szCs w:val="1"/>
                <w:color w:val="auto"/>
              </w:rPr>
            </w:pPr>
          </w:p>
        </w:tc>
      </w:tr>
      <w:tr>
        <w:trPr>
          <w:trHeight w:val="401"/>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(1) [___] RSUs: On [___]:</w:t>
            </w:r>
          </w:p>
        </w:tc>
        <w:tc>
          <w:tcPr>
            <w:tcW w:w="0" w:type="dxa"/>
            <w:vAlign w:val="bottom"/>
          </w:tcPr>
          <w:p>
            <w:pPr>
              <w:spacing w:after="0"/>
              <w:rPr>
                <w:sz w:val="1"/>
                <w:szCs w:val="1"/>
                <w:color w:val="auto"/>
              </w:rPr>
            </w:pPr>
          </w:p>
        </w:tc>
      </w:tr>
      <w:tr>
        <w:trPr>
          <w:trHeight w:val="20"/>
        </w:trPr>
        <w:tc>
          <w:tcPr>
            <w:tcW w:w="3120" w:type="dxa"/>
            <w:vAlign w:val="bottom"/>
            <w:tcBorders>
              <w:left w:val="single" w:sz="8" w:color="auto"/>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0" w:type="dxa"/>
            <w:vAlign w:val="bottom"/>
            <w:tcBorders>
              <w:left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One Performance Goal is satisfied;</w:t>
            </w:r>
          </w:p>
        </w:tc>
        <w:tc>
          <w:tcPr>
            <w:tcW w:w="0" w:type="dxa"/>
            <w:vAlign w:val="bottom"/>
          </w:tcPr>
          <w:p>
            <w:pPr>
              <w:spacing w:after="0"/>
              <w:rPr>
                <w:sz w:val="1"/>
                <w:szCs w:val="1"/>
                <w:color w:val="auto"/>
              </w:rPr>
            </w:pPr>
          </w:p>
        </w:tc>
      </w:tr>
      <w:tr>
        <w:trPr>
          <w:trHeight w:val="338"/>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Two Performance Goal is satisfied;</w:t>
            </w:r>
          </w:p>
        </w:tc>
        <w:tc>
          <w:tcPr>
            <w:tcW w:w="0" w:type="dxa"/>
            <w:vAlign w:val="bottom"/>
          </w:tcPr>
          <w:p>
            <w:pPr>
              <w:spacing w:after="0"/>
              <w:rPr>
                <w:sz w:val="1"/>
                <w:szCs w:val="1"/>
                <w:color w:val="auto"/>
              </w:rPr>
            </w:pPr>
          </w:p>
        </w:tc>
      </w:tr>
      <w:tr>
        <w:trPr>
          <w:trHeight w:val="338"/>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Three Performance Goal is satisfied.</w:t>
            </w:r>
          </w:p>
        </w:tc>
        <w:tc>
          <w:tcPr>
            <w:tcW w:w="0" w:type="dxa"/>
            <w:vAlign w:val="bottom"/>
          </w:tcPr>
          <w:p>
            <w:pPr>
              <w:spacing w:after="0"/>
              <w:rPr>
                <w:sz w:val="1"/>
                <w:szCs w:val="1"/>
                <w:color w:val="auto"/>
              </w:rPr>
            </w:pPr>
          </w:p>
        </w:tc>
      </w:tr>
      <w:tr>
        <w:trPr>
          <w:trHeight w:val="293"/>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94"/>
              </w:rPr>
              <w:t>(2) [___] RSUs: On [___], the greater of the vesting percentage as determined for</w:t>
            </w:r>
          </w:p>
        </w:tc>
        <w:tc>
          <w:tcPr>
            <w:tcW w:w="0" w:type="dxa"/>
            <w:vAlign w:val="bottom"/>
          </w:tcPr>
          <w:p>
            <w:pPr>
              <w:spacing w:after="0"/>
              <w:rPr>
                <w:sz w:val="1"/>
                <w:szCs w:val="1"/>
                <w:color w:val="auto"/>
              </w:rPr>
            </w:pPr>
          </w:p>
        </w:tc>
      </w:tr>
      <w:tr>
        <w:trPr>
          <w:trHeight w:val="20"/>
        </w:trPr>
        <w:tc>
          <w:tcPr>
            <w:tcW w:w="3120" w:type="dxa"/>
            <w:vAlign w:val="bottom"/>
            <w:tcBorders>
              <w:left w:val="single" w:sz="8" w:color="auto"/>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120" w:type="dxa"/>
            <w:vAlign w:val="bottom"/>
            <w:tcBorders>
              <w:left w:val="single" w:sz="8" w:color="auto"/>
              <w:right w:val="single" w:sz="8" w:color="auto"/>
            </w:tcBorders>
          </w:tcPr>
          <w:p>
            <w:pPr>
              <w:spacing w:after="0"/>
              <w:rPr>
                <w:sz w:val="22"/>
                <w:szCs w:val="22"/>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RSUs, or</w:t>
            </w:r>
          </w:p>
        </w:tc>
        <w:tc>
          <w:tcPr>
            <w:tcW w:w="0" w:type="dxa"/>
            <w:vAlign w:val="bottom"/>
          </w:tcPr>
          <w:p>
            <w:pPr>
              <w:spacing w:after="0"/>
              <w:rPr>
                <w:sz w:val="1"/>
                <w:szCs w:val="1"/>
                <w:color w:val="auto"/>
              </w:rPr>
            </w:pPr>
          </w:p>
        </w:tc>
      </w:tr>
      <w:tr>
        <w:trPr>
          <w:trHeight w:val="338"/>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One Performance Goal is satisfied;</w:t>
            </w:r>
          </w:p>
        </w:tc>
        <w:tc>
          <w:tcPr>
            <w:tcW w:w="0" w:type="dxa"/>
            <w:vAlign w:val="bottom"/>
          </w:tcPr>
          <w:p>
            <w:pPr>
              <w:spacing w:after="0"/>
              <w:rPr>
                <w:sz w:val="1"/>
                <w:szCs w:val="1"/>
                <w:color w:val="auto"/>
              </w:rPr>
            </w:pPr>
          </w:p>
        </w:tc>
      </w:tr>
      <w:tr>
        <w:trPr>
          <w:trHeight w:val="338"/>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Two Performance Goal is satisfied;</w:t>
            </w:r>
          </w:p>
        </w:tc>
        <w:tc>
          <w:tcPr>
            <w:tcW w:w="0" w:type="dxa"/>
            <w:vAlign w:val="bottom"/>
          </w:tcPr>
          <w:p>
            <w:pPr>
              <w:spacing w:after="0"/>
              <w:rPr>
                <w:sz w:val="1"/>
                <w:szCs w:val="1"/>
                <w:color w:val="auto"/>
              </w:rPr>
            </w:pPr>
          </w:p>
        </w:tc>
      </w:tr>
      <w:tr>
        <w:trPr>
          <w:trHeight w:val="338"/>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Three Performance Goal is satisfied.</w:t>
            </w:r>
          </w:p>
        </w:tc>
        <w:tc>
          <w:tcPr>
            <w:tcW w:w="0" w:type="dxa"/>
            <w:vAlign w:val="bottom"/>
          </w:tcPr>
          <w:p>
            <w:pPr>
              <w:spacing w:after="0"/>
              <w:rPr>
                <w:sz w:val="1"/>
                <w:szCs w:val="1"/>
                <w:color w:val="auto"/>
              </w:rPr>
            </w:pPr>
          </w:p>
        </w:tc>
      </w:tr>
      <w:tr>
        <w:trPr>
          <w:trHeight w:val="293"/>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(3) [___] RSUs</w:t>
            </w:r>
          </w:p>
        </w:tc>
        <w:tc>
          <w:tcPr>
            <w:tcW w:w="0" w:type="dxa"/>
            <w:vAlign w:val="bottom"/>
          </w:tcPr>
          <w:p>
            <w:pPr>
              <w:spacing w:after="0"/>
              <w:rPr>
                <w:sz w:val="1"/>
                <w:szCs w:val="1"/>
                <w:color w:val="auto"/>
              </w:rPr>
            </w:pPr>
          </w:p>
        </w:tc>
      </w:tr>
      <w:tr>
        <w:trPr>
          <w:trHeight w:val="20"/>
        </w:trPr>
        <w:tc>
          <w:tcPr>
            <w:tcW w:w="3120" w:type="dxa"/>
            <w:vAlign w:val="bottom"/>
            <w:tcBorders>
              <w:left w:val="single" w:sz="8" w:color="auto"/>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89"/>
              </w:rPr>
              <w:t>On March [___], the greater of the vesting percentages as determined for [___] RSUs</w:t>
            </w:r>
          </w:p>
        </w:tc>
        <w:tc>
          <w:tcPr>
            <w:tcW w:w="0" w:type="dxa"/>
            <w:vAlign w:val="bottom"/>
          </w:tcPr>
          <w:p>
            <w:pPr>
              <w:spacing w:after="0"/>
              <w:rPr>
                <w:sz w:val="1"/>
                <w:szCs w:val="1"/>
                <w:color w:val="auto"/>
              </w:rPr>
            </w:pPr>
          </w:p>
        </w:tc>
      </w:tr>
      <w:tr>
        <w:trPr>
          <w:trHeight w:val="250"/>
        </w:trPr>
        <w:tc>
          <w:tcPr>
            <w:tcW w:w="3120" w:type="dxa"/>
            <w:vAlign w:val="bottom"/>
            <w:tcBorders>
              <w:left w:val="single" w:sz="8" w:color="auto"/>
              <w:right w:val="single" w:sz="8" w:color="auto"/>
            </w:tcBorders>
          </w:tcPr>
          <w:p>
            <w:pPr>
              <w:spacing w:after="0"/>
              <w:rPr>
                <w:sz w:val="21"/>
                <w:szCs w:val="21"/>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or:</w:t>
            </w:r>
          </w:p>
        </w:tc>
        <w:tc>
          <w:tcPr>
            <w:tcW w:w="0" w:type="dxa"/>
            <w:vAlign w:val="bottom"/>
          </w:tcPr>
          <w:p>
            <w:pPr>
              <w:spacing w:after="0"/>
              <w:rPr>
                <w:sz w:val="1"/>
                <w:szCs w:val="1"/>
                <w:color w:val="auto"/>
              </w:rPr>
            </w:pPr>
          </w:p>
        </w:tc>
      </w:tr>
      <w:tr>
        <w:trPr>
          <w:trHeight w:val="338"/>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One Performance Goal is satisfied;</w:t>
            </w:r>
          </w:p>
        </w:tc>
        <w:tc>
          <w:tcPr>
            <w:tcW w:w="0" w:type="dxa"/>
            <w:vAlign w:val="bottom"/>
          </w:tcPr>
          <w:p>
            <w:pPr>
              <w:spacing w:after="0"/>
              <w:rPr>
                <w:sz w:val="1"/>
                <w:szCs w:val="1"/>
                <w:color w:val="auto"/>
              </w:rPr>
            </w:pPr>
          </w:p>
        </w:tc>
      </w:tr>
      <w:tr>
        <w:trPr>
          <w:trHeight w:val="338"/>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Two Performance Goal is satisfied;</w:t>
            </w:r>
          </w:p>
        </w:tc>
        <w:tc>
          <w:tcPr>
            <w:tcW w:w="0" w:type="dxa"/>
            <w:vAlign w:val="bottom"/>
          </w:tcPr>
          <w:p>
            <w:pPr>
              <w:spacing w:after="0"/>
              <w:rPr>
                <w:sz w:val="1"/>
                <w:szCs w:val="1"/>
                <w:color w:val="auto"/>
              </w:rPr>
            </w:pPr>
          </w:p>
        </w:tc>
      </w:tr>
      <w:tr>
        <w:trPr>
          <w:trHeight w:val="338"/>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Three Performance Goal is satisfied.</w:t>
            </w:r>
          </w:p>
        </w:tc>
        <w:tc>
          <w:tcPr>
            <w:tcW w:w="0" w:type="dxa"/>
            <w:vAlign w:val="bottom"/>
          </w:tcPr>
          <w:p>
            <w:pPr>
              <w:spacing w:after="0"/>
              <w:rPr>
                <w:sz w:val="1"/>
                <w:szCs w:val="1"/>
                <w:color w:val="auto"/>
              </w:rPr>
            </w:pPr>
          </w:p>
        </w:tc>
      </w:tr>
      <w:tr>
        <w:trPr>
          <w:trHeight w:val="293"/>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(4) [___] RSUs</w:t>
            </w:r>
          </w:p>
        </w:tc>
        <w:tc>
          <w:tcPr>
            <w:tcW w:w="0" w:type="dxa"/>
            <w:vAlign w:val="bottom"/>
          </w:tcPr>
          <w:p>
            <w:pPr>
              <w:spacing w:after="0"/>
              <w:rPr>
                <w:sz w:val="1"/>
                <w:szCs w:val="1"/>
                <w:color w:val="auto"/>
              </w:rPr>
            </w:pPr>
          </w:p>
        </w:tc>
      </w:tr>
      <w:tr>
        <w:trPr>
          <w:trHeight w:val="20"/>
        </w:trPr>
        <w:tc>
          <w:tcPr>
            <w:tcW w:w="3120" w:type="dxa"/>
            <w:vAlign w:val="bottom"/>
            <w:tcBorders>
              <w:left w:val="single" w:sz="8" w:color="auto"/>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94"/>
              </w:rPr>
              <w:t>On [___], the greater of the vesting percentages as determined for [___] RSUs or</w:t>
            </w:r>
          </w:p>
        </w:tc>
        <w:tc>
          <w:tcPr>
            <w:tcW w:w="0" w:type="dxa"/>
            <w:vAlign w:val="bottom"/>
          </w:tcPr>
          <w:p>
            <w:pPr>
              <w:spacing w:after="0"/>
              <w:rPr>
                <w:sz w:val="1"/>
                <w:szCs w:val="1"/>
                <w:color w:val="auto"/>
              </w:rPr>
            </w:pPr>
          </w:p>
        </w:tc>
      </w:tr>
      <w:tr>
        <w:trPr>
          <w:trHeight w:val="338"/>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One Performance Goal is satisfied;</w:t>
            </w:r>
          </w:p>
        </w:tc>
        <w:tc>
          <w:tcPr>
            <w:tcW w:w="0" w:type="dxa"/>
            <w:vAlign w:val="bottom"/>
          </w:tcPr>
          <w:p>
            <w:pPr>
              <w:spacing w:after="0"/>
              <w:rPr>
                <w:sz w:val="1"/>
                <w:szCs w:val="1"/>
                <w:color w:val="auto"/>
              </w:rPr>
            </w:pPr>
          </w:p>
        </w:tc>
      </w:tr>
      <w:tr>
        <w:trPr>
          <w:trHeight w:val="338"/>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Two Performance Goal is satisfied;</w:t>
            </w:r>
          </w:p>
        </w:tc>
        <w:tc>
          <w:tcPr>
            <w:tcW w:w="0" w:type="dxa"/>
            <w:vAlign w:val="bottom"/>
          </w:tcPr>
          <w:p>
            <w:pPr>
              <w:spacing w:after="0"/>
              <w:rPr>
                <w:sz w:val="1"/>
                <w:szCs w:val="1"/>
                <w:color w:val="auto"/>
              </w:rPr>
            </w:pPr>
          </w:p>
        </w:tc>
      </w:tr>
      <w:tr>
        <w:trPr>
          <w:trHeight w:val="338"/>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Three Performance Goal is satisfied.</w:t>
            </w:r>
          </w:p>
        </w:tc>
        <w:tc>
          <w:tcPr>
            <w:tcW w:w="0" w:type="dxa"/>
            <w:vAlign w:val="bottom"/>
          </w:tcPr>
          <w:p>
            <w:pPr>
              <w:spacing w:after="0"/>
              <w:rPr>
                <w:sz w:val="1"/>
                <w:szCs w:val="1"/>
                <w:color w:val="auto"/>
              </w:rPr>
            </w:pPr>
          </w:p>
        </w:tc>
      </w:tr>
      <w:tr>
        <w:trPr>
          <w:trHeight w:val="293"/>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(5) [___] RSUs</w:t>
            </w:r>
          </w:p>
        </w:tc>
        <w:tc>
          <w:tcPr>
            <w:tcW w:w="0" w:type="dxa"/>
            <w:vAlign w:val="bottom"/>
          </w:tcPr>
          <w:p>
            <w:pPr>
              <w:spacing w:after="0"/>
              <w:rPr>
                <w:sz w:val="1"/>
                <w:szCs w:val="1"/>
                <w:color w:val="auto"/>
              </w:rPr>
            </w:pPr>
          </w:p>
        </w:tc>
      </w:tr>
      <w:tr>
        <w:trPr>
          <w:trHeight w:val="20"/>
        </w:trPr>
        <w:tc>
          <w:tcPr>
            <w:tcW w:w="3120" w:type="dxa"/>
            <w:vAlign w:val="bottom"/>
            <w:tcBorders>
              <w:left w:val="single" w:sz="8" w:color="auto"/>
              <w:right w:val="single" w:sz="8" w:color="auto"/>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89"/>
              </w:rPr>
              <w:t>On March [___], the greater of the vesting percentages as determined for [___] RSUs</w:t>
            </w:r>
          </w:p>
        </w:tc>
        <w:tc>
          <w:tcPr>
            <w:tcW w:w="0" w:type="dxa"/>
            <w:vAlign w:val="bottom"/>
          </w:tcPr>
          <w:p>
            <w:pPr>
              <w:spacing w:after="0"/>
              <w:rPr>
                <w:sz w:val="1"/>
                <w:szCs w:val="1"/>
                <w:color w:val="auto"/>
              </w:rPr>
            </w:pPr>
          </w:p>
        </w:tc>
      </w:tr>
      <w:tr>
        <w:trPr>
          <w:trHeight w:val="250"/>
        </w:trPr>
        <w:tc>
          <w:tcPr>
            <w:tcW w:w="3120" w:type="dxa"/>
            <w:vAlign w:val="bottom"/>
            <w:tcBorders>
              <w:left w:val="single" w:sz="8" w:color="auto"/>
              <w:right w:val="single" w:sz="8" w:color="auto"/>
            </w:tcBorders>
          </w:tcPr>
          <w:p>
            <w:pPr>
              <w:spacing w:after="0"/>
              <w:rPr>
                <w:sz w:val="21"/>
                <w:szCs w:val="21"/>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or</w:t>
            </w:r>
          </w:p>
        </w:tc>
        <w:tc>
          <w:tcPr>
            <w:tcW w:w="0" w:type="dxa"/>
            <w:vAlign w:val="bottom"/>
          </w:tcPr>
          <w:p>
            <w:pPr>
              <w:spacing w:after="0"/>
              <w:rPr>
                <w:sz w:val="1"/>
                <w:szCs w:val="1"/>
                <w:color w:val="auto"/>
              </w:rPr>
            </w:pPr>
          </w:p>
        </w:tc>
      </w:tr>
      <w:tr>
        <w:trPr>
          <w:trHeight w:val="338"/>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One Performance Goal is satisfied;</w:t>
            </w:r>
          </w:p>
        </w:tc>
        <w:tc>
          <w:tcPr>
            <w:tcW w:w="0" w:type="dxa"/>
            <w:vAlign w:val="bottom"/>
          </w:tcPr>
          <w:p>
            <w:pPr>
              <w:spacing w:after="0"/>
              <w:rPr>
                <w:sz w:val="1"/>
                <w:szCs w:val="1"/>
                <w:color w:val="auto"/>
              </w:rPr>
            </w:pPr>
          </w:p>
        </w:tc>
      </w:tr>
      <w:tr>
        <w:trPr>
          <w:trHeight w:val="338"/>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Two Performance Goal is satisfied;</w:t>
            </w:r>
          </w:p>
        </w:tc>
        <w:tc>
          <w:tcPr>
            <w:tcW w:w="0" w:type="dxa"/>
            <w:vAlign w:val="bottom"/>
          </w:tcPr>
          <w:p>
            <w:pPr>
              <w:spacing w:after="0"/>
              <w:rPr>
                <w:sz w:val="1"/>
                <w:szCs w:val="1"/>
                <w:color w:val="auto"/>
              </w:rPr>
            </w:pPr>
          </w:p>
        </w:tc>
      </w:tr>
      <w:tr>
        <w:trPr>
          <w:trHeight w:val="338"/>
        </w:trPr>
        <w:tc>
          <w:tcPr>
            <w:tcW w:w="312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[___]%, provided that the Tier Three Performance Goal is satisfied.</w:t>
            </w:r>
          </w:p>
        </w:tc>
        <w:tc>
          <w:tcPr>
            <w:tcW w:w="0" w:type="dxa"/>
            <w:vAlign w:val="bottom"/>
          </w:tcPr>
          <w:p>
            <w:pPr>
              <w:spacing w:after="0"/>
              <w:rPr>
                <w:sz w:val="1"/>
                <w:szCs w:val="1"/>
                <w:color w:val="auto"/>
              </w:rPr>
            </w:pPr>
          </w:p>
        </w:tc>
      </w:tr>
      <w:tr>
        <w:trPr>
          <w:trHeight w:val="131"/>
        </w:trPr>
        <w:tc>
          <w:tcPr>
            <w:tcW w:w="3120" w:type="dxa"/>
            <w:vAlign w:val="bottom"/>
            <w:tcBorders>
              <w:left w:val="single" w:sz="8" w:color="auto"/>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3120" w:type="dxa"/>
            <w:vAlign w:val="bottom"/>
            <w:tcBorders>
              <w:left w:val="single" w:sz="8" w:color="auto"/>
              <w:right w:val="single" w:sz="8" w:color="auto"/>
            </w:tcBorders>
          </w:tcPr>
          <w:p>
            <w:pPr>
              <w:spacing w:after="0"/>
              <w:rPr>
                <w:sz w:val="20"/>
                <w:szCs w:val="20"/>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91"/>
              </w:rPr>
              <w:t>Notwithstanding anything herein to the contrary, to the extent a Vesting Date for any</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right w:val="single" w:sz="8" w:color="auto"/>
            </w:tcBorders>
          </w:tcPr>
          <w:p>
            <w:pPr>
              <w:spacing w:after="0"/>
              <w:rPr>
                <w:sz w:val="19"/>
                <w:szCs w:val="19"/>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92"/>
              </w:rPr>
              <w:t>RSUs has not occurred because of the failure to satisfy an applicable Performance</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right w:val="single" w:sz="8" w:color="auto"/>
            </w:tcBorders>
          </w:tcPr>
          <w:p>
            <w:pPr>
              <w:spacing w:after="0"/>
              <w:rPr>
                <w:sz w:val="19"/>
                <w:szCs w:val="19"/>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90"/>
              </w:rPr>
              <w:t>Goal for any year by the applicable Scheduled Vesting Date, such RSUs which have</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right w:val="single" w:sz="8" w:color="auto"/>
            </w:tcBorders>
          </w:tcPr>
          <w:p>
            <w:pPr>
              <w:spacing w:after="0"/>
              <w:rPr>
                <w:sz w:val="19"/>
                <w:szCs w:val="19"/>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92"/>
              </w:rPr>
              <w:t>not vested and become nonforfeitable shall immediately and automatically, without</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right w:val="single" w:sz="8" w:color="auto"/>
            </w:tcBorders>
          </w:tcPr>
          <w:p>
            <w:pPr>
              <w:spacing w:after="0"/>
              <w:rPr>
                <w:sz w:val="19"/>
                <w:szCs w:val="19"/>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w w:val="89"/>
              </w:rPr>
              <w:t>any action on the part of the Grantee or the Company, be forfeited by the Grantee and</w:t>
            </w:r>
          </w:p>
        </w:tc>
        <w:tc>
          <w:tcPr>
            <w:tcW w:w="0" w:type="dxa"/>
            <w:vAlign w:val="bottom"/>
          </w:tcPr>
          <w:p>
            <w:pPr>
              <w:spacing w:after="0"/>
              <w:rPr>
                <w:sz w:val="1"/>
                <w:szCs w:val="1"/>
                <w:color w:val="auto"/>
              </w:rPr>
            </w:pPr>
          </w:p>
        </w:tc>
      </w:tr>
      <w:tr>
        <w:trPr>
          <w:trHeight w:val="250"/>
        </w:trPr>
        <w:tc>
          <w:tcPr>
            <w:tcW w:w="3120" w:type="dxa"/>
            <w:vAlign w:val="bottom"/>
            <w:tcBorders>
              <w:left w:val="single" w:sz="8" w:color="auto"/>
              <w:right w:val="single" w:sz="8" w:color="auto"/>
            </w:tcBorders>
          </w:tcPr>
          <w:p>
            <w:pPr>
              <w:spacing w:after="0"/>
              <w:rPr>
                <w:sz w:val="21"/>
                <w:szCs w:val="21"/>
                <w:color w:val="auto"/>
              </w:rPr>
            </w:pPr>
          </w:p>
        </w:tc>
        <w:tc>
          <w:tcPr>
            <w:tcW w:w="684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deemed canceled.</w:t>
            </w:r>
          </w:p>
        </w:tc>
        <w:tc>
          <w:tcPr>
            <w:tcW w:w="0" w:type="dxa"/>
            <w:vAlign w:val="bottom"/>
          </w:tcPr>
          <w:p>
            <w:pPr>
              <w:spacing w:after="0"/>
              <w:rPr>
                <w:sz w:val="1"/>
                <w:szCs w:val="1"/>
                <w:color w:val="auto"/>
              </w:rPr>
            </w:pPr>
          </w:p>
        </w:tc>
      </w:tr>
      <w:tr>
        <w:trPr>
          <w:trHeight w:val="23"/>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98"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2018</w:t>
      </w:r>
    </w:p>
    <w:p>
      <w:pPr>
        <w:spacing w:after="0" w:line="17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337"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2018</w:t>
      </w:r>
    </w:p>
    <w:p>
      <w:pPr>
        <w:spacing w:after="0" w:line="33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300"/>
          </w:cols>
          <w:pgMar w:left="240" w:top="557" w:right="3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2018</w:t>
      </w:r>
    </w:p>
    <w:p>
      <w:pPr>
        <w:spacing w:after="0" w:line="33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33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I, Michael J. Cavanagh, certify that:</w:t>
      </w:r>
    </w:p>
    <w:p>
      <w:pPr>
        <w:spacing w:after="0" w:line="171"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2018</w:t>
      </w:r>
    </w:p>
    <w:p>
      <w:pPr>
        <w:spacing w:after="0" w:line="33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300"/>
          </w:cols>
          <w:pgMar w:left="240" w:top="773" w:right="3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25,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337"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25,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x"/>
      <w:numFmt w:val="bullet"/>
      <w:start w:val="1"/>
    </w:lvl>
  </w:abstractNum>
  <w:abstractNum w:abstractNumId="1">
    <w:nsid w:val="2901D82"/>
    <w:multiLevelType w:val="hybridMultilevel"/>
    <w:lvl w:ilvl="0">
      <w:lvlJc w:val="left"/>
      <w:lvlText w:val="c"/>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lowerLetter"/>
      <w:start w:val="1"/>
    </w:lvl>
    <w:lvl w:ilvl="1">
      <w:lvlJc w:val="left"/>
      <w:lvlText w:val="•"/>
      <w:numFmt w:val="bullet"/>
      <w:start w:val="1"/>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lowerLetter"/>
      <w:start w:val="1"/>
    </w:lvl>
  </w:abstractNum>
  <w:abstractNum w:abstractNumId="10">
    <w:nsid w:val="3006C83E"/>
    <w:multiLevelType w:val="hybridMultilevel"/>
    <w:lvl w:ilvl="0">
      <w:lvlJc w:val="left"/>
      <w:lvlText w:val="(%1)"/>
      <w:numFmt w:val="lowerLetter"/>
      <w:start w:val="1"/>
    </w:lvl>
  </w:abstractNum>
  <w:abstractNum w:abstractNumId="11">
    <w:nsid w:val="614FD4A1"/>
    <w:multiLevelType w:val="hybridMultilevel"/>
    <w:lvl w:ilvl="0">
      <w:lvlJc w:val="left"/>
      <w:lvlText w:val="%1"/>
      <w:numFmt w:val="decimal"/>
      <w:start w:val="101"/>
    </w:lvl>
    <w:lvl w:ilvl="1">
      <w:lvlJc w:val="left"/>
      <w:lvlText w:val="(%2)"/>
      <w:numFmt w:val="lowerRoman"/>
      <w:start w:val="3"/>
    </w:lvl>
  </w:abstractNum>
  <w:abstractNum w:abstractNumId="12">
    <w:nsid w:val="419AC241"/>
    <w:multiLevelType w:val="hybridMultilevel"/>
    <w:lvl w:ilvl="0">
      <w:lvlJc w:val="left"/>
      <w:lvlText w:val="%1"/>
      <w:numFmt w:val="decimal"/>
      <w:start w:val="101"/>
    </w:lvl>
    <w:lvl w:ilvl="1">
      <w:lvlJc w:val="left"/>
      <w:lvlText w:val="(%2)"/>
      <w:numFmt w:val="lowerRoman"/>
      <w:start w:val="3"/>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18">
    <w:nsid w:val="7724C67E"/>
    <w:multiLevelType w:val="hybridMultilevel"/>
    <w:lvl w:ilvl="0">
      <w:lvlJc w:val="left"/>
      <w:lvlText w:val="(%1)"/>
      <w:numFmt w:val="lowerRoman"/>
      <w:start w:val="9"/>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19">
    <w:nsid w:val="5C482A97"/>
    <w:multiLevelType w:val="hybridMultilevel"/>
    <w:lvl w:ilvl="0">
      <w:lvlJc w:val="left"/>
      <w:lvlText w:val="(%1)"/>
      <w:numFmt w:val="lowerRoman"/>
      <w:start w:val="11"/>
    </w:lvl>
    <w:lvl w:ilvl="1">
      <w:lvlJc w:val="left"/>
      <w:lvlText w:val="(%2)"/>
      <w:numFmt w:val="lowerLetter"/>
      <w:start w:val="4"/>
    </w:lvl>
    <w:lvl w:ilvl="2">
      <w:lvlJc w:val="left"/>
      <w:lvlText w:val="(%3)"/>
      <w:numFmt w:val="decimal"/>
      <w:start w:val="1"/>
    </w:lvl>
    <w:lvl w:ilvl="3">
      <w:lvlJc w:val="left"/>
      <w:lvlText w:val="(%4)"/>
      <w:numFmt w:val="lowerLetter"/>
      <w:start w:val="1"/>
    </w:lvl>
  </w:abstractNum>
  <w:abstractNum w:abstractNumId="20">
    <w:nsid w:val="2463B9E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2"/>
    </w:lvl>
  </w:abstractNum>
  <w:abstractNum w:abstractNumId="21">
    <w:nsid w:val="5E884ADC"/>
    <w:multiLevelType w:val="hybridMultilevel"/>
    <w:lvl w:ilvl="0">
      <w:lvlJc w:val="left"/>
      <w:lvlText w:val="(%1)"/>
      <w:numFmt w:val="decimal"/>
      <w:start w:val="20"/>
    </w:lvl>
    <w:lvl w:ilvl="1">
      <w:lvlJc w:val="left"/>
      <w:lvlText w:val="(%2)"/>
      <w:numFmt w:val="lowerLetter"/>
      <w:start w:val="14"/>
    </w:lvl>
    <w:lvl w:ilvl="2">
      <w:lvlJc w:val="left"/>
      <w:lvlText w:val="(%3)"/>
      <w:numFmt w:val="decimal"/>
      <w:start w:val="3"/>
    </w:lvl>
    <w:lvl w:ilvl="3">
      <w:lvlJc w:val="left"/>
      <w:lvlText w:val="%4"/>
      <w:numFmt w:val="lowerLetter"/>
      <w:start w:val="1"/>
    </w:lvl>
  </w:abstractNum>
  <w:abstractNum w:abstractNumId="22">
    <w:nsid w:val="51EAD36B"/>
    <w:multiLevelType w:val="hybridMultilevel"/>
    <w:lvl w:ilvl="0">
      <w:lvlJc w:val="left"/>
      <w:lvlText w:val="(%1)"/>
      <w:numFmt w:val="lowerLetter"/>
      <w:start w:val="27"/>
    </w:lvl>
    <w:lvl w:ilvl="1">
      <w:lvlJc w:val="left"/>
      <w:lvlText w:val="(%2)"/>
      <w:numFmt w:val="decimal"/>
      <w:start w:val="1"/>
    </w:lvl>
  </w:abstractNum>
  <w:abstractNum w:abstractNumId="23">
    <w:nsid w:val="2D517796"/>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4">
    <w:nsid w:val="580BD78F"/>
    <w:multiLevelType w:val="hybridMultilevel"/>
    <w:lvl w:ilvl="0">
      <w:lvlJc w:val="left"/>
      <w:lvlText w:val="(%1)"/>
      <w:numFmt w:val="lowerLetter"/>
      <w:start w:val="4"/>
    </w:lvl>
    <w:lvl w:ilvl="1">
      <w:lvlJc w:val="left"/>
      <w:lvlText w:val="(%2)"/>
      <w:numFmt w:val="decimal"/>
      <w:start w:val="1"/>
    </w:lvl>
  </w:abstractNum>
  <w:abstractNum w:abstractNumId="25">
    <w:nsid w:val="153EA438"/>
    <w:multiLevelType w:val="hybridMultilevel"/>
    <w:lvl w:ilvl="0">
      <w:lvlJc w:val="left"/>
      <w:lvlText w:val="%1."/>
      <w:numFmt w:val="decimal"/>
      <w:start w:val="4"/>
    </w:lvl>
  </w:abstractNum>
  <w:abstractNum w:abstractNumId="26">
    <w:nsid w:val="3855585C"/>
    <w:multiLevelType w:val="hybridMultilevel"/>
    <w:lvl w:ilvl="0">
      <w:lvlJc w:val="left"/>
      <w:lvlText w:val="%1"/>
      <w:numFmt w:val="decimal"/>
      <w:start w:val="1"/>
    </w:lvl>
    <w:lvl w:ilvl="1">
      <w:lvlJc w:val="left"/>
      <w:lvlText w:val="(%2)"/>
      <w:numFmt w:val="lowerLetter"/>
      <w:start w:val="1"/>
    </w:lvl>
  </w:abstractNum>
  <w:abstractNum w:abstractNumId="27">
    <w:nsid w:val="70A64E2A"/>
    <w:multiLevelType w:val="hybridMultilevel"/>
    <w:lvl w:ilvl="0">
      <w:lvlJc w:val="left"/>
      <w:lvlText w:val="%1."/>
      <w:numFmt w:val="decimal"/>
      <w:start w:val="5"/>
    </w:lvl>
    <w:lvl w:ilvl="1">
      <w:lvlJc w:val="left"/>
      <w:lvlText w:val="%2"/>
      <w:numFmt w:val="lowerLetter"/>
      <w:start w:val="1"/>
    </w:lvl>
  </w:abstractNum>
  <w:abstractNum w:abstractNumId="28">
    <w:nsid w:val="6A2342EC"/>
    <w:multiLevelType w:val="hybridMultilevel"/>
    <w:lvl w:ilvl="0">
      <w:lvlJc w:val="left"/>
      <w:lvlText w:val="%1."/>
      <w:numFmt w:val="decimal"/>
      <w:start w:val="6"/>
    </w:lvl>
  </w:abstractNum>
  <w:abstractNum w:abstractNumId="29">
    <w:nsid w:val="2A487CB0"/>
    <w:multiLevelType w:val="hybridMultilevel"/>
    <w:lvl w:ilvl="0">
      <w:lvlJc w:val="left"/>
      <w:lvlText w:val="%1."/>
      <w:numFmt w:val="decimal"/>
      <w:start w:val="13"/>
    </w:lvl>
    <w:lvl w:ilvl="1">
      <w:lvlJc w:val="left"/>
      <w:lvlText w:val="(%2)"/>
      <w:numFmt w:val="lowerLetter"/>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32">
    <w:nsid w:val="2CD89A32"/>
    <w:multiLevelType w:val="hybridMultilevel"/>
    <w:lvl w:ilvl="0">
      <w:lvlJc w:val="left"/>
      <w:lvlText w:val="(%1)"/>
      <w:numFmt w:val="lowerRoman"/>
      <w:start w:val="9"/>
    </w:lvl>
    <w:lvl w:ilvl="1">
      <w:lvlJc w:val="left"/>
      <w:lvlText w:val="%2"/>
      <w:numFmt w:val="lowerLetter"/>
      <w:start w:val="1"/>
    </w:lvl>
    <w:lvl w:ilvl="2">
      <w:lvlJc w:val="left"/>
      <w:lvlText w:val="%3"/>
      <w:numFmt w:val="decimal"/>
      <w:start w:val="1"/>
    </w:lvl>
  </w:abstractNum>
  <w:abstractNum w:abstractNumId="33">
    <w:nsid w:val="57E4CCAF"/>
    <w:multiLevelType w:val="hybridMultilevel"/>
    <w:lvl w:ilvl="0">
      <w:lvlJc w:val="left"/>
      <w:lvlText w:val="(%1)"/>
      <w:numFmt w:val="lowerRoman"/>
      <w:start w:val="11"/>
    </w:lvl>
    <w:lvl w:ilvl="1">
      <w:lvlJc w:val="left"/>
      <w:lvlText w:val="(%2)"/>
      <w:numFmt w:val="lowerLetter"/>
      <w:start w:val="6"/>
    </w:lvl>
    <w:lvl w:ilvl="2">
      <w:lvlJc w:val="left"/>
      <w:lvlText w:val="(%3)"/>
      <w:numFmt w:val="decimal"/>
      <w:start w:val="1"/>
    </w:lvl>
  </w:abstractNum>
  <w:abstractNum w:abstractNumId="34">
    <w:nsid w:val="7A6D8D3C"/>
    <w:multiLevelType w:val="hybridMultilevel"/>
    <w:lvl w:ilvl="0">
      <w:lvlJc w:val="left"/>
      <w:lvlText w:val="%1"/>
      <w:numFmt w:val="decimal"/>
      <w:start w:val="1"/>
    </w:lvl>
    <w:lvl w:ilvl="1">
      <w:lvlJc w:val="left"/>
      <w:lvlText w:val="(%2)"/>
      <w:numFmt w:val="lowerLetter"/>
      <w:start w:val="13"/>
    </w:lvl>
    <w:lvl w:ilvl="2">
      <w:lvlJc w:val="left"/>
      <w:lvlText w:val="(%3)"/>
      <w:numFmt w:val="decimal"/>
      <w:start w:val="1"/>
    </w:lvl>
  </w:abstractNum>
  <w:abstractNum w:abstractNumId="35">
    <w:nsid w:val="4B588F54"/>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36">
    <w:nsid w:val="542289E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decimal"/>
      <w:start w:val="1"/>
    </w:lvl>
  </w:abstractNum>
  <w:abstractNum w:abstractNumId="37">
    <w:nsid w:val="6DE91B18"/>
    <w:multiLevelType w:val="hybridMultilevel"/>
    <w:lvl w:ilvl="0">
      <w:lvlJc w:val="left"/>
      <w:lvlText w:val="(%1)"/>
      <w:numFmt w:val="decimal"/>
      <w:start w:val="15"/>
    </w:lvl>
    <w:lvl w:ilvl="1">
      <w:lvlJc w:val="left"/>
      <w:lvlText w:val="%2"/>
      <w:numFmt w:val="decimal"/>
      <w:start w:val="1"/>
    </w:lvl>
    <w:lvl w:ilvl="2">
      <w:lvlJc w:val="left"/>
      <w:lvlText w:val="(%3)"/>
      <w:numFmt w:val="lowerLetter"/>
      <w:start w:val="3"/>
    </w:lvl>
    <w:lvl w:ilvl="3">
      <w:lvlJc w:val="left"/>
      <w:lvlText w:val="(%4)"/>
      <w:numFmt w:val="decimal"/>
      <w:start w:val="3"/>
    </w:lvl>
  </w:abstractNum>
  <w:abstractNum w:abstractNumId="38">
    <w:nsid w:val="38437FD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9">
    <w:nsid w:val="7644A45C"/>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40">
    <w:nsid w:val="32FFF902"/>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4">
    <w:nsid w:val="3DC240FB"/>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45">
    <w:nsid w:val="1BA026FA"/>
    <w:multiLevelType w:val="hybridMultilevel"/>
    <w:lvl w:ilvl="0">
      <w:lvlJc w:val="left"/>
      <w:lvlText w:val="%1"/>
      <w:numFmt w:val="decimal"/>
      <w:start w:val="1"/>
    </w:lvl>
    <w:lvl w:ilvl="1">
      <w:lvlJc w:val="left"/>
      <w:lvlText w:val="(%2)"/>
      <w:numFmt w:val="lowerLetter"/>
      <w:start w:val="4"/>
    </w:lvl>
  </w:abstractNum>
  <w:abstractNum w:abstractNumId="46">
    <w:nsid w:val="79A1DEAA"/>
    <w:multiLevelType w:val="hybridMultilevel"/>
    <w:lvl w:ilvl="0">
      <w:lvlJc w:val="left"/>
      <w:lvlText w:val="%1."/>
      <w:numFmt w:val="decimal"/>
      <w:start w:val="7"/>
    </w:lvl>
    <w:lvl w:ilvl="1">
      <w:lvlJc w:val="left"/>
      <w:lvlText w:val="(%2)"/>
      <w:numFmt w:val="lowerLetter"/>
      <w:start w:val="1"/>
    </w:lvl>
  </w:abstractNum>
  <w:abstractNum w:abstractNumId="47">
    <w:nsid w:val="75C6C33A"/>
    <w:multiLevelType w:val="hybridMultilevel"/>
    <w:lvl w:ilvl="0">
      <w:lvlJc w:val="left"/>
      <w:lvlText w:val="(%1)"/>
      <w:numFmt w:val="decimal"/>
      <w:start w:val="2"/>
    </w:lvl>
  </w:abstractNum>
  <w:abstractNum w:abstractNumId="48">
    <w:nsid w:val="12E685FB"/>
    <w:multiLevelType w:val="hybridMultilevel"/>
    <w:lvl w:ilvl="0">
      <w:lvlJc w:val="left"/>
      <w:lvlText w:val="%1"/>
      <w:numFmt w:val="decimal"/>
      <w:start w:val="1"/>
    </w:lvl>
    <w:lvl w:ilvl="1">
      <w:lvlJc w:val="left"/>
      <w:lvlText w:val="(%2)"/>
      <w:numFmt w:val="lowerLetter"/>
      <w:start w:val="2"/>
    </w:lvl>
  </w:abstractNum>
  <w:abstractNum w:abstractNumId="49">
    <w:nsid w:val="70C6A529"/>
    <w:multiLevelType w:val="hybridMultilevel"/>
    <w:lvl w:ilvl="0">
      <w:lvlJc w:val="left"/>
      <w:lvlText w:val="%1."/>
      <w:numFmt w:val="decimal"/>
      <w:start w:val="10"/>
    </w:lvl>
    <w:lvl w:ilvl="1">
      <w:lvlJc w:val="left"/>
      <w:lvlText w:val="(%2)"/>
      <w:numFmt w:val="lowerLetter"/>
      <w:start w:val="1"/>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1"/>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2019-12-28T22:54:44Z</dcterms:created>
  <dcterms:modified xsi:type="dcterms:W3CDTF">2019-12-28T22:54:44Z</dcterms:modified>
</cp:coreProperties>
</file>