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80" w:type="dxa"/>
            <w:vAlign w:val="bottom"/>
          </w:tcPr>
          <w:p>
            <w:pPr>
              <w:spacing w:after="0"/>
              <w:rPr>
                <w:sz w:val="20"/>
                <w:szCs w:val="20"/>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August 22, 2025</w:t>
            </w:r>
          </w:p>
        </w:tc>
      </w:tr>
      <w:tr>
        <w:trPr>
          <w:trHeight w:val="450"/>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80" w:type="dxa"/>
            <w:vAlign w:val="bottom"/>
          </w:tcPr>
          <w:p>
            <w:pPr>
              <w:spacing w:after="0"/>
              <w:rPr>
                <w:sz w:val="12"/>
                <w:szCs w:val="12"/>
                <w:color w:val="auto"/>
              </w:rPr>
            </w:pPr>
          </w:p>
        </w:tc>
        <w:tc>
          <w:tcPr>
            <w:tcW w:w="7180" w:type="dxa"/>
            <w:vAlign w:val="bottom"/>
          </w:tcPr>
          <w:p>
            <w:pPr>
              <w:jc w:val="center"/>
              <w:ind w:right="222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480" w:type="dxa"/>
            <w:vAlign w:val="bottom"/>
          </w:tcPr>
          <w:p>
            <w:pPr>
              <w:spacing w:after="0"/>
              <w:rPr>
                <w:sz w:val="24"/>
                <w:szCs w:val="24"/>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(Commission File Number)</w:t>
            </w:r>
          </w:p>
        </w:tc>
        <w:tc>
          <w:tcPr>
            <w:tcW w:w="718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80" w:type="dxa"/>
            <w:vAlign w:val="bottom"/>
          </w:tcPr>
          <w:p>
            <w:pPr>
              <w:spacing w:after="0"/>
              <w:rPr>
                <w:sz w:val="24"/>
                <w:szCs w:val="24"/>
                <w:color w:val="auto"/>
              </w:rPr>
            </w:pPr>
          </w:p>
        </w:tc>
      </w:tr>
      <w:tr>
        <w:trPr>
          <w:trHeight w:val="229"/>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22, 2025, Comcast Corporation notified The Bank of New York Mellon, as trustee, that it will redeem all outstanding amounts of its 3.950% Notes due October 15, 2025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full at the redemption price, calculated in accordance with the indenture governing such Notes, plus accrued and unpaid interest, of approximately $2.474 billion. The redemption date for the Notes will be September 22,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Current Report on Form 8-K is not a notice of redemption for the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6"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111"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69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8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2025</w:t>
            </w: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218"/>
        </w:trPr>
        <w:tc>
          <w:tcPr>
            <w:tcW w:w="3640" w:type="dxa"/>
            <w:vAlign w:val="bottom"/>
          </w:tcPr>
          <w:p>
            <w:pPr>
              <w:spacing w:after="0"/>
              <w:rPr>
                <w:sz w:val="18"/>
                <w:szCs w:val="18"/>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Wideman</w:t>
            </w:r>
          </w:p>
        </w:tc>
      </w:tr>
      <w:tr>
        <w:trPr>
          <w:trHeight w:val="180"/>
        </w:trPr>
        <w:tc>
          <w:tcPr>
            <w:tcW w:w="3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Senior Deputy General Counsel</w:t>
            </w:r>
          </w:p>
        </w:tc>
      </w:tr>
      <w:tr>
        <w:trPr>
          <w:trHeight w:val="243"/>
        </w:trPr>
        <w:tc>
          <w:tcPr>
            <w:tcW w:w="3640" w:type="dxa"/>
            <w:vAlign w:val="bottom"/>
          </w:tcPr>
          <w:p>
            <w:pPr>
              <w:spacing w:after="0"/>
              <w:rPr>
                <w:sz w:val="21"/>
                <w:szCs w:val="21"/>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Assistant Secretary</w:t>
            </w:r>
          </w:p>
        </w:tc>
      </w:tr>
    </w:tbl>
    <w:p>
      <w:pPr>
        <w:spacing w:after="0" w:line="1" w:lineRule="exact"/>
        <w:rPr>
          <w:sz w:val="20"/>
          <w:szCs w:val="20"/>
          <w:color w:val="auto"/>
        </w:rPr>
      </w:pPr>
    </w:p>
    <w:sectPr>
      <w:pgSz w:w="11900" w:h="16838" w:orient="portrait"/>
      <w:cols w:equalWidth="0" w:num="1">
        <w:col w:w="11200"/>
      </w:cols>
      <w:pgMar w:left="320" w:top="9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2025-08-22T16:18:16Z</dcterms:created>
  <dcterms:modified xsi:type="dcterms:W3CDTF">2025-08-22T16:18:16Z</dcterms:modified>
</cp:coreProperties>
</file>